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FF48B6" w14:textId="5F0242A9" w:rsidR="007327CF" w:rsidRDefault="00EF0613">
      <w:pPr>
        <w:rPr>
          <w:b/>
          <w:bCs/>
          <w:sz w:val="28"/>
          <w:szCs w:val="28"/>
        </w:rPr>
      </w:pPr>
      <w:r w:rsidRPr="00EF0613">
        <w:rPr>
          <w:b/>
          <w:bCs/>
          <w:sz w:val="28"/>
          <w:szCs w:val="28"/>
        </w:rPr>
        <w:t>Evaluation of Person-Centred Care and Partnership Working in Health and Social Care</w:t>
      </w:r>
      <w:r>
        <w:rPr>
          <w:b/>
          <w:bCs/>
          <w:sz w:val="28"/>
          <w:szCs w:val="28"/>
        </w:rPr>
        <w:t xml:space="preserve"> </w:t>
      </w:r>
    </w:p>
    <w:p w14:paraId="26276331" w14:textId="4EAC36FB" w:rsidR="00EF0613" w:rsidRDefault="00EF0613">
      <w:pPr>
        <w:rPr>
          <w:sz w:val="28"/>
          <w:szCs w:val="28"/>
        </w:rPr>
      </w:pPr>
      <w:r>
        <w:rPr>
          <w:sz w:val="28"/>
          <w:szCs w:val="28"/>
        </w:rPr>
        <w:t xml:space="preserve">Student Name: Zamir Akhtar </w:t>
      </w:r>
    </w:p>
    <w:p w14:paraId="2B470E31" w14:textId="09089905" w:rsidR="00EF0613" w:rsidRDefault="00EF0613">
      <w:pPr>
        <w:rPr>
          <w:sz w:val="28"/>
          <w:szCs w:val="28"/>
        </w:rPr>
      </w:pPr>
      <w:r>
        <w:rPr>
          <w:sz w:val="28"/>
          <w:szCs w:val="28"/>
        </w:rPr>
        <w:t>Student Number: 2410262</w:t>
      </w:r>
    </w:p>
    <w:p w14:paraId="047765CB" w14:textId="3AFD56FF" w:rsidR="00EF0613" w:rsidRDefault="00EF0613">
      <w:pPr>
        <w:rPr>
          <w:sz w:val="28"/>
          <w:szCs w:val="28"/>
        </w:rPr>
      </w:pPr>
      <w:r>
        <w:rPr>
          <w:sz w:val="28"/>
          <w:szCs w:val="28"/>
        </w:rPr>
        <w:t xml:space="preserve">Module Name: Principles of Health and Social Care Practice </w:t>
      </w:r>
    </w:p>
    <w:p w14:paraId="11AC6FF0" w14:textId="347539D4" w:rsidR="00EF0613" w:rsidRDefault="00EF0613">
      <w:pPr>
        <w:rPr>
          <w:sz w:val="28"/>
          <w:szCs w:val="28"/>
        </w:rPr>
      </w:pPr>
      <w:r>
        <w:rPr>
          <w:sz w:val="28"/>
          <w:szCs w:val="28"/>
        </w:rPr>
        <w:t xml:space="preserve">Module Code: BMHP5016 </w:t>
      </w:r>
    </w:p>
    <w:p w14:paraId="5BAB0D97" w14:textId="6845720C" w:rsidR="00EF0613" w:rsidRDefault="00EF0613">
      <w:pPr>
        <w:rPr>
          <w:sz w:val="28"/>
          <w:szCs w:val="28"/>
        </w:rPr>
      </w:pPr>
      <w:r>
        <w:rPr>
          <w:sz w:val="28"/>
          <w:szCs w:val="28"/>
        </w:rPr>
        <w:t xml:space="preserve">Lecturer Name: Junaid Shaikh </w:t>
      </w:r>
    </w:p>
    <w:p w14:paraId="528C6EB8" w14:textId="77777777" w:rsidR="00EF0613" w:rsidRDefault="00EF0613">
      <w:pPr>
        <w:rPr>
          <w:sz w:val="28"/>
          <w:szCs w:val="28"/>
        </w:rPr>
      </w:pPr>
    </w:p>
    <w:p w14:paraId="07C9CB96" w14:textId="77777777" w:rsidR="00EF0613" w:rsidRDefault="00EF0613">
      <w:pPr>
        <w:rPr>
          <w:sz w:val="28"/>
          <w:szCs w:val="28"/>
        </w:rPr>
      </w:pPr>
    </w:p>
    <w:p w14:paraId="3E6C66F4" w14:textId="77777777" w:rsidR="00EF0613" w:rsidRDefault="00EF0613">
      <w:pPr>
        <w:rPr>
          <w:sz w:val="28"/>
          <w:szCs w:val="28"/>
        </w:rPr>
      </w:pPr>
    </w:p>
    <w:p w14:paraId="765B56CD" w14:textId="77777777" w:rsidR="00EF0613" w:rsidRDefault="00EF0613">
      <w:pPr>
        <w:rPr>
          <w:sz w:val="28"/>
          <w:szCs w:val="28"/>
        </w:rPr>
      </w:pPr>
    </w:p>
    <w:p w14:paraId="7BD27082" w14:textId="77777777" w:rsidR="00EF0613" w:rsidRDefault="00EF0613">
      <w:pPr>
        <w:rPr>
          <w:sz w:val="28"/>
          <w:szCs w:val="28"/>
        </w:rPr>
      </w:pPr>
    </w:p>
    <w:p w14:paraId="6B6F5FA4" w14:textId="77777777" w:rsidR="00EF0613" w:rsidRDefault="00EF0613">
      <w:pPr>
        <w:rPr>
          <w:sz w:val="28"/>
          <w:szCs w:val="28"/>
        </w:rPr>
      </w:pPr>
    </w:p>
    <w:p w14:paraId="7EF2F717" w14:textId="77777777" w:rsidR="00EF0613" w:rsidRDefault="00EF0613">
      <w:pPr>
        <w:rPr>
          <w:sz w:val="28"/>
          <w:szCs w:val="28"/>
        </w:rPr>
      </w:pPr>
    </w:p>
    <w:p w14:paraId="34385A87" w14:textId="77777777" w:rsidR="00EF0613" w:rsidRDefault="00EF0613">
      <w:pPr>
        <w:rPr>
          <w:sz w:val="28"/>
          <w:szCs w:val="28"/>
        </w:rPr>
      </w:pPr>
    </w:p>
    <w:p w14:paraId="1C57E641" w14:textId="77777777" w:rsidR="00EF0613" w:rsidRDefault="00EF0613">
      <w:pPr>
        <w:rPr>
          <w:sz w:val="28"/>
          <w:szCs w:val="28"/>
        </w:rPr>
      </w:pPr>
    </w:p>
    <w:p w14:paraId="0A557E6C" w14:textId="77777777" w:rsidR="00EF0613" w:rsidRDefault="00EF0613">
      <w:pPr>
        <w:rPr>
          <w:sz w:val="28"/>
          <w:szCs w:val="28"/>
        </w:rPr>
      </w:pPr>
    </w:p>
    <w:p w14:paraId="7CD38EB7" w14:textId="77777777" w:rsidR="00EF0613" w:rsidRDefault="00EF0613">
      <w:pPr>
        <w:rPr>
          <w:sz w:val="28"/>
          <w:szCs w:val="28"/>
        </w:rPr>
      </w:pPr>
    </w:p>
    <w:p w14:paraId="1BB511FF" w14:textId="77777777" w:rsidR="00EF0613" w:rsidRDefault="00EF0613">
      <w:pPr>
        <w:rPr>
          <w:sz w:val="28"/>
          <w:szCs w:val="28"/>
        </w:rPr>
      </w:pPr>
    </w:p>
    <w:p w14:paraId="2D05B70A" w14:textId="77777777" w:rsidR="00EF0613" w:rsidRDefault="00EF0613">
      <w:pPr>
        <w:rPr>
          <w:sz w:val="28"/>
          <w:szCs w:val="28"/>
        </w:rPr>
      </w:pPr>
    </w:p>
    <w:p w14:paraId="290F2F8E" w14:textId="77777777" w:rsidR="00EF0613" w:rsidRDefault="00EF0613">
      <w:pPr>
        <w:rPr>
          <w:sz w:val="28"/>
          <w:szCs w:val="28"/>
        </w:rPr>
      </w:pPr>
    </w:p>
    <w:p w14:paraId="0A3BF475" w14:textId="77777777" w:rsidR="00EF0613" w:rsidRDefault="00EF0613">
      <w:pPr>
        <w:rPr>
          <w:sz w:val="28"/>
          <w:szCs w:val="28"/>
        </w:rPr>
      </w:pPr>
    </w:p>
    <w:p w14:paraId="47F02B55" w14:textId="77777777" w:rsidR="00EF0613" w:rsidRDefault="00EF0613">
      <w:pPr>
        <w:rPr>
          <w:sz w:val="28"/>
          <w:szCs w:val="28"/>
        </w:rPr>
      </w:pPr>
    </w:p>
    <w:p w14:paraId="20E5FB8F" w14:textId="77777777" w:rsidR="00EF0613" w:rsidRDefault="00EF0613">
      <w:pPr>
        <w:rPr>
          <w:sz w:val="28"/>
          <w:szCs w:val="28"/>
        </w:rPr>
      </w:pPr>
    </w:p>
    <w:p w14:paraId="6F6927CE" w14:textId="77777777" w:rsidR="00EF0613" w:rsidRDefault="00EF0613">
      <w:pPr>
        <w:rPr>
          <w:sz w:val="28"/>
          <w:szCs w:val="28"/>
        </w:rPr>
      </w:pPr>
    </w:p>
    <w:p w14:paraId="2EF1F025" w14:textId="77777777" w:rsidR="00EF0613" w:rsidRDefault="00EF0613">
      <w:pPr>
        <w:rPr>
          <w:sz w:val="28"/>
          <w:szCs w:val="28"/>
        </w:rPr>
      </w:pPr>
    </w:p>
    <w:p w14:paraId="35966094" w14:textId="77777777" w:rsidR="00EF0613" w:rsidRDefault="00EF0613">
      <w:pPr>
        <w:rPr>
          <w:sz w:val="28"/>
          <w:szCs w:val="28"/>
        </w:rPr>
      </w:pPr>
    </w:p>
    <w:p w14:paraId="0D5A8317" w14:textId="77777777" w:rsidR="00427911" w:rsidRDefault="00427911">
      <w:pPr>
        <w:rPr>
          <w:b/>
          <w:bCs/>
          <w:sz w:val="28"/>
          <w:szCs w:val="28"/>
        </w:rPr>
      </w:pPr>
    </w:p>
    <w:p w14:paraId="62715020" w14:textId="2C9A513E" w:rsidR="00EF0613" w:rsidRDefault="00EF0613">
      <w:pPr>
        <w:rPr>
          <w:b/>
          <w:bCs/>
          <w:sz w:val="28"/>
          <w:szCs w:val="28"/>
        </w:rPr>
      </w:pPr>
      <w:r w:rsidRPr="00EF0613">
        <w:rPr>
          <w:b/>
          <w:bCs/>
          <w:sz w:val="28"/>
          <w:szCs w:val="28"/>
        </w:rPr>
        <w:lastRenderedPageBreak/>
        <w:t xml:space="preserve">Introduction </w:t>
      </w:r>
    </w:p>
    <w:p w14:paraId="19471E92" w14:textId="1A944733" w:rsidR="00EF0613" w:rsidRDefault="00EF0613">
      <w:pPr>
        <w:rPr>
          <w:sz w:val="24"/>
          <w:szCs w:val="24"/>
        </w:rPr>
      </w:pPr>
      <w:r w:rsidRPr="00EF0613">
        <w:rPr>
          <w:sz w:val="24"/>
          <w:szCs w:val="24"/>
        </w:rPr>
        <w:t>Two fundamental tenets of contemporary health and social care practice in the UK are partnership working (PW) and person-centred care (PCC).  PCC promotes autonomy, respect, and dignity by putting the patient at the centre of decisions regarding their own treatment (Health Foundation, 2016).  In order to improve health and social results, partnership working entails service users, experts, and larger agencies working together (Glasby and Dickinson, 2014).  Both ideas are included into the legal obligations of health and social care providers under the Health and Social Care Act (2012) and the Care Act (2014).  This study assesses PCC and PW by examining their theoretical underpinnings, ethical underpinnings, advantages and disadvantages, and practical applications.  Additionally, it looks at pertinent laws and policies and suggests areas that should be developed further in the UK.</w:t>
      </w:r>
      <w:r>
        <w:rPr>
          <w:sz w:val="24"/>
          <w:szCs w:val="24"/>
        </w:rPr>
        <w:t xml:space="preserve"> </w:t>
      </w:r>
    </w:p>
    <w:p w14:paraId="0C69F3FD" w14:textId="1C346079" w:rsidR="00EF0613" w:rsidRDefault="00EF0613" w:rsidP="00EF0613">
      <w:pPr>
        <w:pStyle w:val="ListParagraph"/>
        <w:numPr>
          <w:ilvl w:val="0"/>
          <w:numId w:val="1"/>
        </w:numPr>
        <w:rPr>
          <w:b/>
          <w:bCs/>
          <w:sz w:val="28"/>
          <w:szCs w:val="28"/>
        </w:rPr>
      </w:pPr>
      <w:r w:rsidRPr="00EF0613">
        <w:rPr>
          <w:b/>
          <w:bCs/>
          <w:sz w:val="28"/>
          <w:szCs w:val="28"/>
        </w:rPr>
        <w:t>Definition, Benefits and Limitations of Person-Centred Care</w:t>
      </w:r>
      <w:r>
        <w:rPr>
          <w:b/>
          <w:bCs/>
          <w:sz w:val="28"/>
          <w:szCs w:val="28"/>
        </w:rPr>
        <w:t xml:space="preserve"> </w:t>
      </w:r>
    </w:p>
    <w:p w14:paraId="7BC85425" w14:textId="0CFFF37A" w:rsidR="00EF0613" w:rsidRDefault="00EF0613" w:rsidP="00EF0613">
      <w:pPr>
        <w:ind w:left="360"/>
        <w:rPr>
          <w:b/>
          <w:bCs/>
          <w:sz w:val="28"/>
          <w:szCs w:val="28"/>
        </w:rPr>
      </w:pPr>
      <w:r w:rsidRPr="00EF0613">
        <w:rPr>
          <w:b/>
          <w:bCs/>
          <w:sz w:val="28"/>
          <w:szCs w:val="28"/>
        </w:rPr>
        <w:t>Definition</w:t>
      </w:r>
    </w:p>
    <w:p w14:paraId="064226D6" w14:textId="7AC5B3F2" w:rsidR="00EF0613" w:rsidRDefault="00EF0613" w:rsidP="00EF0613">
      <w:pPr>
        <w:ind w:left="360"/>
        <w:rPr>
          <w:sz w:val="24"/>
          <w:szCs w:val="24"/>
        </w:rPr>
      </w:pPr>
      <w:r w:rsidRPr="00EF0613">
        <w:rPr>
          <w:sz w:val="24"/>
          <w:szCs w:val="24"/>
        </w:rPr>
        <w:t>In contrast to concentrating only on organisational or professional priorities, person-centred care emphasises the individual's values, preferences, and needs when making decisions (McCormack and McCance, 2017).  The idea originated in humanistic psychology, specifically in Rogers' (1951) work on unconditional positive regard. Since then, it has been included into health and social care frameworks across the world.  According to Coulter and Oldham (2016), PCC places a strong emphasis on collaborative decision-making, holistic assessment, and considering service users as active partners rather than passive recipients.</w:t>
      </w:r>
    </w:p>
    <w:p w14:paraId="33E84A37" w14:textId="35C41D77" w:rsidR="00EF0613" w:rsidRDefault="00591368" w:rsidP="00EF0613">
      <w:pPr>
        <w:ind w:left="360"/>
        <w:rPr>
          <w:b/>
          <w:bCs/>
          <w:sz w:val="28"/>
          <w:szCs w:val="28"/>
        </w:rPr>
      </w:pPr>
      <w:r w:rsidRPr="00591368">
        <w:rPr>
          <w:b/>
          <w:bCs/>
          <w:sz w:val="28"/>
          <w:szCs w:val="28"/>
        </w:rPr>
        <w:t>Benefits</w:t>
      </w:r>
      <w:r>
        <w:rPr>
          <w:b/>
          <w:bCs/>
          <w:sz w:val="28"/>
          <w:szCs w:val="28"/>
        </w:rPr>
        <w:t xml:space="preserve"> </w:t>
      </w:r>
    </w:p>
    <w:p w14:paraId="5F1CECFF" w14:textId="2AC88174" w:rsidR="00591368" w:rsidRDefault="00591368" w:rsidP="00591368">
      <w:pPr>
        <w:pStyle w:val="ListParagraph"/>
        <w:numPr>
          <w:ilvl w:val="0"/>
          <w:numId w:val="3"/>
        </w:numPr>
        <w:spacing w:after="0" w:line="240" w:lineRule="auto"/>
        <w:rPr>
          <w:rFonts w:eastAsia="Times New Roman" w:cs="Times New Roman"/>
          <w:kern w:val="0"/>
          <w:sz w:val="24"/>
          <w:szCs w:val="24"/>
          <w:lang w:eastAsia="en-GB"/>
          <w14:ligatures w14:val="none"/>
        </w:rPr>
      </w:pPr>
      <w:r w:rsidRPr="00591368">
        <w:rPr>
          <w:rFonts w:eastAsia="Times New Roman" w:cs="Times New Roman"/>
          <w:kern w:val="0"/>
          <w:sz w:val="24"/>
          <w:szCs w:val="24"/>
          <w:lang w:eastAsia="en-GB"/>
          <w14:ligatures w14:val="none"/>
        </w:rPr>
        <w:t>PCC has several proven benefits, including:</w:t>
      </w:r>
    </w:p>
    <w:p w14:paraId="3016924D" w14:textId="77777777" w:rsidR="00591368" w:rsidRPr="00591368" w:rsidRDefault="00591368" w:rsidP="00591368">
      <w:pPr>
        <w:spacing w:after="0" w:line="240" w:lineRule="auto"/>
        <w:ind w:left="360"/>
        <w:rPr>
          <w:rFonts w:eastAsia="Times New Roman" w:cs="Times New Roman"/>
          <w:kern w:val="0"/>
          <w:sz w:val="24"/>
          <w:szCs w:val="24"/>
          <w:lang w:eastAsia="en-GB"/>
          <w14:ligatures w14:val="none"/>
        </w:rPr>
      </w:pPr>
    </w:p>
    <w:p w14:paraId="71074447" w14:textId="77777777" w:rsidR="00591368" w:rsidRDefault="00591368" w:rsidP="00591368">
      <w:pPr>
        <w:pStyle w:val="ListParagraph"/>
        <w:numPr>
          <w:ilvl w:val="0"/>
          <w:numId w:val="3"/>
        </w:numPr>
        <w:spacing w:after="0" w:line="240" w:lineRule="auto"/>
        <w:rPr>
          <w:rFonts w:eastAsia="Times New Roman" w:cs="Times New Roman"/>
          <w:kern w:val="0"/>
          <w:sz w:val="24"/>
          <w:szCs w:val="24"/>
          <w:lang w:eastAsia="en-GB"/>
          <w14:ligatures w14:val="none"/>
        </w:rPr>
      </w:pPr>
      <w:r w:rsidRPr="00591368">
        <w:rPr>
          <w:rFonts w:eastAsia="Times New Roman" w:cs="Times New Roman"/>
          <w:kern w:val="0"/>
          <w:sz w:val="24"/>
          <w:szCs w:val="24"/>
          <w:lang w:eastAsia="en-GB"/>
          <w14:ligatures w14:val="none"/>
        </w:rPr>
        <w:t>Enhanced patient satisfaction: Individuals who participate in decisions that impact their care report greater levels of satisfaction (Davis et al., 2018).</w:t>
      </w:r>
    </w:p>
    <w:p w14:paraId="3ED35599" w14:textId="77777777" w:rsidR="00591368" w:rsidRPr="00591368" w:rsidRDefault="00591368" w:rsidP="00591368">
      <w:pPr>
        <w:pStyle w:val="ListParagraph"/>
        <w:rPr>
          <w:rFonts w:eastAsia="Times New Roman" w:cs="Times New Roman"/>
          <w:kern w:val="0"/>
          <w:sz w:val="24"/>
          <w:szCs w:val="24"/>
          <w:lang w:eastAsia="en-GB"/>
          <w14:ligatures w14:val="none"/>
        </w:rPr>
      </w:pPr>
    </w:p>
    <w:p w14:paraId="0ED8E64B" w14:textId="77777777" w:rsidR="00591368" w:rsidRDefault="00591368" w:rsidP="00591368">
      <w:pPr>
        <w:pStyle w:val="ListParagraph"/>
        <w:numPr>
          <w:ilvl w:val="0"/>
          <w:numId w:val="3"/>
        </w:numPr>
        <w:spacing w:after="0" w:line="240" w:lineRule="auto"/>
        <w:rPr>
          <w:rFonts w:eastAsia="Times New Roman" w:cs="Times New Roman"/>
          <w:kern w:val="0"/>
          <w:sz w:val="24"/>
          <w:szCs w:val="24"/>
          <w:lang w:eastAsia="en-GB"/>
          <w14:ligatures w14:val="none"/>
        </w:rPr>
      </w:pPr>
      <w:r w:rsidRPr="00591368">
        <w:rPr>
          <w:rFonts w:eastAsia="Times New Roman" w:cs="Times New Roman"/>
          <w:kern w:val="0"/>
          <w:sz w:val="24"/>
          <w:szCs w:val="24"/>
          <w:lang w:eastAsia="en-GB"/>
          <w14:ligatures w14:val="none"/>
        </w:rPr>
        <w:t>Improved health outcomes: Participating in decision-making improves treatment compliance and lowers readmission rates to hospitals (Health Foundation, 2016).</w:t>
      </w:r>
    </w:p>
    <w:p w14:paraId="320789BD" w14:textId="77777777" w:rsidR="00591368" w:rsidRPr="00591368" w:rsidRDefault="00591368" w:rsidP="00591368">
      <w:pPr>
        <w:pStyle w:val="ListParagraph"/>
        <w:rPr>
          <w:rFonts w:eastAsia="Times New Roman" w:cs="Times New Roman"/>
          <w:kern w:val="0"/>
          <w:sz w:val="24"/>
          <w:szCs w:val="24"/>
          <w:lang w:eastAsia="en-GB"/>
          <w14:ligatures w14:val="none"/>
        </w:rPr>
      </w:pPr>
    </w:p>
    <w:p w14:paraId="781E7467" w14:textId="77777777" w:rsidR="00591368" w:rsidRDefault="00591368" w:rsidP="00591368">
      <w:pPr>
        <w:pStyle w:val="ListParagraph"/>
        <w:numPr>
          <w:ilvl w:val="0"/>
          <w:numId w:val="3"/>
        </w:numPr>
        <w:spacing w:after="0" w:line="240" w:lineRule="auto"/>
        <w:rPr>
          <w:rFonts w:eastAsia="Times New Roman" w:cs="Times New Roman"/>
          <w:kern w:val="0"/>
          <w:sz w:val="24"/>
          <w:szCs w:val="24"/>
          <w:lang w:eastAsia="en-GB"/>
          <w14:ligatures w14:val="none"/>
        </w:rPr>
      </w:pPr>
      <w:r w:rsidRPr="00591368">
        <w:rPr>
          <w:rFonts w:eastAsia="Times New Roman" w:cs="Times New Roman"/>
          <w:kern w:val="0"/>
          <w:sz w:val="24"/>
          <w:szCs w:val="24"/>
          <w:lang w:eastAsia="en-GB"/>
          <w14:ligatures w14:val="none"/>
        </w:rPr>
        <w:t>Enhanced empowerment and dignity: PCC promotes personal autonomy, which is essential for social justice in the delivery of care (NHS England, 2022).</w:t>
      </w:r>
    </w:p>
    <w:p w14:paraId="436498F1" w14:textId="77777777" w:rsidR="00591368" w:rsidRPr="00591368" w:rsidRDefault="00591368" w:rsidP="00591368">
      <w:pPr>
        <w:pStyle w:val="ListParagraph"/>
        <w:rPr>
          <w:rFonts w:eastAsia="Times New Roman" w:cs="Times New Roman"/>
          <w:kern w:val="0"/>
          <w:sz w:val="24"/>
          <w:szCs w:val="24"/>
          <w:lang w:eastAsia="en-GB"/>
          <w14:ligatures w14:val="none"/>
        </w:rPr>
      </w:pPr>
    </w:p>
    <w:p w14:paraId="0377A814" w14:textId="77777777" w:rsidR="00591368" w:rsidRDefault="00591368" w:rsidP="00591368">
      <w:pPr>
        <w:pStyle w:val="ListParagraph"/>
        <w:numPr>
          <w:ilvl w:val="0"/>
          <w:numId w:val="3"/>
        </w:numPr>
        <w:spacing w:after="0" w:line="240" w:lineRule="auto"/>
        <w:rPr>
          <w:rFonts w:eastAsia="Times New Roman" w:cs="Times New Roman"/>
          <w:kern w:val="0"/>
          <w:sz w:val="24"/>
          <w:szCs w:val="24"/>
          <w:lang w:eastAsia="en-GB"/>
          <w14:ligatures w14:val="none"/>
        </w:rPr>
      </w:pPr>
      <w:r w:rsidRPr="00591368">
        <w:rPr>
          <w:rFonts w:eastAsia="Times New Roman" w:cs="Times New Roman"/>
          <w:kern w:val="0"/>
          <w:sz w:val="24"/>
          <w:szCs w:val="24"/>
          <w:lang w:eastAsia="en-GB"/>
          <w14:ligatures w14:val="none"/>
        </w:rPr>
        <w:t>Decrease in safeguarding occurrences and complaints: Individualised, respectful care lowers the likelihood of abuse or neglect (CQC, 2021).</w:t>
      </w:r>
    </w:p>
    <w:p w14:paraId="2077A9A9" w14:textId="77777777" w:rsidR="00591368" w:rsidRPr="00591368" w:rsidRDefault="00591368" w:rsidP="00591368">
      <w:pPr>
        <w:pStyle w:val="ListParagraph"/>
        <w:rPr>
          <w:rFonts w:eastAsia="Times New Roman" w:cs="Times New Roman"/>
          <w:kern w:val="0"/>
          <w:sz w:val="24"/>
          <w:szCs w:val="24"/>
          <w:lang w:eastAsia="en-GB"/>
          <w14:ligatures w14:val="none"/>
        </w:rPr>
      </w:pPr>
    </w:p>
    <w:p w14:paraId="5D112F40" w14:textId="007E2C57" w:rsidR="00591368" w:rsidRPr="00591368" w:rsidRDefault="00591368" w:rsidP="00591368">
      <w:pPr>
        <w:pStyle w:val="ListParagraph"/>
        <w:numPr>
          <w:ilvl w:val="0"/>
          <w:numId w:val="3"/>
        </w:numPr>
        <w:spacing w:after="0" w:line="240" w:lineRule="auto"/>
        <w:rPr>
          <w:rFonts w:eastAsia="Times New Roman" w:cs="Times New Roman"/>
          <w:kern w:val="0"/>
          <w:sz w:val="24"/>
          <w:szCs w:val="24"/>
          <w:lang w:eastAsia="en-GB"/>
          <w14:ligatures w14:val="none"/>
        </w:rPr>
      </w:pPr>
      <w:r w:rsidRPr="00591368">
        <w:rPr>
          <w:rFonts w:eastAsia="Times New Roman" w:cs="Times New Roman"/>
          <w:kern w:val="0"/>
          <w:sz w:val="24"/>
          <w:szCs w:val="24"/>
          <w:lang w:eastAsia="en-GB"/>
          <w14:ligatures w14:val="none"/>
        </w:rPr>
        <w:t>Enhanced service efficiency: PCC can cut down on pointless interventions by customising care to each patient's needs (Barker, 2020).</w:t>
      </w:r>
    </w:p>
    <w:p w14:paraId="3438F5C5" w14:textId="77777777" w:rsidR="00591368" w:rsidRDefault="00591368" w:rsidP="00591368">
      <w:pPr>
        <w:ind w:left="360"/>
        <w:rPr>
          <w:b/>
          <w:bCs/>
          <w:sz w:val="28"/>
          <w:szCs w:val="28"/>
        </w:rPr>
      </w:pPr>
    </w:p>
    <w:p w14:paraId="29F66538" w14:textId="4DCC5DD8" w:rsidR="00591368" w:rsidRDefault="00591368" w:rsidP="00591368">
      <w:pPr>
        <w:ind w:left="360"/>
        <w:rPr>
          <w:b/>
          <w:bCs/>
          <w:sz w:val="28"/>
          <w:szCs w:val="28"/>
        </w:rPr>
      </w:pPr>
      <w:r w:rsidRPr="00591368">
        <w:rPr>
          <w:b/>
          <w:bCs/>
          <w:sz w:val="28"/>
          <w:szCs w:val="28"/>
        </w:rPr>
        <w:t>Limitations</w:t>
      </w:r>
    </w:p>
    <w:p w14:paraId="6E9AF7C1" w14:textId="77777777" w:rsidR="00591368" w:rsidRDefault="00591368" w:rsidP="00591368">
      <w:pPr>
        <w:pStyle w:val="ListParagraph"/>
        <w:numPr>
          <w:ilvl w:val="0"/>
          <w:numId w:val="3"/>
        </w:numPr>
        <w:spacing w:after="0" w:line="240" w:lineRule="auto"/>
        <w:rPr>
          <w:rFonts w:eastAsia="Times New Roman" w:cs="Times New Roman"/>
          <w:kern w:val="0"/>
          <w:sz w:val="24"/>
          <w:szCs w:val="24"/>
          <w:lang w:eastAsia="en-GB"/>
          <w14:ligatures w14:val="none"/>
        </w:rPr>
      </w:pPr>
      <w:r w:rsidRPr="00591368">
        <w:rPr>
          <w:rFonts w:eastAsia="Times New Roman" w:cs="Times New Roman"/>
          <w:kern w:val="0"/>
          <w:sz w:val="24"/>
          <w:szCs w:val="24"/>
          <w:lang w:eastAsia="en-GB"/>
          <w14:ligatures w14:val="none"/>
        </w:rPr>
        <w:lastRenderedPageBreak/>
        <w:t>PCC has many drawbacks despite its advantages:</w:t>
      </w:r>
    </w:p>
    <w:p w14:paraId="37634E37" w14:textId="77777777" w:rsidR="00591368" w:rsidRPr="00591368" w:rsidRDefault="00591368" w:rsidP="00591368">
      <w:pPr>
        <w:spacing w:after="0" w:line="240" w:lineRule="auto"/>
        <w:ind w:left="360"/>
        <w:rPr>
          <w:rFonts w:eastAsia="Times New Roman" w:cs="Times New Roman"/>
          <w:kern w:val="0"/>
          <w:sz w:val="24"/>
          <w:szCs w:val="24"/>
          <w:lang w:eastAsia="en-GB"/>
          <w14:ligatures w14:val="none"/>
        </w:rPr>
      </w:pPr>
    </w:p>
    <w:p w14:paraId="7697A97E" w14:textId="77777777" w:rsidR="00591368" w:rsidRDefault="00591368" w:rsidP="00591368">
      <w:pPr>
        <w:pStyle w:val="ListParagraph"/>
        <w:numPr>
          <w:ilvl w:val="0"/>
          <w:numId w:val="3"/>
        </w:numPr>
        <w:spacing w:after="0" w:line="240" w:lineRule="auto"/>
        <w:rPr>
          <w:rFonts w:eastAsia="Times New Roman" w:cs="Times New Roman"/>
          <w:kern w:val="0"/>
          <w:sz w:val="24"/>
          <w:szCs w:val="24"/>
          <w:lang w:eastAsia="en-GB"/>
          <w14:ligatures w14:val="none"/>
        </w:rPr>
      </w:pPr>
      <w:r w:rsidRPr="00591368">
        <w:rPr>
          <w:rFonts w:eastAsia="Times New Roman" w:cs="Times New Roman"/>
          <w:kern w:val="0"/>
          <w:sz w:val="24"/>
          <w:szCs w:val="24"/>
          <w:lang w:eastAsia="en-GB"/>
          <w14:ligatures w14:val="none"/>
        </w:rPr>
        <w:t>Time and resource limitations: Personalised care planning necessitates staff time, which isn't always available in hectic settings (Coulter and Oldham, 2016).</w:t>
      </w:r>
    </w:p>
    <w:p w14:paraId="334E463A" w14:textId="77777777" w:rsidR="00591368" w:rsidRPr="00591368" w:rsidRDefault="00591368" w:rsidP="00591368">
      <w:pPr>
        <w:pStyle w:val="ListParagraph"/>
        <w:rPr>
          <w:rFonts w:eastAsia="Times New Roman" w:cs="Times New Roman"/>
          <w:kern w:val="0"/>
          <w:sz w:val="24"/>
          <w:szCs w:val="24"/>
          <w:lang w:eastAsia="en-GB"/>
          <w14:ligatures w14:val="none"/>
        </w:rPr>
      </w:pPr>
    </w:p>
    <w:p w14:paraId="3B5435AB" w14:textId="77777777" w:rsidR="00591368" w:rsidRDefault="00591368" w:rsidP="00591368">
      <w:pPr>
        <w:pStyle w:val="ListParagraph"/>
        <w:numPr>
          <w:ilvl w:val="0"/>
          <w:numId w:val="3"/>
        </w:numPr>
        <w:spacing w:after="0" w:line="240" w:lineRule="auto"/>
        <w:rPr>
          <w:rFonts w:eastAsia="Times New Roman" w:cs="Times New Roman"/>
          <w:kern w:val="0"/>
          <w:sz w:val="24"/>
          <w:szCs w:val="24"/>
          <w:lang w:eastAsia="en-GB"/>
          <w14:ligatures w14:val="none"/>
        </w:rPr>
      </w:pPr>
      <w:r w:rsidRPr="00591368">
        <w:rPr>
          <w:rFonts w:eastAsia="Times New Roman" w:cs="Times New Roman"/>
          <w:kern w:val="0"/>
          <w:sz w:val="24"/>
          <w:szCs w:val="24"/>
          <w:lang w:eastAsia="en-GB"/>
          <w14:ligatures w14:val="none"/>
        </w:rPr>
        <w:t>Delivery is intermittent due to staffing shortages and exhaustion (RCN, 2023).</w:t>
      </w:r>
    </w:p>
    <w:p w14:paraId="289BBD82" w14:textId="77777777" w:rsidR="00591368" w:rsidRPr="00591368" w:rsidRDefault="00591368" w:rsidP="00591368">
      <w:pPr>
        <w:pStyle w:val="ListParagraph"/>
        <w:rPr>
          <w:rFonts w:eastAsia="Times New Roman" w:cs="Times New Roman"/>
          <w:kern w:val="0"/>
          <w:sz w:val="24"/>
          <w:szCs w:val="24"/>
          <w:lang w:eastAsia="en-GB"/>
          <w14:ligatures w14:val="none"/>
        </w:rPr>
      </w:pPr>
    </w:p>
    <w:p w14:paraId="16BB1C65" w14:textId="77777777" w:rsidR="00591368" w:rsidRDefault="00591368" w:rsidP="00591368">
      <w:pPr>
        <w:pStyle w:val="ListParagraph"/>
        <w:numPr>
          <w:ilvl w:val="0"/>
          <w:numId w:val="3"/>
        </w:numPr>
        <w:spacing w:after="0" w:line="240" w:lineRule="auto"/>
        <w:rPr>
          <w:rFonts w:eastAsia="Times New Roman" w:cs="Times New Roman"/>
          <w:kern w:val="0"/>
          <w:sz w:val="24"/>
          <w:szCs w:val="24"/>
          <w:lang w:eastAsia="en-GB"/>
          <w14:ligatures w14:val="none"/>
        </w:rPr>
      </w:pPr>
      <w:r w:rsidRPr="00591368">
        <w:rPr>
          <w:rFonts w:eastAsia="Times New Roman" w:cs="Times New Roman"/>
          <w:kern w:val="0"/>
          <w:sz w:val="24"/>
          <w:szCs w:val="24"/>
          <w:lang w:eastAsia="en-GB"/>
          <w14:ligatures w14:val="none"/>
        </w:rPr>
        <w:t>Cultural hurdles and training: PCC communication skills are not taught to all practitioners (McCormack and McCance, 2017).</w:t>
      </w:r>
    </w:p>
    <w:p w14:paraId="233D0DEF" w14:textId="77777777" w:rsidR="00591368" w:rsidRPr="00591368" w:rsidRDefault="00591368" w:rsidP="00591368">
      <w:pPr>
        <w:pStyle w:val="ListParagraph"/>
        <w:rPr>
          <w:rFonts w:eastAsia="Times New Roman" w:cs="Times New Roman"/>
          <w:kern w:val="0"/>
          <w:sz w:val="24"/>
          <w:szCs w:val="24"/>
          <w:lang w:eastAsia="en-GB"/>
          <w14:ligatures w14:val="none"/>
        </w:rPr>
      </w:pPr>
    </w:p>
    <w:p w14:paraId="38A6BACC" w14:textId="77777777" w:rsidR="00591368" w:rsidRDefault="00591368" w:rsidP="00591368">
      <w:pPr>
        <w:pStyle w:val="ListParagraph"/>
        <w:numPr>
          <w:ilvl w:val="0"/>
          <w:numId w:val="3"/>
        </w:numPr>
        <w:spacing w:after="0" w:line="240" w:lineRule="auto"/>
        <w:rPr>
          <w:rFonts w:eastAsia="Times New Roman" w:cs="Times New Roman"/>
          <w:kern w:val="0"/>
          <w:sz w:val="24"/>
          <w:szCs w:val="24"/>
          <w:lang w:eastAsia="en-GB"/>
          <w14:ligatures w14:val="none"/>
        </w:rPr>
      </w:pPr>
      <w:r w:rsidRPr="00591368">
        <w:rPr>
          <w:rFonts w:eastAsia="Times New Roman" w:cs="Times New Roman"/>
          <w:kern w:val="0"/>
          <w:sz w:val="24"/>
          <w:szCs w:val="24"/>
          <w:lang w:eastAsia="en-GB"/>
          <w14:ligatures w14:val="none"/>
        </w:rPr>
        <w:t>Tokenism risk: PCC may cease to be a useful technique and instead turn into a rhetorical idea (Barker, 2020).</w:t>
      </w:r>
    </w:p>
    <w:p w14:paraId="6F590810" w14:textId="77777777" w:rsidR="00591368" w:rsidRPr="00591368" w:rsidRDefault="00591368" w:rsidP="00591368">
      <w:pPr>
        <w:pStyle w:val="ListParagraph"/>
        <w:rPr>
          <w:rFonts w:eastAsia="Times New Roman" w:cs="Times New Roman"/>
          <w:kern w:val="0"/>
          <w:sz w:val="24"/>
          <w:szCs w:val="24"/>
          <w:lang w:eastAsia="en-GB"/>
          <w14:ligatures w14:val="none"/>
        </w:rPr>
      </w:pPr>
    </w:p>
    <w:p w14:paraId="0EC0A613" w14:textId="55C66F40" w:rsidR="00591368" w:rsidRPr="00591368" w:rsidRDefault="00591368" w:rsidP="00591368">
      <w:pPr>
        <w:pStyle w:val="ListParagraph"/>
        <w:numPr>
          <w:ilvl w:val="0"/>
          <w:numId w:val="3"/>
        </w:numPr>
        <w:spacing w:after="0" w:line="240" w:lineRule="auto"/>
        <w:rPr>
          <w:rFonts w:eastAsia="Times New Roman" w:cs="Times New Roman"/>
          <w:kern w:val="0"/>
          <w:sz w:val="24"/>
          <w:szCs w:val="24"/>
          <w:lang w:eastAsia="en-GB"/>
          <w14:ligatures w14:val="none"/>
        </w:rPr>
      </w:pPr>
      <w:r w:rsidRPr="00591368">
        <w:rPr>
          <w:rFonts w:eastAsia="Times New Roman" w:cs="Times New Roman"/>
          <w:kern w:val="0"/>
          <w:sz w:val="24"/>
          <w:szCs w:val="24"/>
          <w:lang w:eastAsia="en-GB"/>
          <w14:ligatures w14:val="none"/>
        </w:rPr>
        <w:t>Autonomy and safety conflicts: Professional judgement or safeguarding policy may be at odds with an individual's wishes (Tadd et al., 2018).</w:t>
      </w:r>
    </w:p>
    <w:p w14:paraId="1B2333BE" w14:textId="77777777" w:rsidR="00591368" w:rsidRDefault="00591368" w:rsidP="00591368">
      <w:pPr>
        <w:rPr>
          <w:b/>
          <w:bCs/>
          <w:sz w:val="28"/>
          <w:szCs w:val="28"/>
        </w:rPr>
      </w:pPr>
    </w:p>
    <w:p w14:paraId="1F0F8EEF" w14:textId="7A41BFD2" w:rsidR="00591368" w:rsidRPr="00591368" w:rsidRDefault="00591368" w:rsidP="00591368">
      <w:pPr>
        <w:pStyle w:val="ListParagraph"/>
        <w:numPr>
          <w:ilvl w:val="0"/>
          <w:numId w:val="1"/>
        </w:numPr>
        <w:rPr>
          <w:b/>
          <w:bCs/>
          <w:sz w:val="28"/>
          <w:szCs w:val="28"/>
        </w:rPr>
      </w:pPr>
      <w:r w:rsidRPr="00591368">
        <w:rPr>
          <w:b/>
          <w:bCs/>
          <w:sz w:val="28"/>
          <w:szCs w:val="28"/>
        </w:rPr>
        <w:t xml:space="preserve">Theory or Model </w:t>
      </w:r>
      <w:bookmarkStart w:id="0" w:name="_GoBack"/>
      <w:bookmarkEnd w:id="0"/>
      <w:r w:rsidRPr="00591368">
        <w:rPr>
          <w:b/>
          <w:bCs/>
          <w:sz w:val="28"/>
          <w:szCs w:val="28"/>
        </w:rPr>
        <w:t xml:space="preserve">Underpinning PCC </w:t>
      </w:r>
    </w:p>
    <w:p w14:paraId="259B3A21" w14:textId="77777777" w:rsidR="00591368" w:rsidRPr="00FE74FB" w:rsidRDefault="00591368" w:rsidP="00591368">
      <w:pPr>
        <w:rPr>
          <w:sz w:val="24"/>
          <w:szCs w:val="24"/>
        </w:rPr>
      </w:pPr>
      <w:r w:rsidRPr="00FE74FB">
        <w:rPr>
          <w:sz w:val="24"/>
          <w:szCs w:val="24"/>
        </w:rPr>
        <w:t xml:space="preserve">One widely recognised model is McCormack and McCance’s Person-Centred Nursing Framework (2017). This model identifies four constructs required for PCC: </w:t>
      </w:r>
    </w:p>
    <w:p w14:paraId="76F7338B" w14:textId="77777777" w:rsidR="00591368" w:rsidRPr="00FE74FB" w:rsidRDefault="00591368" w:rsidP="00591368">
      <w:pPr>
        <w:rPr>
          <w:sz w:val="24"/>
          <w:szCs w:val="24"/>
        </w:rPr>
      </w:pPr>
      <w:r w:rsidRPr="00FE74FB">
        <w:rPr>
          <w:sz w:val="24"/>
          <w:szCs w:val="24"/>
        </w:rPr>
        <w:t xml:space="preserve">Prerequisites – Staff attributes such as competence, interpersonal skills, and professional values. </w:t>
      </w:r>
    </w:p>
    <w:p w14:paraId="72068F6E" w14:textId="77777777" w:rsidR="00591368" w:rsidRPr="00FE74FB" w:rsidRDefault="00591368" w:rsidP="00591368">
      <w:pPr>
        <w:rPr>
          <w:sz w:val="24"/>
          <w:szCs w:val="24"/>
        </w:rPr>
      </w:pPr>
      <w:r w:rsidRPr="00FE74FB">
        <w:rPr>
          <w:sz w:val="24"/>
          <w:szCs w:val="24"/>
        </w:rPr>
        <w:t xml:space="preserve">Care environment – Organisational culture, leadership, and systems that enable PCC. </w:t>
      </w:r>
    </w:p>
    <w:p w14:paraId="61B734F0" w14:textId="77777777" w:rsidR="00591368" w:rsidRPr="00FE74FB" w:rsidRDefault="00591368" w:rsidP="00591368">
      <w:pPr>
        <w:rPr>
          <w:sz w:val="24"/>
          <w:szCs w:val="24"/>
        </w:rPr>
      </w:pPr>
      <w:r w:rsidRPr="00FE74FB">
        <w:rPr>
          <w:sz w:val="24"/>
          <w:szCs w:val="24"/>
        </w:rPr>
        <w:t xml:space="preserve">Person-centred processes – Engagement, shared decision-making, and holistic care. </w:t>
      </w:r>
    </w:p>
    <w:p w14:paraId="03E4C40C" w14:textId="00B959D0" w:rsidR="00591368" w:rsidRPr="00FE74FB" w:rsidRDefault="00591368" w:rsidP="00591368">
      <w:pPr>
        <w:rPr>
          <w:sz w:val="24"/>
          <w:szCs w:val="24"/>
        </w:rPr>
      </w:pPr>
      <w:r w:rsidRPr="00FE74FB">
        <w:rPr>
          <w:sz w:val="24"/>
          <w:szCs w:val="24"/>
        </w:rPr>
        <w:t>Outcomes – Positive care experiences, involvement in care and improved well-being.</w:t>
      </w:r>
    </w:p>
    <w:p w14:paraId="00DACCE2" w14:textId="31FFF525" w:rsidR="00591368" w:rsidRDefault="00591368" w:rsidP="00591368">
      <w:pPr>
        <w:rPr>
          <w:b/>
          <w:bCs/>
          <w:sz w:val="28"/>
          <w:szCs w:val="28"/>
        </w:rPr>
      </w:pPr>
      <w:r w:rsidRPr="00591368">
        <w:rPr>
          <w:b/>
          <w:bCs/>
          <w:sz w:val="28"/>
          <w:szCs w:val="28"/>
        </w:rPr>
        <w:t>Critical Examination</w:t>
      </w:r>
    </w:p>
    <w:p w14:paraId="093FF2BF" w14:textId="77777777" w:rsidR="00427911" w:rsidRPr="00427911" w:rsidRDefault="00427911" w:rsidP="00427911">
      <w:pPr>
        <w:rPr>
          <w:bCs/>
          <w:sz w:val="24"/>
          <w:szCs w:val="24"/>
        </w:rPr>
      </w:pPr>
      <w:r w:rsidRPr="00427911">
        <w:rPr>
          <w:bCs/>
          <w:sz w:val="24"/>
          <w:szCs w:val="24"/>
        </w:rPr>
        <w:t>This approach is useful for showing that PCC is organisational as well as interpersonal.  It stresses that significant PCC cannot take place without structural support.  Its strength is in recognising that care environments have an impact on quality and connecting practitioner values with broader systemic problems.</w:t>
      </w:r>
    </w:p>
    <w:p w14:paraId="2FB0F46F" w14:textId="1CC40706" w:rsidR="00591368" w:rsidRPr="00427911" w:rsidRDefault="00427911" w:rsidP="00427911">
      <w:pPr>
        <w:rPr>
          <w:bCs/>
          <w:sz w:val="24"/>
          <w:szCs w:val="24"/>
        </w:rPr>
      </w:pPr>
      <w:r w:rsidRPr="00427911">
        <w:rPr>
          <w:bCs/>
          <w:sz w:val="24"/>
          <w:szCs w:val="24"/>
        </w:rPr>
        <w:t>However, the model's nursing-centricity limits its general implementation in social care and multidisciplinary teams (Ford and McEvoy, 2020).  Additionally, it makes the assumption that practitioners have the freedom</w:t>
      </w:r>
      <w:r w:rsidRPr="00427911">
        <w:rPr>
          <w:bCs/>
          <w:sz w:val="24"/>
          <w:szCs w:val="24"/>
        </w:rPr>
        <w:t xml:space="preserve"> </w:t>
      </w:r>
      <w:r w:rsidRPr="00427911">
        <w:rPr>
          <w:bCs/>
          <w:sz w:val="24"/>
          <w:szCs w:val="24"/>
        </w:rPr>
        <w:t xml:space="preserve">to shape organisational culture, which is frequently impractical </w:t>
      </w:r>
      <w:r w:rsidRPr="00427911">
        <w:rPr>
          <w:bCs/>
          <w:sz w:val="24"/>
          <w:szCs w:val="24"/>
        </w:rPr>
        <w:t xml:space="preserve">under strict policy frameworks. </w:t>
      </w:r>
      <w:r w:rsidRPr="00427911">
        <w:rPr>
          <w:bCs/>
          <w:sz w:val="24"/>
          <w:szCs w:val="24"/>
        </w:rPr>
        <w:t>However, in UK healthcare contexts, it continues to be one of the most useful and extensively used PCC models.</w:t>
      </w:r>
    </w:p>
    <w:p w14:paraId="274E2CAD" w14:textId="0605ABDF" w:rsidR="00427911" w:rsidRPr="00427911" w:rsidRDefault="00427911" w:rsidP="00427911">
      <w:pPr>
        <w:pStyle w:val="ListParagraph"/>
        <w:numPr>
          <w:ilvl w:val="0"/>
          <w:numId w:val="1"/>
        </w:numPr>
        <w:rPr>
          <w:b/>
          <w:bCs/>
          <w:sz w:val="28"/>
          <w:szCs w:val="28"/>
        </w:rPr>
      </w:pPr>
      <w:r w:rsidRPr="00427911">
        <w:rPr>
          <w:b/>
          <w:bCs/>
          <w:sz w:val="28"/>
          <w:szCs w:val="28"/>
        </w:rPr>
        <w:t>Ethical Fundamentals of Health and Social Care</w:t>
      </w:r>
    </w:p>
    <w:p w14:paraId="468765F3" w14:textId="77777777" w:rsidR="00427911" w:rsidRDefault="00427911" w:rsidP="00427911">
      <w:pPr>
        <w:rPr>
          <w:bCs/>
          <w:sz w:val="24"/>
          <w:szCs w:val="24"/>
        </w:rPr>
      </w:pPr>
      <w:r w:rsidRPr="00427911">
        <w:rPr>
          <w:bCs/>
          <w:sz w:val="24"/>
          <w:szCs w:val="24"/>
        </w:rPr>
        <w:t>Four ethical tenets form the foundation of h</w:t>
      </w:r>
      <w:r>
        <w:rPr>
          <w:bCs/>
          <w:sz w:val="24"/>
          <w:szCs w:val="24"/>
        </w:rPr>
        <w:t>ealth and social care practice:</w:t>
      </w:r>
    </w:p>
    <w:p w14:paraId="22A3EE9C" w14:textId="1B0538ED" w:rsidR="00427911" w:rsidRDefault="00427911" w:rsidP="00427911">
      <w:pPr>
        <w:rPr>
          <w:bCs/>
          <w:sz w:val="24"/>
          <w:szCs w:val="24"/>
        </w:rPr>
      </w:pPr>
      <w:r w:rsidRPr="00427911">
        <w:rPr>
          <w:bCs/>
          <w:sz w:val="24"/>
          <w:szCs w:val="24"/>
        </w:rPr>
        <w:lastRenderedPageBreak/>
        <w:t>Autonomy: Upholding people's freedom to select and take part in decisions regarding their care (</w:t>
      </w:r>
      <w:r>
        <w:rPr>
          <w:bCs/>
          <w:sz w:val="24"/>
          <w:szCs w:val="24"/>
        </w:rPr>
        <w:t>Beauchamp and Childress, 2019).</w:t>
      </w:r>
      <w:r w:rsidRPr="00427911">
        <w:rPr>
          <w:bCs/>
          <w:sz w:val="24"/>
          <w:szCs w:val="24"/>
        </w:rPr>
        <w:t xml:space="preserve"> Acting in the service user's best in</w:t>
      </w:r>
      <w:r>
        <w:rPr>
          <w:bCs/>
          <w:sz w:val="24"/>
          <w:szCs w:val="24"/>
        </w:rPr>
        <w:t xml:space="preserve">terest is known as beneficence. </w:t>
      </w:r>
      <w:r w:rsidRPr="00427911">
        <w:rPr>
          <w:bCs/>
          <w:sz w:val="24"/>
          <w:szCs w:val="24"/>
        </w:rPr>
        <w:t>Preventing harm, such as neglect, compulsion, or discriminatory treatmen</w:t>
      </w:r>
      <w:r>
        <w:rPr>
          <w:bCs/>
          <w:sz w:val="24"/>
          <w:szCs w:val="24"/>
        </w:rPr>
        <w:t>t, is known as non-maleficence.</w:t>
      </w:r>
      <w:r w:rsidRPr="00427911">
        <w:rPr>
          <w:bCs/>
          <w:sz w:val="24"/>
          <w:szCs w:val="24"/>
        </w:rPr>
        <w:t xml:space="preserve"> Justice: Ensuring equal and just access</w:t>
      </w:r>
      <w:r>
        <w:rPr>
          <w:bCs/>
          <w:sz w:val="24"/>
          <w:szCs w:val="24"/>
        </w:rPr>
        <w:t xml:space="preserve"> to healthcare.</w:t>
      </w:r>
      <w:r w:rsidRPr="00427911">
        <w:rPr>
          <w:bCs/>
          <w:sz w:val="24"/>
          <w:szCs w:val="24"/>
        </w:rPr>
        <w:t xml:space="preserve"> These</w:t>
      </w:r>
      <w:r w:rsidRPr="00427911">
        <w:rPr>
          <w:bCs/>
          <w:sz w:val="24"/>
          <w:szCs w:val="24"/>
        </w:rPr>
        <w:t xml:space="preserve"> ideas are in perfect harmony with PCC and PW.  While justice emphasises the need for inclusive and equitable service delivery, respect for autonomy necessitates that people be informed, consulted, and empowered (NHS England, 2022).</w:t>
      </w:r>
    </w:p>
    <w:p w14:paraId="6C61BE7E" w14:textId="41C542BA" w:rsidR="00427911" w:rsidRPr="00427911" w:rsidRDefault="00427911" w:rsidP="00427911">
      <w:pPr>
        <w:rPr>
          <w:bCs/>
          <w:sz w:val="24"/>
          <w:szCs w:val="24"/>
        </w:rPr>
      </w:pPr>
      <w:r w:rsidRPr="00427911">
        <w:rPr>
          <w:bCs/>
          <w:sz w:val="24"/>
          <w:szCs w:val="24"/>
        </w:rPr>
        <w:t>When moral values clash, conflicts result.  Respecting autonomy, for instance, can be at odds with non-maleficence if someone declines life-saving medical care.  By facilitating common professional and service-user communication, partnership working aids in th</w:t>
      </w:r>
      <w:r>
        <w:rPr>
          <w:bCs/>
          <w:sz w:val="24"/>
          <w:szCs w:val="24"/>
        </w:rPr>
        <w:t>e resolution of such conflicts.</w:t>
      </w:r>
    </w:p>
    <w:p w14:paraId="3265AAC6" w14:textId="479DBE6C" w:rsidR="00427911" w:rsidRDefault="00427911" w:rsidP="00427911">
      <w:pPr>
        <w:rPr>
          <w:bCs/>
          <w:sz w:val="24"/>
          <w:szCs w:val="24"/>
        </w:rPr>
      </w:pPr>
      <w:r w:rsidRPr="00427911">
        <w:rPr>
          <w:bCs/>
          <w:sz w:val="24"/>
          <w:szCs w:val="24"/>
        </w:rPr>
        <w:t>Consent and safeguarding are important ethical considerations.  When people are incapable of making informed decisions, the Mental Capacity Act of 2005 offers a legal and moral foundation for social care decision-making rights.</w:t>
      </w:r>
    </w:p>
    <w:p w14:paraId="099F21CF" w14:textId="2E214ADD" w:rsidR="00427911" w:rsidRPr="00427911" w:rsidRDefault="00427911" w:rsidP="00427911">
      <w:pPr>
        <w:pStyle w:val="ListParagraph"/>
        <w:numPr>
          <w:ilvl w:val="0"/>
          <w:numId w:val="1"/>
        </w:numPr>
        <w:rPr>
          <w:b/>
          <w:bCs/>
          <w:sz w:val="24"/>
          <w:szCs w:val="24"/>
        </w:rPr>
      </w:pPr>
      <w:r w:rsidRPr="00427911">
        <w:rPr>
          <w:b/>
          <w:bCs/>
          <w:sz w:val="24"/>
          <w:szCs w:val="24"/>
        </w:rPr>
        <w:t>Evaluation of Partnership Working in Health and Social Care</w:t>
      </w:r>
    </w:p>
    <w:p w14:paraId="53D85AD4" w14:textId="0714D47C" w:rsidR="00427911" w:rsidRDefault="00427911" w:rsidP="00427911">
      <w:pPr>
        <w:rPr>
          <w:bCs/>
          <w:sz w:val="24"/>
          <w:szCs w:val="24"/>
        </w:rPr>
      </w:pPr>
      <w:r w:rsidRPr="00427911">
        <w:rPr>
          <w:bCs/>
          <w:sz w:val="24"/>
          <w:szCs w:val="24"/>
        </w:rPr>
        <w:t xml:space="preserve">According to Glasby and Dickinson (2014), partnership functioning is the coordinated cooperation of individuals, professionals, agencies, and sectors to provide comprehensive and efficient care.  Integrated care models rely heavily on partnership functioning, which is required by UK laws including the Health and Social Care Act of 2012 and the Care Act of 2014. </w:t>
      </w:r>
    </w:p>
    <w:p w14:paraId="452846FA" w14:textId="4DC69CDC" w:rsidR="00427911" w:rsidRDefault="00427911" w:rsidP="00427911">
      <w:pPr>
        <w:rPr>
          <w:b/>
          <w:bCs/>
          <w:sz w:val="24"/>
          <w:szCs w:val="24"/>
        </w:rPr>
      </w:pPr>
      <w:r w:rsidRPr="00427911">
        <w:rPr>
          <w:b/>
          <w:bCs/>
          <w:sz w:val="24"/>
          <w:szCs w:val="24"/>
        </w:rPr>
        <w:t>Benefits</w:t>
      </w:r>
    </w:p>
    <w:p w14:paraId="0C87DA52" w14:textId="77777777" w:rsidR="00427911" w:rsidRPr="00427911" w:rsidRDefault="00427911" w:rsidP="00427911">
      <w:pPr>
        <w:rPr>
          <w:bCs/>
          <w:sz w:val="24"/>
          <w:szCs w:val="24"/>
        </w:rPr>
      </w:pPr>
      <w:r w:rsidRPr="00427911">
        <w:rPr>
          <w:bCs/>
          <w:sz w:val="24"/>
          <w:szCs w:val="24"/>
        </w:rPr>
        <w:t>Better care continuity: Facilitates smooth transfers between services (Goodwin, 2016).</w:t>
      </w:r>
    </w:p>
    <w:p w14:paraId="52CF34CF" w14:textId="77777777" w:rsidR="00427911" w:rsidRPr="00427911" w:rsidRDefault="00427911" w:rsidP="00427911">
      <w:pPr>
        <w:rPr>
          <w:bCs/>
          <w:sz w:val="24"/>
          <w:szCs w:val="24"/>
        </w:rPr>
      </w:pPr>
    </w:p>
    <w:p w14:paraId="7229CBCD" w14:textId="77777777" w:rsidR="00427911" w:rsidRPr="00427911" w:rsidRDefault="00427911" w:rsidP="00427911">
      <w:pPr>
        <w:rPr>
          <w:bCs/>
          <w:sz w:val="24"/>
          <w:szCs w:val="24"/>
        </w:rPr>
      </w:pPr>
      <w:r w:rsidRPr="00427911">
        <w:rPr>
          <w:bCs/>
          <w:sz w:val="24"/>
          <w:szCs w:val="24"/>
        </w:rPr>
        <w:t xml:space="preserve"> Improved results: Complex needs are handled comprehensively as opposed to piecemeal.</w:t>
      </w:r>
    </w:p>
    <w:p w14:paraId="487C792C" w14:textId="77777777" w:rsidR="00427911" w:rsidRPr="00427911" w:rsidRDefault="00427911" w:rsidP="00427911">
      <w:pPr>
        <w:rPr>
          <w:bCs/>
          <w:sz w:val="24"/>
          <w:szCs w:val="24"/>
        </w:rPr>
      </w:pPr>
    </w:p>
    <w:p w14:paraId="6A417701" w14:textId="77777777" w:rsidR="00427911" w:rsidRPr="00427911" w:rsidRDefault="00427911" w:rsidP="00427911">
      <w:pPr>
        <w:rPr>
          <w:bCs/>
          <w:sz w:val="24"/>
          <w:szCs w:val="24"/>
        </w:rPr>
      </w:pPr>
      <w:r w:rsidRPr="00427911">
        <w:rPr>
          <w:bCs/>
          <w:sz w:val="24"/>
          <w:szCs w:val="24"/>
        </w:rPr>
        <w:t xml:space="preserve"> More effective utilisation of services: Lowers expenses, fragmentation of services, and redundant responsibilities.</w:t>
      </w:r>
    </w:p>
    <w:p w14:paraId="6C7F6263" w14:textId="77777777" w:rsidR="00427911" w:rsidRPr="00427911" w:rsidRDefault="00427911" w:rsidP="00427911">
      <w:pPr>
        <w:rPr>
          <w:bCs/>
          <w:sz w:val="24"/>
          <w:szCs w:val="24"/>
        </w:rPr>
      </w:pPr>
    </w:p>
    <w:p w14:paraId="6DEE67EC" w14:textId="77777777" w:rsidR="00427911" w:rsidRPr="00427911" w:rsidRDefault="00427911" w:rsidP="00427911">
      <w:pPr>
        <w:rPr>
          <w:bCs/>
          <w:sz w:val="24"/>
          <w:szCs w:val="24"/>
        </w:rPr>
      </w:pPr>
      <w:r w:rsidRPr="00427911">
        <w:rPr>
          <w:bCs/>
          <w:sz w:val="24"/>
          <w:szCs w:val="24"/>
        </w:rPr>
        <w:t xml:space="preserve"> Empowered service users: Promotes shared power dynamics and self-management.</w:t>
      </w:r>
    </w:p>
    <w:p w14:paraId="6E15C197" w14:textId="77777777" w:rsidR="00427911" w:rsidRPr="00427911" w:rsidRDefault="00427911" w:rsidP="00427911">
      <w:pPr>
        <w:rPr>
          <w:bCs/>
          <w:sz w:val="24"/>
          <w:szCs w:val="24"/>
        </w:rPr>
      </w:pPr>
    </w:p>
    <w:p w14:paraId="577C8BFF" w14:textId="53B0BD9B" w:rsidR="00427911" w:rsidRDefault="00427911" w:rsidP="00427911">
      <w:pPr>
        <w:rPr>
          <w:bCs/>
          <w:sz w:val="24"/>
          <w:szCs w:val="24"/>
        </w:rPr>
      </w:pPr>
      <w:r w:rsidRPr="00427911">
        <w:rPr>
          <w:bCs/>
          <w:sz w:val="24"/>
          <w:szCs w:val="24"/>
        </w:rPr>
        <w:t xml:space="preserve"> Professional development improves cross-sector learning and communication.</w:t>
      </w:r>
    </w:p>
    <w:p w14:paraId="3E66D7F9" w14:textId="28D6AD12" w:rsidR="00427911" w:rsidRDefault="00FE74FB" w:rsidP="00427911">
      <w:pPr>
        <w:rPr>
          <w:b/>
          <w:bCs/>
          <w:sz w:val="24"/>
          <w:szCs w:val="24"/>
        </w:rPr>
      </w:pPr>
      <w:r w:rsidRPr="00FE74FB">
        <w:rPr>
          <w:b/>
          <w:bCs/>
          <w:sz w:val="24"/>
          <w:szCs w:val="24"/>
        </w:rPr>
        <w:t>Limitations</w:t>
      </w:r>
    </w:p>
    <w:p w14:paraId="7DD2F43A" w14:textId="77777777" w:rsidR="00FE74FB" w:rsidRPr="00FE74FB" w:rsidRDefault="00FE74FB" w:rsidP="00FE74FB">
      <w:pPr>
        <w:rPr>
          <w:bCs/>
          <w:sz w:val="24"/>
          <w:szCs w:val="24"/>
        </w:rPr>
      </w:pPr>
      <w:r w:rsidRPr="00FE74FB">
        <w:rPr>
          <w:bCs/>
          <w:sz w:val="24"/>
          <w:szCs w:val="24"/>
        </w:rPr>
        <w:t xml:space="preserve">Professional power imbalances – Medical dominance can </w:t>
      </w:r>
      <w:proofErr w:type="spellStart"/>
      <w:r w:rsidRPr="00FE74FB">
        <w:rPr>
          <w:bCs/>
          <w:sz w:val="24"/>
          <w:szCs w:val="24"/>
        </w:rPr>
        <w:t>sideline</w:t>
      </w:r>
      <w:proofErr w:type="spellEnd"/>
      <w:r w:rsidRPr="00FE74FB">
        <w:rPr>
          <w:bCs/>
          <w:sz w:val="24"/>
          <w:szCs w:val="24"/>
        </w:rPr>
        <w:t xml:space="preserve"> social care or service users (Hood et al., 2017).</w:t>
      </w:r>
    </w:p>
    <w:p w14:paraId="20F05174" w14:textId="77777777" w:rsidR="00FE74FB" w:rsidRPr="00FE74FB" w:rsidRDefault="00FE74FB" w:rsidP="00FE74FB">
      <w:pPr>
        <w:rPr>
          <w:bCs/>
          <w:sz w:val="24"/>
          <w:szCs w:val="24"/>
        </w:rPr>
      </w:pPr>
    </w:p>
    <w:p w14:paraId="3E7196B3" w14:textId="77777777" w:rsidR="00FE74FB" w:rsidRPr="00FE74FB" w:rsidRDefault="00FE74FB" w:rsidP="00FE74FB">
      <w:pPr>
        <w:rPr>
          <w:bCs/>
          <w:sz w:val="24"/>
          <w:szCs w:val="24"/>
        </w:rPr>
      </w:pPr>
      <w:r w:rsidRPr="00FE74FB">
        <w:rPr>
          <w:bCs/>
          <w:sz w:val="24"/>
          <w:szCs w:val="24"/>
        </w:rPr>
        <w:t>Communication barriers – Different organisational cultures and IT systems hinder information sharing.</w:t>
      </w:r>
    </w:p>
    <w:p w14:paraId="26AF166A" w14:textId="77777777" w:rsidR="00FE74FB" w:rsidRPr="00FE74FB" w:rsidRDefault="00FE74FB" w:rsidP="00FE74FB">
      <w:pPr>
        <w:rPr>
          <w:bCs/>
          <w:sz w:val="24"/>
          <w:szCs w:val="24"/>
        </w:rPr>
      </w:pPr>
    </w:p>
    <w:p w14:paraId="25FB9BA1" w14:textId="77777777" w:rsidR="00FE74FB" w:rsidRPr="00FE74FB" w:rsidRDefault="00FE74FB" w:rsidP="00FE74FB">
      <w:pPr>
        <w:rPr>
          <w:bCs/>
          <w:sz w:val="24"/>
          <w:szCs w:val="24"/>
        </w:rPr>
      </w:pPr>
      <w:r w:rsidRPr="00FE74FB">
        <w:rPr>
          <w:bCs/>
          <w:sz w:val="24"/>
          <w:szCs w:val="24"/>
        </w:rPr>
        <w:t>Funding inconsistencies – Separate health and social care budgets create resource conflict.</w:t>
      </w:r>
    </w:p>
    <w:p w14:paraId="408E2F07" w14:textId="77777777" w:rsidR="00FE74FB" w:rsidRPr="00FE74FB" w:rsidRDefault="00FE74FB" w:rsidP="00FE74FB">
      <w:pPr>
        <w:rPr>
          <w:bCs/>
          <w:sz w:val="24"/>
          <w:szCs w:val="24"/>
        </w:rPr>
      </w:pPr>
    </w:p>
    <w:p w14:paraId="29AEFA95" w14:textId="77777777" w:rsidR="00FE74FB" w:rsidRPr="00FE74FB" w:rsidRDefault="00FE74FB" w:rsidP="00FE74FB">
      <w:pPr>
        <w:rPr>
          <w:bCs/>
          <w:sz w:val="24"/>
          <w:szCs w:val="24"/>
        </w:rPr>
      </w:pPr>
      <w:r w:rsidRPr="00FE74FB">
        <w:rPr>
          <w:bCs/>
          <w:sz w:val="24"/>
          <w:szCs w:val="24"/>
        </w:rPr>
        <w:t>Risk of over-</w:t>
      </w:r>
      <w:proofErr w:type="spellStart"/>
      <w:r w:rsidRPr="00FE74FB">
        <w:rPr>
          <w:bCs/>
          <w:sz w:val="24"/>
          <w:szCs w:val="24"/>
        </w:rPr>
        <w:t>professionalisation</w:t>
      </w:r>
      <w:proofErr w:type="spellEnd"/>
      <w:r w:rsidRPr="00FE74FB">
        <w:rPr>
          <w:bCs/>
          <w:sz w:val="24"/>
          <w:szCs w:val="24"/>
        </w:rPr>
        <w:t xml:space="preserve"> – Some partnerships exclude users from meaningful involvement.</w:t>
      </w:r>
    </w:p>
    <w:p w14:paraId="38CFF434" w14:textId="77777777" w:rsidR="00FE74FB" w:rsidRPr="00FE74FB" w:rsidRDefault="00FE74FB" w:rsidP="00FE74FB">
      <w:pPr>
        <w:rPr>
          <w:bCs/>
          <w:sz w:val="24"/>
          <w:szCs w:val="24"/>
        </w:rPr>
      </w:pPr>
    </w:p>
    <w:p w14:paraId="1CD85312" w14:textId="77777777" w:rsidR="00FE74FB" w:rsidRPr="00FE74FB" w:rsidRDefault="00FE74FB" w:rsidP="00FE74FB">
      <w:pPr>
        <w:rPr>
          <w:bCs/>
          <w:sz w:val="24"/>
          <w:szCs w:val="24"/>
        </w:rPr>
      </w:pPr>
      <w:r w:rsidRPr="00FE74FB">
        <w:rPr>
          <w:bCs/>
          <w:sz w:val="24"/>
          <w:szCs w:val="24"/>
        </w:rPr>
        <w:t>Role confusion – Overlapping responsibilities can create conflict and inefficiency.</w:t>
      </w:r>
    </w:p>
    <w:p w14:paraId="31F7ADC2" w14:textId="77777777" w:rsidR="00FE74FB" w:rsidRPr="00FE74FB" w:rsidRDefault="00FE74FB" w:rsidP="00FE74FB">
      <w:pPr>
        <w:rPr>
          <w:bCs/>
          <w:sz w:val="24"/>
          <w:szCs w:val="24"/>
        </w:rPr>
      </w:pPr>
    </w:p>
    <w:p w14:paraId="4EBA5019" w14:textId="05D1CB9D" w:rsidR="00FE74FB" w:rsidRDefault="00FE74FB" w:rsidP="00FE74FB">
      <w:pPr>
        <w:rPr>
          <w:bCs/>
          <w:sz w:val="24"/>
          <w:szCs w:val="24"/>
        </w:rPr>
      </w:pPr>
      <w:r w:rsidRPr="00FE74FB">
        <w:rPr>
          <w:bCs/>
          <w:sz w:val="24"/>
          <w:szCs w:val="24"/>
        </w:rPr>
        <w:t>Effective partnership working therefore requires strong leadership, clear role definitions and shared values.</w:t>
      </w:r>
    </w:p>
    <w:p w14:paraId="5C7CFB3C" w14:textId="3DC283AC" w:rsidR="00FE74FB" w:rsidRPr="00FE74FB" w:rsidRDefault="00FE74FB" w:rsidP="00FE74FB">
      <w:pPr>
        <w:pStyle w:val="ListParagraph"/>
        <w:numPr>
          <w:ilvl w:val="0"/>
          <w:numId w:val="1"/>
        </w:numPr>
        <w:rPr>
          <w:b/>
          <w:bCs/>
          <w:sz w:val="24"/>
          <w:szCs w:val="24"/>
        </w:rPr>
      </w:pPr>
      <w:r w:rsidRPr="00FE74FB">
        <w:rPr>
          <w:b/>
          <w:bCs/>
          <w:sz w:val="24"/>
          <w:szCs w:val="24"/>
        </w:rPr>
        <w:t xml:space="preserve">Application of Partnership Working in Practice </w:t>
      </w:r>
    </w:p>
    <w:p w14:paraId="4A224AF6" w14:textId="77777777" w:rsidR="00FE74FB" w:rsidRPr="00FE74FB" w:rsidRDefault="00FE74FB" w:rsidP="00FE74FB">
      <w:pPr>
        <w:pStyle w:val="NormalWeb"/>
        <w:rPr>
          <w:rFonts w:asciiTheme="minorHAnsi" w:hAnsiTheme="minorHAnsi"/>
        </w:rPr>
      </w:pPr>
      <w:r w:rsidRPr="00FE74FB">
        <w:rPr>
          <w:rFonts w:asciiTheme="minorHAnsi" w:hAnsiTheme="minorHAnsi"/>
        </w:rPr>
        <w:t xml:space="preserve">A practical example is </w:t>
      </w:r>
      <w:r w:rsidRPr="00FE74FB">
        <w:rPr>
          <w:rStyle w:val="Strong"/>
          <w:rFonts w:asciiTheme="minorHAnsi" w:eastAsiaTheme="majorEastAsia" w:hAnsiTheme="minorHAnsi"/>
        </w:rPr>
        <w:t>multi-disciplinary working in community mental health services</w:t>
      </w:r>
      <w:r w:rsidRPr="00FE74FB">
        <w:rPr>
          <w:rFonts w:asciiTheme="minorHAnsi" w:hAnsiTheme="minorHAnsi"/>
        </w:rPr>
        <w:t>. These teams typically consist of nurses, social workers, psychiatrists, occupational therapists and peer support workers.</w:t>
      </w:r>
    </w:p>
    <w:p w14:paraId="20A2A7F8" w14:textId="77777777" w:rsidR="00FE74FB" w:rsidRPr="00FE74FB" w:rsidRDefault="00FE74FB" w:rsidP="00FE74FB">
      <w:pPr>
        <w:pStyle w:val="NormalWeb"/>
        <w:rPr>
          <w:rFonts w:asciiTheme="minorHAnsi" w:hAnsiTheme="minorHAnsi"/>
        </w:rPr>
      </w:pPr>
      <w:r w:rsidRPr="00FE74FB">
        <w:rPr>
          <w:rFonts w:asciiTheme="minorHAnsi" w:hAnsiTheme="minorHAnsi"/>
        </w:rPr>
        <w:t>Partnership working is applied through:</w:t>
      </w:r>
    </w:p>
    <w:p w14:paraId="1B129E73" w14:textId="77777777" w:rsidR="00FE74FB" w:rsidRPr="00FE74FB" w:rsidRDefault="00FE74FB" w:rsidP="00FE74FB">
      <w:pPr>
        <w:pStyle w:val="NormalWeb"/>
        <w:numPr>
          <w:ilvl w:val="0"/>
          <w:numId w:val="4"/>
        </w:numPr>
        <w:rPr>
          <w:rFonts w:asciiTheme="minorHAnsi" w:hAnsiTheme="minorHAnsi"/>
        </w:rPr>
      </w:pPr>
      <w:r w:rsidRPr="00FE74FB">
        <w:rPr>
          <w:rStyle w:val="Strong"/>
          <w:rFonts w:asciiTheme="minorHAnsi" w:eastAsiaTheme="majorEastAsia" w:hAnsiTheme="minorHAnsi"/>
        </w:rPr>
        <w:t>Shared case management</w:t>
      </w:r>
      <w:r w:rsidRPr="00FE74FB">
        <w:rPr>
          <w:rFonts w:asciiTheme="minorHAnsi" w:hAnsiTheme="minorHAnsi"/>
        </w:rPr>
        <w:t xml:space="preserve"> – Professionals jointly assess needs and coordinate support.</w:t>
      </w:r>
    </w:p>
    <w:p w14:paraId="345574F3" w14:textId="77777777" w:rsidR="00FE74FB" w:rsidRPr="00FE74FB" w:rsidRDefault="00FE74FB" w:rsidP="00FE74FB">
      <w:pPr>
        <w:pStyle w:val="NormalWeb"/>
        <w:numPr>
          <w:ilvl w:val="0"/>
          <w:numId w:val="4"/>
        </w:numPr>
        <w:rPr>
          <w:rFonts w:asciiTheme="minorHAnsi" w:hAnsiTheme="minorHAnsi"/>
        </w:rPr>
      </w:pPr>
      <w:r w:rsidRPr="00FE74FB">
        <w:rPr>
          <w:rStyle w:val="Strong"/>
          <w:rFonts w:asciiTheme="minorHAnsi" w:eastAsiaTheme="majorEastAsia" w:hAnsiTheme="minorHAnsi"/>
        </w:rPr>
        <w:t>Care Programme Approach reviews</w:t>
      </w:r>
      <w:r w:rsidRPr="00FE74FB">
        <w:rPr>
          <w:rFonts w:asciiTheme="minorHAnsi" w:hAnsiTheme="minorHAnsi"/>
        </w:rPr>
        <w:t xml:space="preserve"> – Service users actively participate alongside professionals.</w:t>
      </w:r>
    </w:p>
    <w:p w14:paraId="4D745994" w14:textId="77777777" w:rsidR="00FE74FB" w:rsidRPr="00FE74FB" w:rsidRDefault="00FE74FB" w:rsidP="00FE74FB">
      <w:pPr>
        <w:pStyle w:val="NormalWeb"/>
        <w:numPr>
          <w:ilvl w:val="0"/>
          <w:numId w:val="4"/>
        </w:numPr>
        <w:rPr>
          <w:rFonts w:asciiTheme="minorHAnsi" w:hAnsiTheme="minorHAnsi"/>
        </w:rPr>
      </w:pPr>
      <w:r w:rsidRPr="00FE74FB">
        <w:rPr>
          <w:rStyle w:val="Strong"/>
          <w:rFonts w:asciiTheme="minorHAnsi" w:eastAsiaTheme="majorEastAsia" w:hAnsiTheme="minorHAnsi"/>
        </w:rPr>
        <w:t>Joint safeguarding responsibilities</w:t>
      </w:r>
      <w:r w:rsidRPr="00FE74FB">
        <w:rPr>
          <w:rFonts w:asciiTheme="minorHAnsi" w:hAnsiTheme="minorHAnsi"/>
        </w:rPr>
        <w:t xml:space="preserve"> – Mental health and social care teams share legal obligations.</w:t>
      </w:r>
    </w:p>
    <w:p w14:paraId="039D71AA" w14:textId="77777777" w:rsidR="00FE74FB" w:rsidRPr="00FE74FB" w:rsidRDefault="00FE74FB" w:rsidP="00FE74FB">
      <w:pPr>
        <w:pStyle w:val="NormalWeb"/>
        <w:numPr>
          <w:ilvl w:val="0"/>
          <w:numId w:val="4"/>
        </w:numPr>
        <w:rPr>
          <w:rFonts w:asciiTheme="minorHAnsi" w:hAnsiTheme="minorHAnsi"/>
        </w:rPr>
      </w:pPr>
      <w:r w:rsidRPr="00FE74FB">
        <w:rPr>
          <w:rStyle w:val="Strong"/>
          <w:rFonts w:asciiTheme="minorHAnsi" w:eastAsiaTheme="majorEastAsia" w:hAnsiTheme="minorHAnsi"/>
        </w:rPr>
        <w:t>Co-produced recovery plans</w:t>
      </w:r>
      <w:r w:rsidRPr="00FE74FB">
        <w:rPr>
          <w:rFonts w:asciiTheme="minorHAnsi" w:hAnsiTheme="minorHAnsi"/>
        </w:rPr>
        <w:t xml:space="preserve"> – Users help develop personalised goals and crisis plans.</w:t>
      </w:r>
    </w:p>
    <w:p w14:paraId="4A1E33A4" w14:textId="77777777" w:rsidR="00FE74FB" w:rsidRPr="00FE74FB" w:rsidRDefault="00FE74FB" w:rsidP="00FE74FB">
      <w:pPr>
        <w:pStyle w:val="NormalWeb"/>
        <w:rPr>
          <w:rFonts w:asciiTheme="minorHAnsi" w:hAnsiTheme="minorHAnsi"/>
          <w:b/>
        </w:rPr>
      </w:pPr>
      <w:r w:rsidRPr="00FE74FB">
        <w:rPr>
          <w:rFonts w:asciiTheme="minorHAnsi" w:hAnsiTheme="minorHAnsi"/>
        </w:rPr>
        <w:t>Research demonstrates that integrated mental health partnerships reduce hospital admissions and improve quality of life (Goodwin, 2016). However, challenges persist including role tension between clinical and social models of recovery and inadequate funding for community services (Hood et al., 2017).</w:t>
      </w:r>
    </w:p>
    <w:p w14:paraId="1BBCEECA" w14:textId="138AA98C" w:rsidR="00FE74FB" w:rsidRDefault="00FE74FB" w:rsidP="00FE74FB">
      <w:pPr>
        <w:pStyle w:val="NormalWeb"/>
        <w:numPr>
          <w:ilvl w:val="0"/>
          <w:numId w:val="1"/>
        </w:numPr>
        <w:rPr>
          <w:rFonts w:asciiTheme="minorHAnsi" w:hAnsiTheme="minorHAnsi"/>
          <w:b/>
        </w:rPr>
      </w:pPr>
      <w:r w:rsidRPr="00FE74FB">
        <w:rPr>
          <w:rFonts w:asciiTheme="minorHAnsi" w:hAnsiTheme="minorHAnsi"/>
          <w:b/>
        </w:rPr>
        <w:t>Policy and Legislation Supporting PCC and PW</w:t>
      </w:r>
    </w:p>
    <w:p w14:paraId="6C5835E9" w14:textId="77777777" w:rsidR="00FE74FB" w:rsidRPr="00FE74FB" w:rsidRDefault="00FE74FB" w:rsidP="00FE74FB">
      <w:pPr>
        <w:pStyle w:val="NormalWeb"/>
        <w:numPr>
          <w:ilvl w:val="0"/>
          <w:numId w:val="1"/>
        </w:numPr>
        <w:rPr>
          <w:rFonts w:asciiTheme="minorHAnsi" w:hAnsiTheme="minorHAnsi"/>
        </w:rPr>
      </w:pPr>
      <w:r w:rsidRPr="00FE74FB">
        <w:rPr>
          <w:rFonts w:asciiTheme="minorHAnsi" w:hAnsiTheme="minorHAnsi"/>
        </w:rPr>
        <w:t>Several major UK policies embed PCC and PW:</w:t>
      </w:r>
    </w:p>
    <w:p w14:paraId="0F190D34" w14:textId="77777777" w:rsidR="00FE74FB" w:rsidRPr="00FE74FB" w:rsidRDefault="00FE74FB" w:rsidP="00FE74FB">
      <w:pPr>
        <w:pStyle w:val="Heading3"/>
        <w:numPr>
          <w:ilvl w:val="0"/>
          <w:numId w:val="1"/>
        </w:numPr>
        <w:rPr>
          <w:color w:val="auto"/>
          <w:sz w:val="24"/>
          <w:szCs w:val="24"/>
        </w:rPr>
      </w:pPr>
      <w:r w:rsidRPr="00FE74FB">
        <w:rPr>
          <w:rStyle w:val="Strong"/>
          <w:b w:val="0"/>
          <w:bCs w:val="0"/>
          <w:color w:val="auto"/>
          <w:sz w:val="24"/>
          <w:szCs w:val="24"/>
        </w:rPr>
        <w:t>Care Act 2014</w:t>
      </w:r>
    </w:p>
    <w:p w14:paraId="4F1C4A8C" w14:textId="77777777" w:rsidR="00FE74FB" w:rsidRPr="00FE74FB" w:rsidRDefault="00FE74FB" w:rsidP="00FE74FB">
      <w:pPr>
        <w:pStyle w:val="NormalWeb"/>
        <w:numPr>
          <w:ilvl w:val="0"/>
          <w:numId w:val="1"/>
        </w:numPr>
        <w:rPr>
          <w:rFonts w:asciiTheme="minorHAnsi" w:hAnsiTheme="minorHAnsi"/>
        </w:rPr>
      </w:pPr>
      <w:r w:rsidRPr="00FE74FB">
        <w:rPr>
          <w:rFonts w:asciiTheme="minorHAnsi" w:hAnsiTheme="minorHAnsi"/>
        </w:rPr>
        <w:t xml:space="preserve">Places a </w:t>
      </w:r>
      <w:r w:rsidRPr="00FE74FB">
        <w:rPr>
          <w:rStyle w:val="Strong"/>
          <w:rFonts w:asciiTheme="minorHAnsi" w:eastAsiaTheme="majorEastAsia" w:hAnsiTheme="minorHAnsi"/>
        </w:rPr>
        <w:t>statutory duty</w:t>
      </w:r>
      <w:r w:rsidRPr="00FE74FB">
        <w:rPr>
          <w:rFonts w:asciiTheme="minorHAnsi" w:hAnsiTheme="minorHAnsi"/>
        </w:rPr>
        <w:t xml:space="preserve"> on local authorities to promote individual wellbeing and involve people in care planning. It also mandates multi-agency cooperation for safeguarding.</w:t>
      </w:r>
    </w:p>
    <w:p w14:paraId="0B64C1B7" w14:textId="77777777" w:rsidR="00FE74FB" w:rsidRPr="00FE74FB" w:rsidRDefault="00FE74FB" w:rsidP="00FE74FB">
      <w:pPr>
        <w:pStyle w:val="Heading3"/>
        <w:numPr>
          <w:ilvl w:val="0"/>
          <w:numId w:val="1"/>
        </w:numPr>
        <w:rPr>
          <w:color w:val="auto"/>
          <w:sz w:val="24"/>
          <w:szCs w:val="24"/>
        </w:rPr>
      </w:pPr>
      <w:r w:rsidRPr="00FE74FB">
        <w:rPr>
          <w:rStyle w:val="Strong"/>
          <w:b w:val="0"/>
          <w:bCs w:val="0"/>
          <w:color w:val="auto"/>
          <w:sz w:val="24"/>
          <w:szCs w:val="24"/>
        </w:rPr>
        <w:lastRenderedPageBreak/>
        <w:t>Health and Social Care Act 2012</w:t>
      </w:r>
    </w:p>
    <w:p w14:paraId="33684FB0" w14:textId="77777777" w:rsidR="00FE74FB" w:rsidRPr="00FE74FB" w:rsidRDefault="00FE74FB" w:rsidP="00FE74FB">
      <w:pPr>
        <w:pStyle w:val="NormalWeb"/>
        <w:numPr>
          <w:ilvl w:val="0"/>
          <w:numId w:val="1"/>
        </w:numPr>
        <w:rPr>
          <w:rFonts w:asciiTheme="minorHAnsi" w:hAnsiTheme="minorHAnsi"/>
        </w:rPr>
      </w:pPr>
      <w:r w:rsidRPr="00FE74FB">
        <w:rPr>
          <w:rFonts w:asciiTheme="minorHAnsi" w:hAnsiTheme="minorHAnsi"/>
        </w:rPr>
        <w:t>Introduced patient choice, commissioning reform and joint responsibility across NHS and social care providers.</w:t>
      </w:r>
    </w:p>
    <w:p w14:paraId="43C5F458" w14:textId="77777777" w:rsidR="00FE74FB" w:rsidRPr="00FE74FB" w:rsidRDefault="00FE74FB" w:rsidP="00FE74FB">
      <w:pPr>
        <w:pStyle w:val="Heading3"/>
        <w:numPr>
          <w:ilvl w:val="0"/>
          <w:numId w:val="1"/>
        </w:numPr>
        <w:rPr>
          <w:color w:val="auto"/>
          <w:sz w:val="24"/>
          <w:szCs w:val="24"/>
        </w:rPr>
      </w:pPr>
      <w:r w:rsidRPr="00FE74FB">
        <w:rPr>
          <w:rStyle w:val="Strong"/>
          <w:b w:val="0"/>
          <w:bCs w:val="0"/>
          <w:color w:val="auto"/>
          <w:sz w:val="24"/>
          <w:szCs w:val="24"/>
        </w:rPr>
        <w:t>NHS Long Term Plan 2019</w:t>
      </w:r>
    </w:p>
    <w:p w14:paraId="1C3BB2E8" w14:textId="77777777" w:rsidR="00FE74FB" w:rsidRPr="00FE74FB" w:rsidRDefault="00FE74FB" w:rsidP="00FE74FB">
      <w:pPr>
        <w:pStyle w:val="NormalWeb"/>
        <w:numPr>
          <w:ilvl w:val="0"/>
          <w:numId w:val="1"/>
        </w:numPr>
        <w:rPr>
          <w:rFonts w:asciiTheme="minorHAnsi" w:hAnsiTheme="minorHAnsi"/>
        </w:rPr>
      </w:pPr>
      <w:r w:rsidRPr="00FE74FB">
        <w:rPr>
          <w:rFonts w:asciiTheme="minorHAnsi" w:hAnsiTheme="minorHAnsi"/>
        </w:rPr>
        <w:t>Commits to personalised care, shared decision-making and integrated care systems across England.</w:t>
      </w:r>
    </w:p>
    <w:p w14:paraId="394B2714" w14:textId="77777777" w:rsidR="00FE74FB" w:rsidRPr="00FE74FB" w:rsidRDefault="00FE74FB" w:rsidP="00FE74FB">
      <w:pPr>
        <w:pStyle w:val="Heading3"/>
        <w:numPr>
          <w:ilvl w:val="0"/>
          <w:numId w:val="1"/>
        </w:numPr>
        <w:rPr>
          <w:color w:val="auto"/>
          <w:sz w:val="24"/>
          <w:szCs w:val="24"/>
        </w:rPr>
      </w:pPr>
      <w:r w:rsidRPr="00FE74FB">
        <w:rPr>
          <w:rStyle w:val="Strong"/>
          <w:b w:val="0"/>
          <w:bCs w:val="0"/>
          <w:color w:val="auto"/>
          <w:sz w:val="24"/>
          <w:szCs w:val="24"/>
        </w:rPr>
        <w:t>Mental Capacity Act 2005</w:t>
      </w:r>
    </w:p>
    <w:p w14:paraId="1326F7F8" w14:textId="77777777" w:rsidR="00FE74FB" w:rsidRPr="00FE74FB" w:rsidRDefault="00FE74FB" w:rsidP="00FE74FB">
      <w:pPr>
        <w:pStyle w:val="NormalWeb"/>
        <w:numPr>
          <w:ilvl w:val="0"/>
          <w:numId w:val="1"/>
        </w:numPr>
        <w:rPr>
          <w:rFonts w:asciiTheme="minorHAnsi" w:hAnsiTheme="minorHAnsi"/>
        </w:rPr>
      </w:pPr>
      <w:r w:rsidRPr="00FE74FB">
        <w:rPr>
          <w:rFonts w:asciiTheme="minorHAnsi" w:hAnsiTheme="minorHAnsi"/>
        </w:rPr>
        <w:t>Supports autonomy and PCC by ensuring decisions are made in individuals’ best interests only if they lack capacity.</w:t>
      </w:r>
    </w:p>
    <w:p w14:paraId="5903A66E" w14:textId="77777777" w:rsidR="00FE74FB" w:rsidRPr="00FE74FB" w:rsidRDefault="00FE74FB" w:rsidP="00FE74FB">
      <w:pPr>
        <w:pStyle w:val="Heading3"/>
        <w:numPr>
          <w:ilvl w:val="0"/>
          <w:numId w:val="1"/>
        </w:numPr>
        <w:rPr>
          <w:color w:val="auto"/>
          <w:sz w:val="24"/>
          <w:szCs w:val="24"/>
        </w:rPr>
      </w:pPr>
      <w:r w:rsidRPr="00FE74FB">
        <w:rPr>
          <w:rStyle w:val="Strong"/>
          <w:b w:val="0"/>
          <w:bCs w:val="0"/>
          <w:color w:val="auto"/>
          <w:sz w:val="24"/>
          <w:szCs w:val="24"/>
        </w:rPr>
        <w:t>Equality Act 2010</w:t>
      </w:r>
    </w:p>
    <w:p w14:paraId="7C14B2C8" w14:textId="77777777" w:rsidR="00FE74FB" w:rsidRPr="00FE74FB" w:rsidRDefault="00FE74FB" w:rsidP="00FE74FB">
      <w:pPr>
        <w:pStyle w:val="NormalWeb"/>
        <w:numPr>
          <w:ilvl w:val="0"/>
          <w:numId w:val="1"/>
        </w:numPr>
        <w:rPr>
          <w:rFonts w:asciiTheme="minorHAnsi" w:hAnsiTheme="minorHAnsi"/>
        </w:rPr>
      </w:pPr>
      <w:r w:rsidRPr="00FE74FB">
        <w:rPr>
          <w:rFonts w:asciiTheme="minorHAnsi" w:hAnsiTheme="minorHAnsi"/>
        </w:rPr>
        <w:t>Protects individuals from discrimination, supporting ethical justice and equitable access to care.</w:t>
      </w:r>
    </w:p>
    <w:p w14:paraId="411BA748" w14:textId="77777777" w:rsidR="00FE74FB" w:rsidRPr="00FE74FB" w:rsidRDefault="00FE74FB" w:rsidP="00FE74FB">
      <w:pPr>
        <w:pStyle w:val="Heading3"/>
        <w:numPr>
          <w:ilvl w:val="0"/>
          <w:numId w:val="1"/>
        </w:numPr>
        <w:rPr>
          <w:color w:val="auto"/>
          <w:sz w:val="24"/>
          <w:szCs w:val="24"/>
        </w:rPr>
      </w:pPr>
      <w:r w:rsidRPr="00FE74FB">
        <w:rPr>
          <w:rStyle w:val="Strong"/>
          <w:b w:val="0"/>
          <w:bCs w:val="0"/>
          <w:color w:val="auto"/>
          <w:sz w:val="24"/>
          <w:szCs w:val="24"/>
        </w:rPr>
        <w:t>Children and Families Act 2014</w:t>
      </w:r>
    </w:p>
    <w:p w14:paraId="5CED3C1D" w14:textId="77777777" w:rsidR="00FE74FB" w:rsidRPr="00FE74FB" w:rsidRDefault="00FE74FB" w:rsidP="00FE74FB">
      <w:pPr>
        <w:pStyle w:val="NormalWeb"/>
        <w:numPr>
          <w:ilvl w:val="0"/>
          <w:numId w:val="1"/>
        </w:numPr>
        <w:rPr>
          <w:rFonts w:asciiTheme="minorHAnsi" w:hAnsiTheme="minorHAnsi"/>
        </w:rPr>
      </w:pPr>
      <w:r w:rsidRPr="00FE74FB">
        <w:rPr>
          <w:rFonts w:asciiTheme="minorHAnsi" w:hAnsiTheme="minorHAnsi"/>
        </w:rPr>
        <w:t>Requires partnership between education, health and social care for children with additional needs.</w:t>
      </w:r>
    </w:p>
    <w:p w14:paraId="1EC55640" w14:textId="170AA566" w:rsidR="00FE74FB" w:rsidRDefault="00FE74FB" w:rsidP="00FE74FB">
      <w:pPr>
        <w:pStyle w:val="NormalWeb"/>
        <w:rPr>
          <w:rFonts w:asciiTheme="minorHAnsi" w:hAnsiTheme="minorHAnsi"/>
          <w:b/>
        </w:rPr>
      </w:pPr>
      <w:r w:rsidRPr="00FE74FB">
        <w:rPr>
          <w:rFonts w:asciiTheme="minorHAnsi" w:hAnsiTheme="minorHAnsi"/>
          <w:b/>
        </w:rPr>
        <w:t>g) Recommendations for Future Development</w:t>
      </w:r>
      <w:r>
        <w:rPr>
          <w:rFonts w:asciiTheme="minorHAnsi" w:hAnsiTheme="minorHAnsi"/>
          <w:b/>
        </w:rPr>
        <w:t xml:space="preserve"> </w:t>
      </w:r>
    </w:p>
    <w:p w14:paraId="0441951B" w14:textId="77777777" w:rsidR="00FE74FB" w:rsidRDefault="00FE74FB" w:rsidP="00FE74FB">
      <w:pPr>
        <w:pStyle w:val="NormalWeb"/>
        <w:rPr>
          <w:rFonts w:asciiTheme="minorHAnsi" w:hAnsiTheme="minorHAnsi"/>
        </w:rPr>
      </w:pPr>
      <w:r w:rsidRPr="00FE74FB">
        <w:rPr>
          <w:rFonts w:asciiTheme="minorHAnsi" w:hAnsiTheme="minorHAnsi"/>
        </w:rPr>
        <w:t>A greater investment in the labour</w:t>
      </w:r>
      <w:r w:rsidRPr="00FE74FB">
        <w:rPr>
          <w:rFonts w:asciiTheme="minorHAnsi" w:hAnsiTheme="minorHAnsi"/>
        </w:rPr>
        <w:br/>
        <w:t>PCC and PW are weakened by staff shortages. The government needs to enhance hiring, retention, and co-production, ethics, and communication training.</w:t>
      </w:r>
      <w:r w:rsidRPr="00FE74FB">
        <w:rPr>
          <w:rFonts w:asciiTheme="minorHAnsi" w:hAnsiTheme="minorHAnsi"/>
        </w:rPr>
        <w:br/>
      </w:r>
      <w:r w:rsidRPr="00FE74FB">
        <w:rPr>
          <w:rFonts w:asciiTheme="minorHAnsi" w:hAnsiTheme="minorHAnsi"/>
        </w:rPr>
        <w:br/>
        <w:t>Digital care records that are shared</w:t>
      </w:r>
      <w:r w:rsidRPr="00FE74FB">
        <w:rPr>
          <w:rFonts w:asciiTheme="minorHAnsi" w:hAnsiTheme="minorHAnsi"/>
        </w:rPr>
        <w:br/>
        <w:t>Integrated IT systems would improve collaboration, cut down on duplication, and facilitate well-informed decision-making.</w:t>
      </w:r>
      <w:r w:rsidRPr="00FE74FB">
        <w:rPr>
          <w:rFonts w:asciiTheme="minorHAnsi" w:hAnsiTheme="minorHAnsi"/>
        </w:rPr>
        <w:br/>
      </w:r>
      <w:r w:rsidRPr="00FE74FB">
        <w:rPr>
          <w:rFonts w:asciiTheme="minorHAnsi" w:hAnsiTheme="minorHAnsi"/>
        </w:rPr>
        <w:br/>
        <w:t>Increased service user participation in service design</w:t>
      </w:r>
      <w:r w:rsidRPr="00FE74FB">
        <w:rPr>
          <w:rFonts w:asciiTheme="minorHAnsi" w:hAnsiTheme="minorHAnsi"/>
        </w:rPr>
        <w:br/>
      </w:r>
      <w:proofErr w:type="gramStart"/>
      <w:r w:rsidRPr="00FE74FB">
        <w:rPr>
          <w:rFonts w:asciiTheme="minorHAnsi" w:hAnsiTheme="minorHAnsi"/>
        </w:rPr>
        <w:t>To</w:t>
      </w:r>
      <w:proofErr w:type="gramEnd"/>
      <w:r w:rsidRPr="00FE74FB">
        <w:rPr>
          <w:rFonts w:asciiTheme="minorHAnsi" w:hAnsiTheme="minorHAnsi"/>
        </w:rPr>
        <w:t xml:space="preserve"> enable true power-sharing, co-production should go beyond consultation.</w:t>
      </w:r>
      <w:r w:rsidRPr="00FE74FB">
        <w:rPr>
          <w:rFonts w:asciiTheme="minorHAnsi" w:hAnsiTheme="minorHAnsi"/>
        </w:rPr>
        <w:br/>
      </w:r>
      <w:r w:rsidRPr="00FE74FB">
        <w:rPr>
          <w:rFonts w:asciiTheme="minorHAnsi" w:hAnsiTheme="minorHAnsi"/>
        </w:rPr>
        <w:br/>
        <w:t>Improved PCC instruction integrated with professional training</w:t>
      </w:r>
      <w:r w:rsidRPr="00FE74FB">
        <w:rPr>
          <w:rFonts w:asciiTheme="minorHAnsi" w:hAnsiTheme="minorHAnsi"/>
        </w:rPr>
        <w:br/>
        <w:t>PCC competencies should be formally evaluated in nursing, social work, and related professions' curricula.</w:t>
      </w:r>
      <w:r w:rsidRPr="00FE74FB">
        <w:rPr>
          <w:rFonts w:asciiTheme="minorHAnsi" w:hAnsiTheme="minorHAnsi"/>
        </w:rPr>
        <w:br/>
      </w:r>
      <w:r w:rsidRPr="00FE74FB">
        <w:rPr>
          <w:rFonts w:asciiTheme="minorHAnsi" w:hAnsiTheme="minorHAnsi"/>
        </w:rPr>
        <w:br/>
        <w:t>Reforming policies to combine financing for social and health care</w:t>
      </w:r>
      <w:r w:rsidRPr="00FE74FB">
        <w:rPr>
          <w:rFonts w:asciiTheme="minorHAnsi" w:hAnsiTheme="minorHAnsi"/>
        </w:rPr>
        <w:br/>
      </w:r>
      <w:proofErr w:type="gramStart"/>
      <w:r w:rsidRPr="00FE74FB">
        <w:rPr>
          <w:rFonts w:asciiTheme="minorHAnsi" w:hAnsiTheme="minorHAnsi"/>
        </w:rPr>
        <w:t>Integrated</w:t>
      </w:r>
      <w:proofErr w:type="gramEnd"/>
      <w:r w:rsidRPr="00FE74FB">
        <w:rPr>
          <w:rFonts w:asciiTheme="minorHAnsi" w:hAnsiTheme="minorHAnsi"/>
        </w:rPr>
        <w:t xml:space="preserve"> models are undermined by separate budgets. More effective collaboration strategies might be produced by a combined system.</w:t>
      </w:r>
      <w:r w:rsidRPr="00FE74FB">
        <w:rPr>
          <w:rFonts w:asciiTheme="minorHAnsi" w:hAnsiTheme="minorHAnsi"/>
        </w:rPr>
        <w:br/>
      </w:r>
      <w:r w:rsidRPr="00FE74FB">
        <w:rPr>
          <w:rFonts w:asciiTheme="minorHAnsi" w:hAnsiTheme="minorHAnsi"/>
        </w:rPr>
        <w:br/>
      </w:r>
      <w:proofErr w:type="gramStart"/>
      <w:r w:rsidRPr="00FE74FB">
        <w:rPr>
          <w:rFonts w:asciiTheme="minorHAnsi" w:hAnsiTheme="minorHAnsi"/>
        </w:rPr>
        <w:t>bolstering</w:t>
      </w:r>
      <w:proofErr w:type="gramEnd"/>
      <w:r w:rsidRPr="00FE74FB">
        <w:rPr>
          <w:rFonts w:asciiTheme="minorHAnsi" w:hAnsiTheme="minorHAnsi"/>
        </w:rPr>
        <w:t xml:space="preserve"> foundations for evaluation</w:t>
      </w:r>
      <w:r w:rsidRPr="00FE74FB">
        <w:rPr>
          <w:rFonts w:asciiTheme="minorHAnsi" w:hAnsiTheme="minorHAnsi"/>
        </w:rPr>
        <w:br/>
        <w:t>Beyond satisfaction surveys, more evidence-based measurement instruments are required to evaluate the efficacy of PCC and PW.</w:t>
      </w:r>
    </w:p>
    <w:p w14:paraId="2C5526FE" w14:textId="32458A5E" w:rsidR="00FE74FB" w:rsidRDefault="00FE74FB" w:rsidP="00FE74FB">
      <w:pPr>
        <w:pStyle w:val="NormalWeb"/>
        <w:rPr>
          <w:rFonts w:asciiTheme="minorHAnsi" w:hAnsiTheme="minorHAnsi"/>
          <w:b/>
        </w:rPr>
      </w:pPr>
      <w:r w:rsidRPr="00FE74FB">
        <w:rPr>
          <w:rFonts w:asciiTheme="minorHAnsi" w:hAnsiTheme="minorHAnsi"/>
          <w:b/>
        </w:rPr>
        <w:t>Conclusion</w:t>
      </w:r>
    </w:p>
    <w:p w14:paraId="30DA07A6" w14:textId="1BB7D19F" w:rsidR="00FE74FB" w:rsidRDefault="00FE74FB" w:rsidP="00FE74FB">
      <w:pPr>
        <w:pStyle w:val="NormalWeb"/>
        <w:rPr>
          <w:rFonts w:asciiTheme="minorHAnsi" w:hAnsiTheme="minorHAnsi"/>
        </w:rPr>
      </w:pPr>
      <w:r w:rsidRPr="00FE74FB">
        <w:rPr>
          <w:rFonts w:asciiTheme="minorHAnsi" w:hAnsiTheme="minorHAnsi"/>
        </w:rPr>
        <w:t xml:space="preserve">Partnership working and person-centred care are essential elements of contemporary health and social care in the UK.  While PW guarantees efficient communication and comprehensive support across agencies, PCC promotes </w:t>
      </w:r>
      <w:r w:rsidRPr="00FE74FB">
        <w:rPr>
          <w:rFonts w:asciiTheme="minorHAnsi" w:hAnsiTheme="minorHAnsi"/>
        </w:rPr>
        <w:lastRenderedPageBreak/>
        <w:t>autonomy, dignity, and better therapeutic outcomes.  Despite resource and practical obstacles, both strategies continue to be essential to ethical behaviour, legislation, and policy.  Workforce investment, structural integration, and true co-production with service consumers must be the main priorities of future development.</w:t>
      </w:r>
    </w:p>
    <w:p w14:paraId="75F17CED" w14:textId="77777777" w:rsidR="00FE74FB" w:rsidRDefault="00FE74FB" w:rsidP="00FE74FB">
      <w:pPr>
        <w:pStyle w:val="NormalWeb"/>
        <w:rPr>
          <w:rFonts w:asciiTheme="minorHAnsi" w:hAnsiTheme="minorHAnsi"/>
        </w:rPr>
      </w:pPr>
    </w:p>
    <w:p w14:paraId="4C528AD4" w14:textId="77777777" w:rsidR="00FE74FB" w:rsidRDefault="00FE74FB" w:rsidP="00FE74FB">
      <w:pPr>
        <w:pStyle w:val="NormalWeb"/>
        <w:rPr>
          <w:rFonts w:asciiTheme="minorHAnsi" w:hAnsiTheme="minorHAnsi"/>
        </w:rPr>
      </w:pPr>
    </w:p>
    <w:p w14:paraId="15A4D53D" w14:textId="77777777" w:rsidR="00FE74FB" w:rsidRDefault="00FE74FB" w:rsidP="00FE74FB">
      <w:pPr>
        <w:pStyle w:val="NormalWeb"/>
        <w:rPr>
          <w:rFonts w:asciiTheme="minorHAnsi" w:hAnsiTheme="minorHAnsi"/>
        </w:rPr>
      </w:pPr>
    </w:p>
    <w:p w14:paraId="6F95400D" w14:textId="77777777" w:rsidR="00FE74FB" w:rsidRDefault="00FE74FB" w:rsidP="00FE74FB">
      <w:pPr>
        <w:pStyle w:val="NormalWeb"/>
        <w:rPr>
          <w:rFonts w:asciiTheme="minorHAnsi" w:hAnsiTheme="minorHAnsi"/>
        </w:rPr>
      </w:pPr>
    </w:p>
    <w:p w14:paraId="4BC72A15" w14:textId="77777777" w:rsidR="00FE74FB" w:rsidRDefault="00FE74FB" w:rsidP="00FE74FB">
      <w:pPr>
        <w:pStyle w:val="NormalWeb"/>
        <w:rPr>
          <w:rFonts w:asciiTheme="minorHAnsi" w:hAnsiTheme="minorHAnsi"/>
        </w:rPr>
      </w:pPr>
    </w:p>
    <w:p w14:paraId="32A64F1B" w14:textId="77777777" w:rsidR="00FE74FB" w:rsidRDefault="00FE74FB" w:rsidP="00FE74FB">
      <w:pPr>
        <w:pStyle w:val="NormalWeb"/>
        <w:rPr>
          <w:rFonts w:asciiTheme="minorHAnsi" w:hAnsiTheme="minorHAnsi"/>
        </w:rPr>
      </w:pPr>
    </w:p>
    <w:p w14:paraId="313592BB" w14:textId="77777777" w:rsidR="00FE74FB" w:rsidRDefault="00FE74FB" w:rsidP="00FE74FB">
      <w:pPr>
        <w:pStyle w:val="NormalWeb"/>
        <w:rPr>
          <w:rFonts w:asciiTheme="minorHAnsi" w:hAnsiTheme="minorHAnsi"/>
        </w:rPr>
      </w:pPr>
    </w:p>
    <w:p w14:paraId="6F4AD431" w14:textId="77777777" w:rsidR="00FE74FB" w:rsidRDefault="00FE74FB" w:rsidP="00FE74FB">
      <w:pPr>
        <w:pStyle w:val="NormalWeb"/>
        <w:rPr>
          <w:rFonts w:asciiTheme="minorHAnsi" w:hAnsiTheme="minorHAnsi"/>
        </w:rPr>
      </w:pPr>
    </w:p>
    <w:p w14:paraId="24BB47D9" w14:textId="77777777" w:rsidR="00FE74FB" w:rsidRDefault="00FE74FB" w:rsidP="00FE74FB">
      <w:pPr>
        <w:pStyle w:val="NormalWeb"/>
        <w:rPr>
          <w:rFonts w:asciiTheme="minorHAnsi" w:hAnsiTheme="minorHAnsi"/>
        </w:rPr>
      </w:pPr>
    </w:p>
    <w:p w14:paraId="3FC026F9" w14:textId="77777777" w:rsidR="00FE74FB" w:rsidRDefault="00FE74FB" w:rsidP="00FE74FB">
      <w:pPr>
        <w:pStyle w:val="NormalWeb"/>
        <w:rPr>
          <w:rFonts w:asciiTheme="minorHAnsi" w:hAnsiTheme="minorHAnsi"/>
        </w:rPr>
      </w:pPr>
    </w:p>
    <w:p w14:paraId="49A401D0" w14:textId="77777777" w:rsidR="00FE74FB" w:rsidRDefault="00FE74FB" w:rsidP="00FE74FB">
      <w:pPr>
        <w:pStyle w:val="NormalWeb"/>
        <w:rPr>
          <w:rFonts w:asciiTheme="minorHAnsi" w:hAnsiTheme="minorHAnsi"/>
        </w:rPr>
      </w:pPr>
    </w:p>
    <w:p w14:paraId="33E65CDC" w14:textId="77777777" w:rsidR="00FE74FB" w:rsidRDefault="00FE74FB" w:rsidP="00FE74FB">
      <w:pPr>
        <w:pStyle w:val="NormalWeb"/>
        <w:rPr>
          <w:rFonts w:asciiTheme="minorHAnsi" w:hAnsiTheme="minorHAnsi"/>
        </w:rPr>
      </w:pPr>
    </w:p>
    <w:p w14:paraId="278524A9" w14:textId="77777777" w:rsidR="00FE74FB" w:rsidRDefault="00FE74FB" w:rsidP="00FE74FB">
      <w:pPr>
        <w:pStyle w:val="NormalWeb"/>
        <w:rPr>
          <w:rFonts w:asciiTheme="minorHAnsi" w:hAnsiTheme="minorHAnsi"/>
        </w:rPr>
      </w:pPr>
    </w:p>
    <w:p w14:paraId="39DC3ED6" w14:textId="77777777" w:rsidR="00FE74FB" w:rsidRDefault="00FE74FB" w:rsidP="00FE74FB">
      <w:pPr>
        <w:pStyle w:val="NormalWeb"/>
        <w:rPr>
          <w:rFonts w:asciiTheme="minorHAnsi" w:hAnsiTheme="minorHAnsi"/>
        </w:rPr>
      </w:pPr>
    </w:p>
    <w:p w14:paraId="5163709B" w14:textId="77777777" w:rsidR="00FE74FB" w:rsidRDefault="00FE74FB" w:rsidP="00FE74FB">
      <w:pPr>
        <w:pStyle w:val="NormalWeb"/>
        <w:rPr>
          <w:rFonts w:asciiTheme="minorHAnsi" w:hAnsiTheme="minorHAnsi"/>
        </w:rPr>
      </w:pPr>
    </w:p>
    <w:p w14:paraId="6EE3D47B" w14:textId="77777777" w:rsidR="00FE74FB" w:rsidRDefault="00FE74FB" w:rsidP="00FE74FB">
      <w:pPr>
        <w:pStyle w:val="NormalWeb"/>
        <w:rPr>
          <w:rFonts w:asciiTheme="minorHAnsi" w:hAnsiTheme="minorHAnsi"/>
        </w:rPr>
      </w:pPr>
    </w:p>
    <w:p w14:paraId="355B5B49" w14:textId="77777777" w:rsidR="00FE74FB" w:rsidRDefault="00FE74FB" w:rsidP="00FE74FB">
      <w:pPr>
        <w:pStyle w:val="NormalWeb"/>
        <w:rPr>
          <w:rFonts w:asciiTheme="minorHAnsi" w:hAnsiTheme="minorHAnsi"/>
        </w:rPr>
      </w:pPr>
    </w:p>
    <w:p w14:paraId="0CC9C8E1" w14:textId="77777777" w:rsidR="00FE74FB" w:rsidRDefault="00FE74FB" w:rsidP="00FE74FB">
      <w:pPr>
        <w:pStyle w:val="NormalWeb"/>
        <w:rPr>
          <w:rFonts w:asciiTheme="minorHAnsi" w:hAnsiTheme="minorHAnsi"/>
        </w:rPr>
      </w:pPr>
    </w:p>
    <w:p w14:paraId="342C0C8C" w14:textId="77777777" w:rsidR="00FE74FB" w:rsidRDefault="00FE74FB" w:rsidP="00FE74FB">
      <w:pPr>
        <w:pStyle w:val="NormalWeb"/>
        <w:rPr>
          <w:rFonts w:asciiTheme="minorHAnsi" w:hAnsiTheme="minorHAnsi"/>
        </w:rPr>
      </w:pPr>
    </w:p>
    <w:p w14:paraId="1919CADF" w14:textId="77777777" w:rsidR="00FE74FB" w:rsidRDefault="00FE74FB" w:rsidP="00FE74FB">
      <w:pPr>
        <w:pStyle w:val="NormalWeb"/>
        <w:rPr>
          <w:rFonts w:asciiTheme="minorHAnsi" w:hAnsiTheme="minorHAnsi"/>
        </w:rPr>
      </w:pPr>
    </w:p>
    <w:p w14:paraId="2673D6AC" w14:textId="77777777" w:rsidR="00FE74FB" w:rsidRDefault="00FE74FB" w:rsidP="00FE74FB">
      <w:pPr>
        <w:pStyle w:val="NormalWeb"/>
        <w:rPr>
          <w:rFonts w:asciiTheme="minorHAnsi" w:hAnsiTheme="minorHAnsi"/>
          <w:b/>
        </w:rPr>
      </w:pPr>
      <w:r w:rsidRPr="00FE74FB">
        <w:rPr>
          <w:rFonts w:asciiTheme="minorHAnsi" w:hAnsiTheme="minorHAnsi"/>
          <w:b/>
        </w:rPr>
        <w:t>Reference List</w:t>
      </w:r>
    </w:p>
    <w:p w14:paraId="5008CC35" w14:textId="77777777" w:rsidR="00FE74FB" w:rsidRPr="00FE74FB" w:rsidRDefault="00FE74FB" w:rsidP="00FE74FB">
      <w:pPr>
        <w:pStyle w:val="NormalWeb"/>
        <w:rPr>
          <w:rFonts w:asciiTheme="minorHAnsi" w:hAnsiTheme="minorHAnsi"/>
        </w:rPr>
      </w:pPr>
      <w:r w:rsidRPr="00FE74FB">
        <w:rPr>
          <w:rFonts w:asciiTheme="minorHAnsi" w:hAnsiTheme="minorHAnsi"/>
        </w:rPr>
        <w:t xml:space="preserve">Barker, J. (2020) </w:t>
      </w:r>
      <w:r w:rsidRPr="00FE74FB">
        <w:rPr>
          <w:rStyle w:val="Emphasis"/>
          <w:rFonts w:asciiTheme="minorHAnsi" w:eastAsiaTheme="majorEastAsia" w:hAnsiTheme="minorHAnsi"/>
        </w:rPr>
        <w:t>Principles of Person-Centred Care</w:t>
      </w:r>
      <w:r w:rsidRPr="00FE74FB">
        <w:rPr>
          <w:rFonts w:asciiTheme="minorHAnsi" w:hAnsiTheme="minorHAnsi"/>
        </w:rPr>
        <w:t>. London: Sage.</w:t>
      </w:r>
    </w:p>
    <w:p w14:paraId="7C8EEAE9" w14:textId="77777777" w:rsidR="00FE74FB" w:rsidRPr="00FE74FB" w:rsidRDefault="00FE74FB" w:rsidP="00FE74FB">
      <w:pPr>
        <w:pStyle w:val="NormalWeb"/>
        <w:rPr>
          <w:rFonts w:asciiTheme="minorHAnsi" w:hAnsiTheme="minorHAnsi"/>
        </w:rPr>
      </w:pPr>
      <w:r w:rsidRPr="00FE74FB">
        <w:rPr>
          <w:rFonts w:asciiTheme="minorHAnsi" w:hAnsiTheme="minorHAnsi"/>
        </w:rPr>
        <w:lastRenderedPageBreak/>
        <w:t xml:space="preserve">Beauchamp, T. and Childress, J. (2019) </w:t>
      </w:r>
      <w:r w:rsidRPr="00FE74FB">
        <w:rPr>
          <w:rStyle w:val="Emphasis"/>
          <w:rFonts w:asciiTheme="minorHAnsi" w:eastAsiaTheme="majorEastAsia" w:hAnsiTheme="minorHAnsi"/>
        </w:rPr>
        <w:t>Principles of Biomedical Ethics</w:t>
      </w:r>
      <w:r w:rsidRPr="00FE74FB">
        <w:rPr>
          <w:rFonts w:asciiTheme="minorHAnsi" w:hAnsiTheme="minorHAnsi"/>
        </w:rPr>
        <w:t xml:space="preserve">. 8th </w:t>
      </w:r>
      <w:proofErr w:type="spellStart"/>
      <w:r w:rsidRPr="00FE74FB">
        <w:rPr>
          <w:rFonts w:asciiTheme="minorHAnsi" w:hAnsiTheme="minorHAnsi"/>
        </w:rPr>
        <w:t>edn</w:t>
      </w:r>
      <w:proofErr w:type="spellEnd"/>
      <w:r w:rsidRPr="00FE74FB">
        <w:rPr>
          <w:rFonts w:asciiTheme="minorHAnsi" w:hAnsiTheme="minorHAnsi"/>
        </w:rPr>
        <w:t>. Oxford: Oxford University Press.</w:t>
      </w:r>
    </w:p>
    <w:p w14:paraId="11D6EECC" w14:textId="77777777" w:rsidR="00FE74FB" w:rsidRPr="00FE74FB" w:rsidRDefault="00FE74FB" w:rsidP="00FE74FB">
      <w:pPr>
        <w:pStyle w:val="NormalWeb"/>
        <w:rPr>
          <w:rFonts w:asciiTheme="minorHAnsi" w:hAnsiTheme="minorHAnsi"/>
        </w:rPr>
      </w:pPr>
      <w:r w:rsidRPr="00FE74FB">
        <w:rPr>
          <w:rFonts w:asciiTheme="minorHAnsi" w:hAnsiTheme="minorHAnsi"/>
        </w:rPr>
        <w:t xml:space="preserve">Care Quality Commission (CQC) (2021) </w:t>
      </w:r>
      <w:proofErr w:type="gramStart"/>
      <w:r w:rsidRPr="00FE74FB">
        <w:rPr>
          <w:rStyle w:val="Emphasis"/>
          <w:rFonts w:asciiTheme="minorHAnsi" w:eastAsiaTheme="majorEastAsia" w:hAnsiTheme="minorHAnsi"/>
        </w:rPr>
        <w:t>The</w:t>
      </w:r>
      <w:proofErr w:type="gramEnd"/>
      <w:r w:rsidRPr="00FE74FB">
        <w:rPr>
          <w:rStyle w:val="Emphasis"/>
          <w:rFonts w:asciiTheme="minorHAnsi" w:eastAsiaTheme="majorEastAsia" w:hAnsiTheme="minorHAnsi"/>
        </w:rPr>
        <w:t xml:space="preserve"> State of Care Report</w:t>
      </w:r>
      <w:r w:rsidRPr="00FE74FB">
        <w:rPr>
          <w:rFonts w:asciiTheme="minorHAnsi" w:hAnsiTheme="minorHAnsi"/>
        </w:rPr>
        <w:t>. London: CQC.</w:t>
      </w:r>
    </w:p>
    <w:p w14:paraId="7D93CF37" w14:textId="77777777" w:rsidR="00FE74FB" w:rsidRPr="00FE74FB" w:rsidRDefault="00FE74FB" w:rsidP="00FE74FB">
      <w:pPr>
        <w:pStyle w:val="NormalWeb"/>
        <w:rPr>
          <w:rFonts w:asciiTheme="minorHAnsi" w:hAnsiTheme="minorHAnsi"/>
        </w:rPr>
      </w:pPr>
      <w:r w:rsidRPr="00FE74FB">
        <w:rPr>
          <w:rFonts w:asciiTheme="minorHAnsi" w:hAnsiTheme="minorHAnsi"/>
        </w:rPr>
        <w:t>Coulter, A. and Oldham, J. (2016) ‘Person-centred care: What is it and how do we get there?</w:t>
      </w:r>
      <w:proofErr w:type="gramStart"/>
      <w:r w:rsidRPr="00FE74FB">
        <w:rPr>
          <w:rFonts w:asciiTheme="minorHAnsi" w:hAnsiTheme="minorHAnsi"/>
        </w:rPr>
        <w:t>’,</w:t>
      </w:r>
      <w:proofErr w:type="gramEnd"/>
      <w:r w:rsidRPr="00FE74FB">
        <w:rPr>
          <w:rFonts w:asciiTheme="minorHAnsi" w:hAnsiTheme="minorHAnsi"/>
        </w:rPr>
        <w:t xml:space="preserve"> </w:t>
      </w:r>
      <w:r w:rsidRPr="00FE74FB">
        <w:rPr>
          <w:rStyle w:val="Emphasis"/>
          <w:rFonts w:asciiTheme="minorHAnsi" w:eastAsiaTheme="majorEastAsia" w:hAnsiTheme="minorHAnsi"/>
        </w:rPr>
        <w:t>Future Hospital Journal</w:t>
      </w:r>
      <w:r w:rsidRPr="00FE74FB">
        <w:rPr>
          <w:rFonts w:asciiTheme="minorHAnsi" w:hAnsiTheme="minorHAnsi"/>
        </w:rPr>
        <w:t>, 3(2), pp. 114–118.</w:t>
      </w:r>
    </w:p>
    <w:p w14:paraId="2A815948" w14:textId="77777777" w:rsidR="00FE74FB" w:rsidRPr="00FE74FB" w:rsidRDefault="00FE74FB" w:rsidP="00FE74FB">
      <w:pPr>
        <w:pStyle w:val="NormalWeb"/>
        <w:rPr>
          <w:rFonts w:asciiTheme="minorHAnsi" w:hAnsiTheme="minorHAnsi"/>
        </w:rPr>
      </w:pPr>
      <w:r w:rsidRPr="00FE74FB">
        <w:rPr>
          <w:rFonts w:asciiTheme="minorHAnsi" w:hAnsiTheme="minorHAnsi"/>
        </w:rPr>
        <w:t xml:space="preserve">Davis, C., Briggs, A. and </w:t>
      </w:r>
      <w:proofErr w:type="spellStart"/>
      <w:r w:rsidRPr="00FE74FB">
        <w:rPr>
          <w:rFonts w:asciiTheme="minorHAnsi" w:hAnsiTheme="minorHAnsi"/>
        </w:rPr>
        <w:t>Bewick</w:t>
      </w:r>
      <w:proofErr w:type="spellEnd"/>
      <w:r w:rsidRPr="00FE74FB">
        <w:rPr>
          <w:rFonts w:asciiTheme="minorHAnsi" w:hAnsiTheme="minorHAnsi"/>
        </w:rPr>
        <w:t xml:space="preserve">, B. (2018) ‘Person-centred approaches and patient satisfaction’, </w:t>
      </w:r>
      <w:r w:rsidRPr="00FE74FB">
        <w:rPr>
          <w:rStyle w:val="Emphasis"/>
          <w:rFonts w:asciiTheme="minorHAnsi" w:eastAsiaTheme="majorEastAsia" w:hAnsiTheme="minorHAnsi"/>
        </w:rPr>
        <w:t>Health Services Research</w:t>
      </w:r>
      <w:r w:rsidRPr="00FE74FB">
        <w:rPr>
          <w:rFonts w:asciiTheme="minorHAnsi" w:hAnsiTheme="minorHAnsi"/>
        </w:rPr>
        <w:t>, 53(4), pp. 245–257.</w:t>
      </w:r>
    </w:p>
    <w:p w14:paraId="3F4AF300" w14:textId="77777777" w:rsidR="00FE74FB" w:rsidRPr="00FE74FB" w:rsidRDefault="00FE74FB" w:rsidP="00FE74FB">
      <w:pPr>
        <w:pStyle w:val="NormalWeb"/>
        <w:rPr>
          <w:rFonts w:asciiTheme="minorHAnsi" w:hAnsiTheme="minorHAnsi"/>
        </w:rPr>
      </w:pPr>
      <w:r w:rsidRPr="00FE74FB">
        <w:rPr>
          <w:rFonts w:asciiTheme="minorHAnsi" w:hAnsiTheme="minorHAnsi"/>
        </w:rPr>
        <w:t xml:space="preserve">Ford, P. and McEvoy, R. (2020) ‘Critique of person-centred nursing framework’, </w:t>
      </w:r>
      <w:r w:rsidRPr="00FE74FB">
        <w:rPr>
          <w:rStyle w:val="Emphasis"/>
          <w:rFonts w:asciiTheme="minorHAnsi" w:eastAsiaTheme="majorEastAsia" w:hAnsiTheme="minorHAnsi"/>
        </w:rPr>
        <w:t>Nursing Inquiry</w:t>
      </w:r>
      <w:r w:rsidRPr="00FE74FB">
        <w:rPr>
          <w:rFonts w:asciiTheme="minorHAnsi" w:hAnsiTheme="minorHAnsi"/>
        </w:rPr>
        <w:t>, 27(1), pp. 1–10.</w:t>
      </w:r>
    </w:p>
    <w:p w14:paraId="39592AA8" w14:textId="77777777" w:rsidR="00FE74FB" w:rsidRPr="00FE74FB" w:rsidRDefault="00FE74FB" w:rsidP="00FE74FB">
      <w:pPr>
        <w:pStyle w:val="NormalWeb"/>
        <w:rPr>
          <w:rFonts w:asciiTheme="minorHAnsi" w:hAnsiTheme="minorHAnsi"/>
        </w:rPr>
      </w:pPr>
      <w:r w:rsidRPr="00FE74FB">
        <w:rPr>
          <w:rFonts w:asciiTheme="minorHAnsi" w:hAnsiTheme="minorHAnsi"/>
        </w:rPr>
        <w:t xml:space="preserve">Glasby, J. and Dickinson, H. (2014) </w:t>
      </w:r>
      <w:r w:rsidRPr="00FE74FB">
        <w:rPr>
          <w:rStyle w:val="Emphasis"/>
          <w:rFonts w:asciiTheme="minorHAnsi" w:eastAsiaTheme="majorEastAsia" w:hAnsiTheme="minorHAnsi"/>
        </w:rPr>
        <w:t>Partnership Working in Health and Social Care</w:t>
      </w:r>
      <w:r w:rsidRPr="00FE74FB">
        <w:rPr>
          <w:rFonts w:asciiTheme="minorHAnsi" w:hAnsiTheme="minorHAnsi"/>
        </w:rPr>
        <w:t xml:space="preserve">. 2nd </w:t>
      </w:r>
      <w:proofErr w:type="spellStart"/>
      <w:r w:rsidRPr="00FE74FB">
        <w:rPr>
          <w:rFonts w:asciiTheme="minorHAnsi" w:hAnsiTheme="minorHAnsi"/>
        </w:rPr>
        <w:t>edn</w:t>
      </w:r>
      <w:proofErr w:type="spellEnd"/>
      <w:r w:rsidRPr="00FE74FB">
        <w:rPr>
          <w:rFonts w:asciiTheme="minorHAnsi" w:hAnsiTheme="minorHAnsi"/>
        </w:rPr>
        <w:t>. Bristol: Policy Press.</w:t>
      </w:r>
    </w:p>
    <w:p w14:paraId="2CC638D6" w14:textId="77777777" w:rsidR="00FE74FB" w:rsidRPr="00FE74FB" w:rsidRDefault="00FE74FB" w:rsidP="00FE74FB">
      <w:pPr>
        <w:pStyle w:val="NormalWeb"/>
        <w:rPr>
          <w:rFonts w:asciiTheme="minorHAnsi" w:hAnsiTheme="minorHAnsi"/>
        </w:rPr>
      </w:pPr>
      <w:r w:rsidRPr="00FE74FB">
        <w:rPr>
          <w:rFonts w:asciiTheme="minorHAnsi" w:hAnsiTheme="minorHAnsi"/>
        </w:rPr>
        <w:t xml:space="preserve">Goodwin, N. (2016) ‘Understanding integrated care’, </w:t>
      </w:r>
      <w:r w:rsidRPr="00FE74FB">
        <w:rPr>
          <w:rStyle w:val="Emphasis"/>
          <w:rFonts w:asciiTheme="minorHAnsi" w:eastAsiaTheme="majorEastAsia" w:hAnsiTheme="minorHAnsi"/>
        </w:rPr>
        <w:t>International Journal of Integrated Care</w:t>
      </w:r>
      <w:r w:rsidRPr="00FE74FB">
        <w:rPr>
          <w:rFonts w:asciiTheme="minorHAnsi" w:hAnsiTheme="minorHAnsi"/>
        </w:rPr>
        <w:t>, 16(4), pp. 1–4.</w:t>
      </w:r>
    </w:p>
    <w:p w14:paraId="4B7F405C" w14:textId="77777777" w:rsidR="00FE74FB" w:rsidRPr="00FE74FB" w:rsidRDefault="00FE74FB" w:rsidP="00FE74FB">
      <w:pPr>
        <w:pStyle w:val="NormalWeb"/>
        <w:rPr>
          <w:rFonts w:asciiTheme="minorHAnsi" w:hAnsiTheme="minorHAnsi"/>
        </w:rPr>
      </w:pPr>
      <w:r w:rsidRPr="00FE74FB">
        <w:rPr>
          <w:rFonts w:asciiTheme="minorHAnsi" w:hAnsiTheme="minorHAnsi"/>
        </w:rPr>
        <w:t xml:space="preserve">Health Foundation (2016) </w:t>
      </w:r>
      <w:r w:rsidRPr="00FE74FB">
        <w:rPr>
          <w:rStyle w:val="Emphasis"/>
          <w:rFonts w:asciiTheme="minorHAnsi" w:eastAsiaTheme="majorEastAsia" w:hAnsiTheme="minorHAnsi"/>
        </w:rPr>
        <w:t>Person-Centred Care Made Simple</w:t>
      </w:r>
      <w:r w:rsidRPr="00FE74FB">
        <w:rPr>
          <w:rFonts w:asciiTheme="minorHAnsi" w:hAnsiTheme="minorHAnsi"/>
        </w:rPr>
        <w:t>. London: The Health Foundation.</w:t>
      </w:r>
    </w:p>
    <w:p w14:paraId="6BD4E25C" w14:textId="77777777" w:rsidR="00FE74FB" w:rsidRPr="00FE74FB" w:rsidRDefault="00FE74FB" w:rsidP="00FE74FB">
      <w:pPr>
        <w:pStyle w:val="NormalWeb"/>
        <w:rPr>
          <w:rFonts w:asciiTheme="minorHAnsi" w:hAnsiTheme="minorHAnsi"/>
        </w:rPr>
      </w:pPr>
      <w:r w:rsidRPr="00FE74FB">
        <w:rPr>
          <w:rFonts w:asciiTheme="minorHAnsi" w:hAnsiTheme="minorHAnsi"/>
        </w:rPr>
        <w:t xml:space="preserve">Hood, R., Price, J., </w:t>
      </w:r>
      <w:proofErr w:type="spellStart"/>
      <w:r w:rsidRPr="00FE74FB">
        <w:rPr>
          <w:rFonts w:asciiTheme="minorHAnsi" w:hAnsiTheme="minorHAnsi"/>
        </w:rPr>
        <w:t>Sartori</w:t>
      </w:r>
      <w:proofErr w:type="spellEnd"/>
      <w:r w:rsidRPr="00FE74FB">
        <w:rPr>
          <w:rFonts w:asciiTheme="minorHAnsi" w:hAnsiTheme="minorHAnsi"/>
        </w:rPr>
        <w:t xml:space="preserve">, D. and Mason, D. (2017) ‘Multi-agency working and professional power’, </w:t>
      </w:r>
      <w:r w:rsidRPr="00FE74FB">
        <w:rPr>
          <w:rStyle w:val="Emphasis"/>
          <w:rFonts w:asciiTheme="minorHAnsi" w:eastAsiaTheme="majorEastAsia" w:hAnsiTheme="minorHAnsi"/>
        </w:rPr>
        <w:t>British Journal of Social Work</w:t>
      </w:r>
      <w:r w:rsidRPr="00FE74FB">
        <w:rPr>
          <w:rFonts w:asciiTheme="minorHAnsi" w:hAnsiTheme="minorHAnsi"/>
        </w:rPr>
        <w:t>, 47(8), pp. 2137–2154.</w:t>
      </w:r>
    </w:p>
    <w:p w14:paraId="60FCD490" w14:textId="77777777" w:rsidR="00FE74FB" w:rsidRPr="00FE74FB" w:rsidRDefault="00FE74FB" w:rsidP="00FE74FB">
      <w:pPr>
        <w:pStyle w:val="NormalWeb"/>
        <w:rPr>
          <w:rFonts w:asciiTheme="minorHAnsi" w:hAnsiTheme="minorHAnsi"/>
        </w:rPr>
      </w:pPr>
      <w:r w:rsidRPr="00FE74FB">
        <w:rPr>
          <w:rFonts w:asciiTheme="minorHAnsi" w:hAnsiTheme="minorHAnsi"/>
        </w:rPr>
        <w:t xml:space="preserve">McCormack, B. and </w:t>
      </w:r>
      <w:proofErr w:type="spellStart"/>
      <w:r w:rsidRPr="00FE74FB">
        <w:rPr>
          <w:rFonts w:asciiTheme="minorHAnsi" w:hAnsiTheme="minorHAnsi"/>
        </w:rPr>
        <w:t>McCance</w:t>
      </w:r>
      <w:proofErr w:type="spellEnd"/>
      <w:r w:rsidRPr="00FE74FB">
        <w:rPr>
          <w:rFonts w:asciiTheme="minorHAnsi" w:hAnsiTheme="minorHAnsi"/>
        </w:rPr>
        <w:t xml:space="preserve">, T. (2017) </w:t>
      </w:r>
      <w:r w:rsidRPr="00FE74FB">
        <w:rPr>
          <w:rStyle w:val="Emphasis"/>
          <w:rFonts w:asciiTheme="minorHAnsi" w:eastAsiaTheme="majorEastAsia" w:hAnsiTheme="minorHAnsi"/>
        </w:rPr>
        <w:t>Person-Centred Practice in Nursing and Health Care: Theory and Practice</w:t>
      </w:r>
      <w:r w:rsidRPr="00FE74FB">
        <w:rPr>
          <w:rFonts w:asciiTheme="minorHAnsi" w:hAnsiTheme="minorHAnsi"/>
        </w:rPr>
        <w:t xml:space="preserve">. 2nd </w:t>
      </w:r>
      <w:proofErr w:type="spellStart"/>
      <w:r w:rsidRPr="00FE74FB">
        <w:rPr>
          <w:rFonts w:asciiTheme="minorHAnsi" w:hAnsiTheme="minorHAnsi"/>
        </w:rPr>
        <w:t>edn</w:t>
      </w:r>
      <w:proofErr w:type="spellEnd"/>
      <w:r w:rsidRPr="00FE74FB">
        <w:rPr>
          <w:rFonts w:asciiTheme="minorHAnsi" w:hAnsiTheme="minorHAnsi"/>
        </w:rPr>
        <w:t>. Oxford: Wiley-Blackwell.</w:t>
      </w:r>
    </w:p>
    <w:p w14:paraId="5E737CF1" w14:textId="77777777" w:rsidR="00FE74FB" w:rsidRPr="00FE74FB" w:rsidRDefault="00FE74FB" w:rsidP="00FE74FB">
      <w:pPr>
        <w:pStyle w:val="NormalWeb"/>
        <w:rPr>
          <w:rFonts w:asciiTheme="minorHAnsi" w:hAnsiTheme="minorHAnsi"/>
        </w:rPr>
      </w:pPr>
      <w:r w:rsidRPr="00FE74FB">
        <w:rPr>
          <w:rFonts w:asciiTheme="minorHAnsi" w:hAnsiTheme="minorHAnsi"/>
        </w:rPr>
        <w:t xml:space="preserve">NHS England (2022) </w:t>
      </w:r>
      <w:r w:rsidRPr="00FE74FB">
        <w:rPr>
          <w:rStyle w:val="Emphasis"/>
          <w:rFonts w:asciiTheme="minorHAnsi" w:eastAsiaTheme="majorEastAsia" w:hAnsiTheme="minorHAnsi"/>
        </w:rPr>
        <w:t>Universal Personalised Care</w:t>
      </w:r>
      <w:r w:rsidRPr="00FE74FB">
        <w:rPr>
          <w:rFonts w:asciiTheme="minorHAnsi" w:hAnsiTheme="minorHAnsi"/>
        </w:rPr>
        <w:t>. London: NHS England.</w:t>
      </w:r>
    </w:p>
    <w:p w14:paraId="0F8D0138" w14:textId="77777777" w:rsidR="00FE74FB" w:rsidRPr="00FE74FB" w:rsidRDefault="00FE74FB" w:rsidP="00FE74FB">
      <w:pPr>
        <w:pStyle w:val="NormalWeb"/>
        <w:rPr>
          <w:rFonts w:asciiTheme="minorHAnsi" w:hAnsiTheme="minorHAnsi"/>
        </w:rPr>
      </w:pPr>
      <w:r w:rsidRPr="00FE74FB">
        <w:rPr>
          <w:rFonts w:asciiTheme="minorHAnsi" w:hAnsiTheme="minorHAnsi"/>
        </w:rPr>
        <w:t xml:space="preserve">RCN (2023) </w:t>
      </w:r>
      <w:r w:rsidRPr="00FE74FB">
        <w:rPr>
          <w:rStyle w:val="Emphasis"/>
          <w:rFonts w:asciiTheme="minorHAnsi" w:eastAsiaTheme="majorEastAsia" w:hAnsiTheme="minorHAnsi"/>
        </w:rPr>
        <w:t>Nursing Workforce Shortage Report</w:t>
      </w:r>
      <w:r w:rsidRPr="00FE74FB">
        <w:rPr>
          <w:rFonts w:asciiTheme="minorHAnsi" w:hAnsiTheme="minorHAnsi"/>
        </w:rPr>
        <w:t>. London: Royal College of Nursing.</w:t>
      </w:r>
    </w:p>
    <w:p w14:paraId="2F7488C0" w14:textId="77777777" w:rsidR="00FE74FB" w:rsidRPr="00FE74FB" w:rsidRDefault="00FE74FB" w:rsidP="00FE74FB">
      <w:pPr>
        <w:pStyle w:val="NormalWeb"/>
        <w:rPr>
          <w:rFonts w:asciiTheme="minorHAnsi" w:hAnsiTheme="minorHAnsi"/>
        </w:rPr>
      </w:pPr>
      <w:r w:rsidRPr="00FE74FB">
        <w:rPr>
          <w:rFonts w:asciiTheme="minorHAnsi" w:hAnsiTheme="minorHAnsi"/>
        </w:rPr>
        <w:t xml:space="preserve">Rogers, C. (1951) </w:t>
      </w:r>
      <w:r w:rsidRPr="00FE74FB">
        <w:rPr>
          <w:rStyle w:val="Emphasis"/>
          <w:rFonts w:asciiTheme="minorHAnsi" w:eastAsiaTheme="majorEastAsia" w:hAnsiTheme="minorHAnsi"/>
        </w:rPr>
        <w:t>Client-Centred Therapy</w:t>
      </w:r>
      <w:r w:rsidRPr="00FE74FB">
        <w:rPr>
          <w:rFonts w:asciiTheme="minorHAnsi" w:hAnsiTheme="minorHAnsi"/>
        </w:rPr>
        <w:t>. Boston: Houghton-Mifflin.</w:t>
      </w:r>
    </w:p>
    <w:p w14:paraId="24AF0B90" w14:textId="77777777" w:rsidR="00FE74FB" w:rsidRPr="00FE74FB" w:rsidRDefault="00FE74FB" w:rsidP="00FE74FB">
      <w:pPr>
        <w:pStyle w:val="NormalWeb"/>
        <w:rPr>
          <w:rFonts w:asciiTheme="minorHAnsi" w:hAnsiTheme="minorHAnsi"/>
        </w:rPr>
      </w:pPr>
      <w:r w:rsidRPr="00FE74FB">
        <w:rPr>
          <w:rFonts w:asciiTheme="minorHAnsi" w:hAnsiTheme="minorHAnsi"/>
        </w:rPr>
        <w:t xml:space="preserve">Tadd, W., Hillman, A., </w:t>
      </w:r>
      <w:proofErr w:type="spellStart"/>
      <w:r w:rsidRPr="00FE74FB">
        <w:rPr>
          <w:rFonts w:asciiTheme="minorHAnsi" w:hAnsiTheme="minorHAnsi"/>
        </w:rPr>
        <w:t>Calnan</w:t>
      </w:r>
      <w:proofErr w:type="spellEnd"/>
      <w:r w:rsidRPr="00FE74FB">
        <w:rPr>
          <w:rFonts w:asciiTheme="minorHAnsi" w:hAnsiTheme="minorHAnsi"/>
        </w:rPr>
        <w:t xml:space="preserve">, S., </w:t>
      </w:r>
      <w:proofErr w:type="spellStart"/>
      <w:r w:rsidRPr="00FE74FB">
        <w:rPr>
          <w:rFonts w:asciiTheme="minorHAnsi" w:hAnsiTheme="minorHAnsi"/>
        </w:rPr>
        <w:t>Calnan</w:t>
      </w:r>
      <w:proofErr w:type="spellEnd"/>
      <w:r w:rsidRPr="00FE74FB">
        <w:rPr>
          <w:rFonts w:asciiTheme="minorHAnsi" w:hAnsiTheme="minorHAnsi"/>
        </w:rPr>
        <w:t xml:space="preserve">, M. and Read, S. (2018) ‘Conflicting values in care delivery’, </w:t>
      </w:r>
      <w:r w:rsidRPr="00FE74FB">
        <w:rPr>
          <w:rStyle w:val="Emphasis"/>
          <w:rFonts w:asciiTheme="minorHAnsi" w:eastAsiaTheme="majorEastAsia" w:hAnsiTheme="minorHAnsi"/>
        </w:rPr>
        <w:t>Journal of Medical Ethics</w:t>
      </w:r>
      <w:r w:rsidRPr="00FE74FB">
        <w:rPr>
          <w:rFonts w:asciiTheme="minorHAnsi" w:hAnsiTheme="minorHAnsi"/>
        </w:rPr>
        <w:t>, 44(3), pp. 162–168.</w:t>
      </w:r>
    </w:p>
    <w:p w14:paraId="0D889BC4" w14:textId="44FF5CAD" w:rsidR="00FE74FB" w:rsidRPr="00FE74FB" w:rsidRDefault="00FE74FB" w:rsidP="00FE74FB">
      <w:pPr>
        <w:pStyle w:val="NormalWeb"/>
        <w:rPr>
          <w:rFonts w:asciiTheme="minorHAnsi" w:hAnsiTheme="minorHAnsi"/>
          <w:b/>
        </w:rPr>
      </w:pPr>
      <w:r w:rsidRPr="00FE74FB">
        <w:rPr>
          <w:rFonts w:asciiTheme="minorHAnsi" w:hAnsiTheme="minorHAnsi"/>
          <w:b/>
        </w:rPr>
        <w:t xml:space="preserve"> </w:t>
      </w:r>
    </w:p>
    <w:p w14:paraId="7D2F34D4" w14:textId="77777777" w:rsidR="00FE74FB" w:rsidRPr="00FE74FB" w:rsidRDefault="00FE74FB" w:rsidP="00FE74FB">
      <w:pPr>
        <w:pStyle w:val="NormalWeb"/>
        <w:rPr>
          <w:rFonts w:asciiTheme="minorHAnsi" w:hAnsiTheme="minorHAnsi"/>
          <w:b/>
        </w:rPr>
      </w:pPr>
    </w:p>
    <w:p w14:paraId="6B83E3AE" w14:textId="77777777" w:rsidR="00FE74FB" w:rsidRPr="00FE74FB" w:rsidRDefault="00FE74FB" w:rsidP="00FE74FB">
      <w:pPr>
        <w:rPr>
          <w:b/>
          <w:bCs/>
          <w:sz w:val="24"/>
          <w:szCs w:val="24"/>
        </w:rPr>
      </w:pPr>
    </w:p>
    <w:sectPr w:rsidR="00FE74FB" w:rsidRPr="00FE74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7B08FC"/>
    <w:multiLevelType w:val="hybridMultilevel"/>
    <w:tmpl w:val="DA269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C15BF2"/>
    <w:multiLevelType w:val="hybridMultilevel"/>
    <w:tmpl w:val="C486E30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1B121F"/>
    <w:multiLevelType w:val="hybridMultilevel"/>
    <w:tmpl w:val="DD5CB564"/>
    <w:lvl w:ilvl="0" w:tplc="37A8B232">
      <w:start w:val="1"/>
      <w:numFmt w:val="bullet"/>
      <w:lvlText w:val="-"/>
      <w:lvlJc w:val="left"/>
      <w:pPr>
        <w:ind w:left="72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930E55"/>
    <w:multiLevelType w:val="multilevel"/>
    <w:tmpl w:val="29EC9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613"/>
    <w:rsid w:val="00137C13"/>
    <w:rsid w:val="00427911"/>
    <w:rsid w:val="005632A5"/>
    <w:rsid w:val="00591368"/>
    <w:rsid w:val="007327CF"/>
    <w:rsid w:val="009B128C"/>
    <w:rsid w:val="00AC1E93"/>
    <w:rsid w:val="00EF0613"/>
    <w:rsid w:val="00FE74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E6233"/>
  <w15:chartTrackingRefBased/>
  <w15:docId w15:val="{45D08A8C-14AC-4BE6-8F76-C5EFC9DE4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F061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EF061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EF0613"/>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EF0613"/>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EF0613"/>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EF06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06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06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06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0613"/>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EF0613"/>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EF0613"/>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EF0613"/>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EF0613"/>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EF06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06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06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0613"/>
    <w:rPr>
      <w:rFonts w:eastAsiaTheme="majorEastAsia" w:cstheme="majorBidi"/>
      <w:color w:val="272727" w:themeColor="text1" w:themeTint="D8"/>
    </w:rPr>
  </w:style>
  <w:style w:type="paragraph" w:styleId="Title">
    <w:name w:val="Title"/>
    <w:basedOn w:val="Normal"/>
    <w:next w:val="Normal"/>
    <w:link w:val="TitleChar"/>
    <w:uiPriority w:val="10"/>
    <w:qFormat/>
    <w:rsid w:val="00EF06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06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06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06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0613"/>
    <w:pPr>
      <w:spacing w:before="160"/>
      <w:jc w:val="center"/>
    </w:pPr>
    <w:rPr>
      <w:i/>
      <w:iCs/>
      <w:color w:val="404040" w:themeColor="text1" w:themeTint="BF"/>
    </w:rPr>
  </w:style>
  <w:style w:type="character" w:customStyle="1" w:styleId="QuoteChar">
    <w:name w:val="Quote Char"/>
    <w:basedOn w:val="DefaultParagraphFont"/>
    <w:link w:val="Quote"/>
    <w:uiPriority w:val="29"/>
    <w:rsid w:val="00EF0613"/>
    <w:rPr>
      <w:i/>
      <w:iCs/>
      <w:color w:val="404040" w:themeColor="text1" w:themeTint="BF"/>
    </w:rPr>
  </w:style>
  <w:style w:type="paragraph" w:styleId="ListParagraph">
    <w:name w:val="List Paragraph"/>
    <w:basedOn w:val="Normal"/>
    <w:uiPriority w:val="34"/>
    <w:qFormat/>
    <w:rsid w:val="00EF0613"/>
    <w:pPr>
      <w:ind w:left="720"/>
      <w:contextualSpacing/>
    </w:pPr>
  </w:style>
  <w:style w:type="character" w:styleId="IntenseEmphasis">
    <w:name w:val="Intense Emphasis"/>
    <w:basedOn w:val="DefaultParagraphFont"/>
    <w:uiPriority w:val="21"/>
    <w:qFormat/>
    <w:rsid w:val="00EF0613"/>
    <w:rPr>
      <w:i/>
      <w:iCs/>
      <w:color w:val="2E74B5" w:themeColor="accent1" w:themeShade="BF"/>
    </w:rPr>
  </w:style>
  <w:style w:type="paragraph" w:styleId="IntenseQuote">
    <w:name w:val="Intense Quote"/>
    <w:basedOn w:val="Normal"/>
    <w:next w:val="Normal"/>
    <w:link w:val="IntenseQuoteChar"/>
    <w:uiPriority w:val="30"/>
    <w:qFormat/>
    <w:rsid w:val="00EF061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EF0613"/>
    <w:rPr>
      <w:i/>
      <w:iCs/>
      <w:color w:val="2E74B5" w:themeColor="accent1" w:themeShade="BF"/>
    </w:rPr>
  </w:style>
  <w:style w:type="character" w:styleId="IntenseReference">
    <w:name w:val="Intense Reference"/>
    <w:basedOn w:val="DefaultParagraphFont"/>
    <w:uiPriority w:val="32"/>
    <w:qFormat/>
    <w:rsid w:val="00EF0613"/>
    <w:rPr>
      <w:b/>
      <w:bCs/>
      <w:smallCaps/>
      <w:color w:val="2E74B5" w:themeColor="accent1" w:themeShade="BF"/>
      <w:spacing w:val="5"/>
    </w:rPr>
  </w:style>
  <w:style w:type="paragraph" w:styleId="NormalWeb">
    <w:name w:val="Normal (Web)"/>
    <w:basedOn w:val="Normal"/>
    <w:uiPriority w:val="99"/>
    <w:semiHidden/>
    <w:unhideWhenUsed/>
    <w:rsid w:val="00FE74F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FE74FB"/>
    <w:rPr>
      <w:b/>
      <w:bCs/>
    </w:rPr>
  </w:style>
  <w:style w:type="character" w:styleId="Emphasis">
    <w:name w:val="Emphasis"/>
    <w:basedOn w:val="DefaultParagraphFont"/>
    <w:uiPriority w:val="20"/>
    <w:qFormat/>
    <w:rsid w:val="00FE74F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498664">
      <w:bodyDiv w:val="1"/>
      <w:marLeft w:val="0"/>
      <w:marRight w:val="0"/>
      <w:marTop w:val="0"/>
      <w:marBottom w:val="0"/>
      <w:divBdr>
        <w:top w:val="none" w:sz="0" w:space="0" w:color="auto"/>
        <w:left w:val="none" w:sz="0" w:space="0" w:color="auto"/>
        <w:bottom w:val="none" w:sz="0" w:space="0" w:color="auto"/>
        <w:right w:val="none" w:sz="0" w:space="0" w:color="auto"/>
      </w:divBdr>
    </w:div>
    <w:div w:id="479810126">
      <w:bodyDiv w:val="1"/>
      <w:marLeft w:val="0"/>
      <w:marRight w:val="0"/>
      <w:marTop w:val="0"/>
      <w:marBottom w:val="0"/>
      <w:divBdr>
        <w:top w:val="none" w:sz="0" w:space="0" w:color="auto"/>
        <w:left w:val="none" w:sz="0" w:space="0" w:color="auto"/>
        <w:bottom w:val="none" w:sz="0" w:space="0" w:color="auto"/>
        <w:right w:val="none" w:sz="0" w:space="0" w:color="auto"/>
      </w:divBdr>
    </w:div>
    <w:div w:id="976378655">
      <w:bodyDiv w:val="1"/>
      <w:marLeft w:val="0"/>
      <w:marRight w:val="0"/>
      <w:marTop w:val="0"/>
      <w:marBottom w:val="0"/>
      <w:divBdr>
        <w:top w:val="none" w:sz="0" w:space="0" w:color="auto"/>
        <w:left w:val="none" w:sz="0" w:space="0" w:color="auto"/>
        <w:bottom w:val="none" w:sz="0" w:space="0" w:color="auto"/>
        <w:right w:val="none" w:sz="0" w:space="0" w:color="auto"/>
      </w:divBdr>
    </w:div>
    <w:div w:id="1193567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1874</Words>
  <Characters>10685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Muna Aslam</dc:creator>
  <cp:keywords/>
  <dc:description/>
  <cp:lastModifiedBy>AYAZ Aslam</cp:lastModifiedBy>
  <cp:revision>2</cp:revision>
  <dcterms:created xsi:type="dcterms:W3CDTF">2025-11-16T19:40:00Z</dcterms:created>
  <dcterms:modified xsi:type="dcterms:W3CDTF">2025-11-16T19:40:00Z</dcterms:modified>
</cp:coreProperties>
</file>