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B86" w:rsidRPr="00097B86" w:rsidRDefault="00097B86" w:rsidP="00097B86">
      <w:pPr>
        <w:spacing w:after="0" w:line="240" w:lineRule="auto"/>
        <w:ind w:left="-180" w:right="-334"/>
        <w:rPr>
          <w:rFonts w:ascii="Trebuchet MS" w:eastAsia="SimSun" w:hAnsi="Trebuchet MS" w:cs="Tahoma"/>
          <w:color w:val="000000"/>
          <w:sz w:val="24"/>
          <w:szCs w:val="24"/>
          <w:lang w:eastAsia="zh-CN"/>
        </w:rPr>
      </w:pPr>
      <w:r w:rsidRPr="00097B86">
        <w:rPr>
          <w:rFonts w:ascii="Georgia" w:eastAsia="SimSun" w:hAnsi="Georgia" w:cs="Times New Roman"/>
          <w:noProof/>
          <w:color w:val="000000"/>
          <w:sz w:val="21"/>
          <w:szCs w:val="21"/>
          <w:lang w:eastAsia="zh-CN"/>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097B86" w:rsidRPr="00097B86" w:rsidRDefault="00097B86" w:rsidP="00097B86">
      <w:pPr>
        <w:keepNext/>
        <w:spacing w:before="240" w:after="60" w:line="240" w:lineRule="auto"/>
        <w:jc w:val="center"/>
        <w:outlineLvl w:val="0"/>
        <w:rPr>
          <w:rFonts w:ascii="Arial" w:eastAsia="SimSun" w:hAnsi="Arial" w:cs="Arial"/>
          <w:b/>
          <w:bCs/>
          <w:kern w:val="32"/>
          <w:sz w:val="32"/>
          <w:szCs w:val="32"/>
          <w:lang w:val="cy-GB" w:eastAsia="zh-CN"/>
        </w:rPr>
      </w:pPr>
      <w:r w:rsidRPr="00097B86">
        <w:rPr>
          <w:rFonts w:ascii="Arial" w:eastAsia="SimSun" w:hAnsi="Arial" w:cs="Arial"/>
          <w:b/>
          <w:bCs/>
          <w:kern w:val="32"/>
          <w:sz w:val="32"/>
          <w:szCs w:val="32"/>
          <w:lang w:val="cy-GB" w:eastAsia="zh-CN"/>
        </w:rPr>
        <w:t>Undergraduate assignment feedback form</w:t>
      </w:r>
    </w:p>
    <w:p w:rsidR="00097B86" w:rsidRPr="00097B86" w:rsidRDefault="00097B86" w:rsidP="00097B86">
      <w:pPr>
        <w:spacing w:after="0" w:line="240" w:lineRule="auto"/>
        <w:jc w:val="center"/>
        <w:rPr>
          <w:rFonts w:ascii="Arial" w:eastAsia="SimSun" w:hAnsi="Arial" w:cs="Arial"/>
          <w:b/>
          <w:sz w:val="24"/>
          <w:szCs w:val="24"/>
          <w:lang w:val="cy-GB" w:eastAsia="zh-CN"/>
        </w:rPr>
      </w:pPr>
      <w:r w:rsidRPr="00097B86">
        <w:rPr>
          <w:rFonts w:ascii="Arial" w:eastAsia="SimSun" w:hAnsi="Arial" w:cs="Arial"/>
          <w:b/>
          <w:sz w:val="24"/>
          <w:szCs w:val="24"/>
          <w:lang w:val="cy-GB" w:eastAsia="zh-CN"/>
        </w:rPr>
        <w:t>(to be completed by marker)</w:t>
      </w:r>
    </w:p>
    <w:p w:rsidR="00097B86" w:rsidRPr="00097B86" w:rsidRDefault="00097B86" w:rsidP="00097B86">
      <w:pPr>
        <w:spacing w:after="0" w:line="240" w:lineRule="auto"/>
        <w:jc w:val="center"/>
        <w:rPr>
          <w:rFonts w:ascii="Arial" w:eastAsia="SimSun" w:hAnsi="Arial" w:cs="Arial"/>
          <w:b/>
          <w:sz w:val="24"/>
          <w:szCs w:val="24"/>
          <w:lang w:val="cy-GB" w:eastAsia="zh-CN"/>
        </w:rPr>
      </w:pPr>
    </w:p>
    <w:p w:rsidR="00097B86" w:rsidRPr="00097B86" w:rsidRDefault="00097B86" w:rsidP="00097B86">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97B86" w:rsidRPr="00097B86" w:rsidTr="006B4E5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097B86" w:rsidRPr="00097B86" w:rsidRDefault="00097B86" w:rsidP="00097B86">
            <w:pPr>
              <w:spacing w:after="0" w:line="240" w:lineRule="auto"/>
              <w:ind w:right="34"/>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Student Name:  Dylan Trevett</w:t>
            </w:r>
          </w:p>
          <w:p w:rsidR="00097B86" w:rsidRPr="00097B86" w:rsidRDefault="00097B86" w:rsidP="00097B86">
            <w:pPr>
              <w:spacing w:after="0" w:line="240" w:lineRule="auto"/>
              <w:ind w:right="34"/>
              <w:rPr>
                <w:rFonts w:ascii="Calibri" w:eastAsia="SimSun" w:hAnsi="Calibri" w:cs="Tahoma"/>
                <w:i/>
                <w:color w:val="000000"/>
                <w:sz w:val="24"/>
                <w:szCs w:val="24"/>
                <w:lang w:eastAsia="zh-CN"/>
              </w:rPr>
            </w:pPr>
          </w:p>
        </w:tc>
      </w:tr>
      <w:tr w:rsidR="00097B86" w:rsidRPr="00097B86" w:rsidTr="006B4E5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097B86" w:rsidRPr="00097B86" w:rsidRDefault="00097B86" w:rsidP="00097B86">
            <w:pPr>
              <w:spacing w:after="0" w:line="240" w:lineRule="auto"/>
              <w:ind w:right="34"/>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Module Code:  HPHI 6002</w:t>
            </w:r>
          </w:p>
          <w:p w:rsidR="00097B86" w:rsidRPr="00097B86" w:rsidRDefault="00097B86" w:rsidP="00097B86">
            <w:pPr>
              <w:spacing w:after="0" w:line="240" w:lineRule="auto"/>
              <w:ind w:right="34"/>
              <w:rPr>
                <w:rFonts w:ascii="Calibri" w:eastAsia="SimSun" w:hAnsi="Calibri" w:cs="Tahoma"/>
                <w:i/>
                <w:color w:val="000000"/>
                <w:sz w:val="24"/>
                <w:szCs w:val="24"/>
                <w:lang w:eastAsia="zh-CN"/>
              </w:rPr>
            </w:pPr>
          </w:p>
          <w:p w:rsidR="00097B86" w:rsidRPr="00097B86" w:rsidRDefault="00097B86" w:rsidP="00097B86">
            <w:pPr>
              <w:spacing w:after="0" w:line="240" w:lineRule="auto"/>
              <w:ind w:right="34"/>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 xml:space="preserve">Module title:  Death, Dying and the </w:t>
            </w:r>
            <w:proofErr w:type="spellStart"/>
            <w:r w:rsidRPr="00097B86">
              <w:rPr>
                <w:rFonts w:ascii="Calibri" w:eastAsia="SimSun" w:hAnsi="Calibri" w:cs="Tahoma"/>
                <w:i/>
                <w:color w:val="000000"/>
                <w:sz w:val="24"/>
                <w:szCs w:val="24"/>
                <w:lang w:eastAsia="zh-CN"/>
              </w:rPr>
              <w:t>Macbre</w:t>
            </w:r>
            <w:proofErr w:type="spellEnd"/>
            <w:r w:rsidRPr="00097B86">
              <w:rPr>
                <w:rFonts w:ascii="Calibri" w:eastAsia="SimSun" w:hAnsi="Calibri" w:cs="Tahoma"/>
                <w:i/>
                <w:color w:val="000000"/>
                <w:sz w:val="24"/>
                <w:szCs w:val="24"/>
                <w:lang w:eastAsia="zh-CN"/>
              </w:rPr>
              <w:t xml:space="preserve"> in the Late Middle Ages</w:t>
            </w:r>
          </w:p>
          <w:p w:rsidR="00097B86" w:rsidRPr="00097B86" w:rsidRDefault="00097B86" w:rsidP="00097B86">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rsidR="00097B86" w:rsidRPr="00097B86" w:rsidRDefault="00097B86" w:rsidP="00097B86">
            <w:pPr>
              <w:spacing w:after="0" w:line="240" w:lineRule="auto"/>
              <w:ind w:right="34"/>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Student number: 1500610</w:t>
            </w:r>
          </w:p>
        </w:tc>
      </w:tr>
      <w:tr w:rsidR="00097B86" w:rsidRPr="00097B86" w:rsidTr="006B4E57">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097B86" w:rsidRPr="00097B86" w:rsidRDefault="00097B86" w:rsidP="00097B86">
            <w:pPr>
              <w:spacing w:after="0" w:line="240" w:lineRule="auto"/>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For completion by marker:</w:t>
            </w: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Comments:</w:t>
            </w: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p w:rsidR="00097B86" w:rsidRPr="00097B86" w:rsidRDefault="00097B86" w:rsidP="00097B86">
            <w:pPr>
              <w:spacing w:before="100" w:beforeAutospacing="1" w:after="100" w:afterAutospacing="1" w:line="240" w:lineRule="auto"/>
              <w:rPr>
                <w:rFonts w:ascii="Calibri" w:eastAsia="SimSun" w:hAnsi="Calibri" w:cs="Tahoma"/>
                <w:i/>
                <w:color w:val="000000"/>
                <w:sz w:val="24"/>
                <w:szCs w:val="24"/>
                <w:lang w:eastAsia="zh-CN"/>
              </w:rPr>
            </w:pPr>
          </w:p>
        </w:tc>
      </w:tr>
      <w:tr w:rsidR="00097B86" w:rsidRPr="00097B86" w:rsidTr="006B4E57">
        <w:trPr>
          <w:trHeight w:val="492"/>
        </w:trPr>
        <w:tc>
          <w:tcPr>
            <w:tcW w:w="6768" w:type="dxa"/>
            <w:gridSpan w:val="2"/>
            <w:tcBorders>
              <w:top w:val="single" w:sz="4" w:space="0" w:color="auto"/>
            </w:tcBorders>
            <w:vAlign w:val="center"/>
          </w:tcPr>
          <w:p w:rsidR="00097B86" w:rsidRPr="00097B86" w:rsidRDefault="00097B86" w:rsidP="00097B86">
            <w:pPr>
              <w:spacing w:before="100" w:beforeAutospacing="1" w:after="100" w:afterAutospacing="1" w:line="240" w:lineRule="auto"/>
              <w:ind w:left="142" w:right="34"/>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097B86" w:rsidRPr="00097B86" w:rsidRDefault="00097B86" w:rsidP="00097B86">
            <w:pPr>
              <w:spacing w:before="100" w:beforeAutospacing="1" w:after="0" w:afterAutospacing="1" w:line="240" w:lineRule="auto"/>
              <w:ind w:left="142" w:right="34"/>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Date:</w:t>
            </w:r>
          </w:p>
        </w:tc>
      </w:tr>
      <w:tr w:rsidR="00097B86" w:rsidRPr="00097B86" w:rsidTr="006B4E57">
        <w:tc>
          <w:tcPr>
            <w:tcW w:w="8755" w:type="dxa"/>
            <w:gridSpan w:val="3"/>
            <w:vAlign w:val="center"/>
          </w:tcPr>
          <w:p w:rsidR="00097B86" w:rsidRPr="00097B86" w:rsidRDefault="00097B86" w:rsidP="00097B86">
            <w:pPr>
              <w:spacing w:after="0" w:line="240" w:lineRule="auto"/>
              <w:ind w:left="142" w:right="34"/>
              <w:rPr>
                <w:rFonts w:ascii="Calibri" w:eastAsia="SimSun" w:hAnsi="Calibri" w:cs="Tahoma"/>
                <w:i/>
                <w:color w:val="000000"/>
                <w:sz w:val="24"/>
                <w:szCs w:val="24"/>
                <w:lang w:eastAsia="zh-CN"/>
              </w:rPr>
            </w:pPr>
            <w:r w:rsidRPr="00097B86">
              <w:rPr>
                <w:rFonts w:ascii="Calibri" w:eastAsia="SimSun" w:hAnsi="Calibri" w:cs="Tahoma"/>
                <w:i/>
                <w:color w:val="000000"/>
                <w:sz w:val="24"/>
                <w:szCs w:val="24"/>
                <w:lang w:eastAsia="zh-CN"/>
              </w:rPr>
              <w:t xml:space="preserve">Provisional mark: </w:t>
            </w:r>
          </w:p>
          <w:p w:rsidR="00097B86" w:rsidRPr="00097B86" w:rsidRDefault="00097B86" w:rsidP="00097B86">
            <w:pPr>
              <w:spacing w:after="0" w:line="240" w:lineRule="auto"/>
              <w:ind w:left="142" w:right="34"/>
              <w:rPr>
                <w:rFonts w:ascii="Calibri" w:eastAsia="SimSun" w:hAnsi="Calibri" w:cs="Tahoma"/>
                <w:i/>
                <w:color w:val="000000"/>
                <w:sz w:val="24"/>
                <w:szCs w:val="24"/>
                <w:lang w:eastAsia="zh-CN"/>
              </w:rPr>
            </w:pPr>
            <w:r w:rsidRPr="00097B86">
              <w:rPr>
                <w:rFonts w:ascii="Calibri" w:eastAsia="SimSun" w:hAnsi="Calibri" w:cs="Tahoma"/>
                <w:b/>
                <w:i/>
                <w:color w:val="000000"/>
                <w:sz w:val="24"/>
                <w:szCs w:val="24"/>
                <w:lang w:eastAsia="zh-CN"/>
              </w:rPr>
              <w:t>NB.</w:t>
            </w:r>
            <w:r w:rsidRPr="00097B86">
              <w:rPr>
                <w:rFonts w:ascii="Calibri" w:eastAsia="SimSun" w:hAnsi="Calibri" w:cs="Tahoma"/>
                <w:i/>
                <w:color w:val="000000"/>
                <w:sz w:val="24"/>
                <w:szCs w:val="24"/>
                <w:lang w:eastAsia="zh-CN"/>
              </w:rPr>
              <w:t xml:space="preserve">  All marks are provisional until confirmed by the final examination board. </w:t>
            </w:r>
          </w:p>
        </w:tc>
      </w:tr>
    </w:tbl>
    <w:p w:rsidR="00097B86" w:rsidRDefault="00097B86" w:rsidP="003C3865">
      <w:pPr>
        <w:jc w:val="both"/>
        <w:rPr>
          <w:rFonts w:ascii="Trebuchet MS" w:eastAsia="SimSun" w:hAnsi="Trebuchet MS" w:cs="Tahoma"/>
          <w:b/>
          <w:bCs/>
          <w:color w:val="000000"/>
          <w:sz w:val="24"/>
          <w:szCs w:val="24"/>
          <w:lang w:eastAsia="zh-CN"/>
        </w:rPr>
      </w:pPr>
    </w:p>
    <w:p w:rsidR="00E5564B" w:rsidRDefault="00E5564B" w:rsidP="003C3865">
      <w:pPr>
        <w:jc w:val="both"/>
        <w:rPr>
          <w:rFonts w:ascii="Calibri" w:eastAsia="Calibri" w:hAnsi="Calibri" w:cs="Times New Roman"/>
        </w:rPr>
      </w:pPr>
      <w:r>
        <w:rPr>
          <w:rFonts w:ascii="Calibri" w:eastAsia="Calibri" w:hAnsi="Calibri" w:cs="Times New Roman"/>
        </w:rPr>
        <w:lastRenderedPageBreak/>
        <w:t xml:space="preserve">The Good Death image from the </w:t>
      </w:r>
      <w:r w:rsidRPr="00E5564B">
        <w:rPr>
          <w:rFonts w:ascii="Calibri" w:eastAsia="Calibri" w:hAnsi="Calibri" w:cs="Times New Roman"/>
          <w:i/>
        </w:rPr>
        <w:t>Ars Moriendi</w:t>
      </w:r>
      <w:r>
        <w:rPr>
          <w:rFonts w:ascii="Calibri" w:eastAsia="Calibri" w:hAnsi="Calibri" w:cs="Times New Roman"/>
        </w:rPr>
        <w:t xml:space="preserve">  </w:t>
      </w:r>
    </w:p>
    <w:p w:rsidR="00097B86" w:rsidRDefault="00097B86" w:rsidP="003C3865">
      <w:pPr>
        <w:spacing w:line="480" w:lineRule="auto"/>
        <w:jc w:val="both"/>
        <w:rPr>
          <w:rFonts w:ascii="Calibri" w:eastAsia="Calibri" w:hAnsi="Calibri" w:cs="Times New Roman"/>
        </w:rPr>
      </w:pPr>
    </w:p>
    <w:p w:rsidR="00F37BBC" w:rsidRDefault="00F37BBC" w:rsidP="003C3865">
      <w:pPr>
        <w:spacing w:line="480" w:lineRule="auto"/>
        <w:jc w:val="both"/>
        <w:rPr>
          <w:rFonts w:ascii="Calibri" w:eastAsia="Calibri" w:hAnsi="Calibri" w:cs="Times New Roman"/>
        </w:rPr>
      </w:pPr>
      <w:r>
        <w:rPr>
          <w:rFonts w:ascii="Calibri" w:eastAsia="Calibri" w:hAnsi="Calibri" w:cs="Times New Roman"/>
        </w:rPr>
        <w:t>This commentary will look to see</w:t>
      </w:r>
      <w:r w:rsidR="00590867">
        <w:rPr>
          <w:rFonts w:ascii="Calibri" w:eastAsia="Calibri" w:hAnsi="Calibri" w:cs="Times New Roman"/>
        </w:rPr>
        <w:t>, what the Ars Moriendi was,</w:t>
      </w:r>
      <w:r>
        <w:rPr>
          <w:rFonts w:ascii="Calibri" w:eastAsia="Calibri" w:hAnsi="Calibri" w:cs="Times New Roman"/>
        </w:rPr>
        <w:t xml:space="preserve"> what it </w:t>
      </w:r>
      <w:r w:rsidR="001F5457">
        <w:rPr>
          <w:rFonts w:ascii="Calibri" w:eastAsia="Calibri" w:hAnsi="Calibri" w:cs="Times New Roman"/>
        </w:rPr>
        <w:t>represented,</w:t>
      </w:r>
      <w:r w:rsidR="00590867">
        <w:rPr>
          <w:rFonts w:ascii="Calibri" w:eastAsia="Calibri" w:hAnsi="Calibri" w:cs="Times New Roman"/>
        </w:rPr>
        <w:t xml:space="preserve"> and</w:t>
      </w:r>
      <w:r>
        <w:rPr>
          <w:rFonts w:ascii="Calibri" w:eastAsia="Calibri" w:hAnsi="Calibri" w:cs="Times New Roman"/>
        </w:rPr>
        <w:t xml:space="preserve"> will also look to see how the image of the Good death is represented with its hidden iconography. However, we must also </w:t>
      </w:r>
      <w:r w:rsidR="001F5457">
        <w:rPr>
          <w:rFonts w:ascii="Calibri" w:eastAsia="Calibri" w:hAnsi="Calibri" w:cs="Times New Roman"/>
        </w:rPr>
        <w:t>consider</w:t>
      </w:r>
      <w:r>
        <w:rPr>
          <w:rFonts w:ascii="Calibri" w:eastAsia="Calibri" w:hAnsi="Calibri" w:cs="Times New Roman"/>
        </w:rPr>
        <w:t xml:space="preserve"> what the image fails to represent in terms of why the book was so popular.</w:t>
      </w:r>
    </w:p>
    <w:p w:rsidR="00E5564B" w:rsidRDefault="00E5564B" w:rsidP="003C3865">
      <w:pPr>
        <w:spacing w:line="480" w:lineRule="auto"/>
        <w:jc w:val="both"/>
        <w:rPr>
          <w:rFonts w:ascii="Calibri" w:eastAsia="Calibri" w:hAnsi="Calibri" w:cs="Times New Roman"/>
        </w:rPr>
      </w:pPr>
      <w:r>
        <w:rPr>
          <w:rFonts w:ascii="Calibri" w:eastAsia="Calibri" w:hAnsi="Calibri" w:cs="Times New Roman"/>
        </w:rPr>
        <w:t xml:space="preserve">The image comes from the </w:t>
      </w:r>
      <w:r w:rsidRPr="00E5564B">
        <w:rPr>
          <w:rFonts w:ascii="Calibri" w:eastAsia="Calibri" w:hAnsi="Calibri" w:cs="Times New Roman"/>
        </w:rPr>
        <w:t xml:space="preserve">Ars Moriendi, </w:t>
      </w:r>
      <w:r>
        <w:rPr>
          <w:rFonts w:ascii="Calibri" w:eastAsia="Calibri" w:hAnsi="Calibri" w:cs="Times New Roman"/>
        </w:rPr>
        <w:t xml:space="preserve">which was </w:t>
      </w:r>
      <w:r w:rsidR="00F25AB8">
        <w:rPr>
          <w:rFonts w:ascii="Calibri" w:eastAsia="Calibri" w:hAnsi="Calibri" w:cs="Times New Roman"/>
        </w:rPr>
        <w:t xml:space="preserve">a </w:t>
      </w:r>
      <w:r>
        <w:rPr>
          <w:rFonts w:ascii="Calibri" w:eastAsia="Calibri" w:hAnsi="Calibri" w:cs="Times New Roman"/>
        </w:rPr>
        <w:t xml:space="preserve">book for </w:t>
      </w:r>
      <w:r w:rsidR="000570E2">
        <w:rPr>
          <w:rFonts w:ascii="Calibri" w:eastAsia="Calibri" w:hAnsi="Calibri" w:cs="Times New Roman"/>
        </w:rPr>
        <w:t xml:space="preserve">priests </w:t>
      </w:r>
      <w:r>
        <w:rPr>
          <w:rFonts w:ascii="Calibri" w:eastAsia="Calibri" w:hAnsi="Calibri" w:cs="Times New Roman"/>
        </w:rPr>
        <w:t>during the medieval period that gave them</w:t>
      </w:r>
      <w:r w:rsidRPr="00E5564B">
        <w:rPr>
          <w:rFonts w:ascii="Calibri" w:eastAsia="Calibri" w:hAnsi="Calibri" w:cs="Times New Roman"/>
        </w:rPr>
        <w:t xml:space="preserve"> instructions on how to die, </w:t>
      </w:r>
      <w:r>
        <w:rPr>
          <w:rFonts w:ascii="Calibri" w:eastAsia="Calibri" w:hAnsi="Calibri" w:cs="Times New Roman"/>
        </w:rPr>
        <w:t xml:space="preserve">and the processes needed to die of a so called good death. </w:t>
      </w:r>
      <w:r w:rsidR="00347C8F">
        <w:rPr>
          <w:rFonts w:ascii="Calibri" w:eastAsia="Calibri" w:hAnsi="Calibri" w:cs="Times New Roman"/>
        </w:rPr>
        <w:t>We are unsure who wrote the Ars Moriendi however,</w:t>
      </w:r>
      <w:r w:rsidR="00347C8F" w:rsidRPr="00347C8F">
        <w:rPr>
          <w:rFonts w:ascii="Calibri" w:eastAsia="Calibri" w:hAnsi="Calibri" w:cs="Times New Roman"/>
        </w:rPr>
        <w:t xml:space="preserve"> O’ Connor believes that the Ars Moriendi may have been written by a Dominican.</w:t>
      </w:r>
      <w:r w:rsidR="00347C8F" w:rsidRPr="00347C8F">
        <w:rPr>
          <w:rFonts w:ascii="Calibri" w:eastAsia="Calibri" w:hAnsi="Calibri" w:cs="Times New Roman"/>
          <w:vertAlign w:val="superscript"/>
        </w:rPr>
        <w:footnoteReference w:id="1"/>
      </w:r>
      <w:r w:rsidR="00347C8F">
        <w:rPr>
          <w:rFonts w:ascii="Calibri" w:eastAsia="Calibri" w:hAnsi="Calibri" w:cs="Times New Roman"/>
        </w:rPr>
        <w:t xml:space="preserve"> </w:t>
      </w:r>
      <w:r>
        <w:rPr>
          <w:rFonts w:ascii="Calibri" w:eastAsia="Calibri" w:hAnsi="Calibri" w:cs="Times New Roman"/>
        </w:rPr>
        <w:t xml:space="preserve">The Ars Moriendi originates from the Ordo Vistante, an earlier instruction book that </w:t>
      </w:r>
      <w:r w:rsidR="000570E2">
        <w:rPr>
          <w:rFonts w:ascii="Calibri" w:eastAsia="Calibri" w:hAnsi="Calibri" w:cs="Times New Roman"/>
        </w:rPr>
        <w:t>priests</w:t>
      </w:r>
      <w:r>
        <w:rPr>
          <w:rFonts w:ascii="Calibri" w:eastAsia="Calibri" w:hAnsi="Calibri" w:cs="Times New Roman"/>
        </w:rPr>
        <w:t xml:space="preserve"> would follow during death</w:t>
      </w:r>
      <w:r w:rsidR="00E14241">
        <w:rPr>
          <w:rFonts w:ascii="Calibri" w:eastAsia="Calibri" w:hAnsi="Calibri" w:cs="Times New Roman"/>
        </w:rPr>
        <w:t>. We also know that the Ars Moriendi, was used to drum up support amongst the people and priesthood to prepare for death.</w:t>
      </w:r>
      <w:r w:rsidR="00375BBA">
        <w:rPr>
          <w:rFonts w:ascii="Calibri" w:eastAsia="Calibri" w:hAnsi="Calibri" w:cs="Times New Roman"/>
        </w:rPr>
        <w:t xml:space="preserve"> </w:t>
      </w:r>
      <w:r w:rsidR="005D68D1">
        <w:rPr>
          <w:rFonts w:ascii="Calibri" w:eastAsia="Calibri" w:hAnsi="Calibri" w:cs="Times New Roman"/>
        </w:rPr>
        <w:t xml:space="preserve">The book is present in two ways, there Is the handwritten book which speaks of death and how to die with the different teachings such as </w:t>
      </w:r>
      <w:r w:rsidR="00955C3B">
        <w:rPr>
          <w:rFonts w:ascii="Calibri" w:eastAsia="Calibri" w:hAnsi="Calibri" w:cs="Times New Roman"/>
        </w:rPr>
        <w:t xml:space="preserve">not to give into the five temptations. The second is a book of images representing the text, so this gives an illustrative view of how to die of a good death. </w:t>
      </w:r>
      <w:r w:rsidR="008F4248">
        <w:rPr>
          <w:rFonts w:ascii="Calibri" w:eastAsia="Calibri" w:hAnsi="Calibri" w:cs="Times New Roman"/>
        </w:rPr>
        <w:t>The popularity of this book, went beyond the clergy, something Rudolph believes was not meant to happen as it was firstly made as an instruction book as previously stated.</w:t>
      </w:r>
      <w:r w:rsidR="00347C8F">
        <w:rPr>
          <w:rStyle w:val="FootnoteReference"/>
          <w:rFonts w:ascii="Calibri" w:eastAsia="Calibri" w:hAnsi="Calibri" w:cs="Times New Roman"/>
        </w:rPr>
        <w:footnoteReference w:id="2"/>
      </w:r>
      <w:r w:rsidR="006F63D4" w:rsidRPr="006F63D4">
        <w:rPr>
          <w:rFonts w:ascii="Calibri" w:eastAsia="Calibri" w:hAnsi="Calibri" w:cs="Times New Roman"/>
        </w:rPr>
        <w:t xml:space="preserve"> </w:t>
      </w:r>
      <w:r w:rsidR="006F63D4" w:rsidRPr="008F5C73">
        <w:rPr>
          <w:rFonts w:ascii="Calibri" w:eastAsia="Calibri" w:hAnsi="Calibri" w:cs="Times New Roman"/>
        </w:rPr>
        <w:t>Binski argues that the Ars moriendi was vital to educate the public about dying well,</w:t>
      </w:r>
      <w:r w:rsidR="006F63D4" w:rsidRPr="008F5C73">
        <w:rPr>
          <w:rFonts w:ascii="Calibri" w:eastAsia="Calibri" w:hAnsi="Calibri" w:cs="Times New Roman"/>
          <w:vertAlign w:val="superscript"/>
        </w:rPr>
        <w:footnoteReference w:id="3"/>
      </w:r>
      <w:r w:rsidR="006F63D4" w:rsidRPr="008F5C73">
        <w:rPr>
          <w:rFonts w:ascii="Calibri" w:eastAsia="Calibri" w:hAnsi="Calibri" w:cs="Times New Roman"/>
        </w:rPr>
        <w:t xml:space="preserve"> which is further supported by Duclow as he feels this book was used to instruct and comfort those who were dying.</w:t>
      </w:r>
      <w:r w:rsidR="006F63D4" w:rsidRPr="008F5C73">
        <w:rPr>
          <w:rFonts w:ascii="Calibri" w:eastAsia="Calibri" w:hAnsi="Calibri" w:cs="Times New Roman"/>
          <w:vertAlign w:val="superscript"/>
        </w:rPr>
        <w:footnoteReference w:id="4"/>
      </w:r>
    </w:p>
    <w:p w:rsidR="004A53B7" w:rsidRPr="004A53B7" w:rsidRDefault="006718EF" w:rsidP="003C3865">
      <w:pPr>
        <w:spacing w:line="480" w:lineRule="auto"/>
        <w:jc w:val="both"/>
        <w:rPr>
          <w:rFonts w:ascii="Calibri" w:eastAsia="Calibri" w:hAnsi="Calibri" w:cs="Times New Roman"/>
          <w:lang w:val="en-US"/>
        </w:rPr>
      </w:pPr>
      <w:r>
        <w:rPr>
          <w:rFonts w:ascii="Calibri" w:eastAsia="Calibri" w:hAnsi="Calibri" w:cs="Times New Roman"/>
        </w:rPr>
        <w:t xml:space="preserve">We must now </w:t>
      </w:r>
      <w:r w:rsidR="00C4581B">
        <w:rPr>
          <w:rFonts w:ascii="Calibri" w:eastAsia="Calibri" w:hAnsi="Calibri" w:cs="Times New Roman"/>
        </w:rPr>
        <w:t>look what</w:t>
      </w:r>
      <w:r w:rsidR="00E14241">
        <w:rPr>
          <w:rFonts w:ascii="Calibri" w:eastAsia="Calibri" w:hAnsi="Calibri" w:cs="Times New Roman"/>
        </w:rPr>
        <w:t xml:space="preserve"> the image of the Good Death represents. </w:t>
      </w:r>
      <w:r w:rsidR="00C4581B">
        <w:rPr>
          <w:rFonts w:ascii="Calibri" w:eastAsia="Calibri" w:hAnsi="Calibri" w:cs="Times New Roman"/>
        </w:rPr>
        <w:t>Firstly,</w:t>
      </w:r>
      <w:r w:rsidR="00E14241">
        <w:rPr>
          <w:rFonts w:ascii="Calibri" w:eastAsia="Calibri" w:hAnsi="Calibri" w:cs="Times New Roman"/>
        </w:rPr>
        <w:t xml:space="preserve"> we can se</w:t>
      </w:r>
      <w:r w:rsidR="009377C8">
        <w:rPr>
          <w:rFonts w:ascii="Calibri" w:eastAsia="Calibri" w:hAnsi="Calibri" w:cs="Times New Roman"/>
        </w:rPr>
        <w:t xml:space="preserve">e that the dying man is surrounded by angels and saints, we can even see in the image that the virgin Mary is present. This </w:t>
      </w:r>
      <w:r w:rsidR="00C4581B">
        <w:rPr>
          <w:rFonts w:ascii="Calibri" w:eastAsia="Calibri" w:hAnsi="Calibri" w:cs="Times New Roman"/>
        </w:rPr>
        <w:t>presence</w:t>
      </w:r>
      <w:r w:rsidR="009377C8">
        <w:rPr>
          <w:rFonts w:ascii="Calibri" w:eastAsia="Calibri" w:hAnsi="Calibri" w:cs="Times New Roman"/>
        </w:rPr>
        <w:t xml:space="preserve"> of such </w:t>
      </w:r>
      <w:r w:rsidR="00C4581B">
        <w:rPr>
          <w:rFonts w:ascii="Calibri" w:eastAsia="Calibri" w:hAnsi="Calibri" w:cs="Times New Roman"/>
        </w:rPr>
        <w:t>high-ranking</w:t>
      </w:r>
      <w:r w:rsidR="009377C8">
        <w:rPr>
          <w:rFonts w:ascii="Calibri" w:eastAsia="Calibri" w:hAnsi="Calibri" w:cs="Times New Roman"/>
        </w:rPr>
        <w:t xml:space="preserve"> </w:t>
      </w:r>
      <w:r w:rsidR="00C4581B">
        <w:rPr>
          <w:rFonts w:ascii="Calibri" w:eastAsia="Calibri" w:hAnsi="Calibri" w:cs="Times New Roman"/>
        </w:rPr>
        <w:t>individuals</w:t>
      </w:r>
      <w:r w:rsidR="009377C8">
        <w:rPr>
          <w:rFonts w:ascii="Calibri" w:eastAsia="Calibri" w:hAnsi="Calibri" w:cs="Times New Roman"/>
        </w:rPr>
        <w:t xml:space="preserve"> like the virgin Mary, signifies that to die a good death </w:t>
      </w:r>
      <w:r w:rsidR="009377C8">
        <w:rPr>
          <w:rFonts w:ascii="Calibri" w:eastAsia="Calibri" w:hAnsi="Calibri" w:cs="Times New Roman"/>
        </w:rPr>
        <w:lastRenderedPageBreak/>
        <w:t xml:space="preserve">one </w:t>
      </w:r>
      <w:r w:rsidR="00023051">
        <w:rPr>
          <w:rFonts w:ascii="Calibri" w:eastAsia="Calibri" w:hAnsi="Calibri" w:cs="Times New Roman"/>
        </w:rPr>
        <w:t>should</w:t>
      </w:r>
      <w:r w:rsidR="009377C8">
        <w:rPr>
          <w:rFonts w:ascii="Calibri" w:eastAsia="Calibri" w:hAnsi="Calibri" w:cs="Times New Roman"/>
        </w:rPr>
        <w:t xml:space="preserve"> be surrounded with religious figures to help guide the soul into th</w:t>
      </w:r>
      <w:r w:rsidR="00F25AB8">
        <w:rPr>
          <w:rFonts w:ascii="Calibri" w:eastAsia="Calibri" w:hAnsi="Calibri" w:cs="Times New Roman"/>
        </w:rPr>
        <w:t>e afterlife.</w:t>
      </w:r>
      <w:r w:rsidR="00BF5904">
        <w:rPr>
          <w:rStyle w:val="FootnoteReference"/>
          <w:rFonts w:ascii="Calibri" w:eastAsia="Calibri" w:hAnsi="Calibri" w:cs="Times New Roman"/>
        </w:rPr>
        <w:footnoteReference w:id="5"/>
      </w:r>
      <w:r w:rsidR="00F25AB8">
        <w:rPr>
          <w:rFonts w:ascii="Calibri" w:eastAsia="Calibri" w:hAnsi="Calibri" w:cs="Times New Roman"/>
        </w:rPr>
        <w:t xml:space="preserve"> </w:t>
      </w:r>
      <w:r w:rsidR="007B589D">
        <w:rPr>
          <w:rFonts w:ascii="Calibri" w:eastAsia="Calibri" w:hAnsi="Calibri" w:cs="Times New Roman"/>
        </w:rPr>
        <w:t xml:space="preserve"> The presence of the virgin Mary in the good death, could signify the dying person leaving his earthly body, as the virgin Mary represents dormition.</w:t>
      </w:r>
      <w:r w:rsidR="007B589D">
        <w:rPr>
          <w:rStyle w:val="FootnoteReference"/>
          <w:rFonts w:ascii="Calibri" w:eastAsia="Calibri" w:hAnsi="Calibri" w:cs="Times New Roman"/>
        </w:rPr>
        <w:footnoteReference w:id="6"/>
      </w:r>
      <w:r w:rsidR="007B589D">
        <w:rPr>
          <w:rFonts w:ascii="Calibri" w:eastAsia="Calibri" w:hAnsi="Calibri" w:cs="Times New Roman"/>
        </w:rPr>
        <w:t xml:space="preserve"> </w:t>
      </w:r>
      <w:r w:rsidR="00F25AB8">
        <w:rPr>
          <w:rFonts w:ascii="Calibri" w:eastAsia="Calibri" w:hAnsi="Calibri" w:cs="Times New Roman"/>
        </w:rPr>
        <w:t>Another key aspect of</w:t>
      </w:r>
      <w:r w:rsidR="009377C8">
        <w:rPr>
          <w:rFonts w:ascii="Calibri" w:eastAsia="Calibri" w:hAnsi="Calibri" w:cs="Times New Roman"/>
        </w:rPr>
        <w:t xml:space="preserve"> the image is the fact that Jesus dying on the cross is present, thus representing the sacrifice Jesus has made for </w:t>
      </w:r>
      <w:r w:rsidR="00C4581B">
        <w:rPr>
          <w:rFonts w:ascii="Calibri" w:eastAsia="Calibri" w:hAnsi="Calibri" w:cs="Times New Roman"/>
        </w:rPr>
        <w:t>Christianity</w:t>
      </w:r>
      <w:r w:rsidR="00F25AB8">
        <w:rPr>
          <w:rFonts w:ascii="Calibri" w:eastAsia="Calibri" w:hAnsi="Calibri" w:cs="Times New Roman"/>
        </w:rPr>
        <w:t xml:space="preserve">, </w:t>
      </w:r>
      <w:r w:rsidR="007D2D31">
        <w:rPr>
          <w:rFonts w:ascii="Calibri" w:eastAsia="Calibri" w:hAnsi="Calibri" w:cs="Times New Roman"/>
        </w:rPr>
        <w:t xml:space="preserve">signifying to us that </w:t>
      </w:r>
      <w:r w:rsidR="009377C8">
        <w:rPr>
          <w:rFonts w:ascii="Calibri" w:eastAsia="Calibri" w:hAnsi="Calibri" w:cs="Times New Roman"/>
        </w:rPr>
        <w:t xml:space="preserve">to die a Good Death, one </w:t>
      </w:r>
      <w:r w:rsidR="00023051">
        <w:rPr>
          <w:rFonts w:ascii="Calibri" w:eastAsia="Calibri" w:hAnsi="Calibri" w:cs="Times New Roman"/>
        </w:rPr>
        <w:t>should</w:t>
      </w:r>
      <w:r w:rsidR="009377C8">
        <w:rPr>
          <w:rFonts w:ascii="Calibri" w:eastAsia="Calibri" w:hAnsi="Calibri" w:cs="Times New Roman"/>
        </w:rPr>
        <w:t xml:space="preserve"> sacrifice everything to Christianity with this sense of a </w:t>
      </w:r>
      <w:r w:rsidR="00C4581B">
        <w:rPr>
          <w:rFonts w:ascii="Calibri" w:eastAsia="Calibri" w:hAnsi="Calibri" w:cs="Times New Roman"/>
        </w:rPr>
        <w:t>divine</w:t>
      </w:r>
      <w:r w:rsidR="009377C8">
        <w:rPr>
          <w:rFonts w:ascii="Calibri" w:eastAsia="Calibri" w:hAnsi="Calibri" w:cs="Times New Roman"/>
        </w:rPr>
        <w:t xml:space="preserve"> privilege to be at one with god.</w:t>
      </w:r>
      <w:r w:rsidR="003065C2">
        <w:rPr>
          <w:rFonts w:ascii="Calibri" w:eastAsia="Calibri" w:hAnsi="Calibri" w:cs="Times New Roman"/>
        </w:rPr>
        <w:t xml:space="preserve"> This sense of </w:t>
      </w:r>
      <w:r w:rsidR="00C4581B">
        <w:rPr>
          <w:rFonts w:ascii="Calibri" w:eastAsia="Calibri" w:hAnsi="Calibri" w:cs="Times New Roman"/>
        </w:rPr>
        <w:t>divine</w:t>
      </w:r>
      <w:r w:rsidR="003065C2">
        <w:rPr>
          <w:rFonts w:ascii="Calibri" w:eastAsia="Calibri" w:hAnsi="Calibri" w:cs="Times New Roman"/>
        </w:rPr>
        <w:t xml:space="preserve"> purpose is shown in Phillips and </w:t>
      </w:r>
      <w:r w:rsidR="00C4581B">
        <w:rPr>
          <w:rFonts w:ascii="Calibri" w:eastAsia="Calibri" w:hAnsi="Calibri" w:cs="Times New Roman"/>
        </w:rPr>
        <w:t>Thornton’s</w:t>
      </w:r>
      <w:r w:rsidR="003065C2">
        <w:rPr>
          <w:rFonts w:ascii="Calibri" w:eastAsia="Calibri" w:hAnsi="Calibri" w:cs="Times New Roman"/>
        </w:rPr>
        <w:t xml:space="preserve"> article, which states that the Ars Moriendi shows death was a performance and to some extent </w:t>
      </w:r>
      <w:r w:rsidR="00F25AB8">
        <w:rPr>
          <w:rFonts w:ascii="Calibri" w:eastAsia="Calibri" w:hAnsi="Calibri" w:cs="Times New Roman"/>
        </w:rPr>
        <w:t xml:space="preserve">a </w:t>
      </w:r>
      <w:r w:rsidR="003065C2">
        <w:rPr>
          <w:rFonts w:ascii="Calibri" w:eastAsia="Calibri" w:hAnsi="Calibri" w:cs="Times New Roman"/>
        </w:rPr>
        <w:t>submissive will</w:t>
      </w:r>
      <w:r w:rsidR="007D2D31">
        <w:rPr>
          <w:rFonts w:ascii="Calibri" w:eastAsia="Calibri" w:hAnsi="Calibri" w:cs="Times New Roman"/>
        </w:rPr>
        <w:t xml:space="preserve"> </w:t>
      </w:r>
      <w:r w:rsidR="003065C2">
        <w:rPr>
          <w:rFonts w:ascii="Calibri" w:eastAsia="Calibri" w:hAnsi="Calibri" w:cs="Times New Roman"/>
        </w:rPr>
        <w:t xml:space="preserve">to </w:t>
      </w:r>
      <w:r w:rsidR="00C5469A">
        <w:rPr>
          <w:rFonts w:ascii="Calibri" w:eastAsia="Calibri" w:hAnsi="Calibri" w:cs="Times New Roman"/>
        </w:rPr>
        <w:t xml:space="preserve">gain </w:t>
      </w:r>
      <w:r w:rsidR="003065C2">
        <w:rPr>
          <w:rFonts w:ascii="Calibri" w:eastAsia="Calibri" w:hAnsi="Calibri" w:cs="Times New Roman"/>
        </w:rPr>
        <w:t>a good death.</w:t>
      </w:r>
      <w:r w:rsidR="00C4581B">
        <w:rPr>
          <w:rStyle w:val="FootnoteReference"/>
          <w:rFonts w:ascii="Calibri" w:eastAsia="Calibri" w:hAnsi="Calibri" w:cs="Times New Roman"/>
        </w:rPr>
        <w:footnoteReference w:id="7"/>
      </w:r>
      <w:r w:rsidR="00641921">
        <w:rPr>
          <w:rFonts w:ascii="Calibri" w:eastAsia="Calibri" w:hAnsi="Calibri" w:cs="Times New Roman"/>
        </w:rPr>
        <w:t xml:space="preserve"> </w:t>
      </w:r>
      <w:r w:rsidR="00347C8F" w:rsidRPr="00347C8F">
        <w:rPr>
          <w:rFonts w:ascii="Calibri" w:eastAsia="Calibri" w:hAnsi="Calibri" w:cs="Times New Roman"/>
        </w:rPr>
        <w:t xml:space="preserve">We see Christ in another scene from the Ars Moriendi collection and this is the avarice depiction of death, and according to Duclow Christ on the cross here is represented to show </w:t>
      </w:r>
      <w:proofErr w:type="spellStart"/>
      <w:r w:rsidR="00347C8F" w:rsidRPr="00347C8F">
        <w:rPr>
          <w:rFonts w:ascii="Calibri" w:eastAsia="Calibri" w:hAnsi="Calibri" w:cs="Times New Roman"/>
        </w:rPr>
        <w:t>Moriens</w:t>
      </w:r>
      <w:proofErr w:type="spellEnd"/>
      <w:r w:rsidR="00347C8F" w:rsidRPr="00347C8F">
        <w:rPr>
          <w:rFonts w:ascii="Calibri" w:eastAsia="Calibri" w:hAnsi="Calibri" w:cs="Times New Roman"/>
        </w:rPr>
        <w:t xml:space="preserve"> Christ</w:t>
      </w:r>
      <w:r w:rsidR="00590867">
        <w:rPr>
          <w:rFonts w:ascii="Calibri" w:eastAsia="Calibri" w:hAnsi="Calibri" w:cs="Times New Roman"/>
        </w:rPr>
        <w:t>s</w:t>
      </w:r>
      <w:r w:rsidR="00347C8F" w:rsidRPr="00347C8F">
        <w:rPr>
          <w:rFonts w:ascii="Calibri" w:eastAsia="Calibri" w:hAnsi="Calibri" w:cs="Times New Roman"/>
        </w:rPr>
        <w:t xml:space="preserve"> detachment.</w:t>
      </w:r>
      <w:r w:rsidR="00347C8F" w:rsidRPr="00347C8F">
        <w:rPr>
          <w:rFonts w:ascii="Calibri" w:eastAsia="Calibri" w:hAnsi="Calibri" w:cs="Times New Roman"/>
          <w:vertAlign w:val="superscript"/>
        </w:rPr>
        <w:footnoteReference w:id="8"/>
      </w:r>
      <w:r w:rsidR="004A53B7" w:rsidRPr="004A53B7">
        <w:rPr>
          <w:rFonts w:ascii="Calibri" w:eastAsia="Calibri" w:hAnsi="Calibri" w:cs="Times New Roman"/>
        </w:rPr>
        <w:t xml:space="preserve"> There is also iconography present in this image of the good death, and this is seen with the priest giving the dying man a candle, which is representative of the last rites.</w:t>
      </w:r>
      <w:r w:rsidR="004A53B7" w:rsidRPr="004A53B7">
        <w:rPr>
          <w:rFonts w:ascii="Calibri" w:eastAsia="Calibri" w:hAnsi="Calibri" w:cs="Times New Roman"/>
          <w:vertAlign w:val="superscript"/>
        </w:rPr>
        <w:footnoteReference w:id="9"/>
      </w:r>
      <w:r w:rsidR="004A53B7" w:rsidRPr="004A53B7">
        <w:rPr>
          <w:rFonts w:ascii="Calibri" w:eastAsia="Calibri" w:hAnsi="Calibri" w:cs="Times New Roman"/>
          <w:lang w:val="en-US"/>
        </w:rPr>
        <w:t xml:space="preserve">As well as this there is angles above the dying persons head holding the dying persons soul, with the small representation of a person. This person is indeed a child, </w:t>
      </w:r>
      <w:r w:rsidR="004A53B7" w:rsidRPr="004A53B7">
        <w:rPr>
          <w:rFonts w:ascii="Calibri" w:eastAsia="Calibri" w:hAnsi="Calibri" w:cs="Times New Roman"/>
          <w:vertAlign w:val="superscript"/>
          <w:lang w:val="en-US"/>
        </w:rPr>
        <w:footnoteReference w:id="10"/>
      </w:r>
      <w:r w:rsidR="004A53B7" w:rsidRPr="004A53B7">
        <w:rPr>
          <w:rFonts w:ascii="Calibri" w:eastAsia="Calibri" w:hAnsi="Calibri" w:cs="Times New Roman"/>
          <w:lang w:val="en-US"/>
        </w:rPr>
        <w:t xml:space="preserve">and one </w:t>
      </w:r>
      <w:r w:rsidR="006A6284" w:rsidRPr="004A53B7">
        <w:rPr>
          <w:rFonts w:ascii="Calibri" w:eastAsia="Calibri" w:hAnsi="Calibri" w:cs="Times New Roman"/>
          <w:lang w:val="en-US"/>
        </w:rPr>
        <w:t>must</w:t>
      </w:r>
      <w:r w:rsidR="004A53B7" w:rsidRPr="004A53B7">
        <w:rPr>
          <w:rFonts w:ascii="Calibri" w:eastAsia="Calibri" w:hAnsi="Calibri" w:cs="Times New Roman"/>
          <w:lang w:val="en-US"/>
        </w:rPr>
        <w:t xml:space="preserve"> feel that a child is used to represent a pure soul, as a child would not have sinned previously.</w:t>
      </w:r>
    </w:p>
    <w:p w:rsidR="00C740F1" w:rsidRDefault="00590867" w:rsidP="003C3865">
      <w:pPr>
        <w:spacing w:line="480" w:lineRule="auto"/>
        <w:jc w:val="both"/>
        <w:rPr>
          <w:rFonts w:ascii="Calibri" w:eastAsia="Calibri" w:hAnsi="Calibri" w:cs="Times New Roman"/>
        </w:rPr>
      </w:pPr>
      <w:r>
        <w:rPr>
          <w:rFonts w:ascii="Calibri" w:eastAsia="Calibri" w:hAnsi="Calibri" w:cs="Times New Roman"/>
        </w:rPr>
        <w:t>This attitud</w:t>
      </w:r>
      <w:r w:rsidR="00641921">
        <w:rPr>
          <w:rFonts w:ascii="Calibri" w:eastAsia="Calibri" w:hAnsi="Calibri" w:cs="Times New Roman"/>
        </w:rPr>
        <w:t>e that the Ars Moriendi is a performance comes from Aries belief, he believes that death was seen “as a performance framed by religious belief”,</w:t>
      </w:r>
      <w:r w:rsidR="00641921">
        <w:rPr>
          <w:rStyle w:val="FootnoteReference"/>
          <w:rFonts w:ascii="Calibri" w:eastAsia="Calibri" w:hAnsi="Calibri" w:cs="Times New Roman"/>
        </w:rPr>
        <w:footnoteReference w:id="11"/>
      </w:r>
      <w:r w:rsidR="007D2D31">
        <w:rPr>
          <w:rFonts w:ascii="Calibri" w:eastAsia="Calibri" w:hAnsi="Calibri" w:cs="Times New Roman"/>
        </w:rPr>
        <w:t xml:space="preserve"> a</w:t>
      </w:r>
      <w:r w:rsidR="0046367F">
        <w:rPr>
          <w:rFonts w:ascii="Calibri" w:eastAsia="Calibri" w:hAnsi="Calibri" w:cs="Times New Roman"/>
        </w:rPr>
        <w:t>nd you can see this in</w:t>
      </w:r>
      <w:r w:rsidR="007D2D31">
        <w:rPr>
          <w:rFonts w:ascii="Calibri" w:eastAsia="Calibri" w:hAnsi="Calibri" w:cs="Times New Roman"/>
        </w:rPr>
        <w:t xml:space="preserve"> the image of the Good Death</w:t>
      </w:r>
      <w:r w:rsidR="0046367F">
        <w:rPr>
          <w:rFonts w:ascii="Calibri" w:eastAsia="Calibri" w:hAnsi="Calibri" w:cs="Times New Roman"/>
        </w:rPr>
        <w:t xml:space="preserve"> as it represents</w:t>
      </w:r>
      <w:r w:rsidR="007D2D31">
        <w:rPr>
          <w:rFonts w:ascii="Calibri" w:eastAsia="Calibri" w:hAnsi="Calibri" w:cs="Times New Roman"/>
        </w:rPr>
        <w:t xml:space="preserve"> the religious figure heads given a stage to show themselves to hammer down their message and represent what it means to be Christian and to indeed die well.</w:t>
      </w:r>
      <w:r w:rsidR="00F7062E">
        <w:rPr>
          <w:rFonts w:ascii="Calibri" w:eastAsia="Calibri" w:hAnsi="Calibri" w:cs="Times New Roman"/>
        </w:rPr>
        <w:t xml:space="preserve">  Further </w:t>
      </w:r>
      <w:r w:rsidR="00F7062E">
        <w:rPr>
          <w:rFonts w:ascii="Calibri" w:eastAsia="Calibri" w:hAnsi="Calibri" w:cs="Times New Roman"/>
        </w:rPr>
        <w:lastRenderedPageBreak/>
        <w:t xml:space="preserve">evidence that supports Aries view is that death </w:t>
      </w:r>
      <w:r w:rsidR="00023051">
        <w:rPr>
          <w:rFonts w:ascii="Calibri" w:eastAsia="Calibri" w:hAnsi="Calibri" w:cs="Times New Roman"/>
        </w:rPr>
        <w:t>was</w:t>
      </w:r>
      <w:r w:rsidR="00CB4CA5">
        <w:rPr>
          <w:rFonts w:ascii="Calibri" w:eastAsia="Calibri" w:hAnsi="Calibri" w:cs="Times New Roman"/>
        </w:rPr>
        <w:t xml:space="preserve"> the enemy in the medieval period,</w:t>
      </w:r>
      <w:r w:rsidR="00023051">
        <w:rPr>
          <w:rStyle w:val="FootnoteReference"/>
          <w:rFonts w:ascii="Calibri" w:eastAsia="Calibri" w:hAnsi="Calibri" w:cs="Times New Roman"/>
        </w:rPr>
        <w:footnoteReference w:id="12"/>
      </w:r>
      <w:r w:rsidR="00CB4CA5">
        <w:rPr>
          <w:rFonts w:ascii="Calibri" w:eastAsia="Calibri" w:hAnsi="Calibri" w:cs="Times New Roman"/>
        </w:rPr>
        <w:t xml:space="preserve"> which gives it more of a </w:t>
      </w:r>
      <w:r w:rsidR="00023051">
        <w:rPr>
          <w:rFonts w:ascii="Calibri" w:eastAsia="Calibri" w:hAnsi="Calibri" w:cs="Times New Roman"/>
        </w:rPr>
        <w:t>validation</w:t>
      </w:r>
      <w:r w:rsidR="00CB4CA5">
        <w:rPr>
          <w:rFonts w:ascii="Calibri" w:eastAsia="Calibri" w:hAnsi="Calibri" w:cs="Times New Roman"/>
        </w:rPr>
        <w:t xml:space="preserve"> of it being</w:t>
      </w:r>
      <w:r w:rsidR="00023051">
        <w:rPr>
          <w:rFonts w:ascii="Calibri" w:eastAsia="Calibri" w:hAnsi="Calibri" w:cs="Times New Roman"/>
        </w:rPr>
        <w:t xml:space="preserve"> a performance as we see in the image</w:t>
      </w:r>
      <w:r w:rsidR="0046367F">
        <w:rPr>
          <w:rFonts w:ascii="Calibri" w:eastAsia="Calibri" w:hAnsi="Calibri" w:cs="Times New Roman"/>
        </w:rPr>
        <w:t>,</w:t>
      </w:r>
      <w:r w:rsidR="00023051">
        <w:rPr>
          <w:rFonts w:ascii="Calibri" w:eastAsia="Calibri" w:hAnsi="Calibri" w:cs="Times New Roman"/>
        </w:rPr>
        <w:t xml:space="preserve"> there are demons at the bottom of the picture suggesting a batt</w:t>
      </w:r>
      <w:r w:rsidR="0046367F">
        <w:rPr>
          <w:rFonts w:ascii="Calibri" w:eastAsia="Calibri" w:hAnsi="Calibri" w:cs="Times New Roman"/>
        </w:rPr>
        <w:t>le is going on with good battling</w:t>
      </w:r>
      <w:r w:rsidR="00023051">
        <w:rPr>
          <w:rFonts w:ascii="Calibri" w:eastAsia="Calibri" w:hAnsi="Calibri" w:cs="Times New Roman"/>
        </w:rPr>
        <w:t xml:space="preserve"> bad the ultimate </w:t>
      </w:r>
      <w:r w:rsidR="00514068">
        <w:rPr>
          <w:rFonts w:ascii="Calibri" w:eastAsia="Calibri" w:hAnsi="Calibri" w:cs="Times New Roman"/>
        </w:rPr>
        <w:t>performance. Duclow</w:t>
      </w:r>
      <w:r w:rsidR="00E464C9">
        <w:rPr>
          <w:rFonts w:ascii="Calibri" w:eastAsia="Calibri" w:hAnsi="Calibri" w:cs="Times New Roman"/>
        </w:rPr>
        <w:t xml:space="preserve"> also believes </w:t>
      </w:r>
      <w:r w:rsidR="00514068">
        <w:rPr>
          <w:rFonts w:ascii="Calibri" w:eastAsia="Calibri" w:hAnsi="Calibri" w:cs="Times New Roman"/>
        </w:rPr>
        <w:t>this image</w:t>
      </w:r>
      <w:r w:rsidR="00E464C9">
        <w:rPr>
          <w:rFonts w:ascii="Calibri" w:eastAsia="Calibri" w:hAnsi="Calibri" w:cs="Times New Roman"/>
        </w:rPr>
        <w:t xml:space="preserve"> show the drama that comes with a medieval death,</w:t>
      </w:r>
      <w:r w:rsidR="00E464C9">
        <w:rPr>
          <w:rStyle w:val="FootnoteReference"/>
          <w:rFonts w:ascii="Calibri" w:eastAsia="Calibri" w:hAnsi="Calibri" w:cs="Times New Roman"/>
        </w:rPr>
        <w:footnoteReference w:id="13"/>
      </w:r>
      <w:r w:rsidR="00E464C9">
        <w:rPr>
          <w:rFonts w:ascii="Calibri" w:eastAsia="Calibri" w:hAnsi="Calibri" w:cs="Times New Roman"/>
        </w:rPr>
        <w:t xml:space="preserve"> which is supportive of the point previously made with death being a performance to these people.</w:t>
      </w:r>
    </w:p>
    <w:p w:rsidR="008F5C73" w:rsidRDefault="00C773DE" w:rsidP="003C3865">
      <w:pPr>
        <w:spacing w:line="480" w:lineRule="auto"/>
        <w:jc w:val="both"/>
        <w:rPr>
          <w:rFonts w:ascii="Calibri" w:eastAsia="Calibri" w:hAnsi="Calibri" w:cs="Times New Roman"/>
        </w:rPr>
      </w:pPr>
      <w:r>
        <w:rPr>
          <w:rFonts w:ascii="Calibri" w:eastAsia="Calibri" w:hAnsi="Calibri" w:cs="Times New Roman"/>
        </w:rPr>
        <w:t xml:space="preserve">There is another element to Aries views on the Ars Moriendi and this is the view that the Ars Moriendi had changed </w:t>
      </w:r>
      <w:r w:rsidR="00514068">
        <w:rPr>
          <w:rFonts w:ascii="Calibri" w:eastAsia="Calibri" w:hAnsi="Calibri" w:cs="Times New Roman"/>
        </w:rPr>
        <w:t>peoples’</w:t>
      </w:r>
      <w:r>
        <w:rPr>
          <w:rFonts w:ascii="Calibri" w:eastAsia="Calibri" w:hAnsi="Calibri" w:cs="Times New Roman"/>
        </w:rPr>
        <w:t xml:space="preserve"> </w:t>
      </w:r>
      <w:r w:rsidR="00514068">
        <w:rPr>
          <w:rFonts w:ascii="Calibri" w:eastAsia="Calibri" w:hAnsi="Calibri" w:cs="Times New Roman"/>
        </w:rPr>
        <w:t>perceptions</w:t>
      </w:r>
      <w:r>
        <w:rPr>
          <w:rFonts w:ascii="Calibri" w:eastAsia="Calibri" w:hAnsi="Calibri" w:cs="Times New Roman"/>
        </w:rPr>
        <w:t xml:space="preserve">, in the sense that when you die you would be individually judged rather, than judged </w:t>
      </w:r>
      <w:r w:rsidR="00C32B45">
        <w:rPr>
          <w:rFonts w:ascii="Calibri" w:eastAsia="Calibri" w:hAnsi="Calibri" w:cs="Times New Roman"/>
        </w:rPr>
        <w:t>as a religion</w:t>
      </w:r>
      <w:r>
        <w:rPr>
          <w:rFonts w:ascii="Calibri" w:eastAsia="Calibri" w:hAnsi="Calibri" w:cs="Times New Roman"/>
        </w:rPr>
        <w:t xml:space="preserve"> in terms</w:t>
      </w:r>
      <w:r w:rsidR="00514068">
        <w:rPr>
          <w:rFonts w:ascii="Calibri" w:eastAsia="Calibri" w:hAnsi="Calibri" w:cs="Times New Roman"/>
        </w:rPr>
        <w:t xml:space="preserve"> of judgement day and the apocalypse</w:t>
      </w:r>
      <w:r>
        <w:rPr>
          <w:rFonts w:ascii="Calibri" w:eastAsia="Calibri" w:hAnsi="Calibri" w:cs="Times New Roman"/>
        </w:rPr>
        <w:t>.</w:t>
      </w:r>
      <w:r w:rsidR="00C12B40">
        <w:rPr>
          <w:rStyle w:val="FootnoteReference"/>
          <w:rFonts w:ascii="Calibri" w:eastAsia="Calibri" w:hAnsi="Calibri" w:cs="Times New Roman"/>
        </w:rPr>
        <w:footnoteReference w:id="14"/>
      </w:r>
      <w:r>
        <w:rPr>
          <w:rFonts w:ascii="Calibri" w:eastAsia="Calibri" w:hAnsi="Calibri" w:cs="Times New Roman"/>
        </w:rPr>
        <w:t xml:space="preserve"> This is apparent in this image as we are seeing Moriendi being judged on a good death, surrounded by the key figures of Christianity. </w:t>
      </w:r>
    </w:p>
    <w:p w:rsidR="008A44C8" w:rsidRDefault="008A44C8" w:rsidP="003C3865">
      <w:pPr>
        <w:spacing w:line="480" w:lineRule="auto"/>
        <w:jc w:val="both"/>
        <w:rPr>
          <w:rFonts w:ascii="Calibri" w:eastAsia="Calibri" w:hAnsi="Calibri" w:cs="Times New Roman"/>
        </w:rPr>
      </w:pPr>
      <w:r>
        <w:rPr>
          <w:rFonts w:ascii="Calibri" w:eastAsia="Calibri" w:hAnsi="Calibri" w:cs="Times New Roman"/>
        </w:rPr>
        <w:t xml:space="preserve">The Ars </w:t>
      </w:r>
      <w:proofErr w:type="spellStart"/>
      <w:r>
        <w:rPr>
          <w:rFonts w:ascii="Calibri" w:eastAsia="Calibri" w:hAnsi="Calibri" w:cs="Times New Roman"/>
        </w:rPr>
        <w:t>Morie</w:t>
      </w:r>
      <w:r w:rsidR="00B5134E">
        <w:rPr>
          <w:rFonts w:ascii="Calibri" w:eastAsia="Calibri" w:hAnsi="Calibri" w:cs="Times New Roman"/>
        </w:rPr>
        <w:t>ndi</w:t>
      </w:r>
      <w:proofErr w:type="spellEnd"/>
      <w:r w:rsidR="00DC516A">
        <w:rPr>
          <w:rFonts w:ascii="Calibri" w:eastAsia="Calibri" w:hAnsi="Calibri" w:cs="Times New Roman"/>
        </w:rPr>
        <w:t xml:space="preserve"> however</w:t>
      </w:r>
      <w:r w:rsidR="00B5134E">
        <w:rPr>
          <w:rFonts w:ascii="Calibri" w:eastAsia="Calibri" w:hAnsi="Calibri" w:cs="Times New Roman"/>
        </w:rPr>
        <w:t>,</w:t>
      </w:r>
      <w:r w:rsidR="00DC516A">
        <w:rPr>
          <w:rFonts w:ascii="Calibri" w:eastAsia="Calibri" w:hAnsi="Calibri" w:cs="Times New Roman"/>
        </w:rPr>
        <w:t xml:space="preserve"> fails to show</w:t>
      </w:r>
      <w:r>
        <w:rPr>
          <w:rFonts w:ascii="Calibri" w:eastAsia="Calibri" w:hAnsi="Calibri" w:cs="Times New Roman"/>
        </w:rPr>
        <w:t xml:space="preserve"> what is happening within medieval Europe </w:t>
      </w:r>
      <w:proofErr w:type="gramStart"/>
      <w:r>
        <w:rPr>
          <w:rFonts w:ascii="Calibri" w:eastAsia="Calibri" w:hAnsi="Calibri" w:cs="Times New Roman"/>
        </w:rPr>
        <w:t>at this time</w:t>
      </w:r>
      <w:proofErr w:type="gramEnd"/>
      <w:r>
        <w:rPr>
          <w:rFonts w:ascii="Calibri" w:eastAsia="Calibri" w:hAnsi="Calibri" w:cs="Times New Roman"/>
        </w:rPr>
        <w:t xml:space="preserve">, which to some extent could give us the answers as to why it was so popular. The books </w:t>
      </w:r>
      <w:r w:rsidR="00C32B45">
        <w:rPr>
          <w:rFonts w:ascii="Calibri" w:eastAsia="Calibri" w:hAnsi="Calibri" w:cs="Times New Roman"/>
        </w:rPr>
        <w:t>popularity</w:t>
      </w:r>
      <w:r>
        <w:rPr>
          <w:rFonts w:ascii="Calibri" w:eastAsia="Calibri" w:hAnsi="Calibri" w:cs="Times New Roman"/>
        </w:rPr>
        <w:t xml:space="preserve"> had to be helped by the catastrophe of the black plague, with thousands dying all over Europe, there had to be some religious text </w:t>
      </w:r>
      <w:r w:rsidR="00C32B45">
        <w:rPr>
          <w:rFonts w:ascii="Calibri" w:eastAsia="Calibri" w:hAnsi="Calibri" w:cs="Times New Roman"/>
        </w:rPr>
        <w:t>or meaning people would turn to</w:t>
      </w:r>
      <w:r w:rsidR="00DC516A">
        <w:rPr>
          <w:rFonts w:ascii="Calibri" w:eastAsia="Calibri" w:hAnsi="Calibri" w:cs="Times New Roman"/>
        </w:rPr>
        <w:t>, to</w:t>
      </w:r>
      <w:r w:rsidR="00C32B45">
        <w:rPr>
          <w:rFonts w:ascii="Calibri" w:eastAsia="Calibri" w:hAnsi="Calibri" w:cs="Times New Roman"/>
        </w:rPr>
        <w:t xml:space="preserve"> not fear death as the Ars M</w:t>
      </w:r>
      <w:r w:rsidR="00D15DDB">
        <w:rPr>
          <w:rFonts w:ascii="Calibri" w:eastAsia="Calibri" w:hAnsi="Calibri" w:cs="Times New Roman"/>
        </w:rPr>
        <w:t>oriendi points out</w:t>
      </w:r>
      <w:r w:rsidR="00DC516A">
        <w:rPr>
          <w:rFonts w:ascii="Calibri" w:eastAsia="Calibri" w:hAnsi="Calibri" w:cs="Times New Roman"/>
        </w:rPr>
        <w:t>. This is due to</w:t>
      </w:r>
      <w:r w:rsidR="00D15DDB">
        <w:rPr>
          <w:rFonts w:ascii="Calibri" w:eastAsia="Calibri" w:hAnsi="Calibri" w:cs="Times New Roman"/>
        </w:rPr>
        <w:t xml:space="preserve"> its illustrative</w:t>
      </w:r>
      <w:r w:rsidR="00C32B45">
        <w:rPr>
          <w:rFonts w:ascii="Calibri" w:eastAsia="Calibri" w:hAnsi="Calibri" w:cs="Times New Roman"/>
        </w:rPr>
        <w:t xml:space="preserve"> imagery of Christ and other religious icons being present at one’s death, to </w:t>
      </w:r>
      <w:r w:rsidR="00625786">
        <w:rPr>
          <w:rFonts w:ascii="Calibri" w:eastAsia="Calibri" w:hAnsi="Calibri" w:cs="Times New Roman"/>
        </w:rPr>
        <w:t xml:space="preserve">seemingly </w:t>
      </w:r>
      <w:r w:rsidR="00DC516A">
        <w:rPr>
          <w:rFonts w:ascii="Calibri" w:eastAsia="Calibri" w:hAnsi="Calibri" w:cs="Times New Roman"/>
        </w:rPr>
        <w:t xml:space="preserve">ease that fear. </w:t>
      </w:r>
    </w:p>
    <w:p w:rsidR="007B589D" w:rsidRDefault="007B589D" w:rsidP="003C3865">
      <w:pPr>
        <w:spacing w:line="480" w:lineRule="auto"/>
        <w:jc w:val="both"/>
        <w:rPr>
          <w:rFonts w:ascii="Calibri" w:eastAsia="Calibri" w:hAnsi="Calibri" w:cs="Times New Roman"/>
        </w:rPr>
      </w:pPr>
      <w:r>
        <w:rPr>
          <w:rFonts w:ascii="Calibri" w:eastAsia="Calibri" w:hAnsi="Calibri" w:cs="Times New Roman"/>
        </w:rPr>
        <w:t xml:space="preserve">To conclude the image shows us that </w:t>
      </w:r>
      <w:r w:rsidR="00625786">
        <w:rPr>
          <w:rFonts w:ascii="Calibri" w:eastAsia="Calibri" w:hAnsi="Calibri" w:cs="Times New Roman"/>
        </w:rPr>
        <w:t>for</w:t>
      </w:r>
      <w:r>
        <w:rPr>
          <w:rFonts w:ascii="Calibri" w:eastAsia="Calibri" w:hAnsi="Calibri" w:cs="Times New Roman"/>
        </w:rPr>
        <w:t xml:space="preserve"> one to die a good death in the medieval </w:t>
      </w:r>
      <w:r w:rsidR="006F63D4">
        <w:rPr>
          <w:rFonts w:ascii="Calibri" w:eastAsia="Calibri" w:hAnsi="Calibri" w:cs="Times New Roman"/>
        </w:rPr>
        <w:t>period,</w:t>
      </w:r>
      <w:r>
        <w:rPr>
          <w:rFonts w:ascii="Calibri" w:eastAsia="Calibri" w:hAnsi="Calibri" w:cs="Times New Roman"/>
        </w:rPr>
        <w:t xml:space="preserve"> one had to be surrounded in religious figures and clear of sin</w:t>
      </w:r>
      <w:r w:rsidR="00B56783">
        <w:rPr>
          <w:rFonts w:ascii="Calibri" w:eastAsia="Calibri" w:hAnsi="Calibri" w:cs="Times New Roman"/>
        </w:rPr>
        <w:t xml:space="preserve">. However, there are also other factors that show how death was represented during these times, and one cannot disagree with Aries view that this was indeed a performance. This leads us to believe that death was inevitable in these times and that the Ars Moriendi was put in place so that people would not fear death and follow a set of principles </w:t>
      </w:r>
      <w:r w:rsidR="00625786">
        <w:rPr>
          <w:rFonts w:ascii="Calibri" w:eastAsia="Calibri" w:hAnsi="Calibri" w:cs="Times New Roman"/>
        </w:rPr>
        <w:t>for</w:t>
      </w:r>
      <w:r w:rsidR="00B56783">
        <w:rPr>
          <w:rFonts w:ascii="Calibri" w:eastAsia="Calibri" w:hAnsi="Calibri" w:cs="Times New Roman"/>
        </w:rPr>
        <w:t xml:space="preserve"> </w:t>
      </w:r>
      <w:r w:rsidR="00B56783">
        <w:rPr>
          <w:rFonts w:ascii="Calibri" w:eastAsia="Calibri" w:hAnsi="Calibri" w:cs="Times New Roman"/>
        </w:rPr>
        <w:lastRenderedPageBreak/>
        <w:t xml:space="preserve">Christianity </w:t>
      </w:r>
      <w:proofErr w:type="gramStart"/>
      <w:r w:rsidR="00B56783">
        <w:rPr>
          <w:rFonts w:ascii="Calibri" w:eastAsia="Calibri" w:hAnsi="Calibri" w:cs="Times New Roman"/>
        </w:rPr>
        <w:t>as a whole to</w:t>
      </w:r>
      <w:proofErr w:type="gramEnd"/>
      <w:r w:rsidR="00B56783">
        <w:rPr>
          <w:rFonts w:ascii="Calibri" w:eastAsia="Calibri" w:hAnsi="Calibri" w:cs="Times New Roman"/>
        </w:rPr>
        <w:t xml:space="preserve"> maintain its belief system due to things like the black death destroying communities</w:t>
      </w:r>
      <w:r w:rsidR="00D15DDB">
        <w:rPr>
          <w:rFonts w:ascii="Calibri" w:eastAsia="Calibri" w:hAnsi="Calibri" w:cs="Times New Roman"/>
        </w:rPr>
        <w:t xml:space="preserve"> which led to a reduced</w:t>
      </w:r>
      <w:r w:rsidR="00B56783">
        <w:rPr>
          <w:rFonts w:ascii="Calibri" w:eastAsia="Calibri" w:hAnsi="Calibri" w:cs="Times New Roman"/>
        </w:rPr>
        <w:t xml:space="preserve"> population.</w:t>
      </w:r>
    </w:p>
    <w:p w:rsidR="00FD3483" w:rsidRDefault="00FD3483" w:rsidP="008F5C73">
      <w:pPr>
        <w:rPr>
          <w:rFonts w:ascii="Calibri" w:eastAsia="Calibri" w:hAnsi="Calibri" w:cs="Times New Roman"/>
        </w:rPr>
      </w:pPr>
    </w:p>
    <w:p w:rsidR="00BB2426" w:rsidRDefault="00BB2426"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B5134E" w:rsidRDefault="00B5134E" w:rsidP="008F5C73">
      <w:pPr>
        <w:rPr>
          <w:rFonts w:ascii="Calibri" w:eastAsia="Calibri" w:hAnsi="Calibri" w:cs="Times New Roman"/>
        </w:rPr>
      </w:pPr>
    </w:p>
    <w:p w:rsidR="00FD3483" w:rsidRDefault="00FD3483" w:rsidP="008F5C73">
      <w:pPr>
        <w:rPr>
          <w:rFonts w:ascii="Calibri" w:eastAsia="Calibri" w:hAnsi="Calibri" w:cs="Times New Roman"/>
        </w:rPr>
      </w:pPr>
      <w:r>
        <w:rPr>
          <w:rFonts w:ascii="Calibri" w:eastAsia="Calibri" w:hAnsi="Calibri" w:cs="Times New Roman"/>
        </w:rPr>
        <w:lastRenderedPageBreak/>
        <w:t>Bibliography</w:t>
      </w:r>
    </w:p>
    <w:p w:rsidR="003604F3" w:rsidRPr="003604F3" w:rsidRDefault="003604F3" w:rsidP="003604F3">
      <w:pPr>
        <w:rPr>
          <w:rFonts w:ascii="Calibri" w:eastAsia="Calibri" w:hAnsi="Calibri" w:cs="Times"/>
          <w:bCs/>
          <w:spacing w:val="-3"/>
        </w:rPr>
      </w:pPr>
      <w:r w:rsidRPr="003604F3">
        <w:rPr>
          <w:rFonts w:ascii="Calibri" w:eastAsia="Calibri" w:hAnsi="Calibri" w:cs="Times"/>
          <w:bCs/>
          <w:spacing w:val="-3"/>
        </w:rPr>
        <w:t xml:space="preserve">Comper, Frances M. M., ed., </w:t>
      </w:r>
      <w:bookmarkStart w:id="2" w:name="_Hlk498068348"/>
      <w:r w:rsidRPr="003604F3">
        <w:rPr>
          <w:rFonts w:ascii="Calibri" w:eastAsia="Calibri" w:hAnsi="Calibri" w:cs="Times"/>
          <w:bCs/>
          <w:i/>
          <w:iCs/>
          <w:spacing w:val="-3"/>
        </w:rPr>
        <w:t xml:space="preserve">The Book of the Craft of Dying and Other Early English Tracts Concerning Death </w:t>
      </w:r>
      <w:r w:rsidRPr="003604F3">
        <w:rPr>
          <w:rFonts w:ascii="Calibri" w:eastAsia="Calibri" w:hAnsi="Calibri" w:cs="Times"/>
          <w:bCs/>
          <w:spacing w:val="-3"/>
        </w:rPr>
        <w:t>(London: Longmans, Green, and Co., 1917</w:t>
      </w:r>
      <w:bookmarkEnd w:id="2"/>
      <w:r w:rsidRPr="003604F3">
        <w:rPr>
          <w:rFonts w:ascii="Calibri" w:eastAsia="Calibri" w:hAnsi="Calibri" w:cs="Times"/>
          <w:bCs/>
          <w:spacing w:val="-3"/>
        </w:rPr>
        <w:t xml:space="preserve">) Available at </w:t>
      </w:r>
      <w:hyperlink r:id="rId8" w:history="1">
        <w:r w:rsidRPr="003604F3">
          <w:rPr>
            <w:rStyle w:val="Hyperlink"/>
            <w:rFonts w:ascii="Calibri" w:eastAsia="Calibri" w:hAnsi="Calibri" w:cs="Times"/>
            <w:spacing w:val="-3"/>
          </w:rPr>
          <w:t>https://archive.org/details/bookofcraftofdyi00caxtiala</w:t>
        </w:r>
      </w:hyperlink>
      <w:r w:rsidRPr="003604F3">
        <w:rPr>
          <w:rFonts w:ascii="Calibri" w:eastAsia="Calibri" w:hAnsi="Calibri" w:cs="Times"/>
          <w:bCs/>
          <w:spacing w:val="-3"/>
        </w:rPr>
        <w:t xml:space="preserve"> Accessed on: 01/11/2017</w:t>
      </w:r>
    </w:p>
    <w:p w:rsidR="00A93559" w:rsidRDefault="00A93559" w:rsidP="008F5C73">
      <w:pPr>
        <w:rPr>
          <w:rFonts w:ascii="Calibri" w:eastAsia="Calibri" w:hAnsi="Calibri" w:cs="Times"/>
          <w:bCs/>
          <w:spacing w:val="-3"/>
        </w:rPr>
      </w:pPr>
    </w:p>
    <w:p w:rsidR="00FD3483" w:rsidRDefault="00844789" w:rsidP="008F5C73">
      <w:pPr>
        <w:rPr>
          <w:rFonts w:ascii="Calibri" w:eastAsia="Calibri" w:hAnsi="Calibri" w:cs="Times"/>
          <w:bCs/>
          <w:spacing w:val="-3"/>
        </w:rPr>
      </w:pPr>
      <w:proofErr w:type="spellStart"/>
      <w:r>
        <w:rPr>
          <w:rFonts w:ascii="Calibri" w:eastAsia="Calibri" w:hAnsi="Calibri" w:cs="Times"/>
          <w:bCs/>
          <w:spacing w:val="-3"/>
        </w:rPr>
        <w:t>Duclow</w:t>
      </w:r>
      <w:proofErr w:type="spellEnd"/>
      <w:r>
        <w:rPr>
          <w:rFonts w:ascii="Calibri" w:eastAsia="Calibri" w:hAnsi="Calibri" w:cs="Times"/>
          <w:bCs/>
          <w:spacing w:val="-3"/>
        </w:rPr>
        <w:t xml:space="preserve">, Donald F., </w:t>
      </w:r>
      <w:bookmarkStart w:id="3" w:name="_Hlk497728644"/>
      <w:r>
        <w:rPr>
          <w:rFonts w:ascii="Calibri" w:eastAsia="Calibri" w:hAnsi="Calibri" w:cs="Times"/>
          <w:bCs/>
          <w:spacing w:val="-3"/>
        </w:rPr>
        <w:t>‘</w:t>
      </w:r>
      <w:r w:rsidRPr="00844789">
        <w:rPr>
          <w:rFonts w:ascii="Calibri" w:eastAsia="Calibri" w:hAnsi="Calibri" w:cs="Times"/>
          <w:bCs/>
          <w:spacing w:val="-3"/>
        </w:rPr>
        <w:t xml:space="preserve">Dying Well: The </w:t>
      </w:r>
      <w:r w:rsidRPr="00844789">
        <w:rPr>
          <w:rFonts w:ascii="Calibri" w:eastAsia="Calibri" w:hAnsi="Calibri" w:cs="Times"/>
          <w:bCs/>
          <w:i/>
          <w:iCs/>
          <w:spacing w:val="-3"/>
        </w:rPr>
        <w:t xml:space="preserve">Ars </w:t>
      </w:r>
      <w:proofErr w:type="spellStart"/>
      <w:r w:rsidRPr="00844789">
        <w:rPr>
          <w:rFonts w:ascii="Calibri" w:eastAsia="Calibri" w:hAnsi="Calibri" w:cs="Times"/>
          <w:bCs/>
          <w:i/>
          <w:iCs/>
          <w:spacing w:val="-3"/>
        </w:rPr>
        <w:t>moriendi</w:t>
      </w:r>
      <w:proofErr w:type="spellEnd"/>
      <w:r w:rsidRPr="00844789">
        <w:rPr>
          <w:rFonts w:ascii="Calibri" w:eastAsia="Calibri" w:hAnsi="Calibri" w:cs="Times"/>
          <w:bCs/>
          <w:i/>
          <w:iCs/>
          <w:spacing w:val="-3"/>
        </w:rPr>
        <w:t xml:space="preserve"> </w:t>
      </w:r>
      <w:r w:rsidRPr="00844789">
        <w:rPr>
          <w:rFonts w:ascii="Calibri" w:eastAsia="Calibri" w:hAnsi="Calibri" w:cs="Times"/>
          <w:bCs/>
          <w:spacing w:val="-3"/>
        </w:rPr>
        <w:t>a</w:t>
      </w:r>
      <w:r>
        <w:rPr>
          <w:rFonts w:ascii="Calibri" w:eastAsia="Calibri" w:hAnsi="Calibri" w:cs="Times"/>
          <w:bCs/>
          <w:spacing w:val="-3"/>
        </w:rPr>
        <w:t>nd the Dormition of the Virgin’,</w:t>
      </w:r>
      <w:r w:rsidRPr="00844789">
        <w:rPr>
          <w:rFonts w:ascii="Calibri" w:eastAsia="Calibri" w:hAnsi="Calibri" w:cs="Times"/>
          <w:bCs/>
          <w:spacing w:val="-3"/>
        </w:rPr>
        <w:t xml:space="preserve"> in </w:t>
      </w:r>
      <w:r w:rsidRPr="00844789">
        <w:rPr>
          <w:rFonts w:ascii="Calibri" w:eastAsia="Calibri" w:hAnsi="Calibri" w:cs="Times"/>
          <w:bCs/>
          <w:i/>
          <w:iCs/>
          <w:spacing w:val="-3"/>
        </w:rPr>
        <w:t>Death and Dying in the Middle Ages</w:t>
      </w:r>
      <w:r w:rsidRPr="00844789">
        <w:rPr>
          <w:rFonts w:ascii="Calibri" w:eastAsia="Calibri" w:hAnsi="Calibri" w:cs="Times"/>
          <w:bCs/>
          <w:spacing w:val="-3"/>
        </w:rPr>
        <w:t xml:space="preserve">, ed. by </w:t>
      </w:r>
      <w:proofErr w:type="spellStart"/>
      <w:r w:rsidRPr="00844789">
        <w:rPr>
          <w:rFonts w:ascii="Calibri" w:eastAsia="Calibri" w:hAnsi="Calibri" w:cs="Times"/>
          <w:bCs/>
          <w:spacing w:val="-3"/>
        </w:rPr>
        <w:t>Edelgard</w:t>
      </w:r>
      <w:proofErr w:type="spellEnd"/>
      <w:r w:rsidRPr="00844789">
        <w:rPr>
          <w:rFonts w:ascii="Calibri" w:eastAsia="Calibri" w:hAnsi="Calibri" w:cs="Times"/>
          <w:bCs/>
          <w:spacing w:val="-3"/>
        </w:rPr>
        <w:t xml:space="preserve"> E. </w:t>
      </w:r>
      <w:proofErr w:type="spellStart"/>
      <w:r w:rsidRPr="00844789">
        <w:rPr>
          <w:rFonts w:ascii="Calibri" w:eastAsia="Calibri" w:hAnsi="Calibri" w:cs="Times"/>
          <w:bCs/>
          <w:spacing w:val="-3"/>
        </w:rPr>
        <w:t>DuBruck</w:t>
      </w:r>
      <w:proofErr w:type="spellEnd"/>
      <w:r w:rsidRPr="00844789">
        <w:rPr>
          <w:rFonts w:ascii="Calibri" w:eastAsia="Calibri" w:hAnsi="Calibri" w:cs="Times"/>
          <w:bCs/>
          <w:spacing w:val="-3"/>
        </w:rPr>
        <w:t xml:space="preserve"> and Barbara J. </w:t>
      </w:r>
      <w:proofErr w:type="spellStart"/>
      <w:r w:rsidRPr="00844789">
        <w:rPr>
          <w:rFonts w:ascii="Calibri" w:eastAsia="Calibri" w:hAnsi="Calibri" w:cs="Times"/>
          <w:bCs/>
          <w:spacing w:val="-3"/>
        </w:rPr>
        <w:t>Gusi</w:t>
      </w:r>
      <w:r>
        <w:rPr>
          <w:rFonts w:ascii="Calibri" w:eastAsia="Calibri" w:hAnsi="Calibri" w:cs="Times"/>
          <w:bCs/>
          <w:spacing w:val="-3"/>
        </w:rPr>
        <w:t>ck</w:t>
      </w:r>
      <w:proofErr w:type="spellEnd"/>
      <w:r>
        <w:rPr>
          <w:rFonts w:ascii="Calibri" w:eastAsia="Calibri" w:hAnsi="Calibri" w:cs="Times"/>
          <w:bCs/>
          <w:spacing w:val="-3"/>
        </w:rPr>
        <w:t xml:space="preserve"> (New York: Peter Lang, 1999)</w:t>
      </w:r>
    </w:p>
    <w:p w:rsidR="00A93559" w:rsidRDefault="00A93559" w:rsidP="00A93559">
      <w:pPr>
        <w:rPr>
          <w:rFonts w:ascii="Calibri" w:eastAsia="Calibri" w:hAnsi="Calibri" w:cs="Times"/>
          <w:bCs/>
          <w:spacing w:val="-3"/>
          <w:lang w:val="en-US"/>
        </w:rPr>
      </w:pPr>
    </w:p>
    <w:p w:rsidR="00A93559" w:rsidRPr="00A93559" w:rsidRDefault="00A93559" w:rsidP="00A93559">
      <w:pPr>
        <w:rPr>
          <w:rFonts w:ascii="Calibri" w:eastAsia="Calibri" w:hAnsi="Calibri" w:cs="Times"/>
          <w:bCs/>
          <w:spacing w:val="-3"/>
          <w:lang w:val="en-US"/>
        </w:rPr>
      </w:pPr>
      <w:r w:rsidRPr="00A93559">
        <w:rPr>
          <w:rFonts w:ascii="Calibri" w:eastAsia="Calibri" w:hAnsi="Calibri" w:cs="Times"/>
          <w:bCs/>
          <w:spacing w:val="-3"/>
          <w:lang w:val="en-US"/>
        </w:rPr>
        <w:t xml:space="preserve">Rylands, W. H., ed., </w:t>
      </w:r>
      <w:r w:rsidRPr="00A93559">
        <w:rPr>
          <w:rFonts w:ascii="Calibri" w:eastAsia="Calibri" w:hAnsi="Calibri" w:cs="Times"/>
          <w:bCs/>
          <w:i/>
          <w:iCs/>
          <w:spacing w:val="-3"/>
          <w:lang w:val="en-US"/>
        </w:rPr>
        <w:t xml:space="preserve">The Ars </w:t>
      </w:r>
      <w:proofErr w:type="spellStart"/>
      <w:r w:rsidRPr="00A93559">
        <w:rPr>
          <w:rFonts w:ascii="Calibri" w:eastAsia="Calibri" w:hAnsi="Calibri" w:cs="Times"/>
          <w:bCs/>
          <w:i/>
          <w:iCs/>
          <w:spacing w:val="-3"/>
          <w:lang w:val="en-US"/>
        </w:rPr>
        <w:t>Moriendi</w:t>
      </w:r>
      <w:proofErr w:type="spellEnd"/>
      <w:r w:rsidRPr="00A93559">
        <w:rPr>
          <w:rFonts w:ascii="Calibri" w:eastAsia="Calibri" w:hAnsi="Calibri" w:cs="Times"/>
          <w:bCs/>
          <w:i/>
          <w:iCs/>
          <w:spacing w:val="-3"/>
          <w:lang w:val="en-US"/>
        </w:rPr>
        <w:t xml:space="preserve"> (</w:t>
      </w:r>
      <w:proofErr w:type="spellStart"/>
      <w:r w:rsidRPr="00A93559">
        <w:rPr>
          <w:rFonts w:ascii="Calibri" w:eastAsia="Calibri" w:hAnsi="Calibri" w:cs="Times"/>
          <w:bCs/>
          <w:i/>
          <w:iCs/>
          <w:spacing w:val="-3"/>
          <w:lang w:val="en-US"/>
        </w:rPr>
        <w:t>Editio</w:t>
      </w:r>
      <w:proofErr w:type="spellEnd"/>
      <w:r w:rsidRPr="00A93559">
        <w:rPr>
          <w:rFonts w:ascii="Calibri" w:eastAsia="Calibri" w:hAnsi="Calibri" w:cs="Times"/>
          <w:bCs/>
          <w:i/>
          <w:iCs/>
          <w:spacing w:val="-3"/>
          <w:lang w:val="en-US"/>
        </w:rPr>
        <w:t xml:space="preserve"> Princeps, c.1450), A Reproduction of the Copy in the British Museum</w:t>
      </w:r>
      <w:r w:rsidRPr="00A93559">
        <w:rPr>
          <w:rFonts w:ascii="Calibri" w:eastAsia="Calibri" w:hAnsi="Calibri" w:cs="Times"/>
          <w:bCs/>
          <w:spacing w:val="-3"/>
          <w:lang w:val="en-US"/>
        </w:rPr>
        <w:t xml:space="preserve"> (London: Holbein Society, 1881) </w:t>
      </w:r>
      <w:r>
        <w:rPr>
          <w:rFonts w:ascii="Calibri" w:eastAsia="Calibri" w:hAnsi="Calibri" w:cs="Times"/>
          <w:bCs/>
          <w:spacing w:val="-3"/>
          <w:lang w:val="en-US"/>
        </w:rPr>
        <w:t>A</w:t>
      </w:r>
      <w:r w:rsidRPr="00A93559">
        <w:rPr>
          <w:rFonts w:ascii="Calibri" w:eastAsia="Calibri" w:hAnsi="Calibri" w:cs="Times"/>
          <w:bCs/>
          <w:spacing w:val="-3"/>
          <w:lang w:val="en-US"/>
        </w:rPr>
        <w:t xml:space="preserve">vailable at </w:t>
      </w:r>
      <w:hyperlink r:id="rId9" w:history="1">
        <w:r w:rsidRPr="00A93559">
          <w:rPr>
            <w:rStyle w:val="Hyperlink"/>
            <w:rFonts w:ascii="Calibri" w:eastAsia="Calibri" w:hAnsi="Calibri" w:cs="Times"/>
            <w:spacing w:val="-3"/>
            <w:lang w:val="en-US"/>
          </w:rPr>
          <w:t>https://archive.org/details/b22650222</w:t>
        </w:r>
      </w:hyperlink>
      <w:r>
        <w:rPr>
          <w:rFonts w:ascii="Calibri" w:eastAsia="Calibri" w:hAnsi="Calibri" w:cs="Times"/>
          <w:bCs/>
          <w:spacing w:val="-3"/>
          <w:lang w:val="en-US"/>
        </w:rPr>
        <w:t xml:space="preserve"> Accessed </w:t>
      </w:r>
      <w:proofErr w:type="gramStart"/>
      <w:r>
        <w:rPr>
          <w:rFonts w:ascii="Calibri" w:eastAsia="Calibri" w:hAnsi="Calibri" w:cs="Times"/>
          <w:bCs/>
          <w:spacing w:val="-3"/>
          <w:lang w:val="en-US"/>
        </w:rPr>
        <w:t>on :</w:t>
      </w:r>
      <w:proofErr w:type="gramEnd"/>
      <w:r>
        <w:rPr>
          <w:rFonts w:ascii="Calibri" w:eastAsia="Calibri" w:hAnsi="Calibri" w:cs="Times"/>
          <w:bCs/>
          <w:spacing w:val="-3"/>
          <w:lang w:val="en-US"/>
        </w:rPr>
        <w:t xml:space="preserve"> 01/11/2017</w:t>
      </w:r>
    </w:p>
    <w:bookmarkEnd w:id="3"/>
    <w:p w:rsidR="00A93559" w:rsidRDefault="00A93559" w:rsidP="008F5C73">
      <w:pPr>
        <w:rPr>
          <w:rFonts w:ascii="Calibri" w:eastAsia="Calibri" w:hAnsi="Calibri" w:cs="Times New Roman"/>
          <w:lang w:val="en"/>
        </w:rPr>
      </w:pPr>
    </w:p>
    <w:p w:rsidR="00E20556" w:rsidRDefault="00844789" w:rsidP="008F5C73">
      <w:pPr>
        <w:rPr>
          <w:rFonts w:ascii="Calibri" w:eastAsia="Calibri" w:hAnsi="Calibri" w:cs="Times New Roman"/>
          <w:lang w:val="en"/>
        </w:rPr>
      </w:pPr>
      <w:bookmarkStart w:id="4" w:name="_GoBack"/>
      <w:bookmarkEnd w:id="4"/>
      <w:r w:rsidRPr="00844789">
        <w:rPr>
          <w:rFonts w:ascii="Calibri" w:eastAsia="Calibri" w:hAnsi="Calibri" w:cs="Times New Roman"/>
          <w:lang w:val="en"/>
        </w:rPr>
        <w:t xml:space="preserve">Thornton, K, and C B Phillips, "Performing The Good Death: The Medieval Ars </w:t>
      </w:r>
      <w:proofErr w:type="spellStart"/>
      <w:r w:rsidRPr="00844789">
        <w:rPr>
          <w:rFonts w:ascii="Calibri" w:eastAsia="Calibri" w:hAnsi="Calibri" w:cs="Times New Roman"/>
          <w:lang w:val="en"/>
        </w:rPr>
        <w:t>Moriendi</w:t>
      </w:r>
      <w:proofErr w:type="spellEnd"/>
      <w:r w:rsidRPr="00844789">
        <w:rPr>
          <w:rFonts w:ascii="Calibri" w:eastAsia="Calibri" w:hAnsi="Calibri" w:cs="Times New Roman"/>
          <w:lang w:val="en"/>
        </w:rPr>
        <w:t xml:space="preserve"> And Contemporary Doctors", </w:t>
      </w:r>
      <w:r w:rsidRPr="00844789">
        <w:rPr>
          <w:rFonts w:ascii="Calibri" w:eastAsia="Calibri" w:hAnsi="Calibri" w:cs="Times New Roman"/>
          <w:i/>
          <w:iCs/>
          <w:lang w:val="en"/>
        </w:rPr>
        <w:t>Medical Humanities</w:t>
      </w:r>
      <w:r w:rsidR="00FA44EE">
        <w:rPr>
          <w:rFonts w:ascii="Calibri" w:eastAsia="Calibri" w:hAnsi="Calibri" w:cs="Times New Roman"/>
          <w:lang w:val="en"/>
        </w:rPr>
        <w:t>, 35 (2009), PP 1-4</w:t>
      </w:r>
      <w:r w:rsidR="006D551D">
        <w:rPr>
          <w:rFonts w:ascii="Calibri" w:eastAsia="Calibri" w:hAnsi="Calibri" w:cs="Times New Roman"/>
          <w:lang w:val="en"/>
        </w:rPr>
        <w:t xml:space="preserve"> </w:t>
      </w:r>
      <w:r w:rsidR="003C3865">
        <w:rPr>
          <w:rFonts w:ascii="Calibri" w:eastAsia="Calibri" w:hAnsi="Calibri" w:cs="Times New Roman"/>
          <w:lang w:val="en"/>
        </w:rPr>
        <w:t xml:space="preserve">. Available at: </w:t>
      </w:r>
      <w:hyperlink r:id="rId10" w:history="1">
        <w:r w:rsidR="003C3865" w:rsidRPr="00D038F7">
          <w:rPr>
            <w:rStyle w:val="Hyperlink"/>
            <w:rFonts w:ascii="Calibri" w:eastAsia="Calibri" w:hAnsi="Calibri" w:cs="Times New Roman"/>
            <w:lang w:val="en"/>
          </w:rPr>
          <w:t>https://openresearch-repository.anu.edu.au/bitstream/1885/100941/3/01_Thornton_Performing_the_Good_Death_2009.pdf</w:t>
        </w:r>
      </w:hyperlink>
      <w:r w:rsidR="003C3865">
        <w:rPr>
          <w:rFonts w:ascii="Calibri" w:eastAsia="Calibri" w:hAnsi="Calibri" w:cs="Times New Roman"/>
          <w:lang w:val="en"/>
        </w:rPr>
        <w:t xml:space="preserve"> Accessed on: 01/11/2017</w:t>
      </w:r>
      <w:bookmarkStart w:id="5" w:name="_Hlk498068253"/>
    </w:p>
    <w:p w:rsidR="003604F3" w:rsidRPr="003604F3" w:rsidRDefault="003604F3" w:rsidP="008F5C73">
      <w:pPr>
        <w:rPr>
          <w:rFonts w:ascii="Calibri" w:eastAsia="Calibri" w:hAnsi="Calibri" w:cs="Times New Roman"/>
          <w:lang w:val="en"/>
        </w:rPr>
      </w:pPr>
    </w:p>
    <w:bookmarkEnd w:id="5"/>
    <w:p w:rsidR="00C740F1" w:rsidRDefault="00C740F1" w:rsidP="00E5564B">
      <w:pPr>
        <w:rPr>
          <w:rFonts w:ascii="Calibri" w:eastAsia="Calibri" w:hAnsi="Calibri" w:cs="Times New Roman"/>
        </w:rPr>
      </w:pPr>
    </w:p>
    <w:p w:rsidR="00C740F1" w:rsidRDefault="00C740F1" w:rsidP="00E5564B">
      <w:pPr>
        <w:rPr>
          <w:rFonts w:ascii="Calibri" w:eastAsia="Calibri" w:hAnsi="Calibri" w:cs="Times New Roman"/>
        </w:rPr>
      </w:pPr>
    </w:p>
    <w:p w:rsidR="00C740F1" w:rsidRDefault="00C740F1" w:rsidP="00E5564B">
      <w:pPr>
        <w:rPr>
          <w:rFonts w:ascii="Calibri" w:eastAsia="Calibri" w:hAnsi="Calibri" w:cs="Times New Roman"/>
        </w:rPr>
      </w:pPr>
    </w:p>
    <w:p w:rsidR="00C740F1" w:rsidRDefault="00C740F1" w:rsidP="00E5564B">
      <w:pPr>
        <w:rPr>
          <w:rFonts w:ascii="Calibri" w:eastAsia="Calibri" w:hAnsi="Calibri" w:cs="Times New Roman"/>
        </w:rPr>
      </w:pPr>
    </w:p>
    <w:p w:rsidR="00C740F1" w:rsidRDefault="00C740F1" w:rsidP="00E5564B">
      <w:pPr>
        <w:rPr>
          <w:rFonts w:ascii="Calibri" w:eastAsia="Calibri" w:hAnsi="Calibri" w:cs="Times New Roman"/>
        </w:rPr>
      </w:pPr>
    </w:p>
    <w:p w:rsidR="00E5564B" w:rsidRDefault="00E5564B">
      <w:pPr>
        <w:rPr>
          <w:rFonts w:ascii="Calibri" w:eastAsia="Calibri" w:hAnsi="Calibri" w:cs="Times New Roman"/>
        </w:rPr>
      </w:pPr>
    </w:p>
    <w:p w:rsidR="00E5564B" w:rsidRDefault="00E5564B">
      <w:pPr>
        <w:rPr>
          <w:rFonts w:ascii="Calibri" w:eastAsia="Calibri" w:hAnsi="Calibri" w:cs="Times New Roman"/>
        </w:rPr>
      </w:pPr>
    </w:p>
    <w:p w:rsidR="00E5564B" w:rsidRDefault="00E5564B">
      <w:pPr>
        <w:rPr>
          <w:rFonts w:ascii="Calibri" w:eastAsia="Calibri" w:hAnsi="Calibri" w:cs="Times New Roman"/>
        </w:rPr>
      </w:pPr>
    </w:p>
    <w:p w:rsidR="00E5564B" w:rsidRDefault="00E5564B">
      <w:pPr>
        <w:rPr>
          <w:rFonts w:ascii="Calibri" w:eastAsia="Calibri" w:hAnsi="Calibri" w:cs="Times New Roman"/>
        </w:rPr>
      </w:pPr>
    </w:p>
    <w:p w:rsidR="00E5564B" w:rsidRDefault="00E5564B" w:rsidP="00E5564B"/>
    <w:sectPr w:rsidR="00E5564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476" w:rsidRDefault="00504476" w:rsidP="00C4581B">
      <w:pPr>
        <w:spacing w:after="0" w:line="240" w:lineRule="auto"/>
      </w:pPr>
      <w:r>
        <w:separator/>
      </w:r>
    </w:p>
  </w:endnote>
  <w:endnote w:type="continuationSeparator" w:id="0">
    <w:p w:rsidR="00504476" w:rsidRDefault="00504476" w:rsidP="00C45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476" w:rsidRDefault="00504476" w:rsidP="00C4581B">
      <w:pPr>
        <w:spacing w:after="0" w:line="240" w:lineRule="auto"/>
      </w:pPr>
      <w:r>
        <w:separator/>
      </w:r>
    </w:p>
  </w:footnote>
  <w:footnote w:type="continuationSeparator" w:id="0">
    <w:p w:rsidR="00504476" w:rsidRDefault="00504476" w:rsidP="00C4581B">
      <w:pPr>
        <w:spacing w:after="0" w:line="240" w:lineRule="auto"/>
      </w:pPr>
      <w:r>
        <w:continuationSeparator/>
      </w:r>
    </w:p>
  </w:footnote>
  <w:footnote w:id="1">
    <w:p w:rsidR="00347C8F" w:rsidRPr="00FD0D91" w:rsidRDefault="00347C8F" w:rsidP="00347C8F">
      <w:pPr>
        <w:pStyle w:val="FootnoteText"/>
        <w:rPr>
          <w:bCs/>
        </w:rPr>
      </w:pPr>
      <w:r>
        <w:rPr>
          <w:rStyle w:val="FootnoteReference"/>
        </w:rPr>
        <w:footnoteRef/>
      </w:r>
      <w:r>
        <w:t xml:space="preserve"> </w:t>
      </w:r>
      <w:bookmarkStart w:id="0" w:name="_Hlk497728688"/>
      <w:r w:rsidR="00FD0D91">
        <w:t xml:space="preserve">D. </w:t>
      </w:r>
      <w:proofErr w:type="spellStart"/>
      <w:r>
        <w:t>Dunclow</w:t>
      </w:r>
      <w:proofErr w:type="spellEnd"/>
      <w:r w:rsidR="00FD0D91">
        <w:t xml:space="preserve">, </w:t>
      </w:r>
      <w:r w:rsidR="00FD0D91" w:rsidRPr="00FD0D91">
        <w:rPr>
          <w:bCs/>
        </w:rPr>
        <w:t xml:space="preserve">‘Dying Well: The </w:t>
      </w:r>
      <w:r w:rsidR="00FD0D91" w:rsidRPr="00FD0D91">
        <w:rPr>
          <w:bCs/>
          <w:i/>
          <w:iCs/>
        </w:rPr>
        <w:t xml:space="preserve">Ars </w:t>
      </w:r>
      <w:proofErr w:type="spellStart"/>
      <w:r w:rsidR="00FD0D91" w:rsidRPr="00FD0D91">
        <w:rPr>
          <w:bCs/>
          <w:i/>
          <w:iCs/>
        </w:rPr>
        <w:t>moriendi</w:t>
      </w:r>
      <w:proofErr w:type="spellEnd"/>
      <w:r w:rsidR="00FD0D91" w:rsidRPr="00FD0D91">
        <w:rPr>
          <w:bCs/>
          <w:i/>
          <w:iCs/>
        </w:rPr>
        <w:t xml:space="preserve"> </w:t>
      </w:r>
      <w:r w:rsidR="00FD0D91" w:rsidRPr="00FD0D91">
        <w:rPr>
          <w:bCs/>
        </w:rPr>
        <w:t xml:space="preserve">and the Dormition of the Virgin’, in </w:t>
      </w:r>
      <w:r w:rsidR="00FD0D91" w:rsidRPr="00FD0D91">
        <w:rPr>
          <w:bCs/>
          <w:i/>
          <w:iCs/>
        </w:rPr>
        <w:t>Death and Dying in the Middle Ages</w:t>
      </w:r>
      <w:r w:rsidR="00FD0D91" w:rsidRPr="00FD0D91">
        <w:rPr>
          <w:bCs/>
        </w:rPr>
        <w:t xml:space="preserve">, </w:t>
      </w:r>
      <w:bookmarkEnd w:id="0"/>
      <w:r w:rsidR="00FD0D91" w:rsidRPr="00FD0D91">
        <w:rPr>
          <w:bCs/>
        </w:rPr>
        <w:t xml:space="preserve">ed. by </w:t>
      </w:r>
      <w:proofErr w:type="spellStart"/>
      <w:r w:rsidR="00FD0D91" w:rsidRPr="00FD0D91">
        <w:rPr>
          <w:bCs/>
        </w:rPr>
        <w:t>Edelgard</w:t>
      </w:r>
      <w:proofErr w:type="spellEnd"/>
      <w:r w:rsidR="00FD0D91" w:rsidRPr="00FD0D91">
        <w:rPr>
          <w:bCs/>
        </w:rPr>
        <w:t xml:space="preserve"> E. </w:t>
      </w:r>
      <w:proofErr w:type="spellStart"/>
      <w:r w:rsidR="00FD0D91" w:rsidRPr="00FD0D91">
        <w:rPr>
          <w:bCs/>
        </w:rPr>
        <w:t>DuBruck</w:t>
      </w:r>
      <w:proofErr w:type="spellEnd"/>
      <w:r w:rsidR="00FD0D91" w:rsidRPr="00FD0D91">
        <w:rPr>
          <w:bCs/>
        </w:rPr>
        <w:t xml:space="preserve"> and Barbara J. </w:t>
      </w:r>
      <w:proofErr w:type="spellStart"/>
      <w:r w:rsidR="00FD0D91" w:rsidRPr="00FD0D91">
        <w:rPr>
          <w:bCs/>
        </w:rPr>
        <w:t>Gusi</w:t>
      </w:r>
      <w:r w:rsidR="00FD0D91">
        <w:rPr>
          <w:bCs/>
        </w:rPr>
        <w:t>ck</w:t>
      </w:r>
      <w:proofErr w:type="spellEnd"/>
      <w:r w:rsidR="00FD0D91">
        <w:rPr>
          <w:bCs/>
        </w:rPr>
        <w:t xml:space="preserve"> (New York: Peter Lang, 1999)</w:t>
      </w:r>
      <w:r>
        <w:t xml:space="preserve"> Page 380</w:t>
      </w:r>
    </w:p>
  </w:footnote>
  <w:footnote w:id="2">
    <w:p w:rsidR="00347C8F" w:rsidRDefault="00347C8F">
      <w:pPr>
        <w:pStyle w:val="FootnoteText"/>
      </w:pPr>
      <w:r>
        <w:rPr>
          <w:rStyle w:val="FootnoteReference"/>
        </w:rPr>
        <w:footnoteRef/>
      </w:r>
      <w:r w:rsidR="00FA44EE">
        <w:t xml:space="preserve"> ibid</w:t>
      </w:r>
    </w:p>
  </w:footnote>
  <w:footnote w:id="3">
    <w:p w:rsidR="006F63D4" w:rsidRDefault="006F63D4" w:rsidP="006F63D4">
      <w:pPr>
        <w:pStyle w:val="FootnoteText"/>
      </w:pPr>
      <w:r>
        <w:rPr>
          <w:rStyle w:val="FootnoteReference"/>
        </w:rPr>
        <w:footnoteRef/>
      </w:r>
      <w:r>
        <w:t xml:space="preserve"> </w:t>
      </w:r>
      <w:bookmarkStart w:id="1" w:name="_Hlk497727909"/>
      <w:r w:rsidR="006D551D" w:rsidRPr="006D551D">
        <w:rPr>
          <w:lang w:val="en"/>
        </w:rPr>
        <w:t xml:space="preserve">K Thornton and C B Phillips, "Performing </w:t>
      </w:r>
      <w:proofErr w:type="gramStart"/>
      <w:r w:rsidR="006D551D" w:rsidRPr="006D551D">
        <w:rPr>
          <w:lang w:val="en"/>
        </w:rPr>
        <w:t>The</w:t>
      </w:r>
      <w:proofErr w:type="gramEnd"/>
      <w:r w:rsidR="006D551D" w:rsidRPr="006D551D">
        <w:rPr>
          <w:lang w:val="en"/>
        </w:rPr>
        <w:t xml:space="preserve"> Good Death: The Medieval Ars </w:t>
      </w:r>
      <w:proofErr w:type="spellStart"/>
      <w:r w:rsidR="006D551D" w:rsidRPr="006D551D">
        <w:rPr>
          <w:lang w:val="en"/>
        </w:rPr>
        <w:t>Moriendi</w:t>
      </w:r>
      <w:proofErr w:type="spellEnd"/>
      <w:r w:rsidR="006D551D" w:rsidRPr="006D551D">
        <w:rPr>
          <w:lang w:val="en"/>
        </w:rPr>
        <w:t xml:space="preserve"> And Contemporary Doctors", </w:t>
      </w:r>
      <w:bookmarkEnd w:id="1"/>
      <w:r w:rsidR="006D551D" w:rsidRPr="006D551D">
        <w:rPr>
          <w:i/>
          <w:iCs/>
          <w:lang w:val="en"/>
        </w:rPr>
        <w:t>Medical Humanities</w:t>
      </w:r>
      <w:r w:rsidR="006D551D">
        <w:rPr>
          <w:lang w:val="en"/>
        </w:rPr>
        <w:t xml:space="preserve">, 35.2 (2009), Page 1-4 </w:t>
      </w:r>
    </w:p>
  </w:footnote>
  <w:footnote w:id="4">
    <w:p w:rsidR="006F63D4" w:rsidRDefault="006F63D4" w:rsidP="006F63D4">
      <w:pPr>
        <w:pStyle w:val="FootnoteText"/>
      </w:pPr>
      <w:r>
        <w:rPr>
          <w:rStyle w:val="FootnoteReference"/>
        </w:rPr>
        <w:footnoteRef/>
      </w:r>
      <w:r w:rsidR="00F225A7">
        <w:t xml:space="preserve"> </w:t>
      </w:r>
      <w:r w:rsidR="00F225A7" w:rsidRPr="00F225A7">
        <w:t xml:space="preserve">D. </w:t>
      </w:r>
      <w:proofErr w:type="spellStart"/>
      <w:r w:rsidR="00F225A7" w:rsidRPr="00F225A7">
        <w:t>Dunclow</w:t>
      </w:r>
      <w:proofErr w:type="spellEnd"/>
      <w:r w:rsidR="00F225A7" w:rsidRPr="00F225A7">
        <w:t xml:space="preserve">, </w:t>
      </w:r>
      <w:r w:rsidR="00F225A7" w:rsidRPr="00F225A7">
        <w:rPr>
          <w:bCs/>
        </w:rPr>
        <w:t xml:space="preserve">‘Dying Well: The </w:t>
      </w:r>
      <w:r w:rsidR="00F225A7" w:rsidRPr="00F225A7">
        <w:rPr>
          <w:bCs/>
          <w:i/>
          <w:iCs/>
        </w:rPr>
        <w:t xml:space="preserve">Ars </w:t>
      </w:r>
      <w:proofErr w:type="spellStart"/>
      <w:r w:rsidR="00F225A7" w:rsidRPr="00F225A7">
        <w:rPr>
          <w:bCs/>
          <w:i/>
          <w:iCs/>
        </w:rPr>
        <w:t>moriendi</w:t>
      </w:r>
      <w:proofErr w:type="spellEnd"/>
      <w:r w:rsidR="00F225A7" w:rsidRPr="00F225A7">
        <w:rPr>
          <w:bCs/>
          <w:i/>
          <w:iCs/>
        </w:rPr>
        <w:t xml:space="preserve"> </w:t>
      </w:r>
      <w:r w:rsidR="00F225A7" w:rsidRPr="00F225A7">
        <w:rPr>
          <w:bCs/>
        </w:rPr>
        <w:t xml:space="preserve">and the Dormition of the Virgin’, in </w:t>
      </w:r>
      <w:r w:rsidR="00F225A7" w:rsidRPr="00F225A7">
        <w:rPr>
          <w:bCs/>
          <w:i/>
          <w:iCs/>
        </w:rPr>
        <w:t>Death and Dying in the Middle Ages</w:t>
      </w:r>
      <w:r w:rsidR="00F225A7">
        <w:rPr>
          <w:bCs/>
        </w:rPr>
        <w:t>,</w:t>
      </w:r>
      <w:r>
        <w:t xml:space="preserve"> Page 379</w:t>
      </w:r>
    </w:p>
  </w:footnote>
  <w:footnote w:id="5">
    <w:p w:rsidR="00BF5904" w:rsidRDefault="00BF5904">
      <w:pPr>
        <w:pStyle w:val="FootnoteText"/>
      </w:pPr>
      <w:r>
        <w:rPr>
          <w:rStyle w:val="FootnoteReference"/>
        </w:rPr>
        <w:footnoteRef/>
      </w:r>
      <w:r>
        <w:t xml:space="preserve"> </w:t>
      </w:r>
      <w:r w:rsidR="003604F3">
        <w:t xml:space="preserve">F. Comper </w:t>
      </w:r>
      <w:proofErr w:type="spellStart"/>
      <w:r w:rsidR="003604F3">
        <w:t>ed</w:t>
      </w:r>
      <w:proofErr w:type="spellEnd"/>
      <w:r w:rsidR="003604F3">
        <w:t>,</w:t>
      </w:r>
      <w:r w:rsidR="003604F3" w:rsidRPr="003604F3">
        <w:rPr>
          <w:rFonts w:ascii="Calibri" w:eastAsia="Calibri" w:hAnsi="Calibri" w:cs="Times"/>
          <w:bCs/>
          <w:i/>
          <w:iCs/>
          <w:spacing w:val="-3"/>
          <w:sz w:val="22"/>
          <w:szCs w:val="22"/>
        </w:rPr>
        <w:t xml:space="preserve"> </w:t>
      </w:r>
      <w:r w:rsidR="003604F3" w:rsidRPr="003604F3">
        <w:rPr>
          <w:bCs/>
          <w:i/>
          <w:iCs/>
        </w:rPr>
        <w:t xml:space="preserve">The Book of the Craft of Dying and Other Early English Tracts Concerning Death </w:t>
      </w:r>
      <w:r w:rsidR="003604F3" w:rsidRPr="003604F3">
        <w:rPr>
          <w:bCs/>
        </w:rPr>
        <w:t>(London: Longmans, Green, and Co., 1917</w:t>
      </w:r>
      <w:r w:rsidR="003604F3">
        <w:rPr>
          <w:bCs/>
        </w:rPr>
        <w:t>.</w:t>
      </w:r>
      <w:r w:rsidR="003604F3">
        <w:t xml:space="preserve"> </w:t>
      </w:r>
      <w:r>
        <w:t xml:space="preserve"> Page 40</w:t>
      </w:r>
    </w:p>
  </w:footnote>
  <w:footnote w:id="6">
    <w:p w:rsidR="007B589D" w:rsidRDefault="007B589D">
      <w:pPr>
        <w:pStyle w:val="FootnoteText"/>
      </w:pPr>
      <w:r>
        <w:rPr>
          <w:rStyle w:val="FootnoteReference"/>
        </w:rPr>
        <w:footnoteRef/>
      </w:r>
      <w:r w:rsidR="00F225A7">
        <w:t xml:space="preserve"> </w:t>
      </w:r>
      <w:r w:rsidR="00F225A7" w:rsidRPr="00F225A7">
        <w:t xml:space="preserve">D. </w:t>
      </w:r>
      <w:proofErr w:type="spellStart"/>
      <w:r w:rsidR="00F225A7" w:rsidRPr="00F225A7">
        <w:t>Dunclow</w:t>
      </w:r>
      <w:proofErr w:type="spellEnd"/>
      <w:r w:rsidR="00F225A7" w:rsidRPr="00F225A7">
        <w:t xml:space="preserve">, </w:t>
      </w:r>
      <w:r w:rsidR="00F225A7" w:rsidRPr="00F225A7">
        <w:rPr>
          <w:bCs/>
        </w:rPr>
        <w:t xml:space="preserve">‘Dying Well: The </w:t>
      </w:r>
      <w:r w:rsidR="00F225A7" w:rsidRPr="00F225A7">
        <w:rPr>
          <w:bCs/>
          <w:i/>
          <w:iCs/>
        </w:rPr>
        <w:t xml:space="preserve">Ars </w:t>
      </w:r>
      <w:proofErr w:type="spellStart"/>
      <w:r w:rsidR="00F225A7" w:rsidRPr="00F225A7">
        <w:rPr>
          <w:bCs/>
          <w:i/>
          <w:iCs/>
        </w:rPr>
        <w:t>moriendi</w:t>
      </w:r>
      <w:proofErr w:type="spellEnd"/>
      <w:r w:rsidR="00F225A7" w:rsidRPr="00F225A7">
        <w:rPr>
          <w:bCs/>
          <w:i/>
          <w:iCs/>
        </w:rPr>
        <w:t xml:space="preserve"> </w:t>
      </w:r>
      <w:r w:rsidR="00F225A7" w:rsidRPr="00F225A7">
        <w:rPr>
          <w:bCs/>
        </w:rPr>
        <w:t xml:space="preserve">and the Dormition of the Virgin’, in </w:t>
      </w:r>
      <w:r w:rsidR="00F225A7" w:rsidRPr="00F225A7">
        <w:rPr>
          <w:bCs/>
          <w:i/>
          <w:iCs/>
        </w:rPr>
        <w:t>Death and Dying in the Middle Ages</w:t>
      </w:r>
      <w:r w:rsidR="00F225A7" w:rsidRPr="00F225A7">
        <w:rPr>
          <w:bCs/>
        </w:rPr>
        <w:t>,</w:t>
      </w:r>
      <w:r w:rsidR="00F225A7">
        <w:rPr>
          <w:bCs/>
        </w:rPr>
        <w:t xml:space="preserve"> Page 380</w:t>
      </w:r>
    </w:p>
  </w:footnote>
  <w:footnote w:id="7">
    <w:p w:rsidR="00C4581B" w:rsidRDefault="00C4581B">
      <w:pPr>
        <w:pStyle w:val="FootnoteText"/>
      </w:pPr>
      <w:r>
        <w:rPr>
          <w:rStyle w:val="FootnoteReference"/>
        </w:rPr>
        <w:footnoteRef/>
      </w:r>
      <w:r>
        <w:t xml:space="preserve"> </w:t>
      </w:r>
      <w:r w:rsidR="006D551D" w:rsidRPr="006D551D">
        <w:rPr>
          <w:lang w:val="en"/>
        </w:rPr>
        <w:t xml:space="preserve">K Thornton and C B Phillips, "Performing </w:t>
      </w:r>
      <w:proofErr w:type="gramStart"/>
      <w:r w:rsidR="006D551D" w:rsidRPr="006D551D">
        <w:rPr>
          <w:lang w:val="en"/>
        </w:rPr>
        <w:t>The</w:t>
      </w:r>
      <w:proofErr w:type="gramEnd"/>
      <w:r w:rsidR="006D551D" w:rsidRPr="006D551D">
        <w:rPr>
          <w:lang w:val="en"/>
        </w:rPr>
        <w:t xml:space="preserve"> Good Death: The Medieval Ars </w:t>
      </w:r>
      <w:proofErr w:type="spellStart"/>
      <w:r w:rsidR="006D551D" w:rsidRPr="006D551D">
        <w:rPr>
          <w:lang w:val="en"/>
        </w:rPr>
        <w:t>Mor</w:t>
      </w:r>
      <w:r w:rsidR="00FA44EE">
        <w:rPr>
          <w:lang w:val="en"/>
        </w:rPr>
        <w:t>iendi</w:t>
      </w:r>
      <w:proofErr w:type="spellEnd"/>
      <w:r w:rsidR="00FA44EE">
        <w:rPr>
          <w:lang w:val="en"/>
        </w:rPr>
        <w:t xml:space="preserve"> And Contemporary Doctors".</w:t>
      </w:r>
      <w:r w:rsidR="006D551D">
        <w:rPr>
          <w:lang w:val="en"/>
        </w:rPr>
        <w:t xml:space="preserve"> Page 4</w:t>
      </w:r>
    </w:p>
  </w:footnote>
  <w:footnote w:id="8">
    <w:p w:rsidR="00347C8F" w:rsidRDefault="00347C8F" w:rsidP="00347C8F">
      <w:pPr>
        <w:pStyle w:val="FootnoteText"/>
      </w:pPr>
      <w:r>
        <w:rPr>
          <w:rStyle w:val="FootnoteReference"/>
        </w:rPr>
        <w:footnoteRef/>
      </w:r>
      <w:r w:rsidR="00F225A7">
        <w:t xml:space="preserve"> </w:t>
      </w:r>
      <w:r w:rsidR="00F225A7" w:rsidRPr="00F225A7">
        <w:t xml:space="preserve">D. </w:t>
      </w:r>
      <w:proofErr w:type="spellStart"/>
      <w:r w:rsidR="00F225A7" w:rsidRPr="00F225A7">
        <w:t>Dunclow</w:t>
      </w:r>
      <w:proofErr w:type="spellEnd"/>
      <w:r w:rsidR="00F225A7" w:rsidRPr="00F225A7">
        <w:t xml:space="preserve">, </w:t>
      </w:r>
      <w:r w:rsidR="00F225A7" w:rsidRPr="00F225A7">
        <w:rPr>
          <w:bCs/>
        </w:rPr>
        <w:t xml:space="preserve">‘Dying Well: The </w:t>
      </w:r>
      <w:r w:rsidR="00F225A7" w:rsidRPr="00F225A7">
        <w:rPr>
          <w:bCs/>
          <w:i/>
          <w:iCs/>
        </w:rPr>
        <w:t xml:space="preserve">Ars </w:t>
      </w:r>
      <w:proofErr w:type="spellStart"/>
      <w:r w:rsidR="00F225A7" w:rsidRPr="00F225A7">
        <w:rPr>
          <w:bCs/>
          <w:i/>
          <w:iCs/>
        </w:rPr>
        <w:t>moriendi</w:t>
      </w:r>
      <w:proofErr w:type="spellEnd"/>
      <w:r w:rsidR="00F225A7" w:rsidRPr="00F225A7">
        <w:rPr>
          <w:bCs/>
          <w:i/>
          <w:iCs/>
        </w:rPr>
        <w:t xml:space="preserve"> </w:t>
      </w:r>
      <w:r w:rsidR="00F225A7" w:rsidRPr="00F225A7">
        <w:rPr>
          <w:bCs/>
        </w:rPr>
        <w:t xml:space="preserve">and the Dormition of the Virgin’, in </w:t>
      </w:r>
      <w:r w:rsidR="00F225A7" w:rsidRPr="00F225A7">
        <w:rPr>
          <w:bCs/>
          <w:i/>
          <w:iCs/>
        </w:rPr>
        <w:t>Death and Dying in the Middle Ages</w:t>
      </w:r>
      <w:r w:rsidR="00F225A7">
        <w:rPr>
          <w:bCs/>
        </w:rPr>
        <w:t>,</w:t>
      </w:r>
      <w:r>
        <w:t xml:space="preserve"> Page 383</w:t>
      </w:r>
    </w:p>
  </w:footnote>
  <w:footnote w:id="9">
    <w:p w:rsidR="004A53B7" w:rsidRDefault="004A53B7" w:rsidP="004A53B7">
      <w:pPr>
        <w:pStyle w:val="FootnoteText"/>
      </w:pPr>
      <w:r>
        <w:rPr>
          <w:rStyle w:val="FootnoteReference"/>
        </w:rPr>
        <w:footnoteRef/>
      </w:r>
      <w:r>
        <w:t xml:space="preserve"> </w:t>
      </w:r>
      <w:r w:rsidR="00F225A7" w:rsidRPr="00F225A7">
        <w:t xml:space="preserve">D. </w:t>
      </w:r>
      <w:proofErr w:type="spellStart"/>
      <w:r w:rsidR="00F225A7" w:rsidRPr="00F225A7">
        <w:t>Dunclow</w:t>
      </w:r>
      <w:proofErr w:type="spellEnd"/>
      <w:r w:rsidR="00F225A7" w:rsidRPr="00F225A7">
        <w:t xml:space="preserve">, </w:t>
      </w:r>
      <w:r w:rsidR="00F225A7" w:rsidRPr="00F225A7">
        <w:rPr>
          <w:bCs/>
        </w:rPr>
        <w:t xml:space="preserve">‘Dying Well: The </w:t>
      </w:r>
      <w:r w:rsidR="00F225A7" w:rsidRPr="00F225A7">
        <w:rPr>
          <w:bCs/>
          <w:i/>
          <w:iCs/>
        </w:rPr>
        <w:t xml:space="preserve">Ars </w:t>
      </w:r>
      <w:proofErr w:type="spellStart"/>
      <w:r w:rsidR="00F225A7" w:rsidRPr="00F225A7">
        <w:rPr>
          <w:bCs/>
          <w:i/>
          <w:iCs/>
        </w:rPr>
        <w:t>moriendi</w:t>
      </w:r>
      <w:proofErr w:type="spellEnd"/>
      <w:r w:rsidR="00F225A7" w:rsidRPr="00F225A7">
        <w:rPr>
          <w:bCs/>
          <w:i/>
          <w:iCs/>
        </w:rPr>
        <w:t xml:space="preserve"> </w:t>
      </w:r>
      <w:r w:rsidR="00F225A7" w:rsidRPr="00F225A7">
        <w:rPr>
          <w:bCs/>
        </w:rPr>
        <w:t xml:space="preserve">and the Dormition of the Virgin’, in </w:t>
      </w:r>
      <w:r w:rsidR="00F225A7" w:rsidRPr="00F225A7">
        <w:rPr>
          <w:bCs/>
          <w:i/>
          <w:iCs/>
        </w:rPr>
        <w:t>Death and Dying in the Middle Ages</w:t>
      </w:r>
      <w:r w:rsidR="00F225A7">
        <w:rPr>
          <w:bCs/>
        </w:rPr>
        <w:t>,</w:t>
      </w:r>
      <w:r>
        <w:t xml:space="preserve"> Page386</w:t>
      </w:r>
    </w:p>
  </w:footnote>
  <w:footnote w:id="10">
    <w:p w:rsidR="004A53B7" w:rsidRDefault="004A53B7" w:rsidP="004A53B7">
      <w:pPr>
        <w:pStyle w:val="FootnoteText"/>
      </w:pPr>
      <w:r>
        <w:rPr>
          <w:rStyle w:val="FootnoteReference"/>
        </w:rPr>
        <w:footnoteRef/>
      </w:r>
      <w:r>
        <w:t xml:space="preserve"> Ibid</w:t>
      </w:r>
    </w:p>
  </w:footnote>
  <w:footnote w:id="11">
    <w:p w:rsidR="00641921" w:rsidRDefault="00641921">
      <w:pPr>
        <w:pStyle w:val="FootnoteText"/>
      </w:pPr>
      <w:r>
        <w:rPr>
          <w:rStyle w:val="FootnoteReference"/>
        </w:rPr>
        <w:footnoteRef/>
      </w:r>
      <w:r w:rsidR="006D551D">
        <w:t xml:space="preserve"> </w:t>
      </w:r>
      <w:r w:rsidR="006D551D" w:rsidRPr="006D551D">
        <w:rPr>
          <w:lang w:val="en"/>
        </w:rPr>
        <w:t xml:space="preserve">K Thornton and C B Phillips, "Performing </w:t>
      </w:r>
      <w:proofErr w:type="gramStart"/>
      <w:r w:rsidR="006D551D" w:rsidRPr="006D551D">
        <w:rPr>
          <w:lang w:val="en"/>
        </w:rPr>
        <w:t>The</w:t>
      </w:r>
      <w:proofErr w:type="gramEnd"/>
      <w:r w:rsidR="006D551D" w:rsidRPr="006D551D">
        <w:rPr>
          <w:lang w:val="en"/>
        </w:rPr>
        <w:t xml:space="preserve"> Good Death: The Medieval Ars </w:t>
      </w:r>
      <w:proofErr w:type="spellStart"/>
      <w:r w:rsidR="006D551D" w:rsidRPr="006D551D">
        <w:rPr>
          <w:lang w:val="en"/>
        </w:rPr>
        <w:t>Mor</w:t>
      </w:r>
      <w:r w:rsidR="006D551D">
        <w:rPr>
          <w:lang w:val="en"/>
        </w:rPr>
        <w:t>iendi</w:t>
      </w:r>
      <w:proofErr w:type="spellEnd"/>
      <w:r w:rsidR="006D551D">
        <w:rPr>
          <w:lang w:val="en"/>
        </w:rPr>
        <w:t xml:space="preserve"> And Contemporary Doctors. Page 2</w:t>
      </w:r>
    </w:p>
  </w:footnote>
  <w:footnote w:id="12">
    <w:p w:rsidR="00023051" w:rsidRDefault="00023051">
      <w:pPr>
        <w:pStyle w:val="FootnoteText"/>
      </w:pPr>
      <w:r>
        <w:rPr>
          <w:rStyle w:val="FootnoteReference"/>
        </w:rPr>
        <w:footnoteRef/>
      </w:r>
      <w:r>
        <w:t xml:space="preserve"> ibid</w:t>
      </w:r>
    </w:p>
  </w:footnote>
  <w:footnote w:id="13">
    <w:p w:rsidR="00E464C9" w:rsidRDefault="00E464C9">
      <w:pPr>
        <w:pStyle w:val="FootnoteText"/>
      </w:pPr>
      <w:r>
        <w:rPr>
          <w:rStyle w:val="FootnoteReference"/>
        </w:rPr>
        <w:footnoteRef/>
      </w:r>
      <w:r w:rsidR="00F225A7">
        <w:t xml:space="preserve"> </w:t>
      </w:r>
      <w:r w:rsidR="00F225A7" w:rsidRPr="00F225A7">
        <w:t xml:space="preserve">D. </w:t>
      </w:r>
      <w:proofErr w:type="spellStart"/>
      <w:r w:rsidR="00F225A7" w:rsidRPr="00F225A7">
        <w:t>Dunclow</w:t>
      </w:r>
      <w:proofErr w:type="spellEnd"/>
      <w:r w:rsidR="00F225A7" w:rsidRPr="00F225A7">
        <w:t xml:space="preserve">, </w:t>
      </w:r>
      <w:r w:rsidR="00F225A7" w:rsidRPr="00F225A7">
        <w:rPr>
          <w:bCs/>
        </w:rPr>
        <w:t xml:space="preserve">‘Dying Well: The </w:t>
      </w:r>
      <w:r w:rsidR="00F225A7" w:rsidRPr="00F225A7">
        <w:rPr>
          <w:bCs/>
          <w:i/>
          <w:iCs/>
        </w:rPr>
        <w:t xml:space="preserve">Ars </w:t>
      </w:r>
      <w:proofErr w:type="spellStart"/>
      <w:r w:rsidR="00F225A7" w:rsidRPr="00F225A7">
        <w:rPr>
          <w:bCs/>
          <w:i/>
          <w:iCs/>
        </w:rPr>
        <w:t>moriendi</w:t>
      </w:r>
      <w:proofErr w:type="spellEnd"/>
      <w:r w:rsidR="00F225A7" w:rsidRPr="00F225A7">
        <w:rPr>
          <w:bCs/>
          <w:i/>
          <w:iCs/>
        </w:rPr>
        <w:t xml:space="preserve"> </w:t>
      </w:r>
      <w:r w:rsidR="00F225A7" w:rsidRPr="00F225A7">
        <w:rPr>
          <w:bCs/>
        </w:rPr>
        <w:t xml:space="preserve">and the Dormition of the Virgin’, in </w:t>
      </w:r>
      <w:r w:rsidR="00F225A7" w:rsidRPr="00F225A7">
        <w:rPr>
          <w:bCs/>
          <w:i/>
          <w:iCs/>
        </w:rPr>
        <w:t>Death and Dying in the Middle Ages</w:t>
      </w:r>
      <w:r w:rsidR="00F225A7" w:rsidRPr="00F225A7">
        <w:rPr>
          <w:bCs/>
        </w:rPr>
        <w:t xml:space="preserve">, </w:t>
      </w:r>
      <w:r>
        <w:t>Page 383</w:t>
      </w:r>
    </w:p>
  </w:footnote>
  <w:footnote w:id="14">
    <w:p w:rsidR="00C12B40" w:rsidRDefault="00C12B40">
      <w:pPr>
        <w:pStyle w:val="FootnoteText"/>
      </w:pPr>
      <w:r>
        <w:rPr>
          <w:rStyle w:val="FootnoteReference"/>
        </w:rPr>
        <w:footnoteRef/>
      </w:r>
      <w:r w:rsidR="00F225A7" w:rsidRPr="00F225A7">
        <w:t xml:space="preserve">D. </w:t>
      </w:r>
      <w:proofErr w:type="spellStart"/>
      <w:r w:rsidR="00F225A7" w:rsidRPr="00F225A7">
        <w:t>Dunclow</w:t>
      </w:r>
      <w:proofErr w:type="spellEnd"/>
      <w:r w:rsidR="00F225A7" w:rsidRPr="00F225A7">
        <w:t xml:space="preserve">, </w:t>
      </w:r>
      <w:r w:rsidR="00F225A7" w:rsidRPr="00F225A7">
        <w:rPr>
          <w:bCs/>
        </w:rPr>
        <w:t xml:space="preserve">‘Dying Well: The </w:t>
      </w:r>
      <w:r w:rsidR="00F225A7" w:rsidRPr="00F225A7">
        <w:rPr>
          <w:bCs/>
          <w:i/>
          <w:iCs/>
        </w:rPr>
        <w:t xml:space="preserve">Ars </w:t>
      </w:r>
      <w:proofErr w:type="spellStart"/>
      <w:r w:rsidR="00F225A7" w:rsidRPr="00F225A7">
        <w:rPr>
          <w:bCs/>
          <w:i/>
          <w:iCs/>
        </w:rPr>
        <w:t>moriendi</w:t>
      </w:r>
      <w:proofErr w:type="spellEnd"/>
      <w:r w:rsidR="00F225A7" w:rsidRPr="00F225A7">
        <w:rPr>
          <w:bCs/>
          <w:i/>
          <w:iCs/>
        </w:rPr>
        <w:t xml:space="preserve"> </w:t>
      </w:r>
      <w:r w:rsidR="00F225A7" w:rsidRPr="00F225A7">
        <w:rPr>
          <w:bCs/>
        </w:rPr>
        <w:t xml:space="preserve">and the Dormition of the Virgin’, in </w:t>
      </w:r>
      <w:r w:rsidR="00F225A7" w:rsidRPr="00F225A7">
        <w:rPr>
          <w:bCs/>
          <w:i/>
          <w:iCs/>
        </w:rPr>
        <w:t>Death and Dying in the Middle Ages</w:t>
      </w:r>
      <w:r w:rsidR="00F225A7">
        <w:rPr>
          <w:bCs/>
        </w:rPr>
        <w:t>,</w:t>
      </w:r>
      <w:r w:rsidR="00F225A7">
        <w:t xml:space="preserve"> </w:t>
      </w:r>
      <w:r>
        <w:t>Page 379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B86" w:rsidRDefault="00097B86">
    <w:pPr>
      <w:pStyle w:val="Header"/>
    </w:pPr>
    <w:r>
      <w:t>Dylan Trevett                                               1500610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FC3"/>
    <w:rsid w:val="00023051"/>
    <w:rsid w:val="00044CAC"/>
    <w:rsid w:val="000570E2"/>
    <w:rsid w:val="00097B86"/>
    <w:rsid w:val="000D14B4"/>
    <w:rsid w:val="001F5457"/>
    <w:rsid w:val="0024655B"/>
    <w:rsid w:val="002701F5"/>
    <w:rsid w:val="0030212C"/>
    <w:rsid w:val="003065C2"/>
    <w:rsid w:val="00347C8F"/>
    <w:rsid w:val="003604F3"/>
    <w:rsid w:val="00375BBA"/>
    <w:rsid w:val="003A585B"/>
    <w:rsid w:val="003B2AE8"/>
    <w:rsid w:val="003C3865"/>
    <w:rsid w:val="003E4FC3"/>
    <w:rsid w:val="00450ADF"/>
    <w:rsid w:val="00450BAA"/>
    <w:rsid w:val="0046367F"/>
    <w:rsid w:val="00491C47"/>
    <w:rsid w:val="004A009C"/>
    <w:rsid w:val="004A53B7"/>
    <w:rsid w:val="00504476"/>
    <w:rsid w:val="00514068"/>
    <w:rsid w:val="00561665"/>
    <w:rsid w:val="00590867"/>
    <w:rsid w:val="005A069B"/>
    <w:rsid w:val="005D68D1"/>
    <w:rsid w:val="00602738"/>
    <w:rsid w:val="00625786"/>
    <w:rsid w:val="00641921"/>
    <w:rsid w:val="006718EF"/>
    <w:rsid w:val="006A6284"/>
    <w:rsid w:val="006C3885"/>
    <w:rsid w:val="006D551D"/>
    <w:rsid w:val="006F63D4"/>
    <w:rsid w:val="007B589D"/>
    <w:rsid w:val="007B5903"/>
    <w:rsid w:val="007D2D31"/>
    <w:rsid w:val="007E69DA"/>
    <w:rsid w:val="00844789"/>
    <w:rsid w:val="008A44C8"/>
    <w:rsid w:val="008F4248"/>
    <w:rsid w:val="008F5C73"/>
    <w:rsid w:val="009377C8"/>
    <w:rsid w:val="00955C3B"/>
    <w:rsid w:val="009816CE"/>
    <w:rsid w:val="00A93559"/>
    <w:rsid w:val="00AB2701"/>
    <w:rsid w:val="00B02845"/>
    <w:rsid w:val="00B07E98"/>
    <w:rsid w:val="00B125B9"/>
    <w:rsid w:val="00B5134E"/>
    <w:rsid w:val="00B56783"/>
    <w:rsid w:val="00BB2426"/>
    <w:rsid w:val="00BB6313"/>
    <w:rsid w:val="00BF5904"/>
    <w:rsid w:val="00C12B40"/>
    <w:rsid w:val="00C32B45"/>
    <w:rsid w:val="00C4581B"/>
    <w:rsid w:val="00C51B32"/>
    <w:rsid w:val="00C5469A"/>
    <w:rsid w:val="00C740F1"/>
    <w:rsid w:val="00C773DE"/>
    <w:rsid w:val="00CB4CA5"/>
    <w:rsid w:val="00D15DDB"/>
    <w:rsid w:val="00D5465E"/>
    <w:rsid w:val="00D82833"/>
    <w:rsid w:val="00DB5EF9"/>
    <w:rsid w:val="00DC516A"/>
    <w:rsid w:val="00E14241"/>
    <w:rsid w:val="00E20556"/>
    <w:rsid w:val="00E464C9"/>
    <w:rsid w:val="00E5564B"/>
    <w:rsid w:val="00E57D91"/>
    <w:rsid w:val="00F225A7"/>
    <w:rsid w:val="00F25AB8"/>
    <w:rsid w:val="00F37BBC"/>
    <w:rsid w:val="00F7062E"/>
    <w:rsid w:val="00F964B0"/>
    <w:rsid w:val="00FA44EE"/>
    <w:rsid w:val="00FD0D91"/>
    <w:rsid w:val="00FD3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1023A"/>
  <w15:chartTrackingRefBased/>
  <w15:docId w15:val="{F2FD8526-2201-4371-BBDF-0BB46C1A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458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581B"/>
    <w:rPr>
      <w:sz w:val="20"/>
      <w:szCs w:val="20"/>
    </w:rPr>
  </w:style>
  <w:style w:type="character" w:styleId="FootnoteReference">
    <w:name w:val="footnote reference"/>
    <w:basedOn w:val="DefaultParagraphFont"/>
    <w:uiPriority w:val="99"/>
    <w:semiHidden/>
    <w:unhideWhenUsed/>
    <w:rsid w:val="00C4581B"/>
    <w:rPr>
      <w:vertAlign w:val="superscript"/>
    </w:rPr>
  </w:style>
  <w:style w:type="character" w:styleId="Hyperlink">
    <w:name w:val="Hyperlink"/>
    <w:basedOn w:val="DefaultParagraphFont"/>
    <w:uiPriority w:val="99"/>
    <w:unhideWhenUsed/>
    <w:rsid w:val="003C3865"/>
    <w:rPr>
      <w:color w:val="0563C1" w:themeColor="hyperlink"/>
      <w:u w:val="single"/>
    </w:rPr>
  </w:style>
  <w:style w:type="character" w:styleId="UnresolvedMention">
    <w:name w:val="Unresolved Mention"/>
    <w:basedOn w:val="DefaultParagraphFont"/>
    <w:uiPriority w:val="99"/>
    <w:semiHidden/>
    <w:unhideWhenUsed/>
    <w:rsid w:val="003C3865"/>
    <w:rPr>
      <w:color w:val="808080"/>
      <w:shd w:val="clear" w:color="auto" w:fill="E6E6E6"/>
    </w:rPr>
  </w:style>
  <w:style w:type="paragraph" w:styleId="Header">
    <w:name w:val="header"/>
    <w:basedOn w:val="Normal"/>
    <w:link w:val="HeaderChar"/>
    <w:uiPriority w:val="99"/>
    <w:unhideWhenUsed/>
    <w:rsid w:val="00097B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B86"/>
  </w:style>
  <w:style w:type="paragraph" w:styleId="Footer">
    <w:name w:val="footer"/>
    <w:basedOn w:val="Normal"/>
    <w:link w:val="FooterChar"/>
    <w:uiPriority w:val="99"/>
    <w:unhideWhenUsed/>
    <w:rsid w:val="00097B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929889">
      <w:bodyDiv w:val="1"/>
      <w:marLeft w:val="0"/>
      <w:marRight w:val="0"/>
      <w:marTop w:val="0"/>
      <w:marBottom w:val="0"/>
      <w:divBdr>
        <w:top w:val="none" w:sz="0" w:space="0" w:color="auto"/>
        <w:left w:val="none" w:sz="0" w:space="0" w:color="auto"/>
        <w:bottom w:val="none" w:sz="0" w:space="0" w:color="auto"/>
        <w:right w:val="none" w:sz="0" w:space="0" w:color="auto"/>
      </w:divBdr>
    </w:div>
    <w:div w:id="122371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bookofcraftofdyi00caxtial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enresearch-repository.anu.edu.au/bitstream/1885/100941/3/01_Thornton_Performing_the_Good_Death_2009.pdf" TargetMode="External"/><Relationship Id="rId4" Type="http://schemas.openxmlformats.org/officeDocument/2006/relationships/webSettings" Target="webSettings.xml"/><Relationship Id="rId9" Type="http://schemas.openxmlformats.org/officeDocument/2006/relationships/hyperlink" Target="https://archive.org/details/b22650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E26BBDE-6B50-4AA8-8238-45B1A7275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6</Pages>
  <Words>1109</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Trevett</dc:creator>
  <cp:keywords/>
  <dc:description/>
  <cp:lastModifiedBy>Dylan Trevett</cp:lastModifiedBy>
  <cp:revision>70</cp:revision>
  <dcterms:created xsi:type="dcterms:W3CDTF">2017-10-26T12:14:00Z</dcterms:created>
  <dcterms:modified xsi:type="dcterms:W3CDTF">2017-11-10T09:18:00Z</dcterms:modified>
</cp:coreProperties>
</file>