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D8E3EE" w14:textId="77777777" w:rsidR="00773A16" w:rsidRDefault="00773A16"/>
    <w:p w14:paraId="01ACD863" w14:textId="77777777" w:rsidR="00773A16" w:rsidRDefault="00773A16"/>
    <w:p w14:paraId="5EF606E9" w14:textId="77777777" w:rsidR="00773A16" w:rsidRDefault="00773A16"/>
    <w:p w14:paraId="1F73F449" w14:textId="77777777" w:rsidR="00773A16" w:rsidRDefault="00773A16"/>
    <w:p w14:paraId="3E6F649E" w14:textId="77777777" w:rsidR="00773A16" w:rsidRDefault="00773A16"/>
    <w:p w14:paraId="5273E1E8" w14:textId="77777777" w:rsidR="00773A16" w:rsidRDefault="00773A16"/>
    <w:p w14:paraId="42AE5952" w14:textId="77777777" w:rsidR="00773A16" w:rsidRDefault="00773A16"/>
    <w:p w14:paraId="35A5890A" w14:textId="77777777" w:rsidR="00773A16" w:rsidRDefault="00773A16" w:rsidP="003F7191">
      <w:pPr>
        <w:jc w:val="center"/>
      </w:pPr>
    </w:p>
    <w:p w14:paraId="2A870DD7" w14:textId="77777777" w:rsidR="00773A16" w:rsidRDefault="00773A16" w:rsidP="003F7191">
      <w:pPr>
        <w:jc w:val="center"/>
      </w:pPr>
    </w:p>
    <w:p w14:paraId="1A2AB658" w14:textId="77777777" w:rsidR="00773A16" w:rsidRDefault="00000000" w:rsidP="003F7191">
      <w:pPr>
        <w:pStyle w:val="Title"/>
      </w:pPr>
      <w:bookmarkStart w:id="0" w:name="_g07p07h7m15u" w:colFirst="0" w:colLast="0"/>
      <w:bookmarkEnd w:id="0"/>
      <w:proofErr w:type="spellStart"/>
      <w:r>
        <w:t>Programme</w:t>
      </w:r>
      <w:proofErr w:type="spellEnd"/>
      <w:r>
        <w:t>: Master of Business Administration</w:t>
      </w:r>
    </w:p>
    <w:p w14:paraId="73A1FB26" w14:textId="77777777" w:rsidR="00773A16" w:rsidRDefault="00000000" w:rsidP="003F7191">
      <w:pPr>
        <w:pStyle w:val="Title"/>
      </w:pPr>
      <w:bookmarkStart w:id="1" w:name="_nqilfca38y2a" w:colFirst="0" w:colLast="0"/>
      <w:bookmarkEnd w:id="1"/>
      <w:r>
        <w:t>Module: Strategic Management</w:t>
      </w:r>
    </w:p>
    <w:p w14:paraId="282CCEF3" w14:textId="77777777" w:rsidR="00773A16" w:rsidRDefault="00000000" w:rsidP="003F7191">
      <w:pPr>
        <w:pStyle w:val="Title"/>
      </w:pPr>
      <w:bookmarkStart w:id="2" w:name="_w3o2v2mqx3x4" w:colFirst="0" w:colLast="0"/>
      <w:bookmarkEnd w:id="2"/>
      <w:r>
        <w:t>Module code: LCMB7003</w:t>
      </w:r>
    </w:p>
    <w:p w14:paraId="5A0C1AB7" w14:textId="77777777" w:rsidR="00773A16" w:rsidRDefault="00000000" w:rsidP="003F7191">
      <w:pPr>
        <w:pStyle w:val="Title"/>
        <w:rPr>
          <w:lang w:val="en-IN"/>
        </w:rPr>
      </w:pPr>
      <w:bookmarkStart w:id="3" w:name="_s2glh4pm4s0h" w:colFirst="0" w:colLast="0"/>
      <w:bookmarkEnd w:id="3"/>
      <w:r>
        <w:t xml:space="preserve">Lecturer: </w:t>
      </w:r>
      <w:proofErr w:type="spellStart"/>
      <w:r>
        <w:rPr>
          <w:lang w:val="en-IN"/>
        </w:rPr>
        <w:t>Balendran</w:t>
      </w:r>
      <w:proofErr w:type="spellEnd"/>
      <w:r>
        <w:rPr>
          <w:lang w:val="en-IN"/>
        </w:rPr>
        <w:t xml:space="preserve"> Kandasamy</w:t>
      </w:r>
    </w:p>
    <w:p w14:paraId="1D69C18A" w14:textId="1518CFCE" w:rsidR="00773A16" w:rsidRDefault="00000000" w:rsidP="003F7191">
      <w:pPr>
        <w:pStyle w:val="Title"/>
      </w:pPr>
      <w:bookmarkStart w:id="4" w:name="_fsbxrcumy9r3" w:colFirst="0" w:colLast="0"/>
      <w:bookmarkEnd w:id="4"/>
      <w:r>
        <w:t>Assignment Title: Individual Report</w:t>
      </w:r>
    </w:p>
    <w:p w14:paraId="7D32838D" w14:textId="47393974" w:rsidR="00773A16" w:rsidRPr="003F7191" w:rsidRDefault="00000000" w:rsidP="003F7191">
      <w:pPr>
        <w:jc w:val="center"/>
        <w:rPr>
          <w:b/>
          <w:bCs/>
          <w:sz w:val="32"/>
          <w:szCs w:val="32"/>
          <w:lang w:val="en-IN"/>
        </w:rPr>
      </w:pPr>
      <w:r w:rsidRPr="003F7191">
        <w:rPr>
          <w:b/>
          <w:bCs/>
          <w:sz w:val="32"/>
          <w:szCs w:val="32"/>
          <w:lang w:val="en-IN"/>
        </w:rPr>
        <w:t>Name - Monika Singh</w:t>
      </w:r>
    </w:p>
    <w:p w14:paraId="15EDAFD0" w14:textId="77777777" w:rsidR="00773A16" w:rsidRPr="003F7191" w:rsidRDefault="00000000" w:rsidP="003F7191">
      <w:pPr>
        <w:jc w:val="center"/>
        <w:rPr>
          <w:b/>
          <w:bCs/>
          <w:sz w:val="32"/>
          <w:szCs w:val="32"/>
          <w:lang w:val="en-IN"/>
        </w:rPr>
      </w:pPr>
      <w:r w:rsidRPr="003F7191">
        <w:rPr>
          <w:b/>
          <w:bCs/>
          <w:sz w:val="32"/>
          <w:szCs w:val="32"/>
          <w:lang w:val="en-IN"/>
        </w:rPr>
        <w:t>Student id - 2504364</w:t>
      </w:r>
    </w:p>
    <w:p w14:paraId="5A7E6E24" w14:textId="77777777" w:rsidR="00773A16" w:rsidRDefault="00773A16" w:rsidP="003F7191">
      <w:pPr>
        <w:jc w:val="center"/>
      </w:pPr>
    </w:p>
    <w:p w14:paraId="3F544208" w14:textId="77777777" w:rsidR="00773A16" w:rsidRDefault="00773A16"/>
    <w:p w14:paraId="1E75F66A" w14:textId="77777777" w:rsidR="00773A16" w:rsidRDefault="00773A16"/>
    <w:p w14:paraId="2E7AFB41" w14:textId="77777777" w:rsidR="00773A16" w:rsidRDefault="00773A16"/>
    <w:p w14:paraId="3F05AFAD" w14:textId="77777777" w:rsidR="00773A16" w:rsidRDefault="00000000">
      <w:r>
        <w:br w:type="page"/>
      </w:r>
    </w:p>
    <w:bookmarkStart w:id="5" w:name="_yvrsc6o4cwmf" w:colFirst="0" w:colLast="0" w:displacedByCustomXml="next"/>
    <w:bookmarkEnd w:id="5" w:displacedByCustomXml="next"/>
    <w:sdt>
      <w:sdtPr>
        <w:rPr>
          <w:rFonts w:asciiTheme="minorBidi" w:eastAsia="Arial" w:hAnsiTheme="minorBidi" w:cstheme="minorBidi"/>
          <w:b/>
          <w:bCs/>
          <w:color w:val="auto"/>
          <w:sz w:val="24"/>
          <w:szCs w:val="24"/>
          <w:lang w:val="en" w:eastAsia="en-IN"/>
        </w:rPr>
        <w:id w:val="-1703170037"/>
        <w:docPartObj>
          <w:docPartGallery w:val="Table of Contents"/>
          <w:docPartUnique/>
        </w:docPartObj>
      </w:sdtPr>
      <w:sdtEndPr>
        <w:rPr>
          <w:rFonts w:ascii="Arial" w:hAnsi="Arial" w:cs="Arial"/>
        </w:rPr>
      </w:sdtEndPr>
      <w:sdtContent>
        <w:p w14:paraId="58314920" w14:textId="77777777" w:rsidR="00773A16" w:rsidRDefault="00000000">
          <w:pPr>
            <w:pStyle w:val="TOCHeading1"/>
            <w:jc w:val="center"/>
            <w:rPr>
              <w:rFonts w:asciiTheme="minorBidi" w:hAnsiTheme="minorBidi" w:cstheme="minorBidi"/>
              <w:b/>
              <w:bCs/>
              <w:color w:val="auto"/>
              <w:sz w:val="24"/>
              <w:szCs w:val="24"/>
            </w:rPr>
          </w:pPr>
          <w:r>
            <w:rPr>
              <w:rFonts w:asciiTheme="minorBidi" w:hAnsiTheme="minorBidi" w:cstheme="minorBidi"/>
              <w:b/>
              <w:bCs/>
              <w:color w:val="auto"/>
              <w:sz w:val="24"/>
              <w:szCs w:val="24"/>
            </w:rPr>
            <w:t>Table of Contents</w:t>
          </w:r>
        </w:p>
        <w:p w14:paraId="75CF4330" w14:textId="77777777" w:rsidR="00773A16" w:rsidRDefault="00000000">
          <w:pPr>
            <w:pStyle w:val="TOC1"/>
            <w:tabs>
              <w:tab w:val="right" w:leader="dot" w:pos="9016"/>
            </w:tabs>
          </w:pPr>
          <w:r>
            <w:fldChar w:fldCharType="begin"/>
          </w:r>
          <w:r>
            <w:instrText xml:space="preserve"> TOC \o "1-3" \h \z \u </w:instrText>
          </w:r>
          <w:r>
            <w:fldChar w:fldCharType="separate"/>
          </w:r>
          <w:hyperlink w:anchor="_Toc228287912" w:history="1">
            <w:r>
              <w:rPr>
                <w:rStyle w:val="Hyperlink"/>
              </w:rPr>
              <w:t>Section 1: Report</w:t>
            </w:r>
            <w:r>
              <w:tab/>
            </w:r>
            <w:r>
              <w:fldChar w:fldCharType="begin"/>
            </w:r>
            <w:r>
              <w:instrText xml:space="preserve"> PAGEREF _Toc228287912 \h </w:instrText>
            </w:r>
            <w:r>
              <w:fldChar w:fldCharType="separate"/>
            </w:r>
            <w:r>
              <w:t>3</w:t>
            </w:r>
            <w:r>
              <w:fldChar w:fldCharType="end"/>
            </w:r>
          </w:hyperlink>
        </w:p>
        <w:p w14:paraId="2B517E3A" w14:textId="77777777" w:rsidR="00773A16" w:rsidRDefault="00000000">
          <w:pPr>
            <w:pStyle w:val="TOC2"/>
            <w:tabs>
              <w:tab w:val="right" w:leader="dot" w:pos="9016"/>
            </w:tabs>
          </w:pPr>
          <w:hyperlink w:anchor="_Toc228287913" w:history="1">
            <w:r>
              <w:rPr>
                <w:rStyle w:val="Hyperlink"/>
              </w:rPr>
              <w:t>1. Organisational Context and Overview</w:t>
            </w:r>
            <w:r>
              <w:tab/>
            </w:r>
            <w:r>
              <w:fldChar w:fldCharType="begin"/>
            </w:r>
            <w:r>
              <w:instrText xml:space="preserve"> PAGEREF _Toc228287913 \h </w:instrText>
            </w:r>
            <w:r>
              <w:fldChar w:fldCharType="separate"/>
            </w:r>
            <w:r>
              <w:t>3</w:t>
            </w:r>
            <w:r>
              <w:fldChar w:fldCharType="end"/>
            </w:r>
          </w:hyperlink>
        </w:p>
        <w:p w14:paraId="70643F39" w14:textId="77777777" w:rsidR="00773A16" w:rsidRDefault="00000000">
          <w:pPr>
            <w:pStyle w:val="TOC3"/>
            <w:tabs>
              <w:tab w:val="right" w:leader="dot" w:pos="9016"/>
            </w:tabs>
          </w:pPr>
          <w:hyperlink w:anchor="_Toc228287914" w:history="1">
            <w:r>
              <w:rPr>
                <w:rStyle w:val="Hyperlink"/>
              </w:rPr>
              <w:t>1.1 Summary of Unilever</w:t>
            </w:r>
            <w:r>
              <w:tab/>
            </w:r>
            <w:r>
              <w:fldChar w:fldCharType="begin"/>
            </w:r>
            <w:r>
              <w:instrText xml:space="preserve"> PAGEREF _Toc228287914 \h </w:instrText>
            </w:r>
            <w:r>
              <w:fldChar w:fldCharType="separate"/>
            </w:r>
            <w:r>
              <w:t>3</w:t>
            </w:r>
            <w:r>
              <w:fldChar w:fldCharType="end"/>
            </w:r>
          </w:hyperlink>
        </w:p>
        <w:p w14:paraId="50DA6AD6" w14:textId="77777777" w:rsidR="00773A16" w:rsidRDefault="00000000">
          <w:pPr>
            <w:pStyle w:val="TOC3"/>
            <w:tabs>
              <w:tab w:val="right" w:leader="dot" w:pos="9016"/>
            </w:tabs>
          </w:pPr>
          <w:hyperlink w:anchor="_Toc228287915" w:history="1">
            <w:r>
              <w:rPr>
                <w:rStyle w:val="Hyperlink"/>
              </w:rPr>
              <w:t>1.2 Discussion of the industry in which the organisation operates, its key competitors, and its market position</w:t>
            </w:r>
            <w:r>
              <w:tab/>
            </w:r>
            <w:r>
              <w:fldChar w:fldCharType="begin"/>
            </w:r>
            <w:r>
              <w:instrText xml:space="preserve"> PAGEREF _Toc228287915 \h </w:instrText>
            </w:r>
            <w:r>
              <w:fldChar w:fldCharType="separate"/>
            </w:r>
            <w:r>
              <w:t>3</w:t>
            </w:r>
            <w:r>
              <w:fldChar w:fldCharType="end"/>
            </w:r>
          </w:hyperlink>
        </w:p>
        <w:p w14:paraId="66417AC4" w14:textId="77777777" w:rsidR="00773A16" w:rsidRDefault="00000000">
          <w:pPr>
            <w:pStyle w:val="TOC2"/>
            <w:tabs>
              <w:tab w:val="right" w:leader="dot" w:pos="9016"/>
            </w:tabs>
          </w:pPr>
          <w:hyperlink w:anchor="_Toc228287916" w:history="1">
            <w:r>
              <w:rPr>
                <w:rStyle w:val="Hyperlink"/>
              </w:rPr>
              <w:t>2. External and Internal Environment Analysis</w:t>
            </w:r>
            <w:r>
              <w:tab/>
            </w:r>
            <w:r>
              <w:fldChar w:fldCharType="begin"/>
            </w:r>
            <w:r>
              <w:instrText xml:space="preserve"> PAGEREF _Toc228287916 \h </w:instrText>
            </w:r>
            <w:r>
              <w:fldChar w:fldCharType="separate"/>
            </w:r>
            <w:r>
              <w:t>4</w:t>
            </w:r>
            <w:r>
              <w:fldChar w:fldCharType="end"/>
            </w:r>
          </w:hyperlink>
        </w:p>
        <w:p w14:paraId="790FA809" w14:textId="77777777" w:rsidR="00773A16" w:rsidRDefault="00000000">
          <w:pPr>
            <w:pStyle w:val="TOC3"/>
            <w:tabs>
              <w:tab w:val="right" w:leader="dot" w:pos="9016"/>
            </w:tabs>
          </w:pPr>
          <w:hyperlink w:anchor="_Toc228287917" w:history="1">
            <w:r>
              <w:rPr>
                <w:rStyle w:val="Hyperlink"/>
              </w:rPr>
              <w:t>2.1 Critical discussion on external factors (PESTEL) impact on Unilever's strategic decisions</w:t>
            </w:r>
            <w:r>
              <w:tab/>
            </w:r>
            <w:r>
              <w:fldChar w:fldCharType="begin"/>
            </w:r>
            <w:r>
              <w:instrText xml:space="preserve"> PAGEREF _Toc228287917 \h </w:instrText>
            </w:r>
            <w:r>
              <w:fldChar w:fldCharType="separate"/>
            </w:r>
            <w:r>
              <w:t>4</w:t>
            </w:r>
            <w:r>
              <w:fldChar w:fldCharType="end"/>
            </w:r>
          </w:hyperlink>
        </w:p>
        <w:p w14:paraId="68AE649E" w14:textId="77777777" w:rsidR="00773A16" w:rsidRDefault="00000000">
          <w:pPr>
            <w:pStyle w:val="TOC3"/>
            <w:tabs>
              <w:tab w:val="right" w:leader="dot" w:pos="9016"/>
            </w:tabs>
          </w:pPr>
          <w:hyperlink w:anchor="_Toc228287918" w:history="1">
            <w:r>
              <w:rPr>
                <w:rStyle w:val="Hyperlink"/>
              </w:rPr>
              <w:t>2.2 Identification of the critical success factors and strategic challenges faced by Unilever in external environment.</w:t>
            </w:r>
            <w:r>
              <w:tab/>
            </w:r>
            <w:r>
              <w:fldChar w:fldCharType="begin"/>
            </w:r>
            <w:r>
              <w:instrText xml:space="preserve"> PAGEREF _Toc228287918 \h </w:instrText>
            </w:r>
            <w:r>
              <w:fldChar w:fldCharType="separate"/>
            </w:r>
            <w:r>
              <w:t>7</w:t>
            </w:r>
            <w:r>
              <w:fldChar w:fldCharType="end"/>
            </w:r>
          </w:hyperlink>
        </w:p>
        <w:p w14:paraId="0556EB47" w14:textId="77777777" w:rsidR="00773A16" w:rsidRDefault="00000000">
          <w:pPr>
            <w:pStyle w:val="TOC3"/>
            <w:tabs>
              <w:tab w:val="right" w:leader="dot" w:pos="9016"/>
            </w:tabs>
          </w:pPr>
          <w:hyperlink w:anchor="_Toc228287919" w:history="1">
            <w:r>
              <w:rPr>
                <w:rStyle w:val="Hyperlink"/>
              </w:rPr>
              <w:t>2.3 Assessment of Unilever’s internal environment (VRIO)</w:t>
            </w:r>
            <w:r>
              <w:tab/>
            </w:r>
            <w:r>
              <w:fldChar w:fldCharType="begin"/>
            </w:r>
            <w:r>
              <w:instrText xml:space="preserve"> PAGEREF _Toc228287919 \h </w:instrText>
            </w:r>
            <w:r>
              <w:fldChar w:fldCharType="separate"/>
            </w:r>
            <w:r>
              <w:t>8</w:t>
            </w:r>
            <w:r>
              <w:fldChar w:fldCharType="end"/>
            </w:r>
          </w:hyperlink>
        </w:p>
        <w:p w14:paraId="728CA927" w14:textId="77777777" w:rsidR="00773A16" w:rsidRDefault="00000000">
          <w:pPr>
            <w:pStyle w:val="TOC3"/>
            <w:tabs>
              <w:tab w:val="right" w:leader="dot" w:pos="9016"/>
            </w:tabs>
          </w:pPr>
          <w:hyperlink w:anchor="_Toc228287920" w:history="1">
            <w:r>
              <w:rPr>
                <w:rStyle w:val="Hyperlink"/>
              </w:rPr>
              <w:t>2.4 Internal strengths contribute to Unilever competitive advantage</w:t>
            </w:r>
            <w:r>
              <w:tab/>
            </w:r>
            <w:r>
              <w:fldChar w:fldCharType="begin"/>
            </w:r>
            <w:r>
              <w:instrText xml:space="preserve"> PAGEREF _Toc228287920 \h </w:instrText>
            </w:r>
            <w:r>
              <w:fldChar w:fldCharType="separate"/>
            </w:r>
            <w:r>
              <w:t>10</w:t>
            </w:r>
            <w:r>
              <w:fldChar w:fldCharType="end"/>
            </w:r>
          </w:hyperlink>
        </w:p>
        <w:p w14:paraId="19423D5F" w14:textId="77777777" w:rsidR="00773A16" w:rsidRDefault="00000000">
          <w:pPr>
            <w:pStyle w:val="TOC2"/>
            <w:tabs>
              <w:tab w:val="right" w:leader="dot" w:pos="9016"/>
            </w:tabs>
          </w:pPr>
          <w:hyperlink w:anchor="_Toc228287921" w:history="1">
            <w:r>
              <w:rPr>
                <w:rStyle w:val="Hyperlink"/>
              </w:rPr>
              <w:t>3. CSR and Sustainability objectives</w:t>
            </w:r>
            <w:r>
              <w:tab/>
            </w:r>
            <w:r>
              <w:fldChar w:fldCharType="begin"/>
            </w:r>
            <w:r>
              <w:instrText xml:space="preserve"> PAGEREF _Toc228287921 \h </w:instrText>
            </w:r>
            <w:r>
              <w:fldChar w:fldCharType="separate"/>
            </w:r>
            <w:r>
              <w:t>10</w:t>
            </w:r>
            <w:r>
              <w:fldChar w:fldCharType="end"/>
            </w:r>
          </w:hyperlink>
        </w:p>
        <w:p w14:paraId="1D393743" w14:textId="77777777" w:rsidR="00773A16" w:rsidRDefault="00000000">
          <w:pPr>
            <w:pStyle w:val="TOC3"/>
            <w:tabs>
              <w:tab w:val="right" w:leader="dot" w:pos="9016"/>
            </w:tabs>
          </w:pPr>
          <w:hyperlink w:anchor="_Toc228287922" w:history="1">
            <w:r>
              <w:rPr>
                <w:rStyle w:val="Hyperlink"/>
              </w:rPr>
              <w:t>3.1 CSR Strategy and Strategic Integration</w:t>
            </w:r>
            <w:r>
              <w:tab/>
            </w:r>
            <w:r>
              <w:fldChar w:fldCharType="begin"/>
            </w:r>
            <w:r>
              <w:instrText xml:space="preserve"> PAGEREF _Toc228287922 \h </w:instrText>
            </w:r>
            <w:r>
              <w:fldChar w:fldCharType="separate"/>
            </w:r>
            <w:r>
              <w:t>10</w:t>
            </w:r>
            <w:r>
              <w:fldChar w:fldCharType="end"/>
            </w:r>
          </w:hyperlink>
        </w:p>
        <w:p w14:paraId="3709BF56" w14:textId="77777777" w:rsidR="00773A16" w:rsidRDefault="00000000">
          <w:pPr>
            <w:pStyle w:val="TOC3"/>
            <w:tabs>
              <w:tab w:val="right" w:leader="dot" w:pos="9016"/>
            </w:tabs>
          </w:pPr>
          <w:hyperlink w:anchor="_Toc228287923" w:history="1">
            <w:r>
              <w:rPr>
                <w:rStyle w:val="Hyperlink"/>
              </w:rPr>
              <w:t>3.2 Value Chain Impact and Stakeholder Orientation</w:t>
            </w:r>
            <w:r>
              <w:tab/>
            </w:r>
            <w:r>
              <w:fldChar w:fldCharType="begin"/>
            </w:r>
            <w:r>
              <w:instrText xml:space="preserve"> PAGEREF _Toc228287923 \h </w:instrText>
            </w:r>
            <w:r>
              <w:fldChar w:fldCharType="separate"/>
            </w:r>
            <w:r>
              <w:t>11</w:t>
            </w:r>
            <w:r>
              <w:fldChar w:fldCharType="end"/>
            </w:r>
          </w:hyperlink>
        </w:p>
        <w:p w14:paraId="0BFE105A" w14:textId="77777777" w:rsidR="00773A16" w:rsidRDefault="00000000">
          <w:pPr>
            <w:pStyle w:val="TOC3"/>
            <w:tabs>
              <w:tab w:val="right" w:leader="dot" w:pos="9016"/>
            </w:tabs>
          </w:pPr>
          <w:hyperlink w:anchor="_Toc228287924" w:history="1">
            <w:r>
              <w:rPr>
                <w:rStyle w:val="Hyperlink"/>
              </w:rPr>
              <w:t>3.3 Competitive Advantage: Sustainability</w:t>
            </w:r>
            <w:r>
              <w:tab/>
            </w:r>
            <w:r>
              <w:fldChar w:fldCharType="begin"/>
            </w:r>
            <w:r>
              <w:instrText xml:space="preserve"> PAGEREF _Toc228287924 \h </w:instrText>
            </w:r>
            <w:r>
              <w:fldChar w:fldCharType="separate"/>
            </w:r>
            <w:r>
              <w:t>11</w:t>
            </w:r>
            <w:r>
              <w:fldChar w:fldCharType="end"/>
            </w:r>
          </w:hyperlink>
        </w:p>
        <w:p w14:paraId="2CC5F276" w14:textId="77777777" w:rsidR="00773A16" w:rsidRDefault="00000000">
          <w:pPr>
            <w:pStyle w:val="TOC2"/>
            <w:tabs>
              <w:tab w:val="right" w:leader="dot" w:pos="9016"/>
            </w:tabs>
          </w:pPr>
          <w:hyperlink w:anchor="_Toc228287925" w:history="1">
            <w:r>
              <w:rPr>
                <w:rStyle w:val="Hyperlink"/>
              </w:rPr>
              <w:t>4. Comprehensive and holistic view of the organisation</w:t>
            </w:r>
            <w:r>
              <w:tab/>
            </w:r>
            <w:r>
              <w:fldChar w:fldCharType="begin"/>
            </w:r>
            <w:r>
              <w:instrText xml:space="preserve"> PAGEREF _Toc228287925 \h </w:instrText>
            </w:r>
            <w:r>
              <w:fldChar w:fldCharType="separate"/>
            </w:r>
            <w:r>
              <w:t>12</w:t>
            </w:r>
            <w:r>
              <w:fldChar w:fldCharType="end"/>
            </w:r>
          </w:hyperlink>
        </w:p>
        <w:p w14:paraId="40F36153" w14:textId="77777777" w:rsidR="00773A16" w:rsidRDefault="00000000">
          <w:pPr>
            <w:pStyle w:val="TOC2"/>
            <w:tabs>
              <w:tab w:val="right" w:leader="dot" w:pos="9016"/>
            </w:tabs>
          </w:pPr>
          <w:hyperlink w:anchor="_Toc228287926" w:history="1">
            <w:r>
              <w:rPr>
                <w:rStyle w:val="Hyperlink"/>
              </w:rPr>
              <w:t>5. Strategic Choices and Implementation</w:t>
            </w:r>
            <w:r>
              <w:tab/>
            </w:r>
            <w:r>
              <w:fldChar w:fldCharType="begin"/>
            </w:r>
            <w:r>
              <w:instrText xml:space="preserve"> PAGEREF _Toc228287926 \h </w:instrText>
            </w:r>
            <w:r>
              <w:fldChar w:fldCharType="separate"/>
            </w:r>
            <w:r>
              <w:t>14</w:t>
            </w:r>
            <w:r>
              <w:fldChar w:fldCharType="end"/>
            </w:r>
          </w:hyperlink>
        </w:p>
        <w:p w14:paraId="53E9796E" w14:textId="77777777" w:rsidR="00773A16" w:rsidRDefault="00000000">
          <w:pPr>
            <w:pStyle w:val="TOC3"/>
            <w:tabs>
              <w:tab w:val="right" w:leader="dot" w:pos="9016"/>
            </w:tabs>
          </w:pPr>
          <w:hyperlink w:anchor="_Toc228287927" w:history="1">
            <w:r>
              <w:rPr>
                <w:rStyle w:val="Hyperlink"/>
              </w:rPr>
              <w:t>5.1 Strategic Choices at Business and Corporate Levels</w:t>
            </w:r>
            <w:r>
              <w:tab/>
            </w:r>
            <w:r>
              <w:fldChar w:fldCharType="begin"/>
            </w:r>
            <w:r>
              <w:instrText xml:space="preserve"> PAGEREF _Toc228287927 \h </w:instrText>
            </w:r>
            <w:r>
              <w:fldChar w:fldCharType="separate"/>
            </w:r>
            <w:r>
              <w:t>14</w:t>
            </w:r>
            <w:r>
              <w:fldChar w:fldCharType="end"/>
            </w:r>
          </w:hyperlink>
        </w:p>
        <w:p w14:paraId="3EE4475B" w14:textId="77777777" w:rsidR="00773A16" w:rsidRDefault="00000000">
          <w:pPr>
            <w:pStyle w:val="TOC3"/>
            <w:tabs>
              <w:tab w:val="right" w:leader="dot" w:pos="9016"/>
            </w:tabs>
          </w:pPr>
          <w:hyperlink w:anchor="_Toc228287928" w:history="1">
            <w:r>
              <w:rPr>
                <w:rStyle w:val="Hyperlink"/>
              </w:rPr>
              <w:t>5.2 Evolutionary and strategic execution</w:t>
            </w:r>
            <w:r>
              <w:tab/>
            </w:r>
            <w:r>
              <w:fldChar w:fldCharType="begin"/>
            </w:r>
            <w:r>
              <w:instrText xml:space="preserve"> PAGEREF _Toc228287928 \h </w:instrText>
            </w:r>
            <w:r>
              <w:fldChar w:fldCharType="separate"/>
            </w:r>
            <w:r>
              <w:t>16</w:t>
            </w:r>
            <w:r>
              <w:fldChar w:fldCharType="end"/>
            </w:r>
          </w:hyperlink>
        </w:p>
        <w:p w14:paraId="56923218" w14:textId="77777777" w:rsidR="00773A16" w:rsidRDefault="00000000">
          <w:pPr>
            <w:pStyle w:val="TOC2"/>
            <w:tabs>
              <w:tab w:val="right" w:leader="dot" w:pos="9016"/>
            </w:tabs>
          </w:pPr>
          <w:hyperlink w:anchor="_Toc228287929" w:history="1">
            <w:r>
              <w:rPr>
                <w:rStyle w:val="Hyperlink"/>
              </w:rPr>
              <w:t>6. Strategic Evaluation and Recommendations</w:t>
            </w:r>
            <w:r>
              <w:tab/>
            </w:r>
            <w:r>
              <w:fldChar w:fldCharType="begin"/>
            </w:r>
            <w:r>
              <w:instrText xml:space="preserve"> PAGEREF _Toc228287929 \h </w:instrText>
            </w:r>
            <w:r>
              <w:fldChar w:fldCharType="separate"/>
            </w:r>
            <w:r>
              <w:t>18</w:t>
            </w:r>
            <w:r>
              <w:fldChar w:fldCharType="end"/>
            </w:r>
          </w:hyperlink>
        </w:p>
        <w:p w14:paraId="419899DC" w14:textId="77777777" w:rsidR="00773A16" w:rsidRDefault="00000000">
          <w:pPr>
            <w:pStyle w:val="TOC3"/>
            <w:tabs>
              <w:tab w:val="right" w:leader="dot" w:pos="9016"/>
            </w:tabs>
          </w:pPr>
          <w:hyperlink w:anchor="_Toc228287930" w:history="1">
            <w:r>
              <w:rPr>
                <w:rStyle w:val="Hyperlink"/>
              </w:rPr>
              <w:t>6.1 Strategic Evaluation using SWOT Framework</w:t>
            </w:r>
            <w:r>
              <w:tab/>
            </w:r>
            <w:r>
              <w:fldChar w:fldCharType="begin"/>
            </w:r>
            <w:r>
              <w:instrText xml:space="preserve"> PAGEREF _Toc228287930 \h </w:instrText>
            </w:r>
            <w:r>
              <w:fldChar w:fldCharType="separate"/>
            </w:r>
            <w:r>
              <w:t>18</w:t>
            </w:r>
            <w:r>
              <w:fldChar w:fldCharType="end"/>
            </w:r>
          </w:hyperlink>
        </w:p>
        <w:p w14:paraId="16537048" w14:textId="77777777" w:rsidR="00773A16" w:rsidRDefault="00000000">
          <w:pPr>
            <w:pStyle w:val="TOC3"/>
            <w:tabs>
              <w:tab w:val="right" w:leader="dot" w:pos="9016"/>
            </w:tabs>
          </w:pPr>
          <w:hyperlink w:anchor="_Toc228287931" w:history="1">
            <w:r>
              <w:rPr>
                <w:rStyle w:val="Hyperlink"/>
              </w:rPr>
              <w:t>6.2 Strategic Recommendations</w:t>
            </w:r>
            <w:r>
              <w:tab/>
            </w:r>
            <w:r>
              <w:fldChar w:fldCharType="begin"/>
            </w:r>
            <w:r>
              <w:instrText xml:space="preserve"> PAGEREF _Toc228287931 \h </w:instrText>
            </w:r>
            <w:r>
              <w:fldChar w:fldCharType="separate"/>
            </w:r>
            <w:r>
              <w:t>19</w:t>
            </w:r>
            <w:r>
              <w:fldChar w:fldCharType="end"/>
            </w:r>
          </w:hyperlink>
        </w:p>
        <w:p w14:paraId="1A072817" w14:textId="77777777" w:rsidR="00773A16" w:rsidRDefault="00000000">
          <w:pPr>
            <w:pStyle w:val="TOC3"/>
            <w:tabs>
              <w:tab w:val="right" w:leader="dot" w:pos="9016"/>
            </w:tabs>
          </w:pPr>
          <w:hyperlink w:anchor="_Toc228287932" w:history="1">
            <w:r>
              <w:rPr>
                <w:rStyle w:val="Hyperlink"/>
              </w:rPr>
              <w:t>6.3 Justification of Recommendations</w:t>
            </w:r>
            <w:r>
              <w:tab/>
            </w:r>
            <w:r>
              <w:fldChar w:fldCharType="begin"/>
            </w:r>
            <w:r>
              <w:instrText xml:space="preserve"> PAGEREF _Toc228287932 \h </w:instrText>
            </w:r>
            <w:r>
              <w:fldChar w:fldCharType="separate"/>
            </w:r>
            <w:r>
              <w:t>20</w:t>
            </w:r>
            <w:r>
              <w:fldChar w:fldCharType="end"/>
            </w:r>
          </w:hyperlink>
        </w:p>
        <w:p w14:paraId="1F99BB19" w14:textId="77777777" w:rsidR="00773A16" w:rsidRDefault="00000000">
          <w:pPr>
            <w:pStyle w:val="TOC1"/>
            <w:tabs>
              <w:tab w:val="right" w:leader="dot" w:pos="9016"/>
            </w:tabs>
          </w:pPr>
          <w:hyperlink w:anchor="_Toc228287933" w:history="1">
            <w:r>
              <w:rPr>
                <w:rStyle w:val="Hyperlink"/>
              </w:rPr>
              <w:t>Section 2: Reflection using Gibbs</w:t>
            </w:r>
            <w:r>
              <w:tab/>
            </w:r>
            <w:r>
              <w:fldChar w:fldCharType="begin"/>
            </w:r>
            <w:r>
              <w:instrText xml:space="preserve"> PAGEREF _Toc228287933 \h </w:instrText>
            </w:r>
            <w:r>
              <w:fldChar w:fldCharType="separate"/>
            </w:r>
            <w:r>
              <w:t>21</w:t>
            </w:r>
            <w:r>
              <w:fldChar w:fldCharType="end"/>
            </w:r>
          </w:hyperlink>
        </w:p>
        <w:p w14:paraId="67AB5F28" w14:textId="77777777" w:rsidR="00773A16" w:rsidRDefault="00000000">
          <w:pPr>
            <w:pStyle w:val="TOC1"/>
            <w:tabs>
              <w:tab w:val="right" w:leader="dot" w:pos="9016"/>
            </w:tabs>
          </w:pPr>
          <w:hyperlink w:anchor="_Toc228287934" w:history="1">
            <w:r>
              <w:rPr>
                <w:rStyle w:val="Hyperlink"/>
              </w:rPr>
              <w:t>Reference List</w:t>
            </w:r>
            <w:r>
              <w:tab/>
            </w:r>
            <w:r>
              <w:fldChar w:fldCharType="begin"/>
            </w:r>
            <w:r>
              <w:instrText xml:space="preserve"> PAGEREF _Toc228287934 \h </w:instrText>
            </w:r>
            <w:r>
              <w:fldChar w:fldCharType="separate"/>
            </w:r>
            <w:r>
              <w:t>24</w:t>
            </w:r>
            <w:r>
              <w:fldChar w:fldCharType="end"/>
            </w:r>
          </w:hyperlink>
        </w:p>
        <w:p w14:paraId="346E80C3" w14:textId="77777777" w:rsidR="00773A16" w:rsidRDefault="00000000">
          <w:r>
            <w:rPr>
              <w:b/>
              <w:bCs/>
            </w:rPr>
            <w:fldChar w:fldCharType="end"/>
          </w:r>
        </w:p>
      </w:sdtContent>
    </w:sdt>
    <w:p w14:paraId="0E4E7CA7" w14:textId="77777777" w:rsidR="00773A16" w:rsidRDefault="00000000">
      <w:pPr>
        <w:rPr>
          <w:sz w:val="28"/>
          <w:szCs w:val="28"/>
        </w:rPr>
      </w:pPr>
      <w:r>
        <w:lastRenderedPageBreak/>
        <w:br w:type="page"/>
      </w:r>
    </w:p>
    <w:p w14:paraId="7410D4E7" w14:textId="77777777" w:rsidR="00773A16" w:rsidRDefault="00000000">
      <w:pPr>
        <w:pStyle w:val="Heading1"/>
      </w:pPr>
      <w:bookmarkStart w:id="6" w:name="_Toc228287912"/>
      <w:r>
        <w:lastRenderedPageBreak/>
        <w:t>Section 1: Report</w:t>
      </w:r>
      <w:bookmarkEnd w:id="6"/>
      <w:r>
        <w:t xml:space="preserve"> </w:t>
      </w:r>
    </w:p>
    <w:p w14:paraId="44C491A3" w14:textId="77777777" w:rsidR="00773A16" w:rsidRDefault="00000000">
      <w:pPr>
        <w:pStyle w:val="Heading2"/>
      </w:pPr>
      <w:bookmarkStart w:id="7" w:name="_8yui2wctiux1" w:colFirst="0" w:colLast="0"/>
      <w:bookmarkStart w:id="8" w:name="_Toc228287913"/>
      <w:bookmarkEnd w:id="7"/>
      <w:r>
        <w:t xml:space="preserve">1. </w:t>
      </w:r>
      <w:proofErr w:type="spellStart"/>
      <w:r>
        <w:t>Organisational</w:t>
      </w:r>
      <w:proofErr w:type="spellEnd"/>
      <w:r>
        <w:t xml:space="preserve"> Context and Overview</w:t>
      </w:r>
      <w:bookmarkEnd w:id="8"/>
    </w:p>
    <w:p w14:paraId="4413ED76" w14:textId="77777777" w:rsidR="00773A16" w:rsidRDefault="00000000">
      <w:pPr>
        <w:pStyle w:val="Heading3"/>
      </w:pPr>
      <w:bookmarkStart w:id="9" w:name="_qrkkuy9ks016" w:colFirst="0" w:colLast="0"/>
      <w:bookmarkStart w:id="10" w:name="_Toc228287914"/>
      <w:bookmarkEnd w:id="9"/>
      <w:r>
        <w:t>1.1 Summary of Unilever</w:t>
      </w:r>
      <w:bookmarkEnd w:id="10"/>
    </w:p>
    <w:p w14:paraId="4B899A23" w14:textId="77777777" w:rsidR="00773A16" w:rsidRDefault="00000000">
      <w:r>
        <w:t xml:space="preserve">Unilever is a multinational fast-moving consumer goods (FMCG) enterprise founded in 1930 as a result of a merger of Margarine </w:t>
      </w:r>
      <w:proofErr w:type="spellStart"/>
      <w:r>
        <w:t>Unie</w:t>
      </w:r>
      <w:proofErr w:type="spellEnd"/>
      <w:r>
        <w:t xml:space="preserve"> (Netherlands) and Lever Brothers (UK). The </w:t>
      </w:r>
      <w:proofErr w:type="spellStart"/>
      <w:r>
        <w:t>organisation</w:t>
      </w:r>
      <w:proofErr w:type="spellEnd"/>
      <w:r>
        <w:t xml:space="preserve"> has grown to be one of the largest consumer goods companies in the world, with more than 190 countries and a varied portfolio of consumer brands including Dove, Lifebuoy, and Knorr (Unilever, 2026). Unilever has a strong sense of environmental and social responsibility; in this regard, the company aims to make sustainable living a normal practice. It has a vision of creating long-term value through sustainable growth and combating global issues like climate change and health. The business model of the company is multi-brand, which focuses on various segments of consumers in terms of food, personal care, and home care. This model facilitates economies of scale, high brand equity, and entering the global markets, and incorporates sustainability in the core processes and value creation.</w:t>
      </w:r>
    </w:p>
    <w:p w14:paraId="78EB1B7C" w14:textId="77777777" w:rsidR="00773A16" w:rsidRDefault="00000000">
      <w:pPr>
        <w:pStyle w:val="Heading3"/>
      </w:pPr>
      <w:bookmarkStart w:id="11" w:name="_1xn0ehaxe7tq" w:colFirst="0" w:colLast="0"/>
      <w:bookmarkStart w:id="12" w:name="_Toc228287915"/>
      <w:bookmarkEnd w:id="11"/>
      <w:r>
        <w:t xml:space="preserve">1.2 Discussion of the industry in which the </w:t>
      </w:r>
      <w:proofErr w:type="spellStart"/>
      <w:r>
        <w:t>organisation</w:t>
      </w:r>
      <w:proofErr w:type="spellEnd"/>
      <w:r>
        <w:t xml:space="preserve"> operates, its key competitors, and its market position</w:t>
      </w:r>
      <w:bookmarkEnd w:id="12"/>
    </w:p>
    <w:p w14:paraId="6E8A5E07" w14:textId="77777777" w:rsidR="00773A16" w:rsidRDefault="00000000">
      <w:r>
        <w:t>Unilever competes in the FMCG industry, which is highly competitive with low product differentiation, high volume sales, and fierce rivalry in terms of prices. The sector is informed by the quick consumer need shifts, innovation, and rising levels of sustainability and ethical sourcing. The major competitors have been Procter and Gamble, Nestle, and Reckitt, which have been competing in the same category of products and markets worldwide. Unilever can sustain a competitive position in the market owing to the large number of its brands, worldwide distribution base, and the differentiation strategy based on sustainability (Unilever, 2024). It is, however, under pressure of both premium brands and low-cost home brands. Its strategic orientation towards the emerging markets and intentional branding has enhanced consumer trust, but the critics suggest that increasing profitability and sustainability promise balancing are important issues in maintaining a long-term competitive advantage.</w:t>
      </w:r>
    </w:p>
    <w:p w14:paraId="4D4627A8" w14:textId="77777777" w:rsidR="00773A16" w:rsidRDefault="00000000">
      <w:pPr>
        <w:pStyle w:val="Heading2"/>
      </w:pPr>
      <w:bookmarkStart w:id="13" w:name="_rwearw7wgl0b" w:colFirst="0" w:colLast="0"/>
      <w:bookmarkStart w:id="14" w:name="_Toc228287916"/>
      <w:bookmarkEnd w:id="13"/>
      <w:r>
        <w:lastRenderedPageBreak/>
        <w:t>2. External and Internal Environment Analysis</w:t>
      </w:r>
      <w:bookmarkEnd w:id="14"/>
      <w:r>
        <w:t xml:space="preserve"> </w:t>
      </w:r>
    </w:p>
    <w:p w14:paraId="176C2E47" w14:textId="77777777" w:rsidR="00773A16" w:rsidRDefault="00000000">
      <w:pPr>
        <w:pStyle w:val="Heading3"/>
      </w:pPr>
      <w:bookmarkStart w:id="15" w:name="_oevxzi406z3i" w:colFirst="0" w:colLast="0"/>
      <w:bookmarkStart w:id="16" w:name="_Toc228287917"/>
      <w:bookmarkEnd w:id="15"/>
      <w:r>
        <w:t>2.1 Critical discussion on external factors (PESTEL) impact on Unilever's strategic decisions</w:t>
      </w:r>
      <w:bookmarkEnd w:id="16"/>
    </w:p>
    <w:p w14:paraId="2C380FE5" w14:textId="77777777" w:rsidR="00773A16" w:rsidRDefault="00000000">
      <w:pPr>
        <w:rPr>
          <w:b/>
          <w:bCs/>
          <w:i/>
          <w:iCs/>
        </w:rPr>
      </w:pPr>
      <w:r>
        <w:rPr>
          <w:b/>
          <w:bCs/>
          <w:i/>
          <w:iCs/>
        </w:rPr>
        <w:t xml:space="preserve">Political Factors </w:t>
      </w:r>
    </w:p>
    <w:p w14:paraId="7DC67D35" w14:textId="77777777" w:rsidR="00773A16" w:rsidRDefault="00000000">
      <w:r>
        <w:t>Political risks also play a major role in the strategic decisions of Unilever, as it operates in various markets in different countries. The Global Economy (2024) indicates that the United Kingdom had a political stability score of about 0.51, which implies a moderate sense of stability, whereas Switzerland had a score of about 1.07, which means that it is a highly stable business environment. Comparatively, Russia achieved approximately -0.71 and Ukraine -1.14, which shows a deep political instability and risks associated with conflicts (The Global Economy, 2024). Such differences impact market entry, sourcing, and investment choices of Unilever in different territories.</w:t>
      </w:r>
    </w:p>
    <w:p w14:paraId="42BE6339" w14:textId="77777777" w:rsidR="00773A16" w:rsidRDefault="00000000">
      <w:r>
        <w:t>The Russia-Ukraine war has not only broken the chain of world trade but also escalated the cost of fuel and other transportation and provoked low supplies of farm goods and energy-based products. In another instance, Unilever sold its Russian business in October 2024 following numerous complaints by campaigners and stakeholders following months of sustained pressure (The Guardian, 2024).  It proves that geopolitical matters can directly push the strategic divestment choices.</w:t>
      </w:r>
    </w:p>
    <w:p w14:paraId="1CF15D0C" w14:textId="77777777" w:rsidR="00773A16" w:rsidRDefault="00000000">
      <w:r>
        <w:t>Moreover, Unilever might have to pay up to $1.5 billion (£1.1 billion) a year in new US tariffs, which might compel additional moves towards price increases in addition to the 1% rise in the first quarter of 2025 (The Guardian, 2025). This can force Unilever to change its pricing, sourcing, and market strategies to be profitable.</w:t>
      </w:r>
    </w:p>
    <w:p w14:paraId="728B58F1" w14:textId="77777777" w:rsidR="00773A16" w:rsidRDefault="00000000">
      <w:pPr>
        <w:rPr>
          <w:b/>
          <w:bCs/>
          <w:i/>
          <w:iCs/>
        </w:rPr>
      </w:pPr>
      <w:r>
        <w:rPr>
          <w:b/>
          <w:bCs/>
          <w:i/>
          <w:iCs/>
        </w:rPr>
        <w:t xml:space="preserve">Economic Factors </w:t>
      </w:r>
    </w:p>
    <w:p w14:paraId="66E00F9B" w14:textId="77777777" w:rsidR="00773A16" w:rsidRDefault="00000000">
      <w:r>
        <w:t>Unilever has a strong dependence on economic factors in its strategic pricing and profitability in the global markets. As per Statista (2026), the global inflation rate was about 5.8 percent in 2024, which is far higher than the long-term average, raising the cost of raw materials, packaging and transportation.  This will need Unilever to increase the prices as well as cost-cutting measures.</w:t>
      </w:r>
    </w:p>
    <w:p w14:paraId="3CC3A977" w14:textId="77777777" w:rsidR="00773A16" w:rsidRDefault="00000000">
      <w:pPr>
        <w:jc w:val="center"/>
      </w:pPr>
      <w:r>
        <w:rPr>
          <w:noProof/>
        </w:rPr>
        <w:lastRenderedPageBreak/>
        <w:drawing>
          <wp:inline distT="114300" distB="114300" distL="114300" distR="114300" wp14:anchorId="3BBB184D" wp14:editId="13A01D63">
            <wp:extent cx="5214620" cy="3300730"/>
            <wp:effectExtent l="25400" t="25400" r="25400" b="25400"/>
            <wp:docPr id="4" name="image4.png"/>
            <wp:cNvGraphicFramePr/>
            <a:graphic xmlns:a="http://schemas.openxmlformats.org/drawingml/2006/main">
              <a:graphicData uri="http://schemas.openxmlformats.org/drawingml/2006/picture">
                <pic:pic xmlns:pic="http://schemas.openxmlformats.org/drawingml/2006/picture">
                  <pic:nvPicPr>
                    <pic:cNvPr id="4" name="image4.png"/>
                    <pic:cNvPicPr preferRelativeResize="0"/>
                  </pic:nvPicPr>
                  <pic:blipFill>
                    <a:blip r:embed="rId8"/>
                    <a:srcRect/>
                    <a:stretch>
                      <a:fillRect/>
                    </a:stretch>
                  </pic:blipFill>
                  <pic:spPr>
                    <a:xfrm>
                      <a:off x="0" y="0"/>
                      <a:ext cx="5214938" cy="3301122"/>
                    </a:xfrm>
                    <a:prstGeom prst="rect">
                      <a:avLst/>
                    </a:prstGeom>
                    <a:ln w="25400">
                      <a:solidFill>
                        <a:srgbClr val="000000"/>
                      </a:solidFill>
                      <a:prstDash val="solid"/>
                    </a:ln>
                  </pic:spPr>
                </pic:pic>
              </a:graphicData>
            </a:graphic>
          </wp:inline>
        </w:drawing>
      </w:r>
    </w:p>
    <w:p w14:paraId="3949133F" w14:textId="77777777" w:rsidR="00773A16" w:rsidRDefault="00000000">
      <w:pPr>
        <w:jc w:val="center"/>
        <w:rPr>
          <w:b/>
          <w:bCs/>
        </w:rPr>
      </w:pPr>
      <w:r>
        <w:rPr>
          <w:b/>
          <w:bCs/>
        </w:rPr>
        <w:t>Figure 1: Worldwide average inflation rate</w:t>
      </w:r>
    </w:p>
    <w:p w14:paraId="437429A2" w14:textId="77777777" w:rsidR="00773A16" w:rsidRDefault="00000000">
      <w:pPr>
        <w:jc w:val="center"/>
      </w:pPr>
      <w:r>
        <w:t>(Source: Statista, 2026)</w:t>
      </w:r>
    </w:p>
    <w:p w14:paraId="5A6E0C35" w14:textId="77777777" w:rsidR="00773A16" w:rsidRDefault="00000000">
      <w:r>
        <w:t xml:space="preserve">Inflation has been very high in certain markets, as an example Argentina measured inflation of over 200% and Turkey registered over 50% in 2025 (Yahoo Finance, 2025). This could </w:t>
      </w:r>
      <w:proofErr w:type="gramStart"/>
      <w:r>
        <w:t>decreases</w:t>
      </w:r>
      <w:proofErr w:type="gramEnd"/>
      <w:r>
        <w:t xml:space="preserve"> the consumer buying power and might force Unilever to launch smaller and cheaper products formats.</w:t>
      </w:r>
    </w:p>
    <w:p w14:paraId="4AD73DB9" w14:textId="77777777" w:rsidR="00773A16" w:rsidRDefault="00000000">
      <w:r>
        <w:t xml:space="preserve">In addition, the currencies of the emerging markets have fallen about 4% on average by year end, despite the partial recuperation, against the US dollar which will lead to rising importation expenses and decreased earnings once converted to the more stable currencies (IMF.org, 2024). Thus, Unilever needs to </w:t>
      </w:r>
      <w:proofErr w:type="gramStart"/>
      <w:r>
        <w:t>insure</w:t>
      </w:r>
      <w:proofErr w:type="gramEnd"/>
      <w:r>
        <w:t xml:space="preserve"> currency risks and geographical diversification in order to remain profitable.</w:t>
      </w:r>
    </w:p>
    <w:p w14:paraId="3E67AE56" w14:textId="77777777" w:rsidR="00773A16" w:rsidRDefault="00000000">
      <w:pPr>
        <w:rPr>
          <w:b/>
          <w:bCs/>
          <w:i/>
          <w:iCs/>
        </w:rPr>
      </w:pPr>
      <w:r>
        <w:rPr>
          <w:b/>
          <w:bCs/>
          <w:i/>
          <w:iCs/>
        </w:rPr>
        <w:t xml:space="preserve">Social Factors </w:t>
      </w:r>
    </w:p>
    <w:p w14:paraId="2A97E1B3" w14:textId="77777777" w:rsidR="00773A16" w:rsidRDefault="00773A16"/>
    <w:p w14:paraId="1FBA5C4F" w14:textId="77777777" w:rsidR="00773A16" w:rsidRDefault="00000000">
      <w:r>
        <w:t>The Unilever strategic decisions are increasingly influenced by social factors in a world where people expect sustainable, ethical, and healthier products. PwC (2024) reveals that consumers are prepared to bear sustainability premium of an average 9.7% despite inflation and pressure on the cost-of-living. This motivates Unilever to build on sustainable product-line of premium products and purpose-driven branding.</w:t>
      </w:r>
    </w:p>
    <w:p w14:paraId="4B73F2BA" w14:textId="77777777" w:rsidR="00773A16" w:rsidRDefault="00000000">
      <w:r>
        <w:t xml:space="preserve">Sustainable packaging continues to gain demand in the world as there is more awareness about the environment. A larger portion of consumers (64% in India) </w:t>
      </w:r>
      <w:r>
        <w:lastRenderedPageBreak/>
        <w:t xml:space="preserve">believe that eco-friendly packaging is important to consumers, as opposed to 57% in Brazil, 56 in China, and 52 in the United Kingdom (GlobeNewswire, 2025). </w:t>
      </w:r>
    </w:p>
    <w:p w14:paraId="3A33B3F8" w14:textId="77777777" w:rsidR="00773A16" w:rsidRDefault="00000000">
      <w:r>
        <w:rPr>
          <w:noProof/>
        </w:rPr>
        <w:drawing>
          <wp:inline distT="114300" distB="114300" distL="114300" distR="114300" wp14:anchorId="00942986" wp14:editId="4F09A2E4">
            <wp:extent cx="5943600" cy="2794000"/>
            <wp:effectExtent l="25400" t="25400" r="25400" b="25400"/>
            <wp:docPr id="2" name="image5.png"/>
            <wp:cNvGraphicFramePr/>
            <a:graphic xmlns:a="http://schemas.openxmlformats.org/drawingml/2006/main">
              <a:graphicData uri="http://schemas.openxmlformats.org/drawingml/2006/picture">
                <pic:pic xmlns:pic="http://schemas.openxmlformats.org/drawingml/2006/picture">
                  <pic:nvPicPr>
                    <pic:cNvPr id="2" name="image5.png"/>
                    <pic:cNvPicPr preferRelativeResize="0"/>
                  </pic:nvPicPr>
                  <pic:blipFill>
                    <a:blip r:embed="rId9"/>
                    <a:srcRect/>
                    <a:stretch>
                      <a:fillRect/>
                    </a:stretch>
                  </pic:blipFill>
                  <pic:spPr>
                    <a:xfrm>
                      <a:off x="0" y="0"/>
                      <a:ext cx="5943600" cy="2794000"/>
                    </a:xfrm>
                    <a:prstGeom prst="rect">
                      <a:avLst/>
                    </a:prstGeom>
                    <a:ln w="25400">
                      <a:solidFill>
                        <a:srgbClr val="000000"/>
                      </a:solidFill>
                      <a:prstDash val="solid"/>
                    </a:ln>
                  </pic:spPr>
                </pic:pic>
              </a:graphicData>
            </a:graphic>
          </wp:inline>
        </w:drawing>
      </w:r>
    </w:p>
    <w:p w14:paraId="6C8C083C" w14:textId="77777777" w:rsidR="00773A16" w:rsidRDefault="00000000">
      <w:pPr>
        <w:jc w:val="center"/>
        <w:rPr>
          <w:b/>
          <w:bCs/>
        </w:rPr>
      </w:pPr>
      <w:r>
        <w:rPr>
          <w:b/>
          <w:bCs/>
        </w:rPr>
        <w:t xml:space="preserve">Figure 2: </w:t>
      </w:r>
      <w:proofErr w:type="spellStart"/>
      <w:r>
        <w:rPr>
          <w:b/>
          <w:bCs/>
        </w:rPr>
        <w:t>Populairty</w:t>
      </w:r>
      <w:proofErr w:type="spellEnd"/>
      <w:r>
        <w:rPr>
          <w:b/>
          <w:bCs/>
        </w:rPr>
        <w:t xml:space="preserve"> of eco-friendly packaging among global customers</w:t>
      </w:r>
    </w:p>
    <w:p w14:paraId="5324C927" w14:textId="77777777" w:rsidR="00773A16" w:rsidRDefault="00000000">
      <w:pPr>
        <w:jc w:val="center"/>
      </w:pPr>
      <w:r>
        <w:t>(</w:t>
      </w:r>
      <w:proofErr w:type="spellStart"/>
      <w:proofErr w:type="gramStart"/>
      <w:r>
        <w:t>Source:GlobeNewswire</w:t>
      </w:r>
      <w:proofErr w:type="spellEnd"/>
      <w:proofErr w:type="gramEnd"/>
      <w:r>
        <w:t xml:space="preserve">, 2025). </w:t>
      </w:r>
    </w:p>
    <w:p w14:paraId="4545B19D" w14:textId="77777777" w:rsidR="00773A16" w:rsidRDefault="00773A16"/>
    <w:p w14:paraId="1DBBA2B6" w14:textId="77777777" w:rsidR="00773A16" w:rsidRDefault="00000000">
      <w:r>
        <w:t>This puts a strain on Unilever in modifying packaging and sustainability solutions to local markets. As such, Unilever needs to keep on producing sustainable products and packaging solution to keep customers loyal and remain up to date through its competitiveness in the long-term.</w:t>
      </w:r>
    </w:p>
    <w:p w14:paraId="425DEF51" w14:textId="77777777" w:rsidR="00773A16" w:rsidRDefault="00000000">
      <w:pPr>
        <w:rPr>
          <w:b/>
          <w:bCs/>
          <w:i/>
          <w:iCs/>
        </w:rPr>
      </w:pPr>
      <w:r>
        <w:rPr>
          <w:b/>
          <w:bCs/>
          <w:i/>
          <w:iCs/>
        </w:rPr>
        <w:t xml:space="preserve">Technological Factors </w:t>
      </w:r>
    </w:p>
    <w:p w14:paraId="28B2D00B" w14:textId="77777777" w:rsidR="00773A16" w:rsidRDefault="00000000">
      <w:r>
        <w:t xml:space="preserve">Distribution, marketing and operations of Unilever are also strategically influenced by technological </w:t>
      </w:r>
      <w:proofErr w:type="spellStart"/>
      <w:proofErr w:type="gramStart"/>
      <w:r>
        <w:t>advances.As</w:t>
      </w:r>
      <w:proofErr w:type="spellEnd"/>
      <w:proofErr w:type="gramEnd"/>
      <w:r>
        <w:t xml:space="preserve"> reported by Euromonitor International (2025), sales of FMCG e-commerce increased by 11% in 2024, representing a significant move towards online retailing channels. Specifically, e-commerce sales were most popular with beauty and personal care, which are estimated to be USD 118 billion throughout the world in 2024. This prompts Unilever to enhance digital marketing and online retailing. In addition, using artificial intelligence within the FMCG industry enhances the demand forecasting, inventory management, and </w:t>
      </w:r>
      <w:proofErr w:type="spellStart"/>
      <w:r>
        <w:t>optimisation</w:t>
      </w:r>
      <w:proofErr w:type="spellEnd"/>
      <w:r>
        <w:t xml:space="preserve"> of the supply chain (Jayawardana, 2025). This can assist Unilever to cut down on the cost of operations and enhance efficiency.</w:t>
      </w:r>
    </w:p>
    <w:p w14:paraId="6EE3F2C3" w14:textId="77777777" w:rsidR="00773A16" w:rsidRDefault="00000000">
      <w:r>
        <w:lastRenderedPageBreak/>
        <w:t>Hence, Unilever should not stop its investment in AI, automation, and digital commerce features in order to keep up with the demand in a technologically oriented environment.</w:t>
      </w:r>
    </w:p>
    <w:p w14:paraId="39E50898" w14:textId="77777777" w:rsidR="00773A16" w:rsidRDefault="00000000">
      <w:r>
        <w:rPr>
          <w:b/>
          <w:bCs/>
          <w:i/>
          <w:iCs/>
        </w:rPr>
        <w:t>Environmental Factors</w:t>
      </w:r>
      <w:r>
        <w:t xml:space="preserve"> </w:t>
      </w:r>
    </w:p>
    <w:p w14:paraId="22877C79" w14:textId="77777777" w:rsidR="00773A16" w:rsidRDefault="00000000">
      <w:r>
        <w:t xml:space="preserve">Unilever is experiencing increasing pressure in its long-term strategic priorities due to environmental pressure. United Nations Environment </w:t>
      </w:r>
      <w:proofErr w:type="spellStart"/>
      <w:r>
        <w:t>Programme</w:t>
      </w:r>
      <w:proofErr w:type="spellEnd"/>
      <w:r>
        <w:t xml:space="preserve"> reports that the planet produces more than 400 million </w:t>
      </w:r>
      <w:proofErr w:type="spellStart"/>
      <w:r>
        <w:t>tonnes</w:t>
      </w:r>
      <w:proofErr w:type="spellEnd"/>
      <w:r>
        <w:t xml:space="preserve"> of plastic waste each year, pushing the FMCG companies to implement sustainable packaging strategies (UNEP.org, 2026). This adds to the need to minimize plastic use and invest on circular economy by Unilever.</w:t>
      </w:r>
    </w:p>
    <w:p w14:paraId="42BEEBD9" w14:textId="77777777" w:rsidR="00773A16" w:rsidRDefault="00000000">
      <w:r>
        <w:t>By 2030, Unilever has set a 100-per cent target of reducing absolute operational greenhouse gas emissions (Scope 1 and 2) upon a 2015 baseline and by 2026, has already cut its greenhouse gas emissions by a 77-per cent (Unilever, 2026a). This is an indication of a high environmental commitment and impacts investment in renewable energy and sustainable operation. Thus, climate change and environmental policies drive Unilever toward ensuring sustainability is a central aspect of its strategy.</w:t>
      </w:r>
    </w:p>
    <w:p w14:paraId="316ABF05" w14:textId="77777777" w:rsidR="00773A16" w:rsidRDefault="00000000">
      <w:pPr>
        <w:rPr>
          <w:b/>
          <w:bCs/>
          <w:i/>
          <w:iCs/>
        </w:rPr>
      </w:pPr>
      <w:r>
        <w:rPr>
          <w:b/>
          <w:bCs/>
          <w:i/>
          <w:iCs/>
        </w:rPr>
        <w:t xml:space="preserve">Legal Factors </w:t>
      </w:r>
    </w:p>
    <w:p w14:paraId="672EFED4" w14:textId="77777777" w:rsidR="00773A16" w:rsidRDefault="00000000">
      <w:r>
        <w:t xml:space="preserve">Unilever is a company with huge influence on legal and regulatory factors which affect the governance and compliance strategies. The European Union Green Deal has put more pressure on companies to enhance ESG reporting and disclosure of sustainability (Dănilă </w:t>
      </w:r>
      <w:r>
        <w:rPr>
          <w:i/>
          <w:iCs/>
        </w:rPr>
        <w:t>et al.,</w:t>
      </w:r>
      <w:r>
        <w:t xml:space="preserve"> 2022). This can necessitate the reinforcement of reporting systems and governance frameworks by Unilever.</w:t>
      </w:r>
    </w:p>
    <w:p w14:paraId="10F2E6F5" w14:textId="77777777" w:rsidR="00773A16" w:rsidRDefault="00000000">
      <w:r>
        <w:t>Also, there are carbon taxes and plastic fees to decrease environmental degradation and can raise the costs of operations of FMCG manufacturers (</w:t>
      </w:r>
      <w:proofErr w:type="spellStart"/>
      <w:r>
        <w:t>Kopyściańska</w:t>
      </w:r>
      <w:proofErr w:type="spellEnd"/>
      <w:r>
        <w:t>, 2024).  This could compel Unilever to redesign their packages and lessen the carbon-intensive manufacturing. Thus, the changing laws in the areas of environmental and consumer protections would mean that Unilever must be more dynamic in its legal adherence to avoid economic and reputational costs.</w:t>
      </w:r>
    </w:p>
    <w:p w14:paraId="5192F39C" w14:textId="77777777" w:rsidR="00773A16" w:rsidRDefault="00000000">
      <w:pPr>
        <w:pStyle w:val="Heading3"/>
      </w:pPr>
      <w:bookmarkStart w:id="17" w:name="_y9dtn1fhyu9q" w:colFirst="0" w:colLast="0"/>
      <w:bookmarkStart w:id="18" w:name="_Toc228287918"/>
      <w:bookmarkEnd w:id="17"/>
      <w:r>
        <w:t>2.2 Identification of the critical success factors and strategic challenges faced by Unilever in external environment.</w:t>
      </w:r>
      <w:bookmarkEnd w:id="18"/>
    </w:p>
    <w:p w14:paraId="0D9880C4" w14:textId="77777777" w:rsidR="00773A16" w:rsidRDefault="00000000">
      <w:pPr>
        <w:rPr>
          <w:b/>
          <w:bCs/>
          <w:i/>
          <w:iCs/>
        </w:rPr>
      </w:pPr>
      <w:r>
        <w:rPr>
          <w:b/>
          <w:bCs/>
          <w:i/>
          <w:iCs/>
        </w:rPr>
        <w:t>Critical Success Factors</w:t>
      </w:r>
    </w:p>
    <w:p w14:paraId="2E90918E" w14:textId="77777777" w:rsidR="00773A16" w:rsidRDefault="00000000">
      <w:r>
        <w:lastRenderedPageBreak/>
        <w:t>Key success factors of Unilever are its high global brand recognition, good pricing plans and enduring sustainable and health focused innovative products. It enhances competitiveness and customer loyalty by investing in e-commerce, artificial intelligence-powered supply chains, and sustainability.</w:t>
      </w:r>
    </w:p>
    <w:p w14:paraId="7B2CD0D2" w14:textId="77777777" w:rsidR="00773A16" w:rsidRDefault="00000000">
      <w:pPr>
        <w:rPr>
          <w:b/>
          <w:bCs/>
          <w:i/>
          <w:iCs/>
        </w:rPr>
      </w:pPr>
      <w:r>
        <w:rPr>
          <w:b/>
          <w:bCs/>
          <w:i/>
          <w:iCs/>
        </w:rPr>
        <w:t>Strategic Challenges</w:t>
      </w:r>
    </w:p>
    <w:p w14:paraId="0153F923" w14:textId="77777777" w:rsidR="00773A16" w:rsidRDefault="00000000">
      <w:r>
        <w:t>The strategic factors that pose a challenge to Unilever include political instabilities, inflation, currency devaluation, pressure of tariffs as well as tougher environmental policies. Operation and investment pressure are as well heightened by rapid technological changes as well as growing consumer demands towards sustainability.</w:t>
      </w:r>
    </w:p>
    <w:p w14:paraId="0D89561C" w14:textId="77777777" w:rsidR="00773A16" w:rsidRDefault="00000000">
      <w:r>
        <w:t>These issues demand nimble strategic approaches in order to continue to make a profit and be competitive in the market.</w:t>
      </w:r>
    </w:p>
    <w:p w14:paraId="68B931F5" w14:textId="77777777" w:rsidR="00773A16" w:rsidRDefault="00000000">
      <w:pPr>
        <w:pStyle w:val="Heading3"/>
      </w:pPr>
      <w:bookmarkStart w:id="19" w:name="_8op78dcl1mo4" w:colFirst="0" w:colLast="0"/>
      <w:bookmarkStart w:id="20" w:name="_Toc228287919"/>
      <w:bookmarkEnd w:id="19"/>
      <w:r>
        <w:t>2.3 Assessment of Unilever’s internal environment (VRIO)</w:t>
      </w:r>
      <w:bookmarkEnd w:id="20"/>
    </w:p>
    <w:p w14:paraId="23BE7BC7" w14:textId="77777777" w:rsidR="00773A16" w:rsidRDefault="00000000">
      <w:r>
        <w:t xml:space="preserve">The VRIO framework can successfully be used to </w:t>
      </w:r>
      <w:proofErr w:type="spellStart"/>
      <w:r>
        <w:t>analyse</w:t>
      </w:r>
      <w:proofErr w:type="spellEnd"/>
      <w:r>
        <w:t xml:space="preserve"> the internal environment of Unilever and determine whether or not the major resources and capabilities of the company provide long-term competitive advantage. </w:t>
      </w:r>
    </w:p>
    <w:p w14:paraId="5D9F5583" w14:textId="77777777" w:rsidR="00773A16" w:rsidRDefault="00773A16"/>
    <w:tbl>
      <w:tblPr>
        <w:tblStyle w:val="Style12"/>
        <w:tblW w:w="9360" w:type="dxa"/>
        <w:tblInd w:w="0" w:type="dxa"/>
        <w:tblLayout w:type="fixed"/>
        <w:tblLook w:val="04A0" w:firstRow="1" w:lastRow="0" w:firstColumn="1" w:lastColumn="0" w:noHBand="0" w:noVBand="1"/>
      </w:tblPr>
      <w:tblGrid>
        <w:gridCol w:w="2766"/>
        <w:gridCol w:w="1066"/>
        <w:gridCol w:w="1080"/>
        <w:gridCol w:w="1223"/>
        <w:gridCol w:w="1223"/>
        <w:gridCol w:w="2002"/>
      </w:tblGrid>
      <w:tr w:rsidR="00773A16" w14:paraId="3A8A7C1D" w14:textId="77777777">
        <w:trPr>
          <w:trHeight w:val="785"/>
        </w:trPr>
        <w:tc>
          <w:tcPr>
            <w:tcW w:w="27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4A062B9" w14:textId="77777777" w:rsidR="00773A16" w:rsidRDefault="00000000">
            <w:pPr>
              <w:jc w:val="center"/>
            </w:pPr>
            <w:r>
              <w:rPr>
                <w:b/>
                <w:bCs/>
              </w:rPr>
              <w:t>Resource / Capability</w:t>
            </w:r>
          </w:p>
        </w:tc>
        <w:tc>
          <w:tcPr>
            <w:tcW w:w="106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7F82EC5" w14:textId="77777777" w:rsidR="00773A16" w:rsidRDefault="00000000">
            <w:pPr>
              <w:jc w:val="center"/>
            </w:pPr>
            <w:r>
              <w:rPr>
                <w:b/>
                <w:bCs/>
              </w:rPr>
              <w:t>Valuable</w:t>
            </w:r>
          </w:p>
        </w:tc>
        <w:tc>
          <w:tcPr>
            <w:tcW w:w="10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727140E" w14:textId="77777777" w:rsidR="00773A16" w:rsidRDefault="00000000">
            <w:pPr>
              <w:jc w:val="center"/>
            </w:pPr>
            <w:r>
              <w:rPr>
                <w:b/>
                <w:bCs/>
              </w:rPr>
              <w:t>Rare</w:t>
            </w:r>
          </w:p>
        </w:tc>
        <w:tc>
          <w:tcPr>
            <w:tcW w:w="122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1394AC7" w14:textId="77777777" w:rsidR="00773A16" w:rsidRDefault="00000000">
            <w:pPr>
              <w:jc w:val="center"/>
            </w:pPr>
            <w:r>
              <w:rPr>
                <w:b/>
                <w:bCs/>
              </w:rPr>
              <w:t>Inimitable</w:t>
            </w:r>
          </w:p>
        </w:tc>
        <w:tc>
          <w:tcPr>
            <w:tcW w:w="122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DF6B17F" w14:textId="77777777" w:rsidR="00773A16" w:rsidRDefault="00000000">
            <w:pPr>
              <w:jc w:val="center"/>
            </w:pPr>
            <w:proofErr w:type="spellStart"/>
            <w:r>
              <w:rPr>
                <w:b/>
                <w:bCs/>
              </w:rPr>
              <w:t>Organised</w:t>
            </w:r>
            <w:proofErr w:type="spellEnd"/>
          </w:p>
        </w:tc>
        <w:tc>
          <w:tcPr>
            <w:tcW w:w="200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C0442FC" w14:textId="77777777" w:rsidR="00773A16" w:rsidRDefault="00000000">
            <w:pPr>
              <w:jc w:val="center"/>
            </w:pPr>
            <w:r>
              <w:rPr>
                <w:b/>
                <w:bCs/>
              </w:rPr>
              <w:t>Competitive Implication</w:t>
            </w:r>
          </w:p>
        </w:tc>
      </w:tr>
      <w:tr w:rsidR="00773A16" w14:paraId="44DD1CE3" w14:textId="77777777">
        <w:trPr>
          <w:trHeight w:val="1055"/>
        </w:trPr>
        <w:tc>
          <w:tcPr>
            <w:tcW w:w="27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DC831B5" w14:textId="77777777" w:rsidR="00773A16" w:rsidRDefault="00000000">
            <w:r>
              <w:t>Strong global brand portfolio (e.g., Dove, Lifebuoy, Knorr)</w:t>
            </w:r>
          </w:p>
        </w:tc>
        <w:tc>
          <w:tcPr>
            <w:tcW w:w="106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427F067" w14:textId="77777777" w:rsidR="00773A16" w:rsidRDefault="00000000">
            <w:r>
              <w:t>Yes</w:t>
            </w:r>
          </w:p>
        </w:tc>
        <w:tc>
          <w:tcPr>
            <w:tcW w:w="10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B3E7ECC" w14:textId="77777777" w:rsidR="00773A16" w:rsidRDefault="00000000">
            <w:r>
              <w:t>Yes</w:t>
            </w:r>
          </w:p>
        </w:tc>
        <w:tc>
          <w:tcPr>
            <w:tcW w:w="122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7936115" w14:textId="77777777" w:rsidR="00773A16" w:rsidRDefault="00000000">
            <w:r>
              <w:t>Yes</w:t>
            </w:r>
          </w:p>
        </w:tc>
        <w:tc>
          <w:tcPr>
            <w:tcW w:w="122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C00179A" w14:textId="77777777" w:rsidR="00773A16" w:rsidRDefault="00000000">
            <w:r>
              <w:t>Yes</w:t>
            </w:r>
          </w:p>
        </w:tc>
        <w:tc>
          <w:tcPr>
            <w:tcW w:w="200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A9658E6" w14:textId="77777777" w:rsidR="00773A16" w:rsidRDefault="00000000">
            <w:r>
              <w:t>Sustained competitive advantage</w:t>
            </w:r>
          </w:p>
        </w:tc>
      </w:tr>
      <w:tr w:rsidR="00773A16" w14:paraId="057EF8BE" w14:textId="77777777">
        <w:trPr>
          <w:trHeight w:val="1055"/>
        </w:trPr>
        <w:tc>
          <w:tcPr>
            <w:tcW w:w="27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1AA062E" w14:textId="77777777" w:rsidR="00773A16" w:rsidRDefault="00000000">
            <w:r>
              <w:t>Global distribution network in 190+ countries</w:t>
            </w:r>
          </w:p>
        </w:tc>
        <w:tc>
          <w:tcPr>
            <w:tcW w:w="106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2BC0B1F" w14:textId="77777777" w:rsidR="00773A16" w:rsidRDefault="00000000">
            <w:r>
              <w:t>Yes</w:t>
            </w:r>
          </w:p>
        </w:tc>
        <w:tc>
          <w:tcPr>
            <w:tcW w:w="10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3037A35" w14:textId="77777777" w:rsidR="00773A16" w:rsidRDefault="00000000">
            <w:r>
              <w:t>Yes</w:t>
            </w:r>
          </w:p>
        </w:tc>
        <w:tc>
          <w:tcPr>
            <w:tcW w:w="122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77403D7" w14:textId="77777777" w:rsidR="00773A16" w:rsidRDefault="00000000">
            <w:r>
              <w:t>Moderate</w:t>
            </w:r>
          </w:p>
        </w:tc>
        <w:tc>
          <w:tcPr>
            <w:tcW w:w="122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8C43EFA" w14:textId="77777777" w:rsidR="00773A16" w:rsidRDefault="00000000">
            <w:r>
              <w:t>Yes</w:t>
            </w:r>
          </w:p>
        </w:tc>
        <w:tc>
          <w:tcPr>
            <w:tcW w:w="200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BB0B791" w14:textId="77777777" w:rsidR="00773A16" w:rsidRDefault="00000000">
            <w:r>
              <w:t>Temporary to sustained advantage</w:t>
            </w:r>
          </w:p>
        </w:tc>
      </w:tr>
      <w:tr w:rsidR="00773A16" w14:paraId="4D2C8DDA" w14:textId="77777777">
        <w:trPr>
          <w:trHeight w:val="1055"/>
        </w:trPr>
        <w:tc>
          <w:tcPr>
            <w:tcW w:w="27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31933F0" w14:textId="77777777" w:rsidR="00773A16" w:rsidRDefault="00000000">
            <w:r>
              <w:t>Sustainability leadership and climate initiatives</w:t>
            </w:r>
          </w:p>
        </w:tc>
        <w:tc>
          <w:tcPr>
            <w:tcW w:w="106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8EA70C1" w14:textId="77777777" w:rsidR="00773A16" w:rsidRDefault="00000000">
            <w:r>
              <w:t>Yes</w:t>
            </w:r>
          </w:p>
        </w:tc>
        <w:tc>
          <w:tcPr>
            <w:tcW w:w="10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4F46B9D" w14:textId="77777777" w:rsidR="00773A16" w:rsidRDefault="00000000">
            <w:r>
              <w:t>Moderate</w:t>
            </w:r>
          </w:p>
        </w:tc>
        <w:tc>
          <w:tcPr>
            <w:tcW w:w="122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FD13528" w14:textId="77777777" w:rsidR="00773A16" w:rsidRDefault="00000000">
            <w:r>
              <w:t>Moderate</w:t>
            </w:r>
          </w:p>
        </w:tc>
        <w:tc>
          <w:tcPr>
            <w:tcW w:w="122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7F1388A" w14:textId="77777777" w:rsidR="00773A16" w:rsidRDefault="00000000">
            <w:r>
              <w:t>Yes</w:t>
            </w:r>
          </w:p>
        </w:tc>
        <w:tc>
          <w:tcPr>
            <w:tcW w:w="200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C12ED76" w14:textId="77777777" w:rsidR="00773A16" w:rsidRDefault="00000000">
            <w:r>
              <w:t>Temporary competitive advantage</w:t>
            </w:r>
          </w:p>
        </w:tc>
      </w:tr>
      <w:tr w:rsidR="00773A16" w14:paraId="18C64BA3" w14:textId="77777777">
        <w:trPr>
          <w:trHeight w:val="1055"/>
        </w:trPr>
        <w:tc>
          <w:tcPr>
            <w:tcW w:w="27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14AB0B3" w14:textId="77777777" w:rsidR="00773A16" w:rsidRDefault="00000000">
            <w:r>
              <w:lastRenderedPageBreak/>
              <w:t>AI and digital innovation capabilities</w:t>
            </w:r>
          </w:p>
        </w:tc>
        <w:tc>
          <w:tcPr>
            <w:tcW w:w="106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96987F6" w14:textId="77777777" w:rsidR="00773A16" w:rsidRDefault="00000000">
            <w:r>
              <w:t>Yes</w:t>
            </w:r>
          </w:p>
        </w:tc>
        <w:tc>
          <w:tcPr>
            <w:tcW w:w="10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091C668" w14:textId="77777777" w:rsidR="00773A16" w:rsidRDefault="00000000">
            <w:r>
              <w:t>Moderate</w:t>
            </w:r>
          </w:p>
        </w:tc>
        <w:tc>
          <w:tcPr>
            <w:tcW w:w="122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37535AF" w14:textId="77777777" w:rsidR="00773A16" w:rsidRDefault="00000000">
            <w:r>
              <w:t>Moderate</w:t>
            </w:r>
          </w:p>
        </w:tc>
        <w:tc>
          <w:tcPr>
            <w:tcW w:w="122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299535E" w14:textId="77777777" w:rsidR="00773A16" w:rsidRDefault="00000000">
            <w:r>
              <w:t>Yes</w:t>
            </w:r>
          </w:p>
        </w:tc>
        <w:tc>
          <w:tcPr>
            <w:tcW w:w="200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F1FF9FD" w14:textId="77777777" w:rsidR="00773A16" w:rsidRDefault="00000000">
            <w:r>
              <w:t>Temporary competitive advantage</w:t>
            </w:r>
          </w:p>
        </w:tc>
      </w:tr>
      <w:tr w:rsidR="00773A16" w14:paraId="079390FB" w14:textId="77777777">
        <w:trPr>
          <w:trHeight w:val="1055"/>
        </w:trPr>
        <w:tc>
          <w:tcPr>
            <w:tcW w:w="27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A5065D7" w14:textId="77777777" w:rsidR="00773A16" w:rsidRDefault="00000000">
            <w:r>
              <w:t>R&amp;D and innovation capability</w:t>
            </w:r>
          </w:p>
        </w:tc>
        <w:tc>
          <w:tcPr>
            <w:tcW w:w="106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95F905E" w14:textId="77777777" w:rsidR="00773A16" w:rsidRDefault="00000000">
            <w:r>
              <w:t>Yes</w:t>
            </w:r>
          </w:p>
        </w:tc>
        <w:tc>
          <w:tcPr>
            <w:tcW w:w="10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23246E1" w14:textId="77777777" w:rsidR="00773A16" w:rsidRDefault="00000000">
            <w:r>
              <w:t>Yes</w:t>
            </w:r>
          </w:p>
        </w:tc>
        <w:tc>
          <w:tcPr>
            <w:tcW w:w="122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DD612B0" w14:textId="77777777" w:rsidR="00773A16" w:rsidRDefault="00000000">
            <w:r>
              <w:t>Moderate</w:t>
            </w:r>
          </w:p>
        </w:tc>
        <w:tc>
          <w:tcPr>
            <w:tcW w:w="122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897A19B" w14:textId="77777777" w:rsidR="00773A16" w:rsidRDefault="00000000">
            <w:r>
              <w:t>Yes</w:t>
            </w:r>
          </w:p>
        </w:tc>
        <w:tc>
          <w:tcPr>
            <w:tcW w:w="200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C1FB5F1" w14:textId="77777777" w:rsidR="00773A16" w:rsidRDefault="00000000">
            <w:r>
              <w:t>Temporary competitive advantage</w:t>
            </w:r>
          </w:p>
        </w:tc>
      </w:tr>
      <w:tr w:rsidR="00773A16" w14:paraId="0ABFDC0F" w14:textId="77777777">
        <w:trPr>
          <w:trHeight w:val="785"/>
        </w:trPr>
        <w:tc>
          <w:tcPr>
            <w:tcW w:w="27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32DAA07" w14:textId="77777777" w:rsidR="00773A16" w:rsidRDefault="00000000">
            <w:r>
              <w:t>Financial resources and economies of scale</w:t>
            </w:r>
          </w:p>
        </w:tc>
        <w:tc>
          <w:tcPr>
            <w:tcW w:w="106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9E094E6" w14:textId="77777777" w:rsidR="00773A16" w:rsidRDefault="00000000">
            <w:r>
              <w:t>Yes</w:t>
            </w:r>
          </w:p>
        </w:tc>
        <w:tc>
          <w:tcPr>
            <w:tcW w:w="10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7BD2AE6" w14:textId="77777777" w:rsidR="00773A16" w:rsidRDefault="00000000">
            <w:r>
              <w:t>No</w:t>
            </w:r>
          </w:p>
        </w:tc>
        <w:tc>
          <w:tcPr>
            <w:tcW w:w="122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F23903F" w14:textId="77777777" w:rsidR="00773A16" w:rsidRDefault="00000000">
            <w:r>
              <w:t>No</w:t>
            </w:r>
          </w:p>
        </w:tc>
        <w:tc>
          <w:tcPr>
            <w:tcW w:w="1222"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261A0CB" w14:textId="77777777" w:rsidR="00773A16" w:rsidRDefault="00000000">
            <w:r>
              <w:t>Yes</w:t>
            </w:r>
          </w:p>
        </w:tc>
        <w:tc>
          <w:tcPr>
            <w:tcW w:w="200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66278C5" w14:textId="77777777" w:rsidR="00773A16" w:rsidRDefault="00000000">
            <w:r>
              <w:t>Competitive parity</w:t>
            </w:r>
          </w:p>
        </w:tc>
      </w:tr>
    </w:tbl>
    <w:p w14:paraId="7D69F1A7" w14:textId="77777777" w:rsidR="00773A16" w:rsidRDefault="00773A16"/>
    <w:p w14:paraId="64689B70" w14:textId="77777777" w:rsidR="00773A16" w:rsidRDefault="00000000">
      <w:pPr>
        <w:jc w:val="center"/>
        <w:rPr>
          <w:b/>
          <w:bCs/>
        </w:rPr>
      </w:pPr>
      <w:r>
        <w:rPr>
          <w:b/>
          <w:bCs/>
        </w:rPr>
        <w:t xml:space="preserve">Table </w:t>
      </w:r>
      <w:proofErr w:type="gramStart"/>
      <w:r>
        <w:rPr>
          <w:b/>
          <w:bCs/>
        </w:rPr>
        <w:t>1 :</w:t>
      </w:r>
      <w:proofErr w:type="gramEnd"/>
      <w:r>
        <w:rPr>
          <w:b/>
          <w:bCs/>
        </w:rPr>
        <w:t xml:space="preserve"> VRIO for Unilever</w:t>
      </w:r>
    </w:p>
    <w:p w14:paraId="1C1FF6A0" w14:textId="77777777" w:rsidR="00773A16" w:rsidRDefault="00000000">
      <w:pPr>
        <w:jc w:val="center"/>
      </w:pPr>
      <w:r>
        <w:t>(Source: Self-developed)</w:t>
      </w:r>
    </w:p>
    <w:p w14:paraId="114510EC" w14:textId="77777777" w:rsidR="00773A16" w:rsidRDefault="00000000">
      <w:r>
        <w:t>The internal environment is backed by a good resources, capability and core competencies that contribute to competitive advantage in Unilever. Global distribution channel and a strong brand reach have enabled the company to provide its services to 3.4 billion people every day working with more than 190 countries (Unilever, 2026). This augments market penetration and economies of scale worldwide.</w:t>
      </w:r>
    </w:p>
    <w:p w14:paraId="21A6FB70" w14:textId="77777777" w:rsidR="00773A16" w:rsidRDefault="00000000">
      <w:r>
        <w:t xml:space="preserve">It has a large brand portfolio which has a broad customer loyalty and market power due to its globally </w:t>
      </w:r>
      <w:proofErr w:type="spellStart"/>
      <w:r>
        <w:t>recognised</w:t>
      </w:r>
      <w:proofErr w:type="spellEnd"/>
      <w:r>
        <w:t xml:space="preserve"> products like dove and </w:t>
      </w:r>
      <w:proofErr w:type="spellStart"/>
      <w:r>
        <w:t>knorr</w:t>
      </w:r>
      <w:proofErr w:type="spellEnd"/>
      <w:r>
        <w:t xml:space="preserve">. Financial capability and resilience </w:t>
      </w:r>
      <w:proofErr w:type="gramStart"/>
      <w:r>
        <w:t>In</w:t>
      </w:r>
      <w:proofErr w:type="gramEnd"/>
      <w:r>
        <w:t xml:space="preserve"> 2025, Unilever reported a revenue of around €50 billion, though the sales </w:t>
      </w:r>
      <w:proofErr w:type="gramStart"/>
      <w:r>
        <w:t>was</w:t>
      </w:r>
      <w:proofErr w:type="gramEnd"/>
      <w:r>
        <w:t xml:space="preserve"> impacted significantly by the sale of its Ice Cream business, and hence it is clear that it can effectively manage all financial risks (Statista, 2026a).  This enhances its capability to invest in innovation and strategic development.</w:t>
      </w:r>
    </w:p>
    <w:p w14:paraId="1E08B907" w14:textId="77777777" w:rsidR="00773A16" w:rsidRDefault="00000000">
      <w:r>
        <w:t>Another strategic success factor of Unilever is its sustainability ability. Since 2015, the company has decreased its Scope 1 and 2 greenhouse gas emissions by 77% and is planning to achieve a reduction by 100% by 2030 (Unilever, 2026a). This enhances the compliance and reputation of the companies.</w:t>
      </w:r>
    </w:p>
    <w:p w14:paraId="4FAF0401" w14:textId="77777777" w:rsidR="00773A16" w:rsidRDefault="00000000">
      <w:r>
        <w:t>Moreover, AI and innovation empower Unilever to enhance its efficiency in operations and marketing performance. AI is enabling the generation of digital assets as fast as 30% of the current speed, enhancing speed and productivity in marketing activities (Unilever, 2025). This enhances quicker decision-making and closer customer interaction.</w:t>
      </w:r>
    </w:p>
    <w:p w14:paraId="083978A0" w14:textId="77777777" w:rsidR="00773A16" w:rsidRDefault="00000000">
      <w:pPr>
        <w:pStyle w:val="Heading3"/>
      </w:pPr>
      <w:bookmarkStart w:id="21" w:name="_25grc7hu8z3e" w:colFirst="0" w:colLast="0"/>
      <w:bookmarkStart w:id="22" w:name="_Toc228287920"/>
      <w:bookmarkEnd w:id="21"/>
      <w:r>
        <w:lastRenderedPageBreak/>
        <w:t>2.4 Internal strengths contribute to Unilever competitive advantage</w:t>
      </w:r>
      <w:bookmarkEnd w:id="22"/>
    </w:p>
    <w:p w14:paraId="1FD558EF" w14:textId="77777777" w:rsidR="00773A16" w:rsidRDefault="00000000">
      <w:r>
        <w:t>The internal strengths of Unilever play a key role in its competitive advantage as they help in achieving efficiency, innovation and leadership in the market. As an illustration, its robust world-wide brand portfolio including: dove, Knorr and lifebuoy infuse a sense of high customer loyalty and recognition in the market in different lines of products. This helps Unilever to sustain the premium pricing and stable market share in intensely competitive markets.</w:t>
      </w:r>
    </w:p>
    <w:p w14:paraId="56C19540" w14:textId="77777777" w:rsidR="00773A16" w:rsidRDefault="00000000">
      <w:r>
        <w:t>Its wide distribution network in more than 190 countries and reaching 3.4 billion customers a day creates economies of scale and high market penetration. This enables them to be able to be ready with the products rapidly and cost effectively than the small competitors.</w:t>
      </w:r>
    </w:p>
    <w:p w14:paraId="5B879C94" w14:textId="77777777" w:rsidR="00773A16" w:rsidRDefault="00000000">
      <w:r>
        <w:t>Strategic flexibility is also backed by financial strength. As an example, Unilever recorded a revenue of about 50 billion Euros in the year 2025 albeit selling its Ice Cream business.  This shows power and the reinvestment capacity in innovation and sustainability.</w:t>
      </w:r>
    </w:p>
    <w:p w14:paraId="7C8EBBEB" w14:textId="77777777" w:rsidR="00773A16" w:rsidRDefault="00000000">
      <w:r>
        <w:t xml:space="preserve">Additionally, AI-driven innovation and the sustainability leadership increase differentiation. As an illustration, the company has achieved a 77% decrease in Scope 1 and 2 </w:t>
      </w:r>
      <w:proofErr w:type="gramStart"/>
      <w:r>
        <w:t>emission</w:t>
      </w:r>
      <w:proofErr w:type="gramEnd"/>
      <w:r>
        <w:t xml:space="preserve"> since 2015, where AI allows digital asset generation 30% faster as compared to its original pace. These strengths enhance the working efficiency, brand reputation and generate competitive edge that is enduring at internationalities level.</w:t>
      </w:r>
    </w:p>
    <w:p w14:paraId="0ACC24A1" w14:textId="77777777" w:rsidR="00773A16" w:rsidRDefault="00000000">
      <w:pPr>
        <w:pStyle w:val="Heading2"/>
      </w:pPr>
      <w:bookmarkStart w:id="23" w:name="_53ad72gloxec" w:colFirst="0" w:colLast="0"/>
      <w:bookmarkStart w:id="24" w:name="_Toc228287921"/>
      <w:bookmarkEnd w:id="23"/>
      <w:r>
        <w:t>3. CSR and Sustainability objectives</w:t>
      </w:r>
      <w:bookmarkEnd w:id="24"/>
    </w:p>
    <w:p w14:paraId="54A5EA83" w14:textId="77777777" w:rsidR="00773A16" w:rsidRDefault="00000000">
      <w:pPr>
        <w:pStyle w:val="Heading3"/>
      </w:pPr>
      <w:bookmarkStart w:id="25" w:name="_zew07x9rgzpb" w:colFirst="0" w:colLast="0"/>
      <w:bookmarkStart w:id="26" w:name="_Toc228287922"/>
      <w:bookmarkEnd w:id="25"/>
      <w:r>
        <w:t>3.1 CSR Strategy and Strategic Integration</w:t>
      </w:r>
      <w:bookmarkEnd w:id="26"/>
    </w:p>
    <w:p w14:paraId="7C227C00" w14:textId="77777777" w:rsidR="00773A16" w:rsidRDefault="00000000">
      <w:r>
        <w:t xml:space="preserve">Unilever Plc has had a highly integrated CSR policy where sustainability is based on its business model as opposed to being peripheral. Its </w:t>
      </w:r>
      <w:r>
        <w:rPr>
          <w:b/>
          <w:bCs/>
          <w:i/>
          <w:iCs/>
        </w:rPr>
        <w:t xml:space="preserve">“Corporate Purpose” </w:t>
      </w:r>
      <w:r>
        <w:t>and</w:t>
      </w:r>
      <w:r>
        <w:rPr>
          <w:b/>
          <w:bCs/>
          <w:i/>
          <w:iCs/>
        </w:rPr>
        <w:t xml:space="preserve"> “Code of Business Principles”</w:t>
      </w:r>
      <w:r>
        <w:t xml:space="preserve"> indicate being aligned to </w:t>
      </w:r>
      <w:r>
        <w:rPr>
          <w:b/>
          <w:bCs/>
          <w:i/>
          <w:iCs/>
        </w:rPr>
        <w:t>Carroll's CSR Pyramid</w:t>
      </w:r>
      <w:r>
        <w:t xml:space="preserve">, with a balance in the economic and ethical responsibilities (Chandra &amp; Jatmika, 2022). The company has associated value creation with impact on society through consumer well-being, environmental stewardship and inclusive employment. There is, however, tension in this integration with profitability pressures in competitive, highly fast-moving consumer goods markets, potentially limiting long-term CSR investments. </w:t>
      </w:r>
    </w:p>
    <w:p w14:paraId="51FC1917" w14:textId="77777777" w:rsidR="00773A16" w:rsidRDefault="00000000">
      <w:pPr>
        <w:jc w:val="center"/>
      </w:pPr>
      <w:r>
        <w:rPr>
          <w:noProof/>
        </w:rPr>
        <w:lastRenderedPageBreak/>
        <w:drawing>
          <wp:inline distT="114300" distB="114300" distL="114300" distR="114300" wp14:anchorId="3FBADAEC" wp14:editId="7E6D69B8">
            <wp:extent cx="4993005" cy="3839210"/>
            <wp:effectExtent l="25400" t="25400" r="25400" b="25400"/>
            <wp:docPr id="3" name="image2.png"/>
            <wp:cNvGraphicFramePr/>
            <a:graphic xmlns:a="http://schemas.openxmlformats.org/drawingml/2006/main">
              <a:graphicData uri="http://schemas.openxmlformats.org/drawingml/2006/picture">
                <pic:pic xmlns:pic="http://schemas.openxmlformats.org/drawingml/2006/picture">
                  <pic:nvPicPr>
                    <pic:cNvPr id="3" name="image2.png"/>
                    <pic:cNvPicPr preferRelativeResize="0"/>
                  </pic:nvPicPr>
                  <pic:blipFill>
                    <a:blip r:embed="rId10"/>
                    <a:srcRect/>
                    <a:stretch>
                      <a:fillRect/>
                    </a:stretch>
                  </pic:blipFill>
                  <pic:spPr>
                    <a:xfrm>
                      <a:off x="0" y="0"/>
                      <a:ext cx="4993021" cy="3839431"/>
                    </a:xfrm>
                    <a:prstGeom prst="rect">
                      <a:avLst/>
                    </a:prstGeom>
                    <a:ln w="25400">
                      <a:solidFill>
                        <a:srgbClr val="000000"/>
                      </a:solidFill>
                      <a:prstDash val="solid"/>
                    </a:ln>
                  </pic:spPr>
                </pic:pic>
              </a:graphicData>
            </a:graphic>
          </wp:inline>
        </w:drawing>
      </w:r>
    </w:p>
    <w:p w14:paraId="4F5B6265" w14:textId="77777777" w:rsidR="00773A16" w:rsidRDefault="00000000">
      <w:pPr>
        <w:jc w:val="center"/>
        <w:rPr>
          <w:b/>
          <w:bCs/>
        </w:rPr>
      </w:pPr>
      <w:r>
        <w:rPr>
          <w:b/>
          <w:bCs/>
        </w:rPr>
        <w:t>Figure 3: CSR Pyramid of Carroll</w:t>
      </w:r>
    </w:p>
    <w:p w14:paraId="7FDA8AC3" w14:textId="77777777" w:rsidR="00773A16" w:rsidRDefault="00000000">
      <w:pPr>
        <w:jc w:val="center"/>
      </w:pPr>
      <w:r>
        <w:t>(Source: Springer Nature, 2026)</w:t>
      </w:r>
    </w:p>
    <w:p w14:paraId="7E0A6561" w14:textId="77777777" w:rsidR="00773A16" w:rsidRDefault="00000000">
      <w:pPr>
        <w:pStyle w:val="Heading3"/>
      </w:pPr>
      <w:bookmarkStart w:id="27" w:name="_dzw3p7o77nic" w:colFirst="0" w:colLast="0"/>
      <w:bookmarkStart w:id="28" w:name="_Toc228287923"/>
      <w:bookmarkEnd w:id="27"/>
      <w:r>
        <w:t>3.2 Value Chain Impact and Stakeholder Orientation</w:t>
      </w:r>
      <w:bookmarkEnd w:id="28"/>
    </w:p>
    <w:p w14:paraId="6FE034E5" w14:textId="77777777" w:rsidR="00773A16" w:rsidRDefault="00000000">
      <w:r>
        <w:t xml:space="preserve">The CSR policy also operates on a stakeholder theory approach, as it takes care of a wide range of stakeholders such as employees, suppliers, and local communities. The company, with the investment of about 1% of its pre-tax profits into community </w:t>
      </w:r>
      <w:proofErr w:type="spellStart"/>
      <w:r>
        <w:t>programmes</w:t>
      </w:r>
      <w:proofErr w:type="spellEnd"/>
      <w:r>
        <w:t xml:space="preserve">, demonstrates quantifiable commitment, albeit at a relatively small scale within the company by virtue of its global nature (Unilever, 2026c). Its attempts to get rid of underage </w:t>
      </w:r>
      <w:proofErr w:type="spellStart"/>
      <w:r>
        <w:t>labour</w:t>
      </w:r>
      <w:proofErr w:type="spellEnd"/>
      <w:r>
        <w:t xml:space="preserve"> and enhance workplace safety measures meet international norms that reinforce its legitimacy in the international market. Value chain approach improves the indirect social impact, although it puts the firm at reputational risk when suppliers do not deliver sustainability.</w:t>
      </w:r>
    </w:p>
    <w:p w14:paraId="075A1C5F" w14:textId="77777777" w:rsidR="00773A16" w:rsidRDefault="00000000">
      <w:pPr>
        <w:pStyle w:val="Heading3"/>
      </w:pPr>
      <w:bookmarkStart w:id="29" w:name="_t8yfhfth14e4" w:colFirst="0" w:colLast="0"/>
      <w:bookmarkStart w:id="30" w:name="_Toc228287924"/>
      <w:bookmarkEnd w:id="29"/>
      <w:r>
        <w:t>3.3 Competitive Advantage: Sustainability</w:t>
      </w:r>
      <w:bookmarkEnd w:id="30"/>
    </w:p>
    <w:p w14:paraId="26FF20A3" w14:textId="77777777" w:rsidR="00773A16" w:rsidRDefault="00000000">
      <w:r>
        <w:t xml:space="preserve">Unilever uses sustainability as a source of competitive advantage in a strategic manner to strengthen differentiation by using ethical brands and consumer trust. Its market positioning is backed by recognition through the sustainability indices, but the </w:t>
      </w:r>
      <w:r>
        <w:lastRenderedPageBreak/>
        <w:t>sustainability indices might cover up trade-offs within its operations (Unilever, 2026b). Although CSR programs are relevant to the long-term brand equity and stakeholder loyalty, their efficacy requires uniform application all over the globe and quantifiable results. On balance, the CSR strategy of Unilever supports business goals, yet needs more robust accountability measures to promote its long-term strategic change.</w:t>
      </w:r>
    </w:p>
    <w:p w14:paraId="2493C291" w14:textId="77777777" w:rsidR="00773A16" w:rsidRDefault="00000000">
      <w:pPr>
        <w:pStyle w:val="Heading2"/>
      </w:pPr>
      <w:bookmarkStart w:id="31" w:name="_wyq4ty9fu6dc" w:colFirst="0" w:colLast="0"/>
      <w:bookmarkStart w:id="32" w:name="_Toc228287925"/>
      <w:bookmarkEnd w:id="31"/>
      <w:r>
        <w:t xml:space="preserve">4. Comprehensive and holistic view of the </w:t>
      </w:r>
      <w:proofErr w:type="spellStart"/>
      <w:r>
        <w:t>organisation</w:t>
      </w:r>
      <w:bookmarkEnd w:id="32"/>
      <w:proofErr w:type="spellEnd"/>
    </w:p>
    <w:p w14:paraId="539BF4BD" w14:textId="77777777" w:rsidR="00773A16" w:rsidRDefault="00000000">
      <w:r>
        <w:t>The Balanced Scorecard framework is an efficient tool to conduct a thorough assessment of Unilever, leveraging both financial and non-financial performance indicators to align strategy with execution.</w:t>
      </w:r>
    </w:p>
    <w:p w14:paraId="2108DC1E" w14:textId="77777777" w:rsidR="00773A16" w:rsidRDefault="00000000">
      <w:r>
        <w:t xml:space="preserve">Financially, Unilever is geared towards a steady growth in revenues, improved margin and cost containment. The major goals are to generate sustainable profits even as well as create shareholder value. Operating margin, return on invested capital and the sales growth are all relevant KPIs; portfolio </w:t>
      </w:r>
      <w:proofErr w:type="spellStart"/>
      <w:r>
        <w:t>optimisation</w:t>
      </w:r>
      <w:proofErr w:type="spellEnd"/>
      <w:r>
        <w:t xml:space="preserve"> and the cost saving </w:t>
      </w:r>
      <w:proofErr w:type="spellStart"/>
      <w:r>
        <w:t>programmes</w:t>
      </w:r>
      <w:proofErr w:type="spellEnd"/>
      <w:r>
        <w:t xml:space="preserve"> are some of the campaigns that help in achieving these goals (Ma &amp; Hu, 2020). But there continues to be a pressure on financial resources in terms of balancing profitability and sustainability investments.</w:t>
      </w:r>
    </w:p>
    <w:tbl>
      <w:tblPr>
        <w:tblStyle w:val="Style13"/>
        <w:tblW w:w="9359" w:type="dxa"/>
        <w:tblInd w:w="0" w:type="dxa"/>
        <w:tblLayout w:type="fixed"/>
        <w:tblLook w:val="04A0" w:firstRow="1" w:lastRow="0" w:firstColumn="1" w:lastColumn="0" w:noHBand="0" w:noVBand="1"/>
      </w:tblPr>
      <w:tblGrid>
        <w:gridCol w:w="1436"/>
        <w:gridCol w:w="1955"/>
        <w:gridCol w:w="1999"/>
        <w:gridCol w:w="1840"/>
        <w:gridCol w:w="2129"/>
      </w:tblGrid>
      <w:tr w:rsidR="00773A16" w14:paraId="6727BCC2" w14:textId="77777777">
        <w:trPr>
          <w:trHeight w:val="770"/>
        </w:trPr>
        <w:tc>
          <w:tcPr>
            <w:tcW w:w="143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BF11C20" w14:textId="77777777" w:rsidR="00773A16" w:rsidRDefault="00000000">
            <w:pPr>
              <w:jc w:val="center"/>
            </w:pPr>
            <w:r>
              <w:rPr>
                <w:b/>
                <w:bCs/>
              </w:rPr>
              <w:t>Perspective</w:t>
            </w:r>
          </w:p>
        </w:tc>
        <w:tc>
          <w:tcPr>
            <w:tcW w:w="195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BD0DE6E" w14:textId="77777777" w:rsidR="00773A16" w:rsidRDefault="00000000">
            <w:pPr>
              <w:jc w:val="center"/>
            </w:pPr>
            <w:r>
              <w:rPr>
                <w:b/>
                <w:bCs/>
              </w:rPr>
              <w:t>Objectives</w:t>
            </w:r>
          </w:p>
        </w:tc>
        <w:tc>
          <w:tcPr>
            <w:tcW w:w="199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6F1DD88" w14:textId="77777777" w:rsidR="00773A16" w:rsidRDefault="00000000">
            <w:pPr>
              <w:jc w:val="center"/>
            </w:pPr>
            <w:r>
              <w:rPr>
                <w:b/>
                <w:bCs/>
              </w:rPr>
              <w:t>Key Performance Indicators (KPIs)</w:t>
            </w:r>
          </w:p>
        </w:tc>
        <w:tc>
          <w:tcPr>
            <w:tcW w:w="184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7CC6D64" w14:textId="77777777" w:rsidR="00773A16" w:rsidRDefault="00000000">
            <w:pPr>
              <w:jc w:val="center"/>
            </w:pPr>
            <w:r>
              <w:rPr>
                <w:b/>
                <w:bCs/>
              </w:rPr>
              <w:t>Targets</w:t>
            </w:r>
          </w:p>
        </w:tc>
        <w:tc>
          <w:tcPr>
            <w:tcW w:w="212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88D7E00" w14:textId="77777777" w:rsidR="00773A16" w:rsidRDefault="00000000">
            <w:pPr>
              <w:jc w:val="center"/>
            </w:pPr>
            <w:r>
              <w:rPr>
                <w:b/>
                <w:bCs/>
              </w:rPr>
              <w:t>Strategic Initiatives</w:t>
            </w:r>
          </w:p>
        </w:tc>
      </w:tr>
      <w:tr w:rsidR="00773A16" w14:paraId="2CF352C5" w14:textId="77777777">
        <w:trPr>
          <w:trHeight w:val="2120"/>
        </w:trPr>
        <w:tc>
          <w:tcPr>
            <w:tcW w:w="143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A815AEE" w14:textId="77777777" w:rsidR="00773A16" w:rsidRDefault="00000000">
            <w:pPr>
              <w:jc w:val="center"/>
            </w:pPr>
            <w:r>
              <w:rPr>
                <w:b/>
                <w:bCs/>
              </w:rPr>
              <w:t>Financial</w:t>
            </w:r>
          </w:p>
        </w:tc>
        <w:tc>
          <w:tcPr>
            <w:tcW w:w="195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F8A5159" w14:textId="77777777" w:rsidR="00773A16" w:rsidRDefault="00000000">
            <w:pPr>
              <w:jc w:val="center"/>
            </w:pPr>
            <w:r>
              <w:t>Achieve sustainable revenue growth and improve profitability while balancing ESG investments</w:t>
            </w:r>
          </w:p>
        </w:tc>
        <w:tc>
          <w:tcPr>
            <w:tcW w:w="199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85FAAF6" w14:textId="77777777" w:rsidR="00773A16" w:rsidRDefault="00000000">
            <w:pPr>
              <w:jc w:val="center"/>
            </w:pPr>
            <w:r>
              <w:t>Revenue growth rate, operating margin, return on invested capital (ROIC), cost savings</w:t>
            </w:r>
          </w:p>
        </w:tc>
        <w:tc>
          <w:tcPr>
            <w:tcW w:w="184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92E5ADC" w14:textId="77777777" w:rsidR="00773A16" w:rsidRDefault="00000000">
            <w:pPr>
              <w:jc w:val="center"/>
            </w:pPr>
            <w:r>
              <w:t>Consistent annual sales growth and margin improvement</w:t>
            </w:r>
          </w:p>
        </w:tc>
        <w:tc>
          <w:tcPr>
            <w:tcW w:w="212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2608C4D" w14:textId="77777777" w:rsidR="00773A16" w:rsidRDefault="00000000">
            <w:pPr>
              <w:jc w:val="center"/>
            </w:pPr>
            <w:r>
              <w:t xml:space="preserve">Portfolio </w:t>
            </w:r>
            <w:proofErr w:type="spellStart"/>
            <w:r>
              <w:t>optimisation</w:t>
            </w:r>
            <w:proofErr w:type="spellEnd"/>
            <w:r>
              <w:t xml:space="preserve"> (focus on high-growth brands), cost-efficiency </w:t>
            </w:r>
            <w:proofErr w:type="spellStart"/>
            <w:r>
              <w:t>programmes</w:t>
            </w:r>
            <w:proofErr w:type="spellEnd"/>
            <w:r>
              <w:t>, pricing strategies</w:t>
            </w:r>
          </w:p>
        </w:tc>
      </w:tr>
      <w:tr w:rsidR="00773A16" w14:paraId="3DFF2AA3" w14:textId="77777777">
        <w:trPr>
          <w:trHeight w:val="2390"/>
        </w:trPr>
        <w:tc>
          <w:tcPr>
            <w:tcW w:w="143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DBB1F85" w14:textId="77777777" w:rsidR="00773A16" w:rsidRDefault="00000000">
            <w:pPr>
              <w:jc w:val="center"/>
            </w:pPr>
            <w:r>
              <w:rPr>
                <w:b/>
                <w:bCs/>
              </w:rPr>
              <w:lastRenderedPageBreak/>
              <w:t>Customer</w:t>
            </w:r>
          </w:p>
        </w:tc>
        <w:tc>
          <w:tcPr>
            <w:tcW w:w="195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EB4DD86" w14:textId="77777777" w:rsidR="00773A16" w:rsidRDefault="00000000">
            <w:pPr>
              <w:jc w:val="center"/>
            </w:pPr>
            <w:r>
              <w:t>Strengthen brand loyalty and expand market share through purpose-driven branding</w:t>
            </w:r>
          </w:p>
        </w:tc>
        <w:tc>
          <w:tcPr>
            <w:tcW w:w="199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BA33DF6" w14:textId="77777777" w:rsidR="00773A16" w:rsidRDefault="00000000">
            <w:pPr>
              <w:jc w:val="center"/>
            </w:pPr>
            <w:r>
              <w:t>Brand equity score, customer satisfaction index, market share, customer retention rate</w:t>
            </w:r>
          </w:p>
        </w:tc>
        <w:tc>
          <w:tcPr>
            <w:tcW w:w="184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08CEFDE" w14:textId="77777777" w:rsidR="00773A16" w:rsidRDefault="00000000">
            <w:pPr>
              <w:jc w:val="center"/>
            </w:pPr>
            <w:r>
              <w:t>Increase market penetration, especially in emerging markets</w:t>
            </w:r>
          </w:p>
        </w:tc>
        <w:tc>
          <w:tcPr>
            <w:tcW w:w="212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9DAE7E5" w14:textId="77777777" w:rsidR="00773A16" w:rsidRDefault="00000000">
            <w:pPr>
              <w:jc w:val="center"/>
            </w:pPr>
            <w:r>
              <w:t>Digital marketing campaigns, sustainability-led branding (e.g., eco-friendly products), customer engagement strategies</w:t>
            </w:r>
          </w:p>
        </w:tc>
      </w:tr>
      <w:tr w:rsidR="00773A16" w14:paraId="6D2A62C6" w14:textId="77777777">
        <w:trPr>
          <w:trHeight w:val="1850"/>
        </w:trPr>
        <w:tc>
          <w:tcPr>
            <w:tcW w:w="143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1137F05" w14:textId="77777777" w:rsidR="00773A16" w:rsidRDefault="00000000">
            <w:pPr>
              <w:jc w:val="center"/>
            </w:pPr>
            <w:r>
              <w:rPr>
                <w:b/>
                <w:bCs/>
              </w:rPr>
              <w:t>Internal Business Processes</w:t>
            </w:r>
          </w:p>
        </w:tc>
        <w:tc>
          <w:tcPr>
            <w:tcW w:w="195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3FC8116" w14:textId="77777777" w:rsidR="00773A16" w:rsidRDefault="00000000">
            <w:pPr>
              <w:jc w:val="center"/>
            </w:pPr>
            <w:r>
              <w:t>Improve operational efficiency and enhance sustainable supply chain performance</w:t>
            </w:r>
          </w:p>
        </w:tc>
        <w:tc>
          <w:tcPr>
            <w:tcW w:w="199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8F11184" w14:textId="77777777" w:rsidR="00773A16" w:rsidRDefault="00000000">
            <w:pPr>
              <w:jc w:val="center"/>
            </w:pPr>
            <w:r>
              <w:t>Carbon emission reduction, supply chain efficiency, production costs, innovation rate</w:t>
            </w:r>
          </w:p>
        </w:tc>
        <w:tc>
          <w:tcPr>
            <w:tcW w:w="184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339E92C" w14:textId="77777777" w:rsidR="00773A16" w:rsidRDefault="00000000">
            <w:pPr>
              <w:jc w:val="center"/>
            </w:pPr>
            <w:r>
              <w:t>Reduce environmental footprint and improve operational productivity</w:t>
            </w:r>
          </w:p>
        </w:tc>
        <w:tc>
          <w:tcPr>
            <w:tcW w:w="212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FB2E5E5" w14:textId="77777777" w:rsidR="00773A16" w:rsidRDefault="00000000">
            <w:pPr>
              <w:jc w:val="center"/>
            </w:pPr>
            <w:r>
              <w:t xml:space="preserve">Responsible sourcing, supply chain </w:t>
            </w:r>
            <w:proofErr w:type="spellStart"/>
            <w:r>
              <w:t>digitalisation</w:t>
            </w:r>
            <w:proofErr w:type="spellEnd"/>
            <w:r>
              <w:t>, waste reduction initiatives, product innovation</w:t>
            </w:r>
          </w:p>
        </w:tc>
      </w:tr>
      <w:tr w:rsidR="00773A16" w14:paraId="6AFFFA5A" w14:textId="77777777">
        <w:trPr>
          <w:trHeight w:val="2390"/>
        </w:trPr>
        <w:tc>
          <w:tcPr>
            <w:tcW w:w="143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E1C3BF2" w14:textId="77777777" w:rsidR="00773A16" w:rsidRDefault="00000000">
            <w:pPr>
              <w:jc w:val="center"/>
            </w:pPr>
            <w:r>
              <w:rPr>
                <w:b/>
                <w:bCs/>
              </w:rPr>
              <w:t>Learning &amp; Growth</w:t>
            </w:r>
          </w:p>
        </w:tc>
        <w:tc>
          <w:tcPr>
            <w:tcW w:w="195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C3469AF" w14:textId="77777777" w:rsidR="00773A16" w:rsidRDefault="00000000">
            <w:pPr>
              <w:jc w:val="center"/>
            </w:pPr>
            <w:r>
              <w:t xml:space="preserve">Develop employee capabilities and foster an innovation-driven </w:t>
            </w:r>
            <w:proofErr w:type="spellStart"/>
            <w:r>
              <w:t>organisational</w:t>
            </w:r>
            <w:proofErr w:type="spellEnd"/>
            <w:r>
              <w:t xml:space="preserve"> culture</w:t>
            </w:r>
          </w:p>
        </w:tc>
        <w:tc>
          <w:tcPr>
            <w:tcW w:w="199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1C75650" w14:textId="77777777" w:rsidR="00773A16" w:rsidRDefault="00000000">
            <w:pPr>
              <w:jc w:val="center"/>
            </w:pPr>
            <w:r>
              <w:t>Employee engagement score, training hours per employee, innovation output, leadership development metrics</w:t>
            </w:r>
          </w:p>
        </w:tc>
        <w:tc>
          <w:tcPr>
            <w:tcW w:w="184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746F8BA" w14:textId="77777777" w:rsidR="00773A16" w:rsidRDefault="00000000">
            <w:pPr>
              <w:jc w:val="center"/>
            </w:pPr>
            <w:r>
              <w:t>Enhance workforce productivity and innovation capacity</w:t>
            </w:r>
          </w:p>
        </w:tc>
        <w:tc>
          <w:tcPr>
            <w:tcW w:w="2129"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8C0E438" w14:textId="77777777" w:rsidR="00773A16" w:rsidRDefault="00000000">
            <w:pPr>
              <w:jc w:val="center"/>
            </w:pPr>
            <w:r>
              <w:t xml:space="preserve">Investment in employee training, leadership development </w:t>
            </w:r>
            <w:proofErr w:type="spellStart"/>
            <w:r>
              <w:t>programmes</w:t>
            </w:r>
            <w:proofErr w:type="spellEnd"/>
            <w:r>
              <w:t>, digital capability building, and a sustainability-focused culture</w:t>
            </w:r>
          </w:p>
        </w:tc>
      </w:tr>
    </w:tbl>
    <w:p w14:paraId="79344FDE" w14:textId="77777777" w:rsidR="00773A16" w:rsidRDefault="00000000">
      <w:pPr>
        <w:jc w:val="center"/>
        <w:rPr>
          <w:b/>
          <w:bCs/>
        </w:rPr>
      </w:pPr>
      <w:r>
        <w:rPr>
          <w:b/>
          <w:bCs/>
        </w:rPr>
        <w:t>Table 2: Balanced Scorecard</w:t>
      </w:r>
    </w:p>
    <w:p w14:paraId="66E8FD8B" w14:textId="77777777" w:rsidR="00773A16" w:rsidRDefault="00000000">
      <w:pPr>
        <w:jc w:val="center"/>
      </w:pPr>
      <w:r>
        <w:t>(Source: Self-developed)</w:t>
      </w:r>
    </w:p>
    <w:p w14:paraId="1353AE1E" w14:textId="77777777" w:rsidR="00773A16" w:rsidRDefault="00000000">
      <w:r>
        <w:t xml:space="preserve">On the consumer side, Unilever focuses on developing a high brand loyalty by focusing on purpose-making advertisements and products that are of high quality. </w:t>
      </w:r>
      <w:r>
        <w:lastRenderedPageBreak/>
        <w:t xml:space="preserve">Goals include improving customer satisfaction and market share, especially in the emerging markets (Chishty, 2023). Important KPIs include the scores of brand equity, customer retention, and market penetration. Strategies such as digital marketing and branding of a responsible nature are planned, which will enhance consumer trust, yet could raise expenses (Riad </w:t>
      </w:r>
      <w:r>
        <w:rPr>
          <w:i/>
          <w:iCs/>
        </w:rPr>
        <w:t xml:space="preserve">et al. </w:t>
      </w:r>
      <w:r>
        <w:t>2024).</w:t>
      </w:r>
    </w:p>
    <w:p w14:paraId="0C4B689A" w14:textId="77777777" w:rsidR="00773A16" w:rsidRDefault="00000000">
      <w:r>
        <w:t xml:space="preserve">Internal business processes perspective is concerned with the operational efficiency and sustainable supply chain management. The reduction in the environmental impact and the enhancement in productivity are the goals. Central are KPIs which are carbon emission reduction, supply chain efficiency, and innovation rates (Kang </w:t>
      </w:r>
      <w:r>
        <w:rPr>
          <w:i/>
          <w:iCs/>
        </w:rPr>
        <w:t xml:space="preserve">et al. </w:t>
      </w:r>
      <w:r>
        <w:t>2023). The responsibilities of sourcing and digitalization of the operations have been implemented, but the complexity of getting everything working across global markets is challenging.</w:t>
      </w:r>
    </w:p>
    <w:p w14:paraId="43F89C29" w14:textId="77777777" w:rsidR="00773A16" w:rsidRDefault="00000000">
      <w:r>
        <w:t xml:space="preserve">Lastly, the learning and growth viewpoints </w:t>
      </w:r>
      <w:proofErr w:type="spellStart"/>
      <w:r>
        <w:t>emphasises</w:t>
      </w:r>
      <w:proofErr w:type="spellEnd"/>
      <w:r>
        <w:t xml:space="preserve"> on innovation, ability of employees and </w:t>
      </w:r>
      <w:proofErr w:type="spellStart"/>
      <w:r>
        <w:t>organisational</w:t>
      </w:r>
      <w:proofErr w:type="spellEnd"/>
      <w:r>
        <w:t xml:space="preserve"> culture. Goals are the development of a sustainability mindset and improvement of workforce competences (</w:t>
      </w:r>
      <w:proofErr w:type="spellStart"/>
      <w:r>
        <w:t>Setyadi</w:t>
      </w:r>
      <w:proofErr w:type="spellEnd"/>
      <w:r>
        <w:t xml:space="preserve"> </w:t>
      </w:r>
      <w:r>
        <w:rPr>
          <w:i/>
          <w:iCs/>
        </w:rPr>
        <w:t xml:space="preserve">et al. </w:t>
      </w:r>
      <w:r>
        <w:t>2025). KPIs encompass employee empowerment, employee training and productivity, and contributions to innovation. Leadership development and digital capabilities go towards long-term strategic flexibility in which Unilever is able to stay competitive in a rapidly changing global market.</w:t>
      </w:r>
    </w:p>
    <w:p w14:paraId="338B9DEC" w14:textId="77777777" w:rsidR="00773A16" w:rsidRDefault="00000000">
      <w:pPr>
        <w:pStyle w:val="Heading2"/>
      </w:pPr>
      <w:bookmarkStart w:id="33" w:name="_urcik3kkfi6u" w:colFirst="0" w:colLast="0"/>
      <w:bookmarkStart w:id="34" w:name="_Toc228287926"/>
      <w:bookmarkEnd w:id="33"/>
      <w:r>
        <w:t>5. Strategic Choices and Implementation</w:t>
      </w:r>
      <w:bookmarkEnd w:id="34"/>
      <w:r>
        <w:t xml:space="preserve"> </w:t>
      </w:r>
    </w:p>
    <w:p w14:paraId="0E363616" w14:textId="77777777" w:rsidR="00773A16" w:rsidRDefault="00000000">
      <w:pPr>
        <w:pStyle w:val="Heading3"/>
      </w:pPr>
      <w:bookmarkStart w:id="35" w:name="_dr2l4inar8ui" w:colFirst="0" w:colLast="0"/>
      <w:bookmarkStart w:id="36" w:name="_Toc228287927"/>
      <w:bookmarkEnd w:id="35"/>
      <w:r>
        <w:t>5.1 Strategic Choices at Business and Corporate Levels</w:t>
      </w:r>
      <w:bookmarkEnd w:id="36"/>
    </w:p>
    <w:p w14:paraId="50C5AB2E" w14:textId="77777777" w:rsidR="00773A16" w:rsidRDefault="00000000">
      <w:r>
        <w:t xml:space="preserve">This table below equally examines the business and corporate level strategic decisions made by Unilever, evaluating their efficacy, congruency in competitive advantage, and suggesting the best viable solutions to the </w:t>
      </w:r>
      <w:proofErr w:type="spellStart"/>
      <w:r>
        <w:t>organisation</w:t>
      </w:r>
      <w:proofErr w:type="spellEnd"/>
      <w:r>
        <w:t xml:space="preserve"> in the long-term of sustaining performance.</w:t>
      </w:r>
    </w:p>
    <w:tbl>
      <w:tblPr>
        <w:tblStyle w:val="Style14"/>
        <w:tblW w:w="8790" w:type="dxa"/>
        <w:tblInd w:w="0" w:type="dxa"/>
        <w:tblLayout w:type="fixed"/>
        <w:tblLook w:val="04A0" w:firstRow="1" w:lastRow="0" w:firstColumn="1" w:lastColumn="0" w:noHBand="0" w:noVBand="1"/>
      </w:tblPr>
      <w:tblGrid>
        <w:gridCol w:w="1290"/>
        <w:gridCol w:w="1710"/>
        <w:gridCol w:w="3495"/>
        <w:gridCol w:w="2295"/>
      </w:tblGrid>
      <w:tr w:rsidR="00773A16" w14:paraId="049CB0FB" w14:textId="77777777">
        <w:trPr>
          <w:trHeight w:val="945"/>
        </w:trPr>
        <w:tc>
          <w:tcPr>
            <w:tcW w:w="1290" w:type="dxa"/>
            <w:tcBorders>
              <w:top w:val="single" w:sz="8" w:space="0" w:color="000000"/>
              <w:left w:val="single" w:sz="8" w:space="0" w:color="000000"/>
              <w:bottom w:val="single" w:sz="8" w:space="0" w:color="000000"/>
              <w:right w:val="single" w:sz="8" w:space="0" w:color="000000"/>
            </w:tcBorders>
            <w:shd w:val="clear" w:color="auto" w:fill="D9D9D9"/>
            <w:tcMar>
              <w:top w:w="0" w:type="dxa"/>
              <w:left w:w="100" w:type="dxa"/>
              <w:bottom w:w="0" w:type="dxa"/>
              <w:right w:w="100" w:type="dxa"/>
            </w:tcMar>
          </w:tcPr>
          <w:p w14:paraId="4A44DE99" w14:textId="77777777" w:rsidR="00773A16" w:rsidRDefault="00000000">
            <w:pPr>
              <w:spacing w:after="200"/>
              <w:jc w:val="center"/>
              <w:rPr>
                <w:b/>
                <w:bCs/>
              </w:rPr>
            </w:pPr>
            <w:r>
              <w:rPr>
                <w:b/>
                <w:bCs/>
              </w:rPr>
              <w:t>Level</w:t>
            </w:r>
          </w:p>
        </w:tc>
        <w:tc>
          <w:tcPr>
            <w:tcW w:w="1710" w:type="dxa"/>
            <w:tcBorders>
              <w:top w:val="single" w:sz="8" w:space="0" w:color="000000"/>
              <w:left w:val="nil"/>
              <w:bottom w:val="single" w:sz="8" w:space="0" w:color="000000"/>
              <w:right w:val="single" w:sz="8" w:space="0" w:color="000000"/>
            </w:tcBorders>
            <w:shd w:val="clear" w:color="auto" w:fill="D9D9D9"/>
            <w:tcMar>
              <w:top w:w="0" w:type="dxa"/>
              <w:left w:w="100" w:type="dxa"/>
              <w:bottom w:w="0" w:type="dxa"/>
              <w:right w:w="100" w:type="dxa"/>
            </w:tcMar>
          </w:tcPr>
          <w:p w14:paraId="4F1C7A15" w14:textId="77777777" w:rsidR="00773A16" w:rsidRDefault="00000000">
            <w:pPr>
              <w:spacing w:after="200"/>
              <w:jc w:val="center"/>
              <w:rPr>
                <w:b/>
                <w:bCs/>
              </w:rPr>
            </w:pPr>
            <w:r>
              <w:rPr>
                <w:b/>
                <w:bCs/>
              </w:rPr>
              <w:t>Strategic Option</w:t>
            </w:r>
          </w:p>
        </w:tc>
        <w:tc>
          <w:tcPr>
            <w:tcW w:w="3495" w:type="dxa"/>
            <w:tcBorders>
              <w:top w:val="single" w:sz="8" w:space="0" w:color="000000"/>
              <w:left w:val="nil"/>
              <w:bottom w:val="single" w:sz="8" w:space="0" w:color="000000"/>
              <w:right w:val="single" w:sz="8" w:space="0" w:color="000000"/>
            </w:tcBorders>
            <w:shd w:val="clear" w:color="auto" w:fill="D9D9D9"/>
            <w:tcMar>
              <w:top w:w="0" w:type="dxa"/>
              <w:left w:w="100" w:type="dxa"/>
              <w:bottom w:w="0" w:type="dxa"/>
              <w:right w:w="100" w:type="dxa"/>
            </w:tcMar>
          </w:tcPr>
          <w:p w14:paraId="1284640E" w14:textId="77777777" w:rsidR="00773A16" w:rsidRDefault="00000000">
            <w:pPr>
              <w:spacing w:after="200"/>
              <w:jc w:val="center"/>
              <w:rPr>
                <w:b/>
                <w:bCs/>
              </w:rPr>
            </w:pPr>
            <w:r>
              <w:rPr>
                <w:b/>
                <w:bCs/>
              </w:rPr>
              <w:t>Evaluation</w:t>
            </w:r>
          </w:p>
        </w:tc>
        <w:tc>
          <w:tcPr>
            <w:tcW w:w="2295" w:type="dxa"/>
            <w:tcBorders>
              <w:top w:val="single" w:sz="8" w:space="0" w:color="000000"/>
              <w:left w:val="nil"/>
              <w:bottom w:val="single" w:sz="8" w:space="0" w:color="000000"/>
              <w:right w:val="single" w:sz="8" w:space="0" w:color="000000"/>
            </w:tcBorders>
            <w:shd w:val="clear" w:color="auto" w:fill="D9D9D9"/>
            <w:tcMar>
              <w:top w:w="0" w:type="dxa"/>
              <w:left w:w="100" w:type="dxa"/>
              <w:bottom w:w="0" w:type="dxa"/>
              <w:right w:w="100" w:type="dxa"/>
            </w:tcMar>
          </w:tcPr>
          <w:p w14:paraId="7BFF1A30" w14:textId="77777777" w:rsidR="00773A16" w:rsidRDefault="00000000">
            <w:pPr>
              <w:spacing w:after="200"/>
              <w:jc w:val="center"/>
              <w:rPr>
                <w:b/>
                <w:bCs/>
              </w:rPr>
            </w:pPr>
            <w:r>
              <w:rPr>
                <w:b/>
                <w:bCs/>
              </w:rPr>
              <w:t>Recommendation</w:t>
            </w:r>
          </w:p>
        </w:tc>
      </w:tr>
      <w:tr w:rsidR="00773A16" w14:paraId="65BF408C" w14:textId="77777777">
        <w:trPr>
          <w:trHeight w:val="1305"/>
        </w:trPr>
        <w:tc>
          <w:tcPr>
            <w:tcW w:w="1290" w:type="dxa"/>
            <w:tcBorders>
              <w:top w:val="nil"/>
              <w:left w:val="single" w:sz="8" w:space="0" w:color="000000"/>
              <w:bottom w:val="single" w:sz="8" w:space="0" w:color="000000"/>
              <w:right w:val="single" w:sz="8" w:space="0" w:color="000000"/>
            </w:tcBorders>
            <w:shd w:val="clear" w:color="auto" w:fill="FFF2CC"/>
            <w:tcMar>
              <w:top w:w="0" w:type="dxa"/>
              <w:left w:w="100" w:type="dxa"/>
              <w:bottom w:w="0" w:type="dxa"/>
              <w:right w:w="100" w:type="dxa"/>
            </w:tcMar>
          </w:tcPr>
          <w:p w14:paraId="0A3E454F" w14:textId="77777777" w:rsidR="00773A16" w:rsidRDefault="00000000">
            <w:pPr>
              <w:spacing w:after="200"/>
              <w:jc w:val="center"/>
              <w:rPr>
                <w:b/>
                <w:bCs/>
              </w:rPr>
            </w:pPr>
            <w:r>
              <w:rPr>
                <w:b/>
                <w:bCs/>
              </w:rPr>
              <w:t>Business Level</w:t>
            </w:r>
          </w:p>
        </w:tc>
        <w:tc>
          <w:tcPr>
            <w:tcW w:w="1710" w:type="dxa"/>
            <w:tcBorders>
              <w:top w:val="nil"/>
              <w:left w:val="nil"/>
              <w:bottom w:val="single" w:sz="8" w:space="0" w:color="000000"/>
              <w:right w:val="single" w:sz="8" w:space="0" w:color="000000"/>
            </w:tcBorders>
            <w:shd w:val="clear" w:color="auto" w:fill="F4CCCC"/>
            <w:tcMar>
              <w:top w:w="0" w:type="dxa"/>
              <w:left w:w="100" w:type="dxa"/>
              <w:bottom w:w="0" w:type="dxa"/>
              <w:right w:w="100" w:type="dxa"/>
            </w:tcMar>
          </w:tcPr>
          <w:p w14:paraId="11F59D0D" w14:textId="77777777" w:rsidR="00773A16" w:rsidRDefault="00000000">
            <w:pPr>
              <w:spacing w:after="200"/>
              <w:jc w:val="center"/>
            </w:pPr>
            <w:r>
              <w:t>Cost Leadership</w:t>
            </w:r>
          </w:p>
        </w:tc>
        <w:tc>
          <w:tcPr>
            <w:tcW w:w="3495" w:type="dxa"/>
            <w:tcBorders>
              <w:top w:val="nil"/>
              <w:left w:val="nil"/>
              <w:bottom w:val="single" w:sz="8" w:space="0" w:color="000000"/>
              <w:right w:val="single" w:sz="8" w:space="0" w:color="000000"/>
            </w:tcBorders>
            <w:shd w:val="clear" w:color="auto" w:fill="FFF2CC"/>
            <w:tcMar>
              <w:top w:w="0" w:type="dxa"/>
              <w:left w:w="100" w:type="dxa"/>
              <w:bottom w:w="0" w:type="dxa"/>
              <w:right w:w="100" w:type="dxa"/>
            </w:tcMar>
          </w:tcPr>
          <w:p w14:paraId="1696BBCA" w14:textId="77777777" w:rsidR="00773A16" w:rsidRDefault="00000000">
            <w:pPr>
              <w:spacing w:after="200"/>
            </w:pPr>
            <w:r>
              <w:t>Global operations also allow Unilever to enjoy economies of scale, which facilitate cost-</w:t>
            </w:r>
            <w:r>
              <w:lastRenderedPageBreak/>
              <w:t xml:space="preserve">efficiency in production and distribution. (Iglesias et al., 2023) However, the extreme price competition in emerging markets decreases margin sustainability. </w:t>
            </w:r>
          </w:p>
        </w:tc>
        <w:tc>
          <w:tcPr>
            <w:tcW w:w="2295" w:type="dxa"/>
            <w:tcBorders>
              <w:top w:val="nil"/>
              <w:left w:val="nil"/>
              <w:bottom w:val="single" w:sz="8" w:space="0" w:color="000000"/>
              <w:right w:val="single" w:sz="8" w:space="0" w:color="000000"/>
            </w:tcBorders>
            <w:shd w:val="clear" w:color="auto" w:fill="F4CCCC"/>
            <w:tcMar>
              <w:top w:w="0" w:type="dxa"/>
              <w:left w:w="100" w:type="dxa"/>
              <w:bottom w:w="0" w:type="dxa"/>
              <w:right w:w="100" w:type="dxa"/>
            </w:tcMar>
          </w:tcPr>
          <w:p w14:paraId="2FAEF379" w14:textId="77777777" w:rsidR="00773A16" w:rsidRDefault="00000000">
            <w:pPr>
              <w:spacing w:after="200"/>
            </w:pPr>
            <w:r>
              <w:lastRenderedPageBreak/>
              <w:t xml:space="preserve">Not </w:t>
            </w:r>
            <w:proofErr w:type="spellStart"/>
            <w:r>
              <w:t>prioritised</w:t>
            </w:r>
            <w:proofErr w:type="spellEnd"/>
            <w:r>
              <w:t xml:space="preserve"> as a standalone strategy, due to </w:t>
            </w:r>
            <w:r>
              <w:lastRenderedPageBreak/>
              <w:t>erosion risks and limited differentiation potential.</w:t>
            </w:r>
          </w:p>
        </w:tc>
      </w:tr>
      <w:tr w:rsidR="00773A16" w14:paraId="296D2EB7" w14:textId="77777777">
        <w:trPr>
          <w:trHeight w:val="1305"/>
        </w:trPr>
        <w:tc>
          <w:tcPr>
            <w:tcW w:w="1290" w:type="dxa"/>
            <w:tcBorders>
              <w:top w:val="nil"/>
              <w:left w:val="single" w:sz="8" w:space="0" w:color="000000"/>
              <w:bottom w:val="single" w:sz="8" w:space="0" w:color="000000"/>
              <w:right w:val="single" w:sz="8" w:space="0" w:color="000000"/>
            </w:tcBorders>
            <w:shd w:val="clear" w:color="auto" w:fill="FFF2CC"/>
            <w:tcMar>
              <w:top w:w="0" w:type="dxa"/>
              <w:left w:w="100" w:type="dxa"/>
              <w:bottom w:w="0" w:type="dxa"/>
              <w:right w:w="100" w:type="dxa"/>
            </w:tcMar>
          </w:tcPr>
          <w:p w14:paraId="751C21A8" w14:textId="77777777" w:rsidR="00773A16" w:rsidRDefault="00000000">
            <w:pPr>
              <w:spacing w:after="200"/>
              <w:jc w:val="center"/>
              <w:rPr>
                <w:b/>
                <w:bCs/>
              </w:rPr>
            </w:pPr>
            <w:r>
              <w:rPr>
                <w:b/>
                <w:bCs/>
              </w:rPr>
              <w:lastRenderedPageBreak/>
              <w:t>Business Level</w:t>
            </w:r>
          </w:p>
        </w:tc>
        <w:tc>
          <w:tcPr>
            <w:tcW w:w="1710" w:type="dxa"/>
            <w:tcBorders>
              <w:top w:val="nil"/>
              <w:left w:val="nil"/>
              <w:bottom w:val="single" w:sz="8" w:space="0" w:color="000000"/>
              <w:right w:val="single" w:sz="8" w:space="0" w:color="000000"/>
            </w:tcBorders>
            <w:shd w:val="clear" w:color="auto" w:fill="F4CCCC"/>
            <w:tcMar>
              <w:top w:w="0" w:type="dxa"/>
              <w:left w:w="100" w:type="dxa"/>
              <w:bottom w:w="0" w:type="dxa"/>
              <w:right w:w="100" w:type="dxa"/>
            </w:tcMar>
          </w:tcPr>
          <w:p w14:paraId="53443253" w14:textId="77777777" w:rsidR="00773A16" w:rsidRDefault="00000000">
            <w:pPr>
              <w:spacing w:after="200"/>
              <w:jc w:val="center"/>
            </w:pPr>
            <w:r>
              <w:t>Differentiation</w:t>
            </w:r>
          </w:p>
        </w:tc>
        <w:tc>
          <w:tcPr>
            <w:tcW w:w="3495" w:type="dxa"/>
            <w:tcBorders>
              <w:top w:val="nil"/>
              <w:left w:val="nil"/>
              <w:bottom w:val="single" w:sz="8" w:space="0" w:color="000000"/>
              <w:right w:val="single" w:sz="8" w:space="0" w:color="000000"/>
            </w:tcBorders>
            <w:shd w:val="clear" w:color="auto" w:fill="FFF2CC"/>
            <w:tcMar>
              <w:top w:w="0" w:type="dxa"/>
              <w:left w:w="100" w:type="dxa"/>
              <w:bottom w:w="0" w:type="dxa"/>
              <w:right w:w="100" w:type="dxa"/>
            </w:tcMar>
          </w:tcPr>
          <w:p w14:paraId="7A4B8393" w14:textId="77777777" w:rsidR="00773A16" w:rsidRDefault="00000000">
            <w:pPr>
              <w:spacing w:after="200"/>
            </w:pPr>
            <w:r>
              <w:t>A good brand portfolio with high-end products can be differentiated based on quality, sustainability, and innovation. This upholds the pricing strength and buyer loyalty within the competition (</w:t>
            </w:r>
            <w:proofErr w:type="spellStart"/>
            <w:r>
              <w:t>Modreanu</w:t>
            </w:r>
            <w:proofErr w:type="spellEnd"/>
            <w:r>
              <w:t xml:space="preserve"> </w:t>
            </w:r>
            <w:r>
              <w:rPr>
                <w:i/>
                <w:iCs/>
              </w:rPr>
              <w:t>et al.,</w:t>
            </w:r>
            <w:r>
              <w:t xml:space="preserve"> 2022). </w:t>
            </w:r>
          </w:p>
        </w:tc>
        <w:tc>
          <w:tcPr>
            <w:tcW w:w="2295" w:type="dxa"/>
            <w:tcBorders>
              <w:top w:val="nil"/>
              <w:left w:val="nil"/>
              <w:bottom w:val="single" w:sz="8" w:space="0" w:color="000000"/>
              <w:right w:val="single" w:sz="8" w:space="0" w:color="000000"/>
            </w:tcBorders>
            <w:shd w:val="clear" w:color="auto" w:fill="F4CCCC"/>
            <w:tcMar>
              <w:top w:w="0" w:type="dxa"/>
              <w:left w:w="100" w:type="dxa"/>
              <w:bottom w:w="0" w:type="dxa"/>
              <w:right w:w="100" w:type="dxa"/>
            </w:tcMar>
          </w:tcPr>
          <w:p w14:paraId="3E038E0C" w14:textId="77777777" w:rsidR="00773A16" w:rsidRDefault="00000000">
            <w:pPr>
              <w:spacing w:after="200"/>
            </w:pPr>
            <w:r>
              <w:t>Recommended as the primary strategy, as it aligns with brand equity and CSR integration.</w:t>
            </w:r>
          </w:p>
        </w:tc>
      </w:tr>
      <w:tr w:rsidR="00773A16" w14:paraId="6575190F" w14:textId="77777777">
        <w:trPr>
          <w:trHeight w:val="1305"/>
        </w:trPr>
        <w:tc>
          <w:tcPr>
            <w:tcW w:w="1290" w:type="dxa"/>
            <w:tcBorders>
              <w:top w:val="nil"/>
              <w:left w:val="single" w:sz="8" w:space="0" w:color="000000"/>
              <w:bottom w:val="single" w:sz="8" w:space="0" w:color="000000"/>
              <w:right w:val="single" w:sz="8" w:space="0" w:color="000000"/>
            </w:tcBorders>
            <w:shd w:val="clear" w:color="auto" w:fill="FFF2CC"/>
            <w:tcMar>
              <w:top w:w="0" w:type="dxa"/>
              <w:left w:w="100" w:type="dxa"/>
              <w:bottom w:w="0" w:type="dxa"/>
              <w:right w:w="100" w:type="dxa"/>
            </w:tcMar>
          </w:tcPr>
          <w:p w14:paraId="5CA5D97A" w14:textId="77777777" w:rsidR="00773A16" w:rsidRDefault="00000000">
            <w:pPr>
              <w:spacing w:after="200"/>
              <w:jc w:val="center"/>
              <w:rPr>
                <w:b/>
                <w:bCs/>
              </w:rPr>
            </w:pPr>
            <w:r>
              <w:rPr>
                <w:b/>
                <w:bCs/>
              </w:rPr>
              <w:t>Corporate Level</w:t>
            </w:r>
          </w:p>
        </w:tc>
        <w:tc>
          <w:tcPr>
            <w:tcW w:w="1710" w:type="dxa"/>
            <w:tcBorders>
              <w:top w:val="nil"/>
              <w:left w:val="nil"/>
              <w:bottom w:val="single" w:sz="8" w:space="0" w:color="000000"/>
              <w:right w:val="single" w:sz="8" w:space="0" w:color="000000"/>
            </w:tcBorders>
            <w:shd w:val="clear" w:color="auto" w:fill="F4CCCC"/>
            <w:tcMar>
              <w:top w:w="0" w:type="dxa"/>
              <w:left w:w="100" w:type="dxa"/>
              <w:bottom w:w="0" w:type="dxa"/>
              <w:right w:w="100" w:type="dxa"/>
            </w:tcMar>
          </w:tcPr>
          <w:p w14:paraId="61950399" w14:textId="77777777" w:rsidR="00773A16" w:rsidRDefault="00000000">
            <w:pPr>
              <w:spacing w:after="200"/>
              <w:jc w:val="center"/>
            </w:pPr>
            <w:r>
              <w:t>Diversification</w:t>
            </w:r>
          </w:p>
        </w:tc>
        <w:tc>
          <w:tcPr>
            <w:tcW w:w="3495" w:type="dxa"/>
            <w:tcBorders>
              <w:top w:val="nil"/>
              <w:left w:val="nil"/>
              <w:bottom w:val="single" w:sz="8" w:space="0" w:color="000000"/>
              <w:right w:val="single" w:sz="8" w:space="0" w:color="000000"/>
            </w:tcBorders>
            <w:shd w:val="clear" w:color="auto" w:fill="FFF2CC"/>
            <w:tcMar>
              <w:top w:w="0" w:type="dxa"/>
              <w:left w:w="100" w:type="dxa"/>
              <w:bottom w:w="0" w:type="dxa"/>
              <w:right w:w="100" w:type="dxa"/>
            </w:tcMar>
          </w:tcPr>
          <w:p w14:paraId="2CB7DC1A" w14:textId="77777777" w:rsidR="00773A16" w:rsidRDefault="00000000">
            <w:pPr>
              <w:spacing w:after="200"/>
            </w:pPr>
            <w:r>
              <w:t xml:space="preserve">Risk is diversified by historic diversification in food and personal care. Nonetheless, excessive diversification may blur strategic focus and operational effectiveness (Kang, Lee &amp; Choi, 2023). </w:t>
            </w:r>
          </w:p>
        </w:tc>
        <w:tc>
          <w:tcPr>
            <w:tcW w:w="2295" w:type="dxa"/>
            <w:tcBorders>
              <w:top w:val="nil"/>
              <w:left w:val="nil"/>
              <w:bottom w:val="single" w:sz="8" w:space="0" w:color="000000"/>
              <w:right w:val="single" w:sz="8" w:space="0" w:color="000000"/>
            </w:tcBorders>
            <w:shd w:val="clear" w:color="auto" w:fill="F4CCCC"/>
            <w:tcMar>
              <w:top w:w="0" w:type="dxa"/>
              <w:left w:w="100" w:type="dxa"/>
              <w:bottom w:w="0" w:type="dxa"/>
              <w:right w:w="100" w:type="dxa"/>
            </w:tcMar>
          </w:tcPr>
          <w:p w14:paraId="24838AEB" w14:textId="77777777" w:rsidR="00773A16" w:rsidRDefault="00000000">
            <w:pPr>
              <w:spacing w:after="200"/>
            </w:pPr>
            <w:r>
              <w:t>Selective diversification advised, focusing on high-growth and sustainable product categories.</w:t>
            </w:r>
          </w:p>
        </w:tc>
      </w:tr>
      <w:tr w:rsidR="00773A16" w14:paraId="2DC5AF85" w14:textId="77777777">
        <w:trPr>
          <w:trHeight w:val="1305"/>
        </w:trPr>
        <w:tc>
          <w:tcPr>
            <w:tcW w:w="1290" w:type="dxa"/>
            <w:tcBorders>
              <w:top w:val="nil"/>
              <w:left w:val="single" w:sz="8" w:space="0" w:color="000000"/>
              <w:bottom w:val="single" w:sz="8" w:space="0" w:color="000000"/>
              <w:right w:val="single" w:sz="8" w:space="0" w:color="000000"/>
            </w:tcBorders>
            <w:shd w:val="clear" w:color="auto" w:fill="FFF2CC"/>
            <w:tcMar>
              <w:top w:w="0" w:type="dxa"/>
              <w:left w:w="100" w:type="dxa"/>
              <w:bottom w:w="0" w:type="dxa"/>
              <w:right w:w="100" w:type="dxa"/>
            </w:tcMar>
          </w:tcPr>
          <w:p w14:paraId="584F3D6C" w14:textId="77777777" w:rsidR="00773A16" w:rsidRDefault="00000000">
            <w:pPr>
              <w:spacing w:after="200"/>
              <w:jc w:val="center"/>
              <w:rPr>
                <w:b/>
                <w:bCs/>
              </w:rPr>
            </w:pPr>
            <w:r>
              <w:rPr>
                <w:b/>
                <w:bCs/>
              </w:rPr>
              <w:t>Corporate Level</w:t>
            </w:r>
          </w:p>
        </w:tc>
        <w:tc>
          <w:tcPr>
            <w:tcW w:w="1710" w:type="dxa"/>
            <w:tcBorders>
              <w:top w:val="nil"/>
              <w:left w:val="nil"/>
              <w:bottom w:val="single" w:sz="8" w:space="0" w:color="000000"/>
              <w:right w:val="single" w:sz="8" w:space="0" w:color="000000"/>
            </w:tcBorders>
            <w:shd w:val="clear" w:color="auto" w:fill="F4CCCC"/>
            <w:tcMar>
              <w:top w:w="0" w:type="dxa"/>
              <w:left w:w="100" w:type="dxa"/>
              <w:bottom w:w="0" w:type="dxa"/>
              <w:right w:w="100" w:type="dxa"/>
            </w:tcMar>
          </w:tcPr>
          <w:p w14:paraId="72F4446E" w14:textId="77777777" w:rsidR="00773A16" w:rsidRDefault="00000000">
            <w:pPr>
              <w:spacing w:after="200"/>
              <w:jc w:val="center"/>
            </w:pPr>
            <w:r>
              <w:t>International Expansion</w:t>
            </w:r>
          </w:p>
        </w:tc>
        <w:tc>
          <w:tcPr>
            <w:tcW w:w="3495" w:type="dxa"/>
            <w:tcBorders>
              <w:top w:val="nil"/>
              <w:left w:val="nil"/>
              <w:bottom w:val="single" w:sz="8" w:space="0" w:color="000000"/>
              <w:right w:val="single" w:sz="8" w:space="0" w:color="000000"/>
            </w:tcBorders>
            <w:shd w:val="clear" w:color="auto" w:fill="FFF2CC"/>
            <w:tcMar>
              <w:top w:w="0" w:type="dxa"/>
              <w:left w:w="100" w:type="dxa"/>
              <w:bottom w:w="0" w:type="dxa"/>
              <w:right w:w="100" w:type="dxa"/>
            </w:tcMar>
          </w:tcPr>
          <w:p w14:paraId="1FF214E4" w14:textId="77777777" w:rsidR="00773A16" w:rsidRDefault="00000000">
            <w:pPr>
              <w:spacing w:after="200"/>
            </w:pPr>
            <w:r>
              <w:t xml:space="preserve"> Availability in more than 150 nations enhances the market penetration and diversification of revenues. Nonetheless, </w:t>
            </w:r>
            <w:proofErr w:type="spellStart"/>
            <w:r>
              <w:t>decentralisation</w:t>
            </w:r>
            <w:proofErr w:type="spellEnd"/>
            <w:r>
              <w:t xml:space="preserve"> presents issues with uniform implementations of strategies (</w:t>
            </w:r>
            <w:proofErr w:type="spellStart"/>
            <w:r>
              <w:t>Narikiyo</w:t>
            </w:r>
            <w:proofErr w:type="spellEnd"/>
            <w:r>
              <w:t xml:space="preserve">, Harris &amp; </w:t>
            </w:r>
            <w:proofErr w:type="spellStart"/>
            <w:r>
              <w:t>Elmassri</w:t>
            </w:r>
            <w:proofErr w:type="spellEnd"/>
            <w:r>
              <w:t>, 2025).</w:t>
            </w:r>
          </w:p>
        </w:tc>
        <w:tc>
          <w:tcPr>
            <w:tcW w:w="2295" w:type="dxa"/>
            <w:tcBorders>
              <w:top w:val="nil"/>
              <w:left w:val="nil"/>
              <w:bottom w:val="single" w:sz="8" w:space="0" w:color="000000"/>
              <w:right w:val="single" w:sz="8" w:space="0" w:color="000000"/>
            </w:tcBorders>
            <w:shd w:val="clear" w:color="auto" w:fill="F4CCCC"/>
            <w:tcMar>
              <w:top w:w="0" w:type="dxa"/>
              <w:left w:w="100" w:type="dxa"/>
              <w:bottom w:w="0" w:type="dxa"/>
              <w:right w:w="100" w:type="dxa"/>
            </w:tcMar>
          </w:tcPr>
          <w:p w14:paraId="25183C15" w14:textId="77777777" w:rsidR="00773A16" w:rsidRDefault="00000000">
            <w:pPr>
              <w:spacing w:after="200"/>
            </w:pPr>
            <w:r>
              <w:t xml:space="preserve">Continued expansion recommended, but with tighter strategic coordination and </w:t>
            </w:r>
            <w:proofErr w:type="spellStart"/>
            <w:r>
              <w:t>standardisation</w:t>
            </w:r>
            <w:proofErr w:type="spellEnd"/>
            <w:r>
              <w:t>.</w:t>
            </w:r>
          </w:p>
        </w:tc>
      </w:tr>
    </w:tbl>
    <w:p w14:paraId="13EB5C82" w14:textId="77777777" w:rsidR="00773A16" w:rsidRDefault="00773A16">
      <w:pPr>
        <w:jc w:val="center"/>
      </w:pPr>
    </w:p>
    <w:p w14:paraId="47489CE0" w14:textId="77777777" w:rsidR="00773A16" w:rsidRDefault="00000000">
      <w:pPr>
        <w:jc w:val="center"/>
        <w:rPr>
          <w:b/>
          <w:bCs/>
        </w:rPr>
      </w:pPr>
      <w:r>
        <w:rPr>
          <w:b/>
          <w:bCs/>
        </w:rPr>
        <w:lastRenderedPageBreak/>
        <w:t>Table 3: Strategic Choices at Business and Corporate Levels</w:t>
      </w:r>
    </w:p>
    <w:p w14:paraId="47B71950" w14:textId="77777777" w:rsidR="00773A16" w:rsidRDefault="00000000">
      <w:pPr>
        <w:jc w:val="center"/>
      </w:pPr>
      <w:r>
        <w:t>(Source: Self-developed)</w:t>
      </w:r>
    </w:p>
    <w:p w14:paraId="5652E708" w14:textId="77777777" w:rsidR="00773A16" w:rsidRDefault="00000000">
      <w:r>
        <w:t xml:space="preserve">The strategic positioning of Unilever will indicate hybrid strategic positioning, but differentiation provides the best way of maintaining competitive advantages. The skills with which the company introduces sustainability into the product innovation allow it to enhance its differentiation power, especially in the high-end and ethically sensitive markets (Agnihotri &amp; Bhattacharya, 2026). Cost leadership, which is mostly satisfied by scale, is no longer a dominant strategy because of increasing input costs and competition. On a corporate level, </w:t>
      </w:r>
      <w:proofErr w:type="spellStart"/>
      <w:r>
        <w:t>globalisation</w:t>
      </w:r>
      <w:proofErr w:type="spellEnd"/>
      <w:r>
        <w:t xml:space="preserve"> has been very successful but needs greater integration strategies to prevent disintegration.</w:t>
      </w:r>
    </w:p>
    <w:p w14:paraId="4575F6FF" w14:textId="77777777" w:rsidR="00773A16" w:rsidRDefault="00000000">
      <w:pPr>
        <w:pStyle w:val="Heading3"/>
      </w:pPr>
      <w:bookmarkStart w:id="37" w:name="_ixeo23o3555q" w:colFirst="0" w:colLast="0"/>
      <w:bookmarkStart w:id="38" w:name="_Toc228287928"/>
      <w:bookmarkEnd w:id="37"/>
      <w:r>
        <w:t>5.2 Evolutionary and strategic execution</w:t>
      </w:r>
      <w:bookmarkEnd w:id="38"/>
    </w:p>
    <w:p w14:paraId="59916D5A" w14:textId="77777777" w:rsidR="00773A16" w:rsidRDefault="00000000">
      <w:r>
        <w:t xml:space="preserve">Unilever has shown itself to be proactive in how they have addressed </w:t>
      </w:r>
      <w:proofErr w:type="spellStart"/>
      <w:r>
        <w:t>organisational</w:t>
      </w:r>
      <w:proofErr w:type="spellEnd"/>
      <w:r>
        <w:t xml:space="preserve"> change, especially via restructuring efforts and through portfolio </w:t>
      </w:r>
      <w:proofErr w:type="spellStart"/>
      <w:r>
        <w:t>rationalisation</w:t>
      </w:r>
      <w:proofErr w:type="spellEnd"/>
      <w:r>
        <w:t xml:space="preserve">. The shift towards </w:t>
      </w:r>
      <w:proofErr w:type="spellStart"/>
      <w:r>
        <w:t>specialisation</w:t>
      </w:r>
      <w:proofErr w:type="spellEnd"/>
      <w:r>
        <w:t xml:space="preserve"> on 400 top brands is also an intentional effort to make operations simpler and more strategic (Unilever, 2026b). This fits in the </w:t>
      </w:r>
      <w:r>
        <w:rPr>
          <w:b/>
          <w:bCs/>
          <w:i/>
          <w:iCs/>
        </w:rPr>
        <w:t>Change Management Model by Kotter</w:t>
      </w:r>
      <w:r>
        <w:t xml:space="preserve">, especially in setting a clear vision and facilitating alignment of </w:t>
      </w:r>
      <w:proofErr w:type="spellStart"/>
      <w:r>
        <w:t>organisations</w:t>
      </w:r>
      <w:proofErr w:type="spellEnd"/>
      <w:r>
        <w:t xml:space="preserve">. The problems of execution, however, remain because the company is </w:t>
      </w:r>
      <w:proofErr w:type="spellStart"/>
      <w:r>
        <w:t>decentralised</w:t>
      </w:r>
      <w:proofErr w:type="spellEnd"/>
      <w:r>
        <w:t xml:space="preserve"> and may slow down the decision process and introduce contradictions within the markets. The transition of the company to the sustainability-based strategy exemplifies the adaptability change ability, as the company incorporated CSR into the main running processes and did not regard it as a separate, auxiliary task (O’Hara, 2025, p.93). This has enhanced trust among the stakeholders and has established long-term strategic positioning. However, the use of internal evaluation structures narrows the objectivity of performance evaluation, which may undermine the effectiveness of implementation.</w:t>
      </w:r>
    </w:p>
    <w:p w14:paraId="3B1CF1EF" w14:textId="77777777" w:rsidR="00773A16" w:rsidRDefault="00000000">
      <w:pPr>
        <w:jc w:val="center"/>
      </w:pPr>
      <w:r>
        <w:rPr>
          <w:noProof/>
        </w:rPr>
        <w:lastRenderedPageBreak/>
        <w:drawing>
          <wp:inline distT="114300" distB="114300" distL="114300" distR="114300" wp14:anchorId="467DBDD1" wp14:editId="60E7CC12">
            <wp:extent cx="5424170" cy="4241800"/>
            <wp:effectExtent l="25400" t="25400" r="25400" b="25400"/>
            <wp:docPr id="5" name="image1.png"/>
            <wp:cNvGraphicFramePr/>
            <a:graphic xmlns:a="http://schemas.openxmlformats.org/drawingml/2006/main">
              <a:graphicData uri="http://schemas.openxmlformats.org/drawingml/2006/picture">
                <pic:pic xmlns:pic="http://schemas.openxmlformats.org/drawingml/2006/picture">
                  <pic:nvPicPr>
                    <pic:cNvPr id="5" name="image1.png"/>
                    <pic:cNvPicPr preferRelativeResize="0"/>
                  </pic:nvPicPr>
                  <pic:blipFill>
                    <a:blip r:embed="rId11"/>
                    <a:srcRect/>
                    <a:stretch>
                      <a:fillRect/>
                    </a:stretch>
                  </pic:blipFill>
                  <pic:spPr>
                    <a:xfrm>
                      <a:off x="0" y="0"/>
                      <a:ext cx="5424488" cy="4242227"/>
                    </a:xfrm>
                    <a:prstGeom prst="rect">
                      <a:avLst/>
                    </a:prstGeom>
                    <a:ln w="25400">
                      <a:solidFill>
                        <a:srgbClr val="000000"/>
                      </a:solidFill>
                      <a:prstDash val="solid"/>
                    </a:ln>
                  </pic:spPr>
                </pic:pic>
              </a:graphicData>
            </a:graphic>
          </wp:inline>
        </w:drawing>
      </w:r>
    </w:p>
    <w:p w14:paraId="607A284D" w14:textId="77777777" w:rsidR="00773A16" w:rsidRDefault="00000000">
      <w:pPr>
        <w:jc w:val="center"/>
        <w:rPr>
          <w:b/>
          <w:bCs/>
        </w:rPr>
      </w:pPr>
      <w:r>
        <w:rPr>
          <w:b/>
          <w:bCs/>
        </w:rPr>
        <w:t>Figure 4: Kotter Change Model</w:t>
      </w:r>
    </w:p>
    <w:p w14:paraId="496900F1" w14:textId="77777777" w:rsidR="00773A16" w:rsidRDefault="00000000">
      <w:pPr>
        <w:jc w:val="center"/>
      </w:pPr>
      <w:r>
        <w:t>(Source: Expert Program Management, 2026)</w:t>
      </w:r>
    </w:p>
    <w:p w14:paraId="5C55F7C3" w14:textId="77777777" w:rsidR="00773A16" w:rsidRDefault="00000000">
      <w:r>
        <w:t xml:space="preserve">Fostering a more efficient </w:t>
      </w:r>
      <w:proofErr w:type="spellStart"/>
      <w:r>
        <w:t>organisation</w:t>
      </w:r>
      <w:proofErr w:type="spellEnd"/>
      <w:r>
        <w:t xml:space="preserve"> through operational restructuring, such as technological innovation resulting in drastic declines in the number of staff members, has positively influenced efficiency at the expense of employee morale and the </w:t>
      </w:r>
      <w:proofErr w:type="spellStart"/>
      <w:r>
        <w:t>organisational</w:t>
      </w:r>
      <w:proofErr w:type="spellEnd"/>
      <w:r>
        <w:t xml:space="preserve"> culture (</w:t>
      </w:r>
      <w:proofErr w:type="spellStart"/>
      <w:r>
        <w:t>Mouazen</w:t>
      </w:r>
      <w:proofErr w:type="spellEnd"/>
      <w:r>
        <w:t xml:space="preserve"> </w:t>
      </w:r>
      <w:r>
        <w:rPr>
          <w:i/>
          <w:iCs/>
        </w:rPr>
        <w:t>et al.</w:t>
      </w:r>
      <w:r>
        <w:t xml:space="preserve">, 2024). With productivity improvements being </w:t>
      </w:r>
      <w:proofErr w:type="spellStart"/>
      <w:r>
        <w:t>realised</w:t>
      </w:r>
      <w:proofErr w:type="spellEnd"/>
      <w:r>
        <w:t>, the social aspects of changes pose tensions with the company's CSR commitments. On the whole, Unilever has been a strategic change agent, yet the complexity of structures and lack of accountability limit its efficiency. A better central coordination, transparency of performance metrics and homogenous execution on a global basis are needed to execute strategic aims in totality to maintain competitive advantage.</w:t>
      </w:r>
    </w:p>
    <w:p w14:paraId="690EE85A" w14:textId="77777777" w:rsidR="00773A16" w:rsidRDefault="00000000">
      <w:pPr>
        <w:pStyle w:val="Heading2"/>
      </w:pPr>
      <w:bookmarkStart w:id="39" w:name="_duka4lmnmy4h" w:colFirst="0" w:colLast="0"/>
      <w:bookmarkStart w:id="40" w:name="_Toc228287929"/>
      <w:bookmarkEnd w:id="39"/>
      <w:r>
        <w:lastRenderedPageBreak/>
        <w:t>6. Strategic Evaluation and Recommendations</w:t>
      </w:r>
      <w:bookmarkEnd w:id="40"/>
      <w:r>
        <w:t xml:space="preserve"> </w:t>
      </w:r>
    </w:p>
    <w:p w14:paraId="7BF4AFD7" w14:textId="77777777" w:rsidR="00773A16" w:rsidRDefault="00000000">
      <w:pPr>
        <w:pStyle w:val="Heading3"/>
      </w:pPr>
      <w:bookmarkStart w:id="41" w:name="_r5wqlerwydb3" w:colFirst="0" w:colLast="0"/>
      <w:bookmarkStart w:id="42" w:name="_Toc228287930"/>
      <w:bookmarkEnd w:id="41"/>
      <w:r>
        <w:t>6.1 Strategic Evaluation using SWOT Framework</w:t>
      </w:r>
      <w:bookmarkEnd w:id="42"/>
    </w:p>
    <w:tbl>
      <w:tblPr>
        <w:tblStyle w:val="Style15"/>
        <w:tblW w:w="9405" w:type="dxa"/>
        <w:tblInd w:w="0" w:type="dxa"/>
        <w:tblLayout w:type="fixed"/>
        <w:tblLook w:val="04A0" w:firstRow="1" w:lastRow="0" w:firstColumn="1" w:lastColumn="0" w:noHBand="0" w:noVBand="1"/>
      </w:tblPr>
      <w:tblGrid>
        <w:gridCol w:w="1860"/>
        <w:gridCol w:w="7545"/>
      </w:tblGrid>
      <w:tr w:rsidR="00773A16" w14:paraId="6E999B0F" w14:textId="77777777">
        <w:trPr>
          <w:trHeight w:val="585"/>
        </w:trPr>
        <w:tc>
          <w:tcPr>
            <w:tcW w:w="1860" w:type="dxa"/>
            <w:tcBorders>
              <w:top w:val="single" w:sz="8" w:space="0" w:color="000000"/>
              <w:left w:val="single" w:sz="8" w:space="0" w:color="000000"/>
              <w:bottom w:val="single" w:sz="8" w:space="0" w:color="000000"/>
              <w:right w:val="single" w:sz="8" w:space="0" w:color="000000"/>
            </w:tcBorders>
            <w:shd w:val="clear" w:color="auto" w:fill="CCCCCC"/>
            <w:tcMar>
              <w:top w:w="0" w:type="dxa"/>
              <w:left w:w="100" w:type="dxa"/>
              <w:bottom w:w="0" w:type="dxa"/>
              <w:right w:w="100" w:type="dxa"/>
            </w:tcMar>
          </w:tcPr>
          <w:p w14:paraId="750AC190" w14:textId="77777777" w:rsidR="00773A16" w:rsidRDefault="00000000">
            <w:pPr>
              <w:spacing w:after="200"/>
              <w:jc w:val="center"/>
              <w:rPr>
                <w:b/>
                <w:bCs/>
              </w:rPr>
            </w:pPr>
            <w:r>
              <w:rPr>
                <w:b/>
                <w:bCs/>
              </w:rPr>
              <w:t>SWOT Element</w:t>
            </w:r>
          </w:p>
        </w:tc>
        <w:tc>
          <w:tcPr>
            <w:tcW w:w="7545" w:type="dxa"/>
            <w:tcBorders>
              <w:top w:val="single" w:sz="8" w:space="0" w:color="000000"/>
              <w:left w:val="nil"/>
              <w:bottom w:val="single" w:sz="8" w:space="0" w:color="000000"/>
              <w:right w:val="single" w:sz="8" w:space="0" w:color="000000"/>
            </w:tcBorders>
            <w:shd w:val="clear" w:color="auto" w:fill="CCCCCC"/>
            <w:tcMar>
              <w:top w:w="0" w:type="dxa"/>
              <w:left w:w="100" w:type="dxa"/>
              <w:bottom w:w="0" w:type="dxa"/>
              <w:right w:w="100" w:type="dxa"/>
            </w:tcMar>
          </w:tcPr>
          <w:p w14:paraId="38B0B842" w14:textId="77777777" w:rsidR="00773A16" w:rsidRDefault="00000000">
            <w:pPr>
              <w:spacing w:after="200"/>
              <w:jc w:val="center"/>
              <w:rPr>
                <w:b/>
                <w:bCs/>
              </w:rPr>
            </w:pPr>
            <w:r>
              <w:rPr>
                <w:b/>
                <w:bCs/>
              </w:rPr>
              <w:t>Critical Evaluation</w:t>
            </w:r>
          </w:p>
        </w:tc>
      </w:tr>
      <w:tr w:rsidR="00773A16" w14:paraId="3C956EF2" w14:textId="77777777">
        <w:trPr>
          <w:trHeight w:val="585"/>
        </w:trPr>
        <w:tc>
          <w:tcPr>
            <w:tcW w:w="1860" w:type="dxa"/>
            <w:tcBorders>
              <w:top w:val="nil"/>
              <w:left w:val="single" w:sz="8" w:space="0" w:color="000000"/>
              <w:bottom w:val="single" w:sz="8" w:space="0" w:color="000000"/>
              <w:right w:val="single" w:sz="8" w:space="0" w:color="000000"/>
            </w:tcBorders>
            <w:shd w:val="clear" w:color="auto" w:fill="CFE2F3"/>
            <w:tcMar>
              <w:top w:w="0" w:type="dxa"/>
              <w:left w:w="100" w:type="dxa"/>
              <w:bottom w:w="0" w:type="dxa"/>
              <w:right w:w="100" w:type="dxa"/>
            </w:tcMar>
          </w:tcPr>
          <w:p w14:paraId="15DE7B8C" w14:textId="77777777" w:rsidR="00773A16" w:rsidRDefault="00000000">
            <w:pPr>
              <w:spacing w:after="200"/>
              <w:jc w:val="center"/>
              <w:rPr>
                <w:b/>
                <w:bCs/>
                <w:i/>
                <w:iCs/>
              </w:rPr>
            </w:pPr>
            <w:r>
              <w:rPr>
                <w:b/>
                <w:bCs/>
                <w:i/>
                <w:iCs/>
              </w:rPr>
              <w:t>Strengths</w:t>
            </w:r>
          </w:p>
        </w:tc>
        <w:tc>
          <w:tcPr>
            <w:tcW w:w="7545" w:type="dxa"/>
            <w:tcBorders>
              <w:top w:val="nil"/>
              <w:left w:val="nil"/>
              <w:bottom w:val="single" w:sz="8" w:space="0" w:color="000000"/>
              <w:right w:val="single" w:sz="8" w:space="0" w:color="000000"/>
            </w:tcBorders>
            <w:tcMar>
              <w:top w:w="0" w:type="dxa"/>
              <w:left w:w="100" w:type="dxa"/>
              <w:bottom w:w="0" w:type="dxa"/>
              <w:right w:w="100" w:type="dxa"/>
            </w:tcMar>
          </w:tcPr>
          <w:p w14:paraId="13366F52" w14:textId="77777777" w:rsidR="00773A16" w:rsidRDefault="00000000">
            <w:pPr>
              <w:numPr>
                <w:ilvl w:val="0"/>
                <w:numId w:val="1"/>
              </w:numPr>
            </w:pPr>
            <w:r>
              <w:t xml:space="preserve">Unilever has robust global brands and a widespread network of distribution, which aids the penetration of the market and broad reach. </w:t>
            </w:r>
          </w:p>
          <w:p w14:paraId="2A595EE1" w14:textId="77777777" w:rsidR="00773A16" w:rsidRDefault="00000000">
            <w:pPr>
              <w:numPr>
                <w:ilvl w:val="0"/>
                <w:numId w:val="1"/>
              </w:numPr>
            </w:pPr>
            <w:r>
              <w:t xml:space="preserve">The fact that it incorporates sustainability in its operations boosts brand equity and corresponds with expectations of the stakeholders (Yang, 2023). </w:t>
            </w:r>
          </w:p>
          <w:p w14:paraId="41999928" w14:textId="77777777" w:rsidR="00773A16" w:rsidRDefault="00000000">
            <w:pPr>
              <w:numPr>
                <w:ilvl w:val="0"/>
                <w:numId w:val="1"/>
              </w:numPr>
              <w:spacing w:after="200"/>
            </w:pPr>
            <w:r>
              <w:t xml:space="preserve">Nevertheless, dependence on old brands could limit nimbleness in fast-changing consumer markets. </w:t>
            </w:r>
          </w:p>
        </w:tc>
      </w:tr>
      <w:tr w:rsidR="00773A16" w14:paraId="15F976FE" w14:textId="77777777">
        <w:trPr>
          <w:trHeight w:val="585"/>
        </w:trPr>
        <w:tc>
          <w:tcPr>
            <w:tcW w:w="1860" w:type="dxa"/>
            <w:tcBorders>
              <w:top w:val="nil"/>
              <w:left w:val="single" w:sz="8" w:space="0" w:color="000000"/>
              <w:bottom w:val="single" w:sz="8" w:space="0" w:color="000000"/>
              <w:right w:val="single" w:sz="8" w:space="0" w:color="000000"/>
            </w:tcBorders>
            <w:shd w:val="clear" w:color="auto" w:fill="CFE2F3"/>
            <w:tcMar>
              <w:top w:w="0" w:type="dxa"/>
              <w:left w:w="100" w:type="dxa"/>
              <w:bottom w:w="0" w:type="dxa"/>
              <w:right w:w="100" w:type="dxa"/>
            </w:tcMar>
          </w:tcPr>
          <w:p w14:paraId="4BCE0478" w14:textId="77777777" w:rsidR="00773A16" w:rsidRDefault="00000000">
            <w:pPr>
              <w:spacing w:after="200"/>
              <w:jc w:val="center"/>
              <w:rPr>
                <w:b/>
                <w:bCs/>
                <w:i/>
                <w:iCs/>
              </w:rPr>
            </w:pPr>
            <w:r>
              <w:rPr>
                <w:b/>
                <w:bCs/>
                <w:i/>
                <w:iCs/>
              </w:rPr>
              <w:t>Weaknesses</w:t>
            </w:r>
          </w:p>
        </w:tc>
        <w:tc>
          <w:tcPr>
            <w:tcW w:w="7545" w:type="dxa"/>
            <w:tcBorders>
              <w:top w:val="nil"/>
              <w:left w:val="nil"/>
              <w:bottom w:val="single" w:sz="8" w:space="0" w:color="000000"/>
              <w:right w:val="single" w:sz="8" w:space="0" w:color="000000"/>
            </w:tcBorders>
            <w:shd w:val="clear" w:color="auto" w:fill="FFF2CC"/>
            <w:tcMar>
              <w:top w:w="0" w:type="dxa"/>
              <w:left w:w="100" w:type="dxa"/>
              <w:bottom w:w="0" w:type="dxa"/>
              <w:right w:w="100" w:type="dxa"/>
            </w:tcMar>
          </w:tcPr>
          <w:p w14:paraId="398E3F2B" w14:textId="77777777" w:rsidR="00773A16" w:rsidRDefault="00000000">
            <w:pPr>
              <w:numPr>
                <w:ilvl w:val="0"/>
                <w:numId w:val="2"/>
              </w:numPr>
            </w:pPr>
            <w:r>
              <w:t xml:space="preserve">The </w:t>
            </w:r>
            <w:proofErr w:type="spellStart"/>
            <w:r>
              <w:t>decentralised</w:t>
            </w:r>
            <w:proofErr w:type="spellEnd"/>
            <w:r>
              <w:t xml:space="preserve"> </w:t>
            </w:r>
            <w:proofErr w:type="spellStart"/>
            <w:r>
              <w:t>organisational</w:t>
            </w:r>
            <w:proofErr w:type="spellEnd"/>
            <w:r>
              <w:t xml:space="preserve"> structure brings about irregularities in strategic implementation in regions, hence restricting operational effectiveness. </w:t>
            </w:r>
          </w:p>
          <w:p w14:paraId="211A2AB7" w14:textId="77777777" w:rsidR="00773A16" w:rsidRDefault="00000000">
            <w:pPr>
              <w:numPr>
                <w:ilvl w:val="0"/>
                <w:numId w:val="2"/>
              </w:numPr>
            </w:pPr>
            <w:r>
              <w:t xml:space="preserve">Moreover, reliance on the self-evaluated CSR models decreases transparency and undermines third-party credibility (Boateng </w:t>
            </w:r>
            <w:r>
              <w:rPr>
                <w:i/>
                <w:iCs/>
              </w:rPr>
              <w:t>et al.</w:t>
            </w:r>
            <w:r>
              <w:t xml:space="preserve">, 2025). </w:t>
            </w:r>
          </w:p>
          <w:p w14:paraId="03E57D02" w14:textId="77777777" w:rsidR="00773A16" w:rsidRDefault="00000000">
            <w:pPr>
              <w:numPr>
                <w:ilvl w:val="0"/>
                <w:numId w:val="2"/>
              </w:numPr>
              <w:spacing w:after="200"/>
            </w:pPr>
            <w:r>
              <w:t>Large complexities in its operation are also costly and slow down the decision-making processes.</w:t>
            </w:r>
          </w:p>
        </w:tc>
      </w:tr>
      <w:tr w:rsidR="00773A16" w14:paraId="1D5CA0EF" w14:textId="77777777">
        <w:trPr>
          <w:trHeight w:val="585"/>
        </w:trPr>
        <w:tc>
          <w:tcPr>
            <w:tcW w:w="1860" w:type="dxa"/>
            <w:tcBorders>
              <w:top w:val="nil"/>
              <w:left w:val="single" w:sz="8" w:space="0" w:color="000000"/>
              <w:bottom w:val="single" w:sz="8" w:space="0" w:color="000000"/>
              <w:right w:val="single" w:sz="8" w:space="0" w:color="000000"/>
            </w:tcBorders>
            <w:shd w:val="clear" w:color="auto" w:fill="CFE2F3"/>
            <w:tcMar>
              <w:top w:w="0" w:type="dxa"/>
              <w:left w:w="100" w:type="dxa"/>
              <w:bottom w:w="0" w:type="dxa"/>
              <w:right w:w="100" w:type="dxa"/>
            </w:tcMar>
          </w:tcPr>
          <w:p w14:paraId="1E56A9C5" w14:textId="77777777" w:rsidR="00773A16" w:rsidRDefault="00000000">
            <w:pPr>
              <w:spacing w:after="200"/>
              <w:jc w:val="center"/>
              <w:rPr>
                <w:b/>
                <w:bCs/>
                <w:i/>
                <w:iCs/>
              </w:rPr>
            </w:pPr>
            <w:r>
              <w:rPr>
                <w:b/>
                <w:bCs/>
                <w:i/>
                <w:iCs/>
              </w:rPr>
              <w:t>Opportunities</w:t>
            </w:r>
          </w:p>
        </w:tc>
        <w:tc>
          <w:tcPr>
            <w:tcW w:w="7545" w:type="dxa"/>
            <w:tcBorders>
              <w:top w:val="nil"/>
              <w:left w:val="nil"/>
              <w:bottom w:val="single" w:sz="8" w:space="0" w:color="000000"/>
              <w:right w:val="single" w:sz="8" w:space="0" w:color="000000"/>
            </w:tcBorders>
            <w:tcMar>
              <w:top w:w="0" w:type="dxa"/>
              <w:left w:w="100" w:type="dxa"/>
              <w:bottom w:w="0" w:type="dxa"/>
              <w:right w:w="100" w:type="dxa"/>
            </w:tcMar>
          </w:tcPr>
          <w:p w14:paraId="7DBBA695" w14:textId="77777777" w:rsidR="00773A16" w:rsidRDefault="00000000">
            <w:pPr>
              <w:numPr>
                <w:ilvl w:val="0"/>
                <w:numId w:val="3"/>
              </w:numPr>
            </w:pPr>
            <w:r>
              <w:t xml:space="preserve">The increase in the need for sustainable and ethical products is an opportunity to differentiate and use higher-pricing strategies. </w:t>
            </w:r>
          </w:p>
          <w:p w14:paraId="22F28EED" w14:textId="77777777" w:rsidR="00773A16" w:rsidRDefault="00000000">
            <w:pPr>
              <w:numPr>
                <w:ilvl w:val="0"/>
                <w:numId w:val="3"/>
              </w:numPr>
            </w:pPr>
            <w:r>
              <w:t xml:space="preserve">Growth in the developing markets will provide the potential for expansion in revenue, as the disposable wealth increases and </w:t>
            </w:r>
            <w:proofErr w:type="spellStart"/>
            <w:r>
              <w:t>urbanisation</w:t>
            </w:r>
            <w:proofErr w:type="spellEnd"/>
            <w:r>
              <w:t xml:space="preserve"> is on the increase (Farag, 2025). </w:t>
            </w:r>
          </w:p>
          <w:p w14:paraId="4E61EA0C" w14:textId="77777777" w:rsidR="00773A16" w:rsidRDefault="00000000">
            <w:pPr>
              <w:numPr>
                <w:ilvl w:val="0"/>
                <w:numId w:val="3"/>
              </w:numPr>
              <w:spacing w:after="200"/>
            </w:pPr>
            <w:r>
              <w:t xml:space="preserve">Digital transformation can also be used as an opportunity to improve consumer engagement and supply chain efficiency. </w:t>
            </w:r>
          </w:p>
        </w:tc>
      </w:tr>
      <w:tr w:rsidR="00773A16" w14:paraId="6E93D4A9" w14:textId="77777777">
        <w:trPr>
          <w:trHeight w:val="585"/>
        </w:trPr>
        <w:tc>
          <w:tcPr>
            <w:tcW w:w="1860" w:type="dxa"/>
            <w:tcBorders>
              <w:top w:val="nil"/>
              <w:left w:val="single" w:sz="8" w:space="0" w:color="000000"/>
              <w:bottom w:val="single" w:sz="8" w:space="0" w:color="000000"/>
              <w:right w:val="single" w:sz="8" w:space="0" w:color="000000"/>
            </w:tcBorders>
            <w:shd w:val="clear" w:color="auto" w:fill="CFE2F3"/>
            <w:tcMar>
              <w:top w:w="0" w:type="dxa"/>
              <w:left w:w="100" w:type="dxa"/>
              <w:bottom w:w="0" w:type="dxa"/>
              <w:right w:w="100" w:type="dxa"/>
            </w:tcMar>
          </w:tcPr>
          <w:p w14:paraId="0596AABF" w14:textId="77777777" w:rsidR="00773A16" w:rsidRDefault="00000000">
            <w:pPr>
              <w:spacing w:after="200"/>
              <w:jc w:val="center"/>
              <w:rPr>
                <w:b/>
                <w:bCs/>
                <w:i/>
                <w:iCs/>
              </w:rPr>
            </w:pPr>
            <w:r>
              <w:rPr>
                <w:b/>
                <w:bCs/>
                <w:i/>
                <w:iCs/>
              </w:rPr>
              <w:lastRenderedPageBreak/>
              <w:t>Threats</w:t>
            </w:r>
          </w:p>
        </w:tc>
        <w:tc>
          <w:tcPr>
            <w:tcW w:w="7545" w:type="dxa"/>
            <w:tcBorders>
              <w:top w:val="nil"/>
              <w:left w:val="nil"/>
              <w:bottom w:val="single" w:sz="8" w:space="0" w:color="000000"/>
              <w:right w:val="single" w:sz="8" w:space="0" w:color="000000"/>
            </w:tcBorders>
            <w:shd w:val="clear" w:color="auto" w:fill="FFF2CC"/>
            <w:tcMar>
              <w:top w:w="0" w:type="dxa"/>
              <w:left w:w="100" w:type="dxa"/>
              <w:bottom w:w="0" w:type="dxa"/>
              <w:right w:w="100" w:type="dxa"/>
            </w:tcMar>
          </w:tcPr>
          <w:p w14:paraId="00212487" w14:textId="77777777" w:rsidR="00773A16" w:rsidRDefault="00000000">
            <w:pPr>
              <w:numPr>
                <w:ilvl w:val="0"/>
                <w:numId w:val="4"/>
              </w:numPr>
            </w:pPr>
            <w:r>
              <w:t xml:space="preserve">The high rivalry between international and domestic </w:t>
            </w:r>
            <w:proofErr w:type="gramStart"/>
            <w:r>
              <w:t>companies</w:t>
            </w:r>
            <w:proofErr w:type="gramEnd"/>
            <w:r>
              <w:t xml:space="preserve"> strains margins and market share, especially in price-sensitive areas. </w:t>
            </w:r>
          </w:p>
          <w:p w14:paraId="1282F8EE" w14:textId="77777777" w:rsidR="00773A16" w:rsidRDefault="00000000">
            <w:pPr>
              <w:numPr>
                <w:ilvl w:val="0"/>
                <w:numId w:val="4"/>
              </w:numPr>
            </w:pPr>
            <w:r>
              <w:t xml:space="preserve">Inconsistency in the cost of raw materials and regulatory measures associated with sustainability augment operational risks (Hartono, 2025). </w:t>
            </w:r>
          </w:p>
          <w:p w14:paraId="45948A8B" w14:textId="77777777" w:rsidR="00773A16" w:rsidRDefault="00000000">
            <w:pPr>
              <w:numPr>
                <w:ilvl w:val="0"/>
                <w:numId w:val="4"/>
              </w:numPr>
              <w:spacing w:after="200"/>
            </w:pPr>
            <w:r>
              <w:t xml:space="preserve">Moreover, supply chain reputational risks may compromise stakeholder trust and position in the long run. </w:t>
            </w:r>
          </w:p>
        </w:tc>
      </w:tr>
    </w:tbl>
    <w:p w14:paraId="38524577" w14:textId="77777777" w:rsidR="00773A16" w:rsidRDefault="00773A16">
      <w:pPr>
        <w:jc w:val="center"/>
      </w:pPr>
    </w:p>
    <w:p w14:paraId="473FB9A0" w14:textId="77777777" w:rsidR="00773A16" w:rsidRDefault="00000000">
      <w:pPr>
        <w:jc w:val="center"/>
        <w:rPr>
          <w:b/>
          <w:bCs/>
        </w:rPr>
      </w:pPr>
      <w:r>
        <w:rPr>
          <w:b/>
          <w:bCs/>
        </w:rPr>
        <w:t>Table 4: SWOT Analysis</w:t>
      </w:r>
    </w:p>
    <w:p w14:paraId="72C10F55" w14:textId="77777777" w:rsidR="00773A16" w:rsidRDefault="00000000">
      <w:pPr>
        <w:jc w:val="center"/>
      </w:pPr>
      <w:r>
        <w:t>(Source: Created by the learner)</w:t>
      </w:r>
    </w:p>
    <w:p w14:paraId="73761268" w14:textId="77777777" w:rsidR="00773A16" w:rsidRDefault="00000000">
      <w:r>
        <w:t>The SWOT analysis reveals that Unilever has broadly a strategy aligned to differentiation and sustainability goals, but structural inefficiency and external pressures limit the effectiveness of the strategy.</w:t>
      </w:r>
    </w:p>
    <w:p w14:paraId="13AD1A97" w14:textId="77777777" w:rsidR="00773A16" w:rsidRDefault="00000000">
      <w:pPr>
        <w:pStyle w:val="Heading3"/>
      </w:pPr>
      <w:bookmarkStart w:id="43" w:name="_qul9p0fpspga" w:colFirst="0" w:colLast="0"/>
      <w:bookmarkStart w:id="44" w:name="_Toc228287931"/>
      <w:bookmarkEnd w:id="43"/>
      <w:r>
        <w:t>6.2 Strategic Recommendations</w:t>
      </w:r>
      <w:bookmarkEnd w:id="44"/>
    </w:p>
    <w:p w14:paraId="72E1E19A" w14:textId="77777777" w:rsidR="00773A16" w:rsidRDefault="00000000">
      <w:pPr>
        <w:numPr>
          <w:ilvl w:val="0"/>
          <w:numId w:val="5"/>
        </w:numPr>
        <w:rPr>
          <w:b/>
          <w:bCs/>
        </w:rPr>
      </w:pPr>
      <w:r>
        <w:rPr>
          <w:b/>
          <w:bCs/>
        </w:rPr>
        <w:t xml:space="preserve">Improving </w:t>
      </w:r>
      <w:proofErr w:type="spellStart"/>
      <w:r>
        <w:rPr>
          <w:b/>
          <w:bCs/>
        </w:rPr>
        <w:t>Standardisation</w:t>
      </w:r>
      <w:proofErr w:type="spellEnd"/>
      <w:r>
        <w:rPr>
          <w:b/>
          <w:bCs/>
        </w:rPr>
        <w:t xml:space="preserve"> and </w:t>
      </w:r>
      <w:proofErr w:type="spellStart"/>
      <w:r>
        <w:rPr>
          <w:b/>
          <w:bCs/>
        </w:rPr>
        <w:t>Globalisation</w:t>
      </w:r>
      <w:proofErr w:type="spellEnd"/>
    </w:p>
    <w:p w14:paraId="5E98CD79" w14:textId="77777777" w:rsidR="00773A16" w:rsidRDefault="00000000">
      <w:r>
        <w:t xml:space="preserve">In order to </w:t>
      </w:r>
      <w:proofErr w:type="spellStart"/>
      <w:r>
        <w:t>minimise</w:t>
      </w:r>
      <w:proofErr w:type="spellEnd"/>
      <w:r>
        <w:t xml:space="preserve"> fragmentation of operations in different regions, Unilever needs to enhance </w:t>
      </w:r>
      <w:proofErr w:type="spellStart"/>
      <w:r>
        <w:t>centralised</w:t>
      </w:r>
      <w:proofErr w:type="spellEnd"/>
      <w:r>
        <w:t xml:space="preserve"> coordination mechanisms. Given </w:t>
      </w:r>
      <w:r>
        <w:rPr>
          <w:b/>
          <w:bCs/>
          <w:i/>
          <w:iCs/>
        </w:rPr>
        <w:t>Porter’s Generic Strategies</w:t>
      </w:r>
      <w:r>
        <w:t xml:space="preserve">, the differentiation advantage must be maintained by consistent performance (Dixit, 2024). As evidenced by companies like </w:t>
      </w:r>
      <w:r>
        <w:rPr>
          <w:b/>
          <w:bCs/>
          <w:i/>
          <w:iCs/>
        </w:rPr>
        <w:t>Procter and Gamble</w:t>
      </w:r>
      <w:r>
        <w:t xml:space="preserve">, global </w:t>
      </w:r>
      <w:proofErr w:type="spellStart"/>
      <w:r>
        <w:t>standardisation</w:t>
      </w:r>
      <w:proofErr w:type="spellEnd"/>
      <w:r>
        <w:t xml:space="preserve"> enhances efficiency and does not compromise brand consistency. This strategy would </w:t>
      </w:r>
      <w:proofErr w:type="spellStart"/>
      <w:r>
        <w:t>minimise</w:t>
      </w:r>
      <w:proofErr w:type="spellEnd"/>
      <w:r>
        <w:t xml:space="preserve"> the duplication of resources and enhance the strategic alignment across markets.</w:t>
      </w:r>
    </w:p>
    <w:p w14:paraId="270F96F7" w14:textId="77777777" w:rsidR="00773A16" w:rsidRDefault="00000000">
      <w:pPr>
        <w:numPr>
          <w:ilvl w:val="0"/>
          <w:numId w:val="6"/>
        </w:numPr>
        <w:rPr>
          <w:b/>
          <w:bCs/>
        </w:rPr>
      </w:pPr>
      <w:r>
        <w:rPr>
          <w:b/>
          <w:bCs/>
        </w:rPr>
        <w:t>Accelerating Data-Driven Strategy and Digital Transformation</w:t>
      </w:r>
    </w:p>
    <w:p w14:paraId="1C1F4CD0" w14:textId="77777777" w:rsidR="00773A16" w:rsidRDefault="00000000">
      <w:r>
        <w:t xml:space="preserve">The </w:t>
      </w:r>
      <w:proofErr w:type="spellStart"/>
      <w:r>
        <w:t>organisation</w:t>
      </w:r>
      <w:proofErr w:type="spellEnd"/>
      <w:r>
        <w:t xml:space="preserve"> ought to invest more in the digital capabilities that will improve consumer insights and efficiency in its operations. The </w:t>
      </w:r>
      <w:r>
        <w:rPr>
          <w:b/>
          <w:bCs/>
          <w:i/>
          <w:iCs/>
        </w:rPr>
        <w:t xml:space="preserve">Resource-Based View (RBV) </w:t>
      </w:r>
      <w:r>
        <w:t xml:space="preserve">indicates that data analytics capabilities may become an imitable and valuable resource (Kariv </w:t>
      </w:r>
      <w:r>
        <w:rPr>
          <w:i/>
          <w:iCs/>
        </w:rPr>
        <w:t>et al.</w:t>
      </w:r>
      <w:r>
        <w:t xml:space="preserve">, 2024). As an example, </w:t>
      </w:r>
      <w:r>
        <w:rPr>
          <w:b/>
          <w:bCs/>
          <w:i/>
          <w:iCs/>
        </w:rPr>
        <w:t>Nestlé</w:t>
      </w:r>
      <w:r>
        <w:t xml:space="preserve"> uses digital tools to perfect supply chains and </w:t>
      </w:r>
      <w:proofErr w:type="spellStart"/>
      <w:r>
        <w:t>customise</w:t>
      </w:r>
      <w:proofErr w:type="spellEnd"/>
      <w:r>
        <w:t xml:space="preserve"> marketing promotions. This would help Unilever to react better to the evolving consumer preferences.</w:t>
      </w:r>
    </w:p>
    <w:p w14:paraId="77D27B2F" w14:textId="77777777" w:rsidR="00773A16" w:rsidRDefault="00000000">
      <w:pPr>
        <w:numPr>
          <w:ilvl w:val="0"/>
          <w:numId w:val="7"/>
        </w:numPr>
        <w:rPr>
          <w:b/>
          <w:bCs/>
        </w:rPr>
      </w:pPr>
      <w:r>
        <w:rPr>
          <w:b/>
          <w:bCs/>
        </w:rPr>
        <w:t>Empowering Supply Chain Visibility and Responsibility</w:t>
      </w:r>
    </w:p>
    <w:p w14:paraId="60CCC00B" w14:textId="77777777" w:rsidR="00773A16" w:rsidRDefault="00000000">
      <w:r>
        <w:lastRenderedPageBreak/>
        <w:t xml:space="preserve">Unilever needs to incorporate independent auditing systems in its chain of values to enhance the credibility of CSR. </w:t>
      </w:r>
      <w:r>
        <w:rPr>
          <w:b/>
          <w:bCs/>
          <w:i/>
          <w:iCs/>
        </w:rPr>
        <w:t>Stakeholder Theory</w:t>
      </w:r>
      <w:r>
        <w:t xml:space="preserve"> </w:t>
      </w:r>
      <w:proofErr w:type="spellStart"/>
      <w:r>
        <w:t>emphasises</w:t>
      </w:r>
      <w:proofErr w:type="spellEnd"/>
      <w:r>
        <w:t xml:space="preserve"> the roles of trust and accountability in ensuring legitimacy (Mahajan et al., 2023). Companies like </w:t>
      </w:r>
      <w:r>
        <w:rPr>
          <w:b/>
          <w:bCs/>
          <w:i/>
          <w:iCs/>
        </w:rPr>
        <w:t>Patagonia</w:t>
      </w:r>
      <w:r>
        <w:t xml:space="preserve"> have increased their brand loyalty with the transparency of supply chain practices. This would help reduce reputational risks and strengthen sustainability positioning by Unilever.</w:t>
      </w:r>
    </w:p>
    <w:p w14:paraId="29F05D82" w14:textId="77777777" w:rsidR="00773A16" w:rsidRDefault="00000000">
      <w:pPr>
        <w:numPr>
          <w:ilvl w:val="0"/>
          <w:numId w:val="8"/>
        </w:numPr>
        <w:rPr>
          <w:b/>
          <w:bCs/>
        </w:rPr>
      </w:pPr>
      <w:r>
        <w:rPr>
          <w:b/>
          <w:bCs/>
        </w:rPr>
        <w:t>Dwelling on the High-Growth Sustainable Product Segments</w:t>
      </w:r>
    </w:p>
    <w:p w14:paraId="05401334" w14:textId="77777777" w:rsidR="00773A16" w:rsidRDefault="00000000">
      <w:r>
        <w:t xml:space="preserve">Investment in sustainable and premium product categories should be given priority by the company in order to better the profitability. The Matrix process proposed by </w:t>
      </w:r>
      <w:r>
        <w:rPr>
          <w:b/>
          <w:bCs/>
          <w:i/>
          <w:iCs/>
        </w:rPr>
        <w:t>Ansoff</w:t>
      </w:r>
      <w:r>
        <w:t xml:space="preserve"> aids in product development in the current markets, thus leading to growth (Zugay &amp; Zakaria, 2023). </w:t>
      </w:r>
      <w:r>
        <w:rPr>
          <w:b/>
          <w:bCs/>
          <w:i/>
          <w:iCs/>
        </w:rPr>
        <w:t>Danone</w:t>
      </w:r>
      <w:r>
        <w:t xml:space="preserve"> has managed to grow in health-targeted markets, gaining high market differentiation. This would enable Unilever to be able to exploit the changing consumer demand and still stay competitive.</w:t>
      </w:r>
    </w:p>
    <w:p w14:paraId="062D769B" w14:textId="77777777" w:rsidR="00773A16" w:rsidRDefault="00000000">
      <w:pPr>
        <w:pStyle w:val="Heading3"/>
      </w:pPr>
      <w:bookmarkStart w:id="45" w:name="_1b9z684q9nl2" w:colFirst="0" w:colLast="0"/>
      <w:bookmarkStart w:id="46" w:name="_Toc228287932"/>
      <w:bookmarkEnd w:id="45"/>
      <w:r>
        <w:t>6.3 Justification of Recommendations</w:t>
      </w:r>
      <w:bookmarkEnd w:id="46"/>
    </w:p>
    <w:p w14:paraId="192BBB14" w14:textId="77777777" w:rsidR="00773A16" w:rsidRDefault="00000000">
      <w:r>
        <w:t>The recommendations are in accordance with past strategic management theories and industry practices. In order to improve the internal inefficiencies detected through the SWOT analysis, the integration will increase the resource capabilities proposed through RBV, and the digital transformation will help in strengthening the resource capabilities (</w:t>
      </w:r>
      <w:proofErr w:type="spellStart"/>
      <w:r>
        <w:t>Zupic</w:t>
      </w:r>
      <w:proofErr w:type="spellEnd"/>
      <w:r>
        <w:t xml:space="preserve"> et al., 2025). Enhanced supply chain responsibility contributes to stakeholder engagement and the </w:t>
      </w:r>
      <w:proofErr w:type="spellStart"/>
      <w:r>
        <w:t>minimisation</w:t>
      </w:r>
      <w:proofErr w:type="spellEnd"/>
      <w:r>
        <w:t xml:space="preserve"> of external risks directly. Lastly, emphasis on sustainable product innovations strengthens the differentiation approach, which will guarantee long-term value-generation in competitive global markets.</w:t>
      </w:r>
    </w:p>
    <w:p w14:paraId="3DB4AC88" w14:textId="77777777" w:rsidR="00773A16" w:rsidRDefault="00773A16"/>
    <w:p w14:paraId="574BB512" w14:textId="77777777" w:rsidR="00773A16" w:rsidRDefault="00000000">
      <w:pPr>
        <w:pStyle w:val="Heading1"/>
      </w:pPr>
      <w:bookmarkStart w:id="47" w:name="_6xfomd35ez93" w:colFirst="0" w:colLast="0"/>
      <w:bookmarkEnd w:id="47"/>
      <w:r>
        <w:br w:type="page"/>
      </w:r>
    </w:p>
    <w:p w14:paraId="0E6E6150" w14:textId="77777777" w:rsidR="00773A16" w:rsidRDefault="00000000">
      <w:pPr>
        <w:pStyle w:val="Heading1"/>
      </w:pPr>
      <w:bookmarkStart w:id="48" w:name="_ooxkkqnaj549" w:colFirst="0" w:colLast="0"/>
      <w:bookmarkStart w:id="49" w:name="_Toc228287933"/>
      <w:bookmarkEnd w:id="48"/>
      <w:r>
        <w:lastRenderedPageBreak/>
        <w:t>Section 2: Reflection using Gibbs</w:t>
      </w:r>
      <w:bookmarkEnd w:id="49"/>
    </w:p>
    <w:p w14:paraId="3B97F183" w14:textId="77777777" w:rsidR="00773A16" w:rsidRDefault="00000000">
      <w:pPr>
        <w:rPr>
          <w:b/>
          <w:bCs/>
          <w:i/>
          <w:iCs/>
        </w:rPr>
      </w:pPr>
      <w:r>
        <w:rPr>
          <w:b/>
          <w:bCs/>
          <w:i/>
          <w:iCs/>
        </w:rPr>
        <w:t>1. Description</w:t>
      </w:r>
    </w:p>
    <w:p w14:paraId="4F18F1F3" w14:textId="77777777" w:rsidR="00773A16" w:rsidRDefault="00000000">
      <w:r>
        <w:t>In this assignment, the critical strategic analysis of Unilever was conducted using the main strategic management approaches like the PESTEL framework, the VRIO framework, the Balanced Scorecard framework, and the SWOT framework. This involved a lot of research on the internal capabilities of Unilever, the new environment, and strategic positioning of the company in the FMCG industry. To be credible and relevant, I collected the data on such sources as academic journals, company reports, and publications in the industry. It was also the task of aligning models with practice, and that is understanding what Unilever does to deploy sustainability and competitive strategies in a worldwide market. The whole procedure was organized on the basis of dividing each part of the assignment into digestible parts and analytically examining each one of the elements then recombining them together into a coherent report.</w:t>
      </w:r>
    </w:p>
    <w:p w14:paraId="0B06DC6F" w14:textId="77777777" w:rsidR="00773A16" w:rsidRDefault="00000000">
      <w:pPr>
        <w:rPr>
          <w:b/>
          <w:bCs/>
          <w:i/>
          <w:iCs/>
        </w:rPr>
      </w:pPr>
      <w:r>
        <w:rPr>
          <w:b/>
          <w:bCs/>
          <w:i/>
          <w:iCs/>
        </w:rPr>
        <w:t>2. Feelings</w:t>
      </w:r>
    </w:p>
    <w:p w14:paraId="21434A0B" w14:textId="77777777" w:rsidR="00773A16" w:rsidRDefault="00000000">
      <w:r>
        <w:t xml:space="preserve">However, when I was starting the assignment, I was sure that I had a theoretical knowledge of strategic management but was unsure of how to put the theories into practice in a large and complicated </w:t>
      </w:r>
      <w:proofErr w:type="spellStart"/>
      <w:r>
        <w:t>organisation</w:t>
      </w:r>
      <w:proofErr w:type="spellEnd"/>
      <w:r>
        <w:t xml:space="preserve"> such as Unilever. The scope of its operation and the presence in the world had made the analysis overwhelming in the first place. But as I went further it became more comfortable to me to work with large deposits of data and extract pertinent strategic insights. Another feeling I had during the process of critically assessing the sustainability initiatives of Unilever, was the challenge as I had to think deeper to be able to differentiate between true strategic advantage and corporate positioning. After the process, I was more confident in my critical, but not descriptive application of theoretical frameworks, which also boosted my academic and analytical strengths.</w:t>
      </w:r>
    </w:p>
    <w:p w14:paraId="2D7C58EC" w14:textId="77777777" w:rsidR="00773A16" w:rsidRDefault="00000000">
      <w:pPr>
        <w:rPr>
          <w:b/>
          <w:bCs/>
          <w:i/>
          <w:iCs/>
        </w:rPr>
      </w:pPr>
      <w:r>
        <w:rPr>
          <w:b/>
          <w:bCs/>
          <w:i/>
          <w:iCs/>
        </w:rPr>
        <w:t>3. Evaluation</w:t>
      </w:r>
    </w:p>
    <w:p w14:paraId="166C0FCF" w14:textId="77777777" w:rsidR="00773A16" w:rsidRDefault="00000000">
      <w:r>
        <w:t xml:space="preserve">The ability to utilize strategic frameworks systematically to structure the analysis was one of the strengths of my approach. The use of models like PESTEL and VRIO has helped me to </w:t>
      </w:r>
      <w:proofErr w:type="spellStart"/>
      <w:r>
        <w:t>systematise</w:t>
      </w:r>
      <w:proofErr w:type="spellEnd"/>
      <w:r>
        <w:t xml:space="preserve"> the complicated data and pinpoint strategic concerns as well. Also, the application of the authoritative and current literature enhances the academic value of my work. Nonetheless, the drawbacks were also present. Sometimes, I was often overemphasizing detailing the strategies employed by Unilever instead of critically analyzing them. The other issue was the consistency </w:t>
      </w:r>
      <w:r>
        <w:lastRenderedPageBreak/>
        <w:t>within the various areas and especially when relating the internal capabilities with the outside environmental circumstances. It also needed to manage time as time was of the essence in the scenario of having to do proper research and at the same time, reduce the information in a concise manner within the scope of starting and ending words.</w:t>
      </w:r>
    </w:p>
    <w:p w14:paraId="4AA722E8" w14:textId="77777777" w:rsidR="00773A16" w:rsidRDefault="00000000">
      <w:pPr>
        <w:rPr>
          <w:b/>
          <w:bCs/>
          <w:i/>
          <w:iCs/>
        </w:rPr>
      </w:pPr>
      <w:r>
        <w:rPr>
          <w:b/>
          <w:bCs/>
          <w:i/>
          <w:iCs/>
        </w:rPr>
        <w:t>4. Analysis</w:t>
      </w:r>
    </w:p>
    <w:p w14:paraId="08F30CA8" w14:textId="77777777" w:rsidR="00773A16" w:rsidRDefault="00000000">
      <w:r>
        <w:t xml:space="preserve">The exercise demonstrated the significance of critical thinking in strategic management. The analysis of strategic legacy based on the application of practical frameworks, including VRIO, revealed that not every asset in Unilever would be terms of strategic sustained competitive advantages, and this argument did not correspond to my initial assumptions that big companies are inherently good strategically. On the same note, Balanced Scorecard analysis indicated conflicts between financial goals and sustainability goals, which supports the fact that various priorities are hard to control in global </w:t>
      </w:r>
      <w:proofErr w:type="spellStart"/>
      <w:r>
        <w:t>organisations</w:t>
      </w:r>
      <w:proofErr w:type="spellEnd"/>
      <w:r>
        <w:t xml:space="preserve">. This is in line with scholarly articles, which indicate that companies that are on the pursuit of sustainability strategies have to reconcile the needs of the stakeholders and profits. In addition, by working through different frameworks, I enhanced my synthesis skills with regard to information integration and building a holistic perspective towards the </w:t>
      </w:r>
      <w:proofErr w:type="spellStart"/>
      <w:r>
        <w:t>organisational</w:t>
      </w:r>
      <w:proofErr w:type="spellEnd"/>
      <w:r>
        <w:t xml:space="preserve"> strategy, not a component one.</w:t>
      </w:r>
    </w:p>
    <w:p w14:paraId="6F392B7F" w14:textId="77777777" w:rsidR="00773A16" w:rsidRDefault="00000000">
      <w:pPr>
        <w:rPr>
          <w:b/>
          <w:bCs/>
          <w:i/>
          <w:iCs/>
        </w:rPr>
      </w:pPr>
      <w:r>
        <w:rPr>
          <w:b/>
          <w:bCs/>
          <w:i/>
          <w:iCs/>
        </w:rPr>
        <w:t>5. Conclusion</w:t>
      </w:r>
    </w:p>
    <w:p w14:paraId="7F469640" w14:textId="77777777" w:rsidR="00773A16" w:rsidRDefault="00000000">
      <w:r>
        <w:t xml:space="preserve">In general, this assignment has helped me to learn much about strategic management in practice. I gained better analytical background and especially in terms of application and evaluation of theoretical models in a practical setting. The experience had also enhanced my skills of critically reviewing strategies of the </w:t>
      </w:r>
      <w:proofErr w:type="spellStart"/>
      <w:r>
        <w:t>organisation</w:t>
      </w:r>
      <w:proofErr w:type="spellEnd"/>
      <w:r>
        <w:t xml:space="preserve"> instead of taking them as is. Nevertheless, I understand that my critical review might be efficiently enhanced through the more intensive comparative analysis with competitors and wider involvement in academic discussions. The procedure has proved the need to move past description to justify and evidence-based arguments in postgraduate level writing.</w:t>
      </w:r>
    </w:p>
    <w:p w14:paraId="51FF23D6" w14:textId="77777777" w:rsidR="00773A16" w:rsidRDefault="00000000">
      <w:pPr>
        <w:rPr>
          <w:b/>
          <w:bCs/>
          <w:i/>
          <w:iCs/>
        </w:rPr>
      </w:pPr>
      <w:r>
        <w:rPr>
          <w:b/>
          <w:bCs/>
          <w:i/>
          <w:iCs/>
        </w:rPr>
        <w:t>6. Action Plan</w:t>
      </w:r>
    </w:p>
    <w:p w14:paraId="440EBC0F" w14:textId="77777777" w:rsidR="00773A16" w:rsidRDefault="00000000">
      <w:r>
        <w:t xml:space="preserve">In future tasks, I will be more systematic about critical analysis by clearly connecting each framework to strategic implications and outcomes. I will also better my time management whereby I will set certain time limits to conduct research, analysis, and writing in order to prevent this problem of last-minute rush. I will also </w:t>
      </w:r>
      <w:proofErr w:type="spellStart"/>
      <w:r>
        <w:t>also</w:t>
      </w:r>
      <w:proofErr w:type="spellEnd"/>
      <w:r>
        <w:t xml:space="preserve"> get </w:t>
      </w:r>
      <w:r>
        <w:lastRenderedPageBreak/>
        <w:t xml:space="preserve">increasingly involved in scholarly literature to become more theory-based and consider comparative analysis in different </w:t>
      </w:r>
      <w:proofErr w:type="spellStart"/>
      <w:r>
        <w:t>organisations</w:t>
      </w:r>
      <w:proofErr w:type="spellEnd"/>
      <w:r>
        <w:t xml:space="preserve"> to become more profound. These skills will allow me to create a higher quality, distinction-level production, as well as use the process of strategic thinking more efficiently in both academic and professional tasks.</w:t>
      </w:r>
    </w:p>
    <w:p w14:paraId="045153D5" w14:textId="77777777" w:rsidR="00773A16" w:rsidRDefault="00773A16"/>
    <w:p w14:paraId="3F09D7B0" w14:textId="77777777" w:rsidR="00773A16" w:rsidRDefault="00000000">
      <w:r>
        <w:br w:type="page"/>
      </w:r>
    </w:p>
    <w:p w14:paraId="77A45573" w14:textId="77777777" w:rsidR="00773A16" w:rsidRDefault="00000000">
      <w:pPr>
        <w:pStyle w:val="Heading1"/>
      </w:pPr>
      <w:bookmarkStart w:id="50" w:name="_qm1wqebp2f5v" w:colFirst="0" w:colLast="0"/>
      <w:bookmarkStart w:id="51" w:name="_Toc228287934"/>
      <w:bookmarkEnd w:id="50"/>
      <w:r>
        <w:lastRenderedPageBreak/>
        <w:t>Reference List</w:t>
      </w:r>
      <w:bookmarkEnd w:id="51"/>
    </w:p>
    <w:p w14:paraId="766F06CC" w14:textId="77777777" w:rsidR="00773A16" w:rsidRDefault="00000000">
      <w:pPr>
        <w:spacing w:before="240" w:after="200"/>
        <w:rPr>
          <w:u w:val="single"/>
        </w:rPr>
      </w:pPr>
      <w:r>
        <w:t>Agnihotri, A., &amp; Bhattacharya, S. (2026). Unilever’s Frequent CEO Changes: Performance or Activist Shareholder Issues? Available at:</w:t>
      </w:r>
      <w:hyperlink r:id="rId12">
        <w:r>
          <w:t xml:space="preserve"> </w:t>
        </w:r>
      </w:hyperlink>
      <w:hyperlink r:id="rId13">
        <w:r>
          <w:rPr>
            <w:u w:val="single"/>
          </w:rPr>
          <w:t>https://doi.org/10.4135/9798348852573</w:t>
        </w:r>
      </w:hyperlink>
      <w:r>
        <w:t xml:space="preserve"> </w:t>
      </w:r>
    </w:p>
    <w:p w14:paraId="1C64C137" w14:textId="77777777" w:rsidR="00773A16" w:rsidRDefault="00000000">
      <w:pPr>
        <w:spacing w:before="240" w:after="200"/>
        <w:rPr>
          <w:u w:val="single"/>
        </w:rPr>
      </w:pPr>
      <w:r>
        <w:t xml:space="preserve">Boateng, B., Iqbal, N., </w:t>
      </w:r>
      <w:proofErr w:type="spellStart"/>
      <w:r>
        <w:t>Mataruna</w:t>
      </w:r>
      <w:proofErr w:type="spellEnd"/>
      <w:r>
        <w:t xml:space="preserve">-Dos-Santos, L., Sergio, R., Mustafa, S., &amp; Shah, A. (2025, April). The Role of Employee Training and Development Strategies on Enterprise Growth—A Case Study on Unilever. In </w:t>
      </w:r>
      <w:r>
        <w:rPr>
          <w:i/>
          <w:iCs/>
        </w:rPr>
        <w:t>International Conference on Business and Technology</w:t>
      </w:r>
      <w:r>
        <w:t xml:space="preserve"> (pp. 605-614). Cham: Springer Nature Switzerland. Available at:</w:t>
      </w:r>
      <w:hyperlink r:id="rId14">
        <w:r>
          <w:t xml:space="preserve"> </w:t>
        </w:r>
      </w:hyperlink>
      <w:hyperlink r:id="rId15">
        <w:r>
          <w:rPr>
            <w:u w:val="single"/>
          </w:rPr>
          <w:t>https://doi.org/10.1007/978-3-032-00250-1_53</w:t>
        </w:r>
      </w:hyperlink>
    </w:p>
    <w:p w14:paraId="60550D41" w14:textId="77777777" w:rsidR="00773A16" w:rsidRDefault="00000000">
      <w:pPr>
        <w:spacing w:before="240" w:after="200"/>
        <w:rPr>
          <w:u w:val="single"/>
        </w:rPr>
      </w:pPr>
      <w:r>
        <w:t xml:space="preserve">Chandra, R., &amp; Jatmika, S. (2022, March). Unilever </w:t>
      </w:r>
      <w:proofErr w:type="spellStart"/>
      <w:r>
        <w:t>Unilever</w:t>
      </w:r>
      <w:proofErr w:type="spellEnd"/>
      <w:r>
        <w:t xml:space="preserve"> Surabaya Corporate Social Responsibility (</w:t>
      </w:r>
      <w:proofErr w:type="spellStart"/>
      <w:r>
        <w:t>Csr</w:t>
      </w:r>
      <w:proofErr w:type="spellEnd"/>
      <w:r>
        <w:t xml:space="preserve">) Policy in Maintaining Environmental Sustainability in Surabaya in 2014-2020. In </w:t>
      </w:r>
      <w:r>
        <w:rPr>
          <w:i/>
          <w:iCs/>
        </w:rPr>
        <w:t>International conference on public organization (ICONPO 2021)</w:t>
      </w:r>
      <w:r>
        <w:t xml:space="preserve"> (pp. 444-452). Atlantis Press. Available at:</w:t>
      </w:r>
      <w:hyperlink r:id="rId16">
        <w:r>
          <w:t xml:space="preserve"> </w:t>
        </w:r>
      </w:hyperlink>
      <w:hyperlink r:id="rId17">
        <w:r>
          <w:rPr>
            <w:u w:val="single"/>
          </w:rPr>
          <w:t>10.2991/aebmr.k.220209.057</w:t>
        </w:r>
      </w:hyperlink>
    </w:p>
    <w:p w14:paraId="39EA723F" w14:textId="77777777" w:rsidR="00773A16" w:rsidRDefault="00000000">
      <w:pPr>
        <w:spacing w:before="240" w:after="240"/>
        <w:rPr>
          <w:rFonts w:ascii="Times New Roman" w:eastAsia="Times New Roman" w:hAnsi="Times New Roman" w:cs="Times New Roman"/>
          <w:highlight w:val="white"/>
        </w:rPr>
      </w:pPr>
      <w:r>
        <w:t xml:space="preserve">Chishty, S. K. (2023). Economic and Environmental Efficiencies of Organizations: Role of Technological Advancements and Circular Economy Practices. </w:t>
      </w:r>
      <w:r>
        <w:rPr>
          <w:i/>
          <w:iCs/>
        </w:rPr>
        <w:t>Sustainability</w:t>
      </w:r>
      <w:r>
        <w:t xml:space="preserve">, </w:t>
      </w:r>
      <w:r>
        <w:rPr>
          <w:i/>
          <w:iCs/>
        </w:rPr>
        <w:t>15</w:t>
      </w:r>
      <w:r>
        <w:t>(22). Available at:</w:t>
      </w:r>
      <w:hyperlink r:id="rId18">
        <w:r>
          <w:t xml:space="preserve"> </w:t>
        </w:r>
      </w:hyperlink>
      <w:hyperlink r:id="rId19">
        <w:r>
          <w:rPr>
            <w:color w:val="1155CC"/>
            <w:u w:val="single"/>
          </w:rPr>
          <w:t>https://doi.org/10.3390/su152215935</w:t>
        </w:r>
      </w:hyperlink>
      <w:r>
        <w:t xml:space="preserve"> </w:t>
      </w:r>
    </w:p>
    <w:p w14:paraId="722DA97C" w14:textId="77777777" w:rsidR="00773A16" w:rsidRDefault="00000000">
      <w:pPr>
        <w:rPr>
          <w:color w:val="222222"/>
          <w:highlight w:val="white"/>
        </w:rPr>
      </w:pPr>
      <w:r>
        <w:rPr>
          <w:color w:val="222222"/>
          <w:highlight w:val="white"/>
        </w:rPr>
        <w:t xml:space="preserve">Dănilă, A., Horga, M.G., </w:t>
      </w:r>
      <w:proofErr w:type="spellStart"/>
      <w:r>
        <w:rPr>
          <w:color w:val="222222"/>
          <w:highlight w:val="white"/>
        </w:rPr>
        <w:t>Oprișan</w:t>
      </w:r>
      <w:proofErr w:type="spellEnd"/>
      <w:r>
        <w:rPr>
          <w:color w:val="222222"/>
          <w:highlight w:val="white"/>
        </w:rPr>
        <w:t xml:space="preserve">, O. and </w:t>
      </w:r>
      <w:proofErr w:type="spellStart"/>
      <w:r>
        <w:rPr>
          <w:color w:val="222222"/>
          <w:highlight w:val="white"/>
        </w:rPr>
        <w:t>Stamule</w:t>
      </w:r>
      <w:proofErr w:type="spellEnd"/>
      <w:r>
        <w:rPr>
          <w:color w:val="222222"/>
          <w:highlight w:val="white"/>
        </w:rPr>
        <w:t xml:space="preserve">, T (2022). Good practices on ESG reporting in the context of the European green deal. </w:t>
      </w:r>
      <w:proofErr w:type="spellStart"/>
      <w:r>
        <w:rPr>
          <w:i/>
          <w:iCs/>
          <w:color w:val="222222"/>
          <w:highlight w:val="white"/>
        </w:rPr>
        <w:t>Amfiteatru</w:t>
      </w:r>
      <w:proofErr w:type="spellEnd"/>
      <w:r>
        <w:rPr>
          <w:i/>
          <w:iCs/>
          <w:color w:val="222222"/>
          <w:highlight w:val="white"/>
        </w:rPr>
        <w:t xml:space="preserve"> Economic</w:t>
      </w:r>
      <w:r>
        <w:rPr>
          <w:color w:val="222222"/>
          <w:highlight w:val="white"/>
        </w:rPr>
        <w:t xml:space="preserve">, </w:t>
      </w:r>
      <w:r>
        <w:rPr>
          <w:i/>
          <w:iCs/>
          <w:color w:val="222222"/>
          <w:highlight w:val="white"/>
        </w:rPr>
        <w:t>24</w:t>
      </w:r>
      <w:r>
        <w:rPr>
          <w:color w:val="222222"/>
          <w:highlight w:val="white"/>
        </w:rPr>
        <w:t xml:space="preserve">(61), pp.847-860. Available at </w:t>
      </w:r>
      <w:hyperlink r:id="rId20">
        <w:r>
          <w:rPr>
            <w:color w:val="1155CC"/>
            <w:highlight w:val="white"/>
            <w:u w:val="single"/>
          </w:rPr>
          <w:t>https://doi.org/10.24818/EA/2022/61/847</w:t>
        </w:r>
      </w:hyperlink>
      <w:r>
        <w:rPr>
          <w:color w:val="222222"/>
          <w:highlight w:val="white"/>
        </w:rPr>
        <w:t xml:space="preserve">  </w:t>
      </w:r>
    </w:p>
    <w:p w14:paraId="5CCBE8A4" w14:textId="77777777" w:rsidR="00773A16" w:rsidRDefault="00000000">
      <w:pPr>
        <w:spacing w:before="240" w:after="200"/>
        <w:rPr>
          <w:u w:val="single"/>
        </w:rPr>
      </w:pPr>
      <w:r>
        <w:t xml:space="preserve">Dixit, A. S. (2024). Exploring HR practitioner’s perspective on linking of employer branding and porter’s generic strategies: an alignment of business and HR strategy. </w:t>
      </w:r>
      <w:r>
        <w:rPr>
          <w:i/>
          <w:iCs/>
        </w:rPr>
        <w:t>International Journal of Organizational Analysis</w:t>
      </w:r>
      <w:r>
        <w:t xml:space="preserve">, </w:t>
      </w:r>
      <w:r>
        <w:rPr>
          <w:i/>
          <w:iCs/>
        </w:rPr>
        <w:t>32</w:t>
      </w:r>
      <w:r>
        <w:t>(6), 1060-1072. Available at:</w:t>
      </w:r>
      <w:hyperlink r:id="rId21">
        <w:r>
          <w:t xml:space="preserve"> </w:t>
        </w:r>
      </w:hyperlink>
      <w:hyperlink r:id="rId22">
        <w:r>
          <w:rPr>
            <w:u w:val="single"/>
          </w:rPr>
          <w:t>https://doi.org/10.1108/IJOA-02-2023-3635</w:t>
        </w:r>
      </w:hyperlink>
    </w:p>
    <w:p w14:paraId="15A8B951" w14:textId="77777777" w:rsidR="00773A16" w:rsidRDefault="00000000">
      <w:pPr>
        <w:spacing w:before="240" w:after="200"/>
        <w:rPr>
          <w:u w:val="single"/>
        </w:rPr>
      </w:pPr>
      <w:r>
        <w:t xml:space="preserve">Farag, M. I. H. (2025). The role of SWOT analysis in enhancing business growth and long-term management sustainability. </w:t>
      </w:r>
      <w:r>
        <w:rPr>
          <w:i/>
          <w:iCs/>
        </w:rPr>
        <w:t>Management Science Advances</w:t>
      </w:r>
      <w:r>
        <w:t xml:space="preserve">, </w:t>
      </w:r>
      <w:r>
        <w:rPr>
          <w:i/>
          <w:iCs/>
        </w:rPr>
        <w:t>2</w:t>
      </w:r>
      <w:r>
        <w:t>(1), 304-329. Available at:</w:t>
      </w:r>
      <w:hyperlink r:id="rId23">
        <w:r>
          <w:t xml:space="preserve"> </w:t>
        </w:r>
      </w:hyperlink>
      <w:hyperlink r:id="rId24">
        <w:r>
          <w:rPr>
            <w:u w:val="single"/>
          </w:rPr>
          <w:t>https://doi.org/10.31181/msa21202528</w:t>
        </w:r>
      </w:hyperlink>
    </w:p>
    <w:p w14:paraId="04DA14D2" w14:textId="77777777" w:rsidR="00773A16" w:rsidRDefault="00000000">
      <w:pPr>
        <w:spacing w:before="240" w:after="200"/>
        <w:rPr>
          <w:u w:val="single"/>
        </w:rPr>
      </w:pPr>
      <w:r>
        <w:t>Hartono, D. K. (2025). Global Journal of Economic and Finance Research. Available at:</w:t>
      </w:r>
      <w:hyperlink r:id="rId25">
        <w:r>
          <w:t xml:space="preserve"> </w:t>
        </w:r>
      </w:hyperlink>
      <w:hyperlink r:id="rId26">
        <w:r>
          <w:rPr>
            <w:u w:val="single"/>
          </w:rPr>
          <w:t>https://doi.org/10.55677/GJEFR/09-2025-Vol02E11</w:t>
        </w:r>
      </w:hyperlink>
    </w:p>
    <w:p w14:paraId="3D5D7F33" w14:textId="77777777" w:rsidR="00773A16" w:rsidRDefault="00000000">
      <w:pPr>
        <w:spacing w:before="240" w:after="200"/>
        <w:rPr>
          <w:u w:val="single"/>
        </w:rPr>
      </w:pPr>
      <w:r>
        <w:lastRenderedPageBreak/>
        <w:t xml:space="preserve">Iglesias, O., Mingione, M., Ind, N., &amp; Markovic, S. (2023). How to build a conscientious corporate brand together with business partners: A case study of Unilever. </w:t>
      </w:r>
      <w:r>
        <w:rPr>
          <w:i/>
          <w:iCs/>
        </w:rPr>
        <w:t>Industrial Marketing Management</w:t>
      </w:r>
      <w:r>
        <w:t xml:space="preserve">, </w:t>
      </w:r>
      <w:r>
        <w:rPr>
          <w:i/>
          <w:iCs/>
        </w:rPr>
        <w:t>109</w:t>
      </w:r>
      <w:r>
        <w:t xml:space="preserve">, 1-13. Available at:  </w:t>
      </w:r>
      <w:hyperlink r:id="rId27">
        <w:r>
          <w:rPr>
            <w:u w:val="single"/>
          </w:rPr>
          <w:t>https://doi.org/10.1016/j.indmarman.2022.12.008</w:t>
        </w:r>
      </w:hyperlink>
    </w:p>
    <w:p w14:paraId="46E5A93C" w14:textId="77777777" w:rsidR="00773A16" w:rsidRDefault="00000000">
      <w:pPr>
        <w:rPr>
          <w:sz w:val="20"/>
          <w:szCs w:val="20"/>
          <w:highlight w:val="white"/>
        </w:rPr>
      </w:pPr>
      <w:r>
        <w:rPr>
          <w:color w:val="222222"/>
          <w:highlight w:val="white"/>
        </w:rPr>
        <w:t xml:space="preserve">Jayawardana, P.W. 9)2025. The Impact of Artificial Intelligence on Supply Chain Optimization in FMCG Industry. Available at </w:t>
      </w:r>
      <w:hyperlink r:id="rId28">
        <w:r>
          <w:rPr>
            <w:color w:val="1155CC"/>
            <w:highlight w:val="white"/>
            <w:u w:val="single"/>
          </w:rPr>
          <w:t>https://www.theseus.fi/bitstream/handle/10024/887397/Jayawardana_Prabhashi.pdf?sequence=2</w:t>
        </w:r>
      </w:hyperlink>
      <w:r>
        <w:rPr>
          <w:color w:val="222222"/>
          <w:highlight w:val="white"/>
        </w:rPr>
        <w:t xml:space="preserve"> </w:t>
      </w:r>
    </w:p>
    <w:p w14:paraId="739A373D" w14:textId="77777777" w:rsidR="00773A16" w:rsidRDefault="00000000">
      <w:pPr>
        <w:spacing w:before="240" w:after="200"/>
        <w:rPr>
          <w:u w:val="single"/>
        </w:rPr>
      </w:pPr>
      <w:r>
        <w:t xml:space="preserve">Kang, J., Lee, S., &amp; Choi, S. (2023). Asymmetric Vacillation in the FMCG Industry: A Case Comparison of Procter &amp; Gamble and Unilever. </w:t>
      </w:r>
      <w:r>
        <w:rPr>
          <w:i/>
          <w:iCs/>
        </w:rPr>
        <w:t>Administrative Sciences</w:t>
      </w:r>
      <w:r>
        <w:t xml:space="preserve">, </w:t>
      </w:r>
      <w:r>
        <w:rPr>
          <w:i/>
          <w:iCs/>
        </w:rPr>
        <w:t>13</w:t>
      </w:r>
      <w:r>
        <w:t>(8), 187. Available at:</w:t>
      </w:r>
      <w:hyperlink r:id="rId29">
        <w:r>
          <w:t xml:space="preserve"> </w:t>
        </w:r>
      </w:hyperlink>
      <w:hyperlink r:id="rId30">
        <w:r>
          <w:rPr>
            <w:u w:val="single"/>
          </w:rPr>
          <w:t>https://doi.org/10.3390/admsci13080187</w:t>
        </w:r>
      </w:hyperlink>
    </w:p>
    <w:p w14:paraId="7E461432" w14:textId="77777777" w:rsidR="00773A16" w:rsidRDefault="00000000">
      <w:pPr>
        <w:spacing w:before="240" w:after="240"/>
      </w:pPr>
      <w:r>
        <w:t xml:space="preserve">Kang, J., Lee, S., &amp; Choi, S. (2023). Asymmetric Vacillation in the FMCG Industry: A Case Comparison of Procter &amp; Gamble and Unilever. </w:t>
      </w:r>
      <w:r>
        <w:rPr>
          <w:i/>
          <w:iCs/>
        </w:rPr>
        <w:t>Administrative Sciences</w:t>
      </w:r>
      <w:r>
        <w:t xml:space="preserve">, </w:t>
      </w:r>
      <w:r>
        <w:rPr>
          <w:i/>
          <w:iCs/>
        </w:rPr>
        <w:t>13</w:t>
      </w:r>
      <w:r>
        <w:t>(8). Available at:</w:t>
      </w:r>
      <w:hyperlink r:id="rId31">
        <w:r>
          <w:t xml:space="preserve"> </w:t>
        </w:r>
      </w:hyperlink>
      <w:hyperlink r:id="rId32">
        <w:r>
          <w:rPr>
            <w:color w:val="1155CC"/>
            <w:u w:val="single"/>
          </w:rPr>
          <w:t>https://doi.org/10.3390/admsci13080187</w:t>
        </w:r>
      </w:hyperlink>
    </w:p>
    <w:p w14:paraId="6181B7E0" w14:textId="77777777" w:rsidR="00773A16" w:rsidRDefault="00000000">
      <w:pPr>
        <w:spacing w:before="240" w:after="200"/>
        <w:rPr>
          <w:u w:val="single"/>
        </w:rPr>
      </w:pPr>
      <w:r>
        <w:t xml:space="preserve">Kariv, D., Cisneros, L., Kashy-Rosenbaum, G., &amp; Krueger, N. (2024). Does generation matter to innovation development? A new look at entrepreneurial businesses from the perspective of resource-based view (RBV). </w:t>
      </w:r>
      <w:r>
        <w:rPr>
          <w:i/>
          <w:iCs/>
        </w:rPr>
        <w:t>European Journal of Innovation Management</w:t>
      </w:r>
      <w:r>
        <w:t xml:space="preserve">, </w:t>
      </w:r>
      <w:r>
        <w:rPr>
          <w:i/>
          <w:iCs/>
        </w:rPr>
        <w:t>27</w:t>
      </w:r>
      <w:r>
        <w:t>(2), 424-446. Available at:</w:t>
      </w:r>
      <w:hyperlink r:id="rId33">
        <w:r>
          <w:t xml:space="preserve"> </w:t>
        </w:r>
      </w:hyperlink>
      <w:hyperlink r:id="rId34">
        <w:r>
          <w:rPr>
            <w:u w:val="single"/>
          </w:rPr>
          <w:t>https://doi.org/10.1108/EJIM-05-2022-0226</w:t>
        </w:r>
      </w:hyperlink>
    </w:p>
    <w:p w14:paraId="4877F400" w14:textId="77777777" w:rsidR="00773A16" w:rsidRDefault="00000000">
      <w:pPr>
        <w:rPr>
          <w:color w:val="222222"/>
          <w:highlight w:val="white"/>
        </w:rPr>
      </w:pPr>
      <w:proofErr w:type="spellStart"/>
      <w:r>
        <w:rPr>
          <w:color w:val="222222"/>
          <w:highlight w:val="white"/>
        </w:rPr>
        <w:t>Kopyściańska</w:t>
      </w:r>
      <w:proofErr w:type="spellEnd"/>
      <w:r>
        <w:rPr>
          <w:color w:val="222222"/>
          <w:highlight w:val="white"/>
        </w:rPr>
        <w:t xml:space="preserve">, K (2024). Carbon tax and plastic levy as examples of tributes that can have an impact on environmental protection. </w:t>
      </w:r>
      <w:r>
        <w:rPr>
          <w:i/>
          <w:iCs/>
          <w:color w:val="222222"/>
          <w:highlight w:val="white"/>
        </w:rPr>
        <w:t xml:space="preserve">Acta </w:t>
      </w:r>
      <w:proofErr w:type="spellStart"/>
      <w:r>
        <w:rPr>
          <w:i/>
          <w:iCs/>
          <w:color w:val="222222"/>
          <w:highlight w:val="white"/>
        </w:rPr>
        <w:t>Iuris</w:t>
      </w:r>
      <w:proofErr w:type="spellEnd"/>
      <w:r>
        <w:rPr>
          <w:i/>
          <w:iCs/>
          <w:color w:val="222222"/>
          <w:highlight w:val="white"/>
        </w:rPr>
        <w:t xml:space="preserve"> </w:t>
      </w:r>
      <w:proofErr w:type="spellStart"/>
      <w:r>
        <w:rPr>
          <w:i/>
          <w:iCs/>
          <w:color w:val="222222"/>
          <w:highlight w:val="white"/>
        </w:rPr>
        <w:t>Stetinensis</w:t>
      </w:r>
      <w:proofErr w:type="spellEnd"/>
      <w:r>
        <w:rPr>
          <w:color w:val="222222"/>
          <w:highlight w:val="white"/>
        </w:rPr>
        <w:t xml:space="preserve">, (50 (4)), pp.91-104. Available at </w:t>
      </w:r>
      <w:hyperlink r:id="rId35">
        <w:r>
          <w:rPr>
            <w:color w:val="1155CC"/>
            <w:highlight w:val="white"/>
            <w:u w:val="single"/>
          </w:rPr>
          <w:t>https://doi.org/10.18276/ais.2024.50-06</w:t>
        </w:r>
      </w:hyperlink>
      <w:r>
        <w:rPr>
          <w:color w:val="222222"/>
          <w:highlight w:val="white"/>
        </w:rPr>
        <w:t xml:space="preserve">   </w:t>
      </w:r>
    </w:p>
    <w:p w14:paraId="3CD885DB" w14:textId="77777777" w:rsidR="00773A16" w:rsidRDefault="00000000">
      <w:pPr>
        <w:spacing w:before="240" w:after="240"/>
      </w:pPr>
      <w:r>
        <w:t xml:space="preserve">Ma, D., &amp; Hu, J. (2020). Research on Collaborative Management Strategies of Closed-Loop Supply Chain under the Influence of Big-Data Marketing and Reference Price Effect. </w:t>
      </w:r>
      <w:r>
        <w:rPr>
          <w:i/>
          <w:iCs/>
        </w:rPr>
        <w:t>Sustainability</w:t>
      </w:r>
      <w:r>
        <w:t xml:space="preserve">, </w:t>
      </w:r>
      <w:r>
        <w:rPr>
          <w:i/>
          <w:iCs/>
        </w:rPr>
        <w:t>12</w:t>
      </w:r>
      <w:r>
        <w:t>(4). Available at:</w:t>
      </w:r>
      <w:hyperlink r:id="rId36">
        <w:r>
          <w:t xml:space="preserve"> </w:t>
        </w:r>
      </w:hyperlink>
      <w:hyperlink r:id="rId37">
        <w:r>
          <w:rPr>
            <w:color w:val="1155CC"/>
            <w:u w:val="single"/>
          </w:rPr>
          <w:t>https://doi.org/10.3390/su12041685</w:t>
        </w:r>
      </w:hyperlink>
    </w:p>
    <w:p w14:paraId="599404F0" w14:textId="77777777" w:rsidR="00773A16" w:rsidRDefault="00000000">
      <w:pPr>
        <w:spacing w:before="240" w:after="200"/>
        <w:rPr>
          <w:u w:val="single"/>
        </w:rPr>
      </w:pPr>
      <w:r>
        <w:t xml:space="preserve">Mahajan, R., Lim, W. M., Sareen, M., Kumar, S., &amp; Panwar, R. (2023). Stakeholder theory. </w:t>
      </w:r>
      <w:r>
        <w:rPr>
          <w:i/>
          <w:iCs/>
        </w:rPr>
        <w:t>Journal of Business Research</w:t>
      </w:r>
      <w:r>
        <w:t xml:space="preserve">, </w:t>
      </w:r>
      <w:r>
        <w:rPr>
          <w:i/>
          <w:iCs/>
        </w:rPr>
        <w:t>166</w:t>
      </w:r>
      <w:r>
        <w:t>, 114104. Available at:</w:t>
      </w:r>
      <w:hyperlink r:id="rId38">
        <w:r>
          <w:t xml:space="preserve"> </w:t>
        </w:r>
      </w:hyperlink>
      <w:hyperlink r:id="rId39">
        <w:r>
          <w:rPr>
            <w:u w:val="single"/>
          </w:rPr>
          <w:t>https://doi.org/10.1016/j.jbusres.2023.114104</w:t>
        </w:r>
      </w:hyperlink>
    </w:p>
    <w:p w14:paraId="1E8E57FC" w14:textId="77777777" w:rsidR="00773A16" w:rsidRDefault="00000000">
      <w:pPr>
        <w:spacing w:before="240" w:after="200"/>
        <w:rPr>
          <w:u w:val="single"/>
        </w:rPr>
      </w:pPr>
      <w:proofErr w:type="spellStart"/>
      <w:r>
        <w:lastRenderedPageBreak/>
        <w:t>Modreanu</w:t>
      </w:r>
      <w:proofErr w:type="spellEnd"/>
      <w:r>
        <w:t xml:space="preserve">, A., </w:t>
      </w:r>
      <w:proofErr w:type="spellStart"/>
      <w:r>
        <w:t>Andrișan</w:t>
      </w:r>
      <w:proofErr w:type="spellEnd"/>
      <w:r>
        <w:t xml:space="preserve">, G. N., Sârbu, A. M., &amp; </w:t>
      </w:r>
      <w:proofErr w:type="spellStart"/>
      <w:r>
        <w:t>Grădinaru</w:t>
      </w:r>
      <w:proofErr w:type="spellEnd"/>
      <w:r>
        <w:t xml:space="preserve">, C. (2022). Corporate Social Responsibility, a Strategic Tool for Sustainable Value Creation: A Case Study of Unilever’s Sustainable Living Plan. In </w:t>
      </w:r>
      <w:r>
        <w:rPr>
          <w:i/>
          <w:iCs/>
        </w:rPr>
        <w:t>BASIQ International Conference</w:t>
      </w:r>
      <w:r>
        <w:t xml:space="preserve"> (pp. 575-582). Available at:</w:t>
      </w:r>
      <w:hyperlink r:id="rId40">
        <w:r>
          <w:t xml:space="preserve"> </w:t>
        </w:r>
      </w:hyperlink>
      <w:hyperlink r:id="rId41">
        <w:r>
          <w:rPr>
            <w:u w:val="single"/>
          </w:rPr>
          <w:t>https://doi.org/10.24818/BASIQ/2022/08/076</w:t>
        </w:r>
      </w:hyperlink>
    </w:p>
    <w:p w14:paraId="55D22E7F" w14:textId="77777777" w:rsidR="00773A16" w:rsidRDefault="00000000">
      <w:pPr>
        <w:spacing w:before="240" w:after="200"/>
        <w:rPr>
          <w:u w:val="single"/>
        </w:rPr>
      </w:pPr>
      <w:proofErr w:type="spellStart"/>
      <w:r>
        <w:t>Mouazen</w:t>
      </w:r>
      <w:proofErr w:type="spellEnd"/>
      <w:r>
        <w:t xml:space="preserve">, A. M., Hernández-Lara, A. B., Abdallah, F., Ramadan, M., Chahine, J., Baydoun, H., &amp; Bou </w:t>
      </w:r>
      <w:proofErr w:type="spellStart"/>
      <w:r>
        <w:t>Zakhem</w:t>
      </w:r>
      <w:proofErr w:type="spellEnd"/>
      <w:r>
        <w:t xml:space="preserve">, N. (2024). Transformational and transactional leaders and their role in implementing the Kotter change management model ensuring sustainable change: An empirical study. </w:t>
      </w:r>
      <w:r>
        <w:rPr>
          <w:i/>
          <w:iCs/>
        </w:rPr>
        <w:t>Sustainability</w:t>
      </w:r>
      <w:r>
        <w:t xml:space="preserve">, </w:t>
      </w:r>
      <w:r>
        <w:rPr>
          <w:i/>
          <w:iCs/>
        </w:rPr>
        <w:t>16</w:t>
      </w:r>
      <w:r>
        <w:t>(1), 16. Available at:</w:t>
      </w:r>
      <w:hyperlink r:id="rId42">
        <w:r>
          <w:t xml:space="preserve"> </w:t>
        </w:r>
      </w:hyperlink>
      <w:hyperlink r:id="rId43">
        <w:r>
          <w:rPr>
            <w:u w:val="single"/>
          </w:rPr>
          <w:t>https://doi.org/10.3390/su16010016</w:t>
        </w:r>
      </w:hyperlink>
    </w:p>
    <w:p w14:paraId="7B4E90B4" w14:textId="77777777" w:rsidR="00773A16" w:rsidRDefault="00000000">
      <w:pPr>
        <w:spacing w:before="240" w:after="200"/>
        <w:rPr>
          <w:u w:val="single"/>
        </w:rPr>
      </w:pPr>
      <w:proofErr w:type="spellStart"/>
      <w:r>
        <w:t>Narikiyo</w:t>
      </w:r>
      <w:proofErr w:type="spellEnd"/>
      <w:r>
        <w:t xml:space="preserve">, C., Harris, E., &amp; </w:t>
      </w:r>
      <w:proofErr w:type="spellStart"/>
      <w:r>
        <w:t>Elmassri</w:t>
      </w:r>
      <w:proofErr w:type="spellEnd"/>
      <w:r>
        <w:t xml:space="preserve">, M. (2025). Strategies for carbon reduction maturity: A longitudinal case study of Unilever PLC. </w:t>
      </w:r>
      <w:r>
        <w:rPr>
          <w:i/>
          <w:iCs/>
        </w:rPr>
        <w:t>Business Strategy and the Environment</w:t>
      </w:r>
      <w:r>
        <w:t xml:space="preserve">, </w:t>
      </w:r>
      <w:r>
        <w:rPr>
          <w:i/>
          <w:iCs/>
        </w:rPr>
        <w:t>34</w:t>
      </w:r>
      <w:r>
        <w:t>(5), 5419-5434. Available at:</w:t>
      </w:r>
      <w:hyperlink r:id="rId44">
        <w:r>
          <w:t xml:space="preserve"> </w:t>
        </w:r>
      </w:hyperlink>
      <w:hyperlink r:id="rId45">
        <w:r>
          <w:rPr>
            <w:u w:val="single"/>
          </w:rPr>
          <w:t>https://onlinelibrary.wiley.com/doi/pdf/10.1002/bse.4258</w:t>
        </w:r>
      </w:hyperlink>
    </w:p>
    <w:p w14:paraId="1012500A" w14:textId="77777777" w:rsidR="00773A16" w:rsidRDefault="00000000">
      <w:pPr>
        <w:spacing w:before="240" w:after="200"/>
        <w:rPr>
          <w:u w:val="single"/>
        </w:rPr>
      </w:pPr>
      <w:r>
        <w:t xml:space="preserve">O’Hara, T. (2025). Sustainable practices in change management: Ethical and </w:t>
      </w:r>
      <w:proofErr w:type="spellStart"/>
      <w:r>
        <w:t>organisational</w:t>
      </w:r>
      <w:proofErr w:type="spellEnd"/>
      <w:r>
        <w:t xml:space="preserve"> considerations. </w:t>
      </w:r>
      <w:r>
        <w:rPr>
          <w:i/>
          <w:iCs/>
        </w:rPr>
        <w:t>Rethinking Change Management: A Critical Perspective</w:t>
      </w:r>
      <w:r>
        <w:t>, pp.93.</w:t>
      </w:r>
      <w:hyperlink r:id="rId46">
        <w:r>
          <w:t xml:space="preserve"> </w:t>
        </w:r>
      </w:hyperlink>
      <w:hyperlink r:id="rId47">
        <w:r>
          <w:rPr>
            <w:u w:val="single"/>
          </w:rPr>
          <w:t>https://books.google.com/books?hl=en&amp;lr=&amp;id=xgmhEQAAQBAJ&amp;oi=fnd&amp;pg=PA93&amp;dq=+Change+Management+Model+by+Kotter+unilever&amp;ots=qlTT4npC42&amp;sig=ZG1w4-fdZzaDbusjz4DEVI4Fq0Y</w:t>
        </w:r>
      </w:hyperlink>
    </w:p>
    <w:p w14:paraId="299552D8" w14:textId="77777777" w:rsidR="00773A16" w:rsidRDefault="00000000">
      <w:pPr>
        <w:spacing w:before="240" w:after="240"/>
      </w:pPr>
      <w:r>
        <w:t xml:space="preserve">Riad, M., Naimi, M., &amp; Okar, C. (2024). Enhancing Supply Chain Resilience Through Artificial Intelligence: Developing a Comprehensive Conceptual Framework for AI Implementation and Supply Chain Optimization. </w:t>
      </w:r>
      <w:r>
        <w:rPr>
          <w:i/>
          <w:iCs/>
        </w:rPr>
        <w:t>Logistics</w:t>
      </w:r>
      <w:r>
        <w:t xml:space="preserve">, </w:t>
      </w:r>
      <w:r>
        <w:rPr>
          <w:i/>
          <w:iCs/>
        </w:rPr>
        <w:t>8</w:t>
      </w:r>
      <w:r>
        <w:t>(4). Available at:</w:t>
      </w:r>
      <w:hyperlink r:id="rId48">
        <w:r>
          <w:t xml:space="preserve"> </w:t>
        </w:r>
      </w:hyperlink>
      <w:hyperlink r:id="rId49">
        <w:r>
          <w:rPr>
            <w:color w:val="1155CC"/>
            <w:u w:val="single"/>
          </w:rPr>
          <w:t>https://doi.org/10.3390/logistics8040111</w:t>
        </w:r>
      </w:hyperlink>
    </w:p>
    <w:p w14:paraId="6097FFAF" w14:textId="77777777" w:rsidR="00773A16" w:rsidRDefault="00000000">
      <w:pPr>
        <w:spacing w:before="240" w:after="240"/>
      </w:pPr>
      <w:proofErr w:type="spellStart"/>
      <w:r>
        <w:t>Setyadi</w:t>
      </w:r>
      <w:proofErr w:type="spellEnd"/>
      <w:r>
        <w:t xml:space="preserve">, A., </w:t>
      </w:r>
      <w:proofErr w:type="spellStart"/>
      <w:r>
        <w:t>Pawirosumarto</w:t>
      </w:r>
      <w:proofErr w:type="spellEnd"/>
      <w:r>
        <w:t xml:space="preserve">, S., &amp; Damaris, A. (2025). Sustainable Operations Strategy in the Age of Climate Change: Integrating Green Lean Practices into Operational Excellence. </w:t>
      </w:r>
      <w:r>
        <w:rPr>
          <w:i/>
          <w:iCs/>
        </w:rPr>
        <w:t>Sustainability</w:t>
      </w:r>
      <w:r>
        <w:t xml:space="preserve">, </w:t>
      </w:r>
      <w:r>
        <w:rPr>
          <w:i/>
          <w:iCs/>
        </w:rPr>
        <w:t>17</w:t>
      </w:r>
      <w:r>
        <w:t>(13). Available at:</w:t>
      </w:r>
      <w:hyperlink r:id="rId50">
        <w:r>
          <w:t xml:space="preserve"> </w:t>
        </w:r>
      </w:hyperlink>
      <w:hyperlink r:id="rId51">
        <w:r>
          <w:rPr>
            <w:color w:val="1155CC"/>
            <w:u w:val="single"/>
          </w:rPr>
          <w:t>https://doi.org/10.3390/su17135954</w:t>
        </w:r>
      </w:hyperlink>
    </w:p>
    <w:p w14:paraId="4238C6E6" w14:textId="77777777" w:rsidR="00773A16" w:rsidRDefault="00000000">
      <w:pPr>
        <w:spacing w:before="240" w:after="200"/>
        <w:rPr>
          <w:u w:val="single"/>
        </w:rPr>
      </w:pPr>
      <w:r>
        <w:t xml:space="preserve">Yang, D. (2023). Financial and Marketing Performance of P&amp;G and Unilever. </w:t>
      </w:r>
      <w:r>
        <w:rPr>
          <w:i/>
          <w:iCs/>
        </w:rPr>
        <w:t>BCP Business &amp;</w:t>
      </w:r>
      <w:r>
        <w:t>. Available at:</w:t>
      </w:r>
      <w:hyperlink r:id="rId52">
        <w:r>
          <w:t xml:space="preserve"> </w:t>
        </w:r>
      </w:hyperlink>
      <w:hyperlink r:id="rId53">
        <w:r>
          <w:rPr>
            <w:u w:val="single"/>
          </w:rPr>
          <w:t>https://pdfs.semanticscholar.org/db3f/eb5c80d3778b1ec00f24667275cb8f7512fc.pdf</w:t>
        </w:r>
      </w:hyperlink>
    </w:p>
    <w:p w14:paraId="173335BB" w14:textId="77777777" w:rsidR="00773A16" w:rsidRDefault="00000000">
      <w:pPr>
        <w:spacing w:before="240" w:after="200"/>
        <w:rPr>
          <w:u w:val="single"/>
        </w:rPr>
      </w:pPr>
      <w:r>
        <w:lastRenderedPageBreak/>
        <w:t xml:space="preserve">Zugay, B., &amp; Zakaria, R. (2023). </w:t>
      </w:r>
      <w:r>
        <w:rPr>
          <w:i/>
          <w:iCs/>
        </w:rPr>
        <w:t>Ansoff matrix</w:t>
      </w:r>
      <w:r>
        <w:t>. SAGE Publications, Inc. Available at:</w:t>
      </w:r>
      <w:hyperlink r:id="rId54">
        <w:r>
          <w:t xml:space="preserve"> </w:t>
        </w:r>
      </w:hyperlink>
      <w:hyperlink r:id="rId55">
        <w:r>
          <w:rPr>
            <w:u w:val="single"/>
          </w:rPr>
          <w:t>https://sk.sagepub.com/foundations/ansoff-matrix?tab=Theory+In+Practice</w:t>
        </w:r>
      </w:hyperlink>
    </w:p>
    <w:p w14:paraId="22A1080C" w14:textId="77777777" w:rsidR="00773A16" w:rsidRDefault="00000000">
      <w:pPr>
        <w:spacing w:before="240" w:after="200"/>
      </w:pPr>
      <w:proofErr w:type="spellStart"/>
      <w:r>
        <w:t>Zupic</w:t>
      </w:r>
      <w:proofErr w:type="spellEnd"/>
      <w:r>
        <w:t xml:space="preserve">, I., </w:t>
      </w:r>
      <w:proofErr w:type="spellStart"/>
      <w:r>
        <w:t>Čater</w:t>
      </w:r>
      <w:proofErr w:type="spellEnd"/>
      <w:r>
        <w:t xml:space="preserve">, T., Caputo, A., &amp; Uršič, D. (2025). Mapping the Influence of Ansoff's Corporate Strategy. </w:t>
      </w:r>
      <w:r>
        <w:rPr>
          <w:i/>
          <w:iCs/>
        </w:rPr>
        <w:t>Strategic Change</w:t>
      </w:r>
      <w:r>
        <w:t>. Available at:</w:t>
      </w:r>
      <w:hyperlink r:id="rId56">
        <w:r>
          <w:t xml:space="preserve"> </w:t>
        </w:r>
      </w:hyperlink>
      <w:hyperlink r:id="rId57">
        <w:r>
          <w:rPr>
            <w:u w:val="single"/>
          </w:rPr>
          <w:t>https://onlinelibrary.wiley.com/doi/pdf/10.1002/jsc.70023</w:t>
        </w:r>
      </w:hyperlink>
      <w:r>
        <w:t xml:space="preserve">  </w:t>
      </w:r>
    </w:p>
    <w:p w14:paraId="16BE8848" w14:textId="77777777" w:rsidR="00773A16" w:rsidRDefault="00000000">
      <w:pPr>
        <w:rPr>
          <w:b/>
          <w:bCs/>
          <w:i/>
          <w:iCs/>
          <w:color w:val="222222"/>
          <w:highlight w:val="white"/>
        </w:rPr>
      </w:pPr>
      <w:r>
        <w:rPr>
          <w:b/>
          <w:bCs/>
          <w:i/>
          <w:iCs/>
          <w:color w:val="222222"/>
          <w:highlight w:val="white"/>
        </w:rPr>
        <w:t>Websites</w:t>
      </w:r>
    </w:p>
    <w:p w14:paraId="267EF66B" w14:textId="77777777" w:rsidR="00773A16" w:rsidRDefault="00773A16">
      <w:pPr>
        <w:rPr>
          <w:color w:val="222222"/>
          <w:highlight w:val="white"/>
        </w:rPr>
      </w:pPr>
    </w:p>
    <w:p w14:paraId="6FC02C8D" w14:textId="77777777" w:rsidR="00773A16" w:rsidRDefault="00000000">
      <w:pPr>
        <w:spacing w:before="240" w:after="240"/>
        <w:rPr>
          <w:color w:val="222222"/>
          <w:highlight w:val="white"/>
        </w:rPr>
      </w:pPr>
      <w:r>
        <w:rPr>
          <w:color w:val="222222"/>
          <w:highlight w:val="white"/>
        </w:rPr>
        <w:t>Euromonitor (2025).</w:t>
      </w:r>
      <w:r>
        <w:rPr>
          <w:i/>
          <w:iCs/>
          <w:color w:val="222222"/>
          <w:highlight w:val="white"/>
        </w:rPr>
        <w:t xml:space="preserve"> </w:t>
      </w:r>
      <w:r>
        <w:rPr>
          <w:i/>
          <w:iCs/>
          <w:color w:val="1B1B1B"/>
          <w:highlight w:val="white"/>
        </w:rPr>
        <w:t xml:space="preserve">FMCG e-commerce sales grow by 11% in 2024. </w:t>
      </w:r>
      <w:r>
        <w:rPr>
          <w:color w:val="222222"/>
          <w:highlight w:val="white"/>
        </w:rPr>
        <w:t xml:space="preserve">Available at </w:t>
      </w:r>
      <w:hyperlink r:id="rId58">
        <w:r>
          <w:rPr>
            <w:color w:val="1155CC"/>
            <w:highlight w:val="white"/>
            <w:u w:val="single"/>
          </w:rPr>
          <w:t>https://www.euromonitor.com/newsroom/press-releases/june-2025/fmcg-e-commerce-sales-grow-by-11-in-2024</w:t>
        </w:r>
      </w:hyperlink>
      <w:r>
        <w:rPr>
          <w:color w:val="222222"/>
          <w:highlight w:val="white"/>
        </w:rPr>
        <w:t xml:space="preserve"> (Accessed: 28th April, 2026)</w:t>
      </w:r>
    </w:p>
    <w:p w14:paraId="3A7A1A94" w14:textId="77777777" w:rsidR="00773A16" w:rsidRDefault="00000000">
      <w:pPr>
        <w:spacing w:before="240" w:after="240"/>
      </w:pPr>
      <w:r>
        <w:t xml:space="preserve">Expert Program Management (2026). </w:t>
      </w:r>
      <w:r>
        <w:rPr>
          <w:i/>
          <w:iCs/>
        </w:rPr>
        <w:t>Kotter's Change Model</w:t>
      </w:r>
      <w:r>
        <w:t xml:space="preserve">. Available at: </w:t>
      </w:r>
      <w:hyperlink r:id="rId59">
        <w:r>
          <w:rPr>
            <w:u w:val="single"/>
          </w:rPr>
          <w:t>https://expertprogrammanagement.com/2021/02/kotters-8-step-change-model/</w:t>
        </w:r>
      </w:hyperlink>
      <w:r>
        <w:t xml:space="preserve"> [Accessed on 28 April 2026].</w:t>
      </w:r>
    </w:p>
    <w:p w14:paraId="795A7541" w14:textId="77777777" w:rsidR="00773A16" w:rsidRDefault="00000000">
      <w:pPr>
        <w:spacing w:before="240" w:after="240"/>
        <w:rPr>
          <w:color w:val="222222"/>
          <w:highlight w:val="white"/>
        </w:rPr>
      </w:pPr>
      <w:r>
        <w:rPr>
          <w:color w:val="222222"/>
          <w:highlight w:val="white"/>
        </w:rPr>
        <w:t xml:space="preserve">GlobeNewswire (2025). </w:t>
      </w:r>
      <w:r>
        <w:rPr>
          <w:i/>
          <w:iCs/>
          <w:color w:val="002F33"/>
          <w:highlight w:val="white"/>
        </w:rPr>
        <w:t xml:space="preserve">Global Sustainable Packaging Usage Trends Reflect Growing Consumer Demand for Eco-Friendly </w:t>
      </w:r>
      <w:proofErr w:type="spellStart"/>
      <w:r>
        <w:rPr>
          <w:i/>
          <w:iCs/>
          <w:color w:val="002F33"/>
          <w:highlight w:val="white"/>
        </w:rPr>
        <w:t>Solutions.</w:t>
      </w:r>
      <w:r>
        <w:rPr>
          <w:color w:val="222222"/>
          <w:highlight w:val="white"/>
        </w:rPr>
        <w:t>Available</w:t>
      </w:r>
      <w:proofErr w:type="spellEnd"/>
      <w:r>
        <w:rPr>
          <w:color w:val="222222"/>
          <w:highlight w:val="white"/>
        </w:rPr>
        <w:t xml:space="preserve"> at </w:t>
      </w:r>
      <w:hyperlink r:id="rId60">
        <w:r>
          <w:rPr>
            <w:color w:val="1155CC"/>
            <w:highlight w:val="white"/>
            <w:u w:val="single"/>
          </w:rPr>
          <w:t>https://www.globenewswire.com/news-release/2025/11/03/3179370/0/en/Global-Sustainable-Packaging-Usage-Trends-Reflect-Growing-Consumer-Demand-for-Eco-Friendly-Solutions.html</w:t>
        </w:r>
      </w:hyperlink>
      <w:r>
        <w:rPr>
          <w:color w:val="222222"/>
          <w:highlight w:val="white"/>
        </w:rPr>
        <w:t xml:space="preserve">  (Accessed: 28th April, 2026)</w:t>
      </w:r>
    </w:p>
    <w:p w14:paraId="1E51487C" w14:textId="77777777" w:rsidR="00773A16" w:rsidRDefault="00000000">
      <w:pPr>
        <w:spacing w:before="240" w:after="240"/>
        <w:rPr>
          <w:color w:val="222222"/>
          <w:highlight w:val="white"/>
        </w:rPr>
      </w:pPr>
      <w:r>
        <w:rPr>
          <w:color w:val="222222"/>
          <w:highlight w:val="white"/>
        </w:rPr>
        <w:t xml:space="preserve">IMF.org (2024). </w:t>
      </w:r>
      <w:r>
        <w:rPr>
          <w:i/>
          <w:iCs/>
          <w:highlight w:val="white"/>
        </w:rPr>
        <w:t xml:space="preserve">Financial Stability Implications of Emerging Market Currency Developments. </w:t>
      </w:r>
      <w:r>
        <w:rPr>
          <w:color w:val="222222"/>
          <w:highlight w:val="white"/>
        </w:rPr>
        <w:t xml:space="preserve">Available at </w:t>
      </w:r>
      <w:hyperlink r:id="rId61">
        <w:r>
          <w:rPr>
            <w:color w:val="1155CC"/>
            <w:highlight w:val="white"/>
            <w:u w:val="single"/>
          </w:rPr>
          <w:t>https://www.imf.org/en/blogs/articles/2024/07/22/financial-stability-implications-of-emerging-market-currency-developments</w:t>
        </w:r>
      </w:hyperlink>
      <w:r>
        <w:rPr>
          <w:color w:val="222222"/>
          <w:highlight w:val="white"/>
        </w:rPr>
        <w:t xml:space="preserve"> (Accessed: 28th April, 2026)</w:t>
      </w:r>
    </w:p>
    <w:p w14:paraId="2F5678EA" w14:textId="77777777" w:rsidR="00773A16" w:rsidRDefault="00000000">
      <w:pPr>
        <w:spacing w:before="240" w:after="240"/>
        <w:rPr>
          <w:color w:val="222222"/>
          <w:highlight w:val="white"/>
        </w:rPr>
      </w:pPr>
      <w:r>
        <w:rPr>
          <w:color w:val="222222"/>
          <w:highlight w:val="white"/>
        </w:rPr>
        <w:t xml:space="preserve">PwC (2024). </w:t>
      </w:r>
      <w:r>
        <w:rPr>
          <w:i/>
          <w:iCs/>
        </w:rPr>
        <w:t>Consumers willing to pay 9.7% sustainability premium, even as cost-of-living and inflationary concerns weigh: PwC 2024 Voice of the Consumer Survey</w:t>
      </w:r>
      <w:r>
        <w:t xml:space="preserve">. </w:t>
      </w:r>
      <w:r>
        <w:rPr>
          <w:color w:val="222222"/>
          <w:highlight w:val="white"/>
        </w:rPr>
        <w:t xml:space="preserve">Available at </w:t>
      </w:r>
      <w:hyperlink r:id="rId62">
        <w:r>
          <w:rPr>
            <w:color w:val="1155CC"/>
            <w:highlight w:val="white"/>
            <w:u w:val="single"/>
          </w:rPr>
          <w:t>https://www.pwc.com/gx/en/news-room/press-releases/2024/pwc-2024-voice-of-consumer-survey.html</w:t>
        </w:r>
      </w:hyperlink>
      <w:r>
        <w:rPr>
          <w:color w:val="222222"/>
          <w:highlight w:val="white"/>
        </w:rPr>
        <w:t xml:space="preserve"> (Accessed: 28th April, 2026)</w:t>
      </w:r>
    </w:p>
    <w:p w14:paraId="236987DE" w14:textId="77777777" w:rsidR="00773A16" w:rsidRDefault="00000000">
      <w:pPr>
        <w:spacing w:before="240" w:after="240"/>
      </w:pPr>
      <w:r>
        <w:lastRenderedPageBreak/>
        <w:t xml:space="preserve">Springer Nature (2026). </w:t>
      </w:r>
      <w:r>
        <w:rPr>
          <w:i/>
          <w:iCs/>
        </w:rPr>
        <w:t>CSR Pyramid of Carroll</w:t>
      </w:r>
      <w:r>
        <w:t>. Available at:</w:t>
      </w:r>
      <w:hyperlink r:id="rId63">
        <w:r>
          <w:t xml:space="preserve"> </w:t>
        </w:r>
      </w:hyperlink>
      <w:hyperlink r:id="rId64">
        <w:r>
          <w:rPr>
            <w:u w:val="single"/>
          </w:rPr>
          <w:t>https://link.springer.com/article/10.1186/s40991-016-0004-6</w:t>
        </w:r>
      </w:hyperlink>
      <w:r>
        <w:t xml:space="preserve"> [Accessed on 28 April 2026].</w:t>
      </w:r>
    </w:p>
    <w:p w14:paraId="228E27D7" w14:textId="77777777" w:rsidR="00773A16" w:rsidRDefault="00000000">
      <w:pPr>
        <w:spacing w:before="240" w:after="240"/>
        <w:rPr>
          <w:color w:val="222222"/>
          <w:highlight w:val="white"/>
        </w:rPr>
      </w:pPr>
      <w:r>
        <w:rPr>
          <w:color w:val="222222"/>
          <w:highlight w:val="white"/>
        </w:rPr>
        <w:t>Statista (2026</w:t>
      </w:r>
      <w:proofErr w:type="gramStart"/>
      <w:r>
        <w:rPr>
          <w:color w:val="222222"/>
          <w:highlight w:val="white"/>
        </w:rPr>
        <w:t>).</w:t>
      </w:r>
      <w:r>
        <w:rPr>
          <w:i/>
          <w:iCs/>
        </w:rPr>
        <w:t>Average</w:t>
      </w:r>
      <w:proofErr w:type="gramEnd"/>
      <w:r>
        <w:rPr>
          <w:i/>
          <w:iCs/>
        </w:rPr>
        <w:t xml:space="preserve"> inflation rate worldwide 1980-2031. </w:t>
      </w:r>
      <w:r>
        <w:rPr>
          <w:color w:val="222222"/>
          <w:highlight w:val="white"/>
        </w:rPr>
        <w:t xml:space="preserve">Available at </w:t>
      </w:r>
      <w:hyperlink r:id="rId65">
        <w:r>
          <w:rPr>
            <w:color w:val="1155CC"/>
            <w:highlight w:val="white"/>
            <w:u w:val="single"/>
          </w:rPr>
          <w:t>https://www.statista.com/statistics/256598/global-inflation-rate-compared-to-previous-year/?srsltid=AfmBOopaorwLoreT4YGL6KMj_JHIkAV69_e1HfEpnCaaAqnb74mro_sH</w:t>
        </w:r>
      </w:hyperlink>
      <w:r>
        <w:rPr>
          <w:color w:val="222222"/>
          <w:highlight w:val="white"/>
        </w:rPr>
        <w:t xml:space="preserve">  (Accessed: 28th April, 2026)</w:t>
      </w:r>
    </w:p>
    <w:p w14:paraId="429B34ED" w14:textId="77777777" w:rsidR="00773A16" w:rsidRDefault="00000000">
      <w:pPr>
        <w:spacing w:before="240" w:after="240"/>
        <w:rPr>
          <w:color w:val="222222"/>
          <w:highlight w:val="white"/>
        </w:rPr>
      </w:pPr>
      <w:r>
        <w:rPr>
          <w:color w:val="222222"/>
          <w:highlight w:val="white"/>
        </w:rPr>
        <w:t xml:space="preserve">Statista (2026a). </w:t>
      </w:r>
      <w:r>
        <w:rPr>
          <w:i/>
          <w:iCs/>
          <w:highlight w:val="white"/>
        </w:rPr>
        <w:t xml:space="preserve">Revenue of Unilever from 2007 to 2025 (in million euros). </w:t>
      </w:r>
      <w:r>
        <w:rPr>
          <w:color w:val="222222"/>
          <w:highlight w:val="white"/>
        </w:rPr>
        <w:t xml:space="preserve">Available at </w:t>
      </w:r>
      <w:hyperlink r:id="rId66" w:anchor=":~:text=In%202025%2C%20the%20global%20revenue,compared%20to%20the%20previous%20year">
        <w:r>
          <w:rPr>
            <w:color w:val="1155CC"/>
            <w:highlight w:val="white"/>
            <w:u w:val="single"/>
          </w:rPr>
          <w:t>https://www.statista.com/statistics/269190/global-revenue-of-the-unilever-group-since-2007/?srsltid=AfmBOoqOee3v8hldhDL3J5NEk16OTA1nz2lAniidKUGBumINv72oYvXs#:~:text=In%202025%2C%20the%20global%20revenue,compared%20to%20the%20previous%20year</w:t>
        </w:r>
      </w:hyperlink>
      <w:r>
        <w:rPr>
          <w:color w:val="222222"/>
          <w:highlight w:val="white"/>
        </w:rPr>
        <w:t>.  (Accessed: 28th April, 2026)</w:t>
      </w:r>
    </w:p>
    <w:p w14:paraId="574A4F6C" w14:textId="77777777" w:rsidR="00773A16" w:rsidRDefault="00000000">
      <w:pPr>
        <w:spacing w:before="240" w:after="240"/>
        <w:rPr>
          <w:color w:val="222222"/>
          <w:highlight w:val="white"/>
        </w:rPr>
      </w:pPr>
      <w:r>
        <w:rPr>
          <w:color w:val="222222"/>
          <w:highlight w:val="white"/>
        </w:rPr>
        <w:t xml:space="preserve">The Global Economy (2024). </w:t>
      </w:r>
      <w:r>
        <w:rPr>
          <w:i/>
          <w:iCs/>
          <w:highlight w:val="white"/>
        </w:rPr>
        <w:t>Political stability - Country rankings.</w:t>
      </w:r>
      <w:r>
        <w:rPr>
          <w:color w:val="222222"/>
          <w:highlight w:val="white"/>
        </w:rPr>
        <w:t xml:space="preserve"> Available at </w:t>
      </w:r>
      <w:hyperlink r:id="rId67">
        <w:r>
          <w:rPr>
            <w:color w:val="1155CC"/>
            <w:highlight w:val="white"/>
            <w:u w:val="single"/>
          </w:rPr>
          <w:t>https://www.theglobaleconomy.com/rankings/wb_political_stability/</w:t>
        </w:r>
      </w:hyperlink>
      <w:r>
        <w:rPr>
          <w:color w:val="222222"/>
          <w:highlight w:val="white"/>
        </w:rPr>
        <w:t xml:space="preserve"> (Accessed: 28th April, 2026)</w:t>
      </w:r>
    </w:p>
    <w:p w14:paraId="58D5CE94" w14:textId="77777777" w:rsidR="00773A16" w:rsidRDefault="00000000">
      <w:pPr>
        <w:spacing w:before="240" w:after="240"/>
        <w:rPr>
          <w:color w:val="222222"/>
          <w:highlight w:val="white"/>
        </w:rPr>
      </w:pPr>
      <w:r>
        <w:rPr>
          <w:color w:val="222222"/>
          <w:highlight w:val="white"/>
        </w:rPr>
        <w:t xml:space="preserve">The Guardian (2024). </w:t>
      </w:r>
      <w:r>
        <w:rPr>
          <w:i/>
          <w:iCs/>
          <w:color w:val="121212"/>
          <w:highlight w:val="white"/>
        </w:rPr>
        <w:t xml:space="preserve">Unilever sells Russian business after pressure from campaigners. </w:t>
      </w:r>
      <w:r>
        <w:rPr>
          <w:color w:val="222222"/>
          <w:highlight w:val="white"/>
        </w:rPr>
        <w:t xml:space="preserve">Available at </w:t>
      </w:r>
      <w:hyperlink r:id="rId68">
        <w:r>
          <w:rPr>
            <w:color w:val="1155CC"/>
            <w:highlight w:val="white"/>
            <w:u w:val="single"/>
          </w:rPr>
          <w:t>https://www.theguardian.com/business/2024/oct/10/unilever-sells-russian-business-after-pressure-from-campaigners</w:t>
        </w:r>
      </w:hyperlink>
      <w:r>
        <w:rPr>
          <w:color w:val="222222"/>
          <w:highlight w:val="white"/>
        </w:rPr>
        <w:t xml:space="preserve">  (Accessed: 28th April, 2026)</w:t>
      </w:r>
    </w:p>
    <w:p w14:paraId="1D62F6A2" w14:textId="77777777" w:rsidR="00773A16" w:rsidRDefault="00000000">
      <w:pPr>
        <w:spacing w:before="240" w:after="240"/>
        <w:rPr>
          <w:color w:val="222222"/>
          <w:highlight w:val="white"/>
        </w:rPr>
      </w:pPr>
      <w:r>
        <w:rPr>
          <w:color w:val="222222"/>
          <w:highlight w:val="white"/>
        </w:rPr>
        <w:t xml:space="preserve">The Guardian (2025). </w:t>
      </w:r>
      <w:r>
        <w:rPr>
          <w:i/>
          <w:iCs/>
          <w:color w:val="121212"/>
          <w:highlight w:val="white"/>
        </w:rPr>
        <w:t xml:space="preserve">Magnum and Ariel makers say prices may rise further amid tariff pressures. </w:t>
      </w:r>
      <w:r>
        <w:rPr>
          <w:color w:val="222222"/>
          <w:highlight w:val="white"/>
        </w:rPr>
        <w:t xml:space="preserve">Available at </w:t>
      </w:r>
      <w:hyperlink r:id="rId69">
        <w:r>
          <w:rPr>
            <w:color w:val="1155CC"/>
            <w:highlight w:val="white"/>
            <w:u w:val="single"/>
          </w:rPr>
          <w:t>https://www.theguardian.com/business/2025/apr/24/unilever-and-nestle-indicate-more-price-increases-may-be-on-way-amid-market-uncertainty</w:t>
        </w:r>
      </w:hyperlink>
      <w:r>
        <w:rPr>
          <w:color w:val="222222"/>
          <w:highlight w:val="white"/>
        </w:rPr>
        <w:t xml:space="preserve"> (Accessed: 28th April, 2026)</w:t>
      </w:r>
    </w:p>
    <w:p w14:paraId="789C69C8" w14:textId="77777777" w:rsidR="00773A16" w:rsidRDefault="00000000">
      <w:pPr>
        <w:spacing w:before="240" w:after="240"/>
        <w:rPr>
          <w:color w:val="222222"/>
          <w:highlight w:val="white"/>
        </w:rPr>
      </w:pPr>
      <w:r>
        <w:rPr>
          <w:color w:val="222222"/>
          <w:highlight w:val="white"/>
        </w:rPr>
        <w:t xml:space="preserve">UNEP.org (2026). </w:t>
      </w:r>
      <w:r>
        <w:rPr>
          <w:i/>
          <w:iCs/>
          <w:color w:val="1E1E1E"/>
          <w:highlight w:val="white"/>
        </w:rPr>
        <w:t xml:space="preserve">Plastic </w:t>
      </w:r>
      <w:proofErr w:type="spellStart"/>
      <w:r>
        <w:rPr>
          <w:i/>
          <w:iCs/>
          <w:color w:val="1E1E1E"/>
          <w:highlight w:val="white"/>
        </w:rPr>
        <w:t>Pollution.</w:t>
      </w:r>
      <w:r>
        <w:rPr>
          <w:color w:val="222222"/>
          <w:highlight w:val="white"/>
        </w:rPr>
        <w:t>Available</w:t>
      </w:r>
      <w:proofErr w:type="spellEnd"/>
      <w:r>
        <w:rPr>
          <w:color w:val="222222"/>
          <w:highlight w:val="white"/>
        </w:rPr>
        <w:t xml:space="preserve"> at </w:t>
      </w:r>
      <w:hyperlink r:id="rId70">
        <w:r>
          <w:rPr>
            <w:color w:val="1155CC"/>
            <w:highlight w:val="white"/>
            <w:u w:val="single"/>
          </w:rPr>
          <w:t>https://www.unep.org/plastic-pollution</w:t>
        </w:r>
      </w:hyperlink>
      <w:r>
        <w:rPr>
          <w:color w:val="222222"/>
          <w:highlight w:val="white"/>
        </w:rPr>
        <w:t xml:space="preserve"> (Accessed: 28th April, 2026)</w:t>
      </w:r>
    </w:p>
    <w:p w14:paraId="2393220E" w14:textId="77777777" w:rsidR="00773A16" w:rsidRDefault="00000000">
      <w:pPr>
        <w:spacing w:before="240" w:after="240"/>
        <w:rPr>
          <w:color w:val="222222"/>
          <w:highlight w:val="white"/>
        </w:rPr>
      </w:pPr>
      <w:proofErr w:type="gramStart"/>
      <w:r>
        <w:rPr>
          <w:highlight w:val="white"/>
        </w:rPr>
        <w:lastRenderedPageBreak/>
        <w:t>Unilever  (</w:t>
      </w:r>
      <w:proofErr w:type="gramEnd"/>
      <w:r>
        <w:rPr>
          <w:highlight w:val="white"/>
        </w:rPr>
        <w:t xml:space="preserve">2024). </w:t>
      </w:r>
      <w:r>
        <w:rPr>
          <w:i/>
          <w:iCs/>
        </w:rPr>
        <w:t xml:space="preserve">Future R&amp;D: How Unilever is transforming innovation with Microsoft. </w:t>
      </w:r>
      <w:r>
        <w:rPr>
          <w:highlight w:val="white"/>
        </w:rPr>
        <w:t>Available at</w:t>
      </w:r>
      <w:r>
        <w:rPr>
          <w:color w:val="222222"/>
          <w:highlight w:val="white"/>
        </w:rPr>
        <w:t xml:space="preserve"> </w:t>
      </w:r>
      <w:hyperlink r:id="rId71">
        <w:r>
          <w:rPr>
            <w:color w:val="1155CC"/>
            <w:highlight w:val="white"/>
            <w:u w:val="single"/>
          </w:rPr>
          <w:t>https://www.unilever.com/news/news-search/2024/future-rd-how-unilever-is-transforming-innovation-with-microsoft/</w:t>
        </w:r>
      </w:hyperlink>
      <w:r>
        <w:rPr>
          <w:color w:val="222222"/>
          <w:highlight w:val="white"/>
        </w:rPr>
        <w:t xml:space="preserve"> (Accessed: 28th April, 2026)</w:t>
      </w:r>
    </w:p>
    <w:p w14:paraId="5E8E4B6D" w14:textId="77777777" w:rsidR="00773A16" w:rsidRDefault="00000000">
      <w:pPr>
        <w:spacing w:before="240" w:after="240"/>
        <w:rPr>
          <w:color w:val="222222"/>
          <w:highlight w:val="white"/>
        </w:rPr>
      </w:pPr>
      <w:proofErr w:type="gramStart"/>
      <w:r>
        <w:rPr>
          <w:color w:val="222222"/>
          <w:highlight w:val="white"/>
        </w:rPr>
        <w:t>Unilever  (</w:t>
      </w:r>
      <w:proofErr w:type="gramEnd"/>
      <w:r>
        <w:rPr>
          <w:color w:val="222222"/>
          <w:highlight w:val="white"/>
        </w:rPr>
        <w:t xml:space="preserve">2025). </w:t>
      </w:r>
      <w:r>
        <w:rPr>
          <w:i/>
          <w:iCs/>
        </w:rPr>
        <w:t xml:space="preserve">How AI is helping drive Desire at Scale across </w:t>
      </w:r>
      <w:proofErr w:type="spellStart"/>
      <w:r>
        <w:rPr>
          <w:i/>
          <w:iCs/>
        </w:rPr>
        <w:t>Unilever.</w:t>
      </w:r>
      <w:r>
        <w:rPr>
          <w:color w:val="222222"/>
          <w:highlight w:val="white"/>
        </w:rPr>
        <w:t>Available</w:t>
      </w:r>
      <w:proofErr w:type="spellEnd"/>
      <w:r>
        <w:rPr>
          <w:color w:val="222222"/>
          <w:highlight w:val="white"/>
        </w:rPr>
        <w:t xml:space="preserve"> at </w:t>
      </w:r>
      <w:hyperlink r:id="rId72">
        <w:r>
          <w:rPr>
            <w:color w:val="1155CC"/>
            <w:highlight w:val="white"/>
            <w:u w:val="single"/>
          </w:rPr>
          <w:t>https://www.unilever.com/news/news-search/2025/how-ai-is-helping-drive-desire-at-scale-across-unilever/</w:t>
        </w:r>
      </w:hyperlink>
      <w:r>
        <w:rPr>
          <w:color w:val="222222"/>
          <w:highlight w:val="white"/>
        </w:rPr>
        <w:t xml:space="preserve"> (Accessed: 28th April, 2026)</w:t>
      </w:r>
    </w:p>
    <w:p w14:paraId="13F0745C" w14:textId="77777777" w:rsidR="00773A16" w:rsidRDefault="00000000">
      <w:pPr>
        <w:spacing w:before="240" w:after="240"/>
        <w:rPr>
          <w:color w:val="222222"/>
          <w:highlight w:val="white"/>
        </w:rPr>
      </w:pPr>
      <w:r>
        <w:rPr>
          <w:color w:val="222222"/>
          <w:highlight w:val="white"/>
        </w:rPr>
        <w:t xml:space="preserve">Unilever (2026). </w:t>
      </w:r>
      <w:proofErr w:type="spellStart"/>
      <w:r>
        <w:rPr>
          <w:color w:val="222222"/>
          <w:highlight w:val="white"/>
        </w:rPr>
        <w:t>Uniolever</w:t>
      </w:r>
      <w:proofErr w:type="spellEnd"/>
      <w:r>
        <w:rPr>
          <w:color w:val="222222"/>
          <w:highlight w:val="white"/>
        </w:rPr>
        <w:t xml:space="preserve"> at a glance. Available at </w:t>
      </w:r>
      <w:hyperlink r:id="rId73">
        <w:r>
          <w:rPr>
            <w:color w:val="1155CC"/>
            <w:highlight w:val="white"/>
            <w:u w:val="single"/>
          </w:rPr>
          <w:t>https://www.unilever.com/our-company/at-a-glance/</w:t>
        </w:r>
      </w:hyperlink>
      <w:r>
        <w:rPr>
          <w:color w:val="222222"/>
          <w:highlight w:val="white"/>
        </w:rPr>
        <w:t xml:space="preserve"> (Accessed: 28th April, 2026)</w:t>
      </w:r>
    </w:p>
    <w:p w14:paraId="0AACA625" w14:textId="77777777" w:rsidR="00773A16" w:rsidRDefault="00000000">
      <w:pPr>
        <w:spacing w:before="240" w:after="240"/>
        <w:rPr>
          <w:color w:val="222222"/>
          <w:highlight w:val="white"/>
        </w:rPr>
      </w:pPr>
      <w:r>
        <w:rPr>
          <w:color w:val="222222"/>
          <w:highlight w:val="white"/>
        </w:rPr>
        <w:t xml:space="preserve">Unilever (2026a). </w:t>
      </w:r>
      <w:r>
        <w:rPr>
          <w:i/>
          <w:iCs/>
          <w:color w:val="222222"/>
          <w:highlight w:val="white"/>
        </w:rPr>
        <w:t>Sustainability.</w:t>
      </w:r>
      <w:r>
        <w:rPr>
          <w:color w:val="222222"/>
          <w:highlight w:val="white"/>
        </w:rPr>
        <w:t xml:space="preserve"> Available at </w:t>
      </w:r>
      <w:hyperlink r:id="rId74">
        <w:r>
          <w:rPr>
            <w:color w:val="1155CC"/>
            <w:highlight w:val="white"/>
            <w:u w:val="single"/>
          </w:rPr>
          <w:t>https://www.unilever.com/sustainability/climate/</w:t>
        </w:r>
      </w:hyperlink>
      <w:r>
        <w:rPr>
          <w:color w:val="222222"/>
          <w:highlight w:val="white"/>
        </w:rPr>
        <w:t xml:space="preserve"> (Accessed: 28th April, 2026)</w:t>
      </w:r>
    </w:p>
    <w:p w14:paraId="1C6EA02D" w14:textId="77777777" w:rsidR="00773A16" w:rsidRDefault="00000000">
      <w:pPr>
        <w:spacing w:before="240" w:after="240"/>
      </w:pPr>
      <w:r>
        <w:t xml:space="preserve">Unilever, (2026b). </w:t>
      </w:r>
      <w:r>
        <w:rPr>
          <w:i/>
          <w:iCs/>
        </w:rPr>
        <w:t>Leading the next era of corporate sustainability</w:t>
      </w:r>
      <w:r>
        <w:t>. Available at:</w:t>
      </w:r>
      <w:hyperlink r:id="rId75">
        <w:r>
          <w:t xml:space="preserve"> </w:t>
        </w:r>
      </w:hyperlink>
      <w:hyperlink r:id="rId76">
        <w:r>
          <w:rPr>
            <w:u w:val="single"/>
          </w:rPr>
          <w:t>https://www.unilever.com/sustainability/</w:t>
        </w:r>
      </w:hyperlink>
      <w:r>
        <w:t xml:space="preserve"> [Accessed on 28 April 2026].</w:t>
      </w:r>
    </w:p>
    <w:p w14:paraId="5B03A3CE" w14:textId="77777777" w:rsidR="00773A16" w:rsidRDefault="00000000">
      <w:pPr>
        <w:spacing w:before="240" w:after="240"/>
      </w:pPr>
      <w:hyperlink r:id="rId77">
        <w:r>
          <w:t xml:space="preserve">Unilever, (2026c). </w:t>
        </w:r>
      </w:hyperlink>
      <w:hyperlink r:id="rId78">
        <w:r>
          <w:rPr>
            <w:i/>
            <w:iCs/>
          </w:rPr>
          <w:t>Unilever's approach to corporate social responsibility.</w:t>
        </w:r>
      </w:hyperlink>
      <w:hyperlink r:id="rId79">
        <w:r>
          <w:t xml:space="preserve"> Available at: </w:t>
        </w:r>
      </w:hyperlink>
      <w:hyperlink r:id="rId80">
        <w:r>
          <w:rPr>
            <w:u w:val="single"/>
          </w:rPr>
          <w:t>https://www.unilever.com/files/origin/b7c407227f4eb0b869ff1b6b50f81d5c50ccdecd.pdf/2000-social-review-of-1999-data.pdf</w:t>
        </w:r>
      </w:hyperlink>
      <w:r>
        <w:t xml:space="preserve"> [Accessed on 28 April 2026].</w:t>
      </w:r>
    </w:p>
    <w:p w14:paraId="35AFFE49" w14:textId="77777777" w:rsidR="00773A16" w:rsidRDefault="00000000">
      <w:pPr>
        <w:spacing w:before="240" w:after="240"/>
        <w:rPr>
          <w:color w:val="222222"/>
          <w:highlight w:val="white"/>
        </w:rPr>
      </w:pPr>
      <w:r>
        <w:rPr>
          <w:color w:val="222222"/>
          <w:highlight w:val="white"/>
        </w:rPr>
        <w:t>Yahoo Finance (2025).</w:t>
      </w:r>
      <w:r>
        <w:rPr>
          <w:i/>
          <w:iCs/>
        </w:rPr>
        <w:t xml:space="preserve"> 25 Countries With the Highest Inflation in the </w:t>
      </w:r>
      <w:proofErr w:type="spellStart"/>
      <w:r>
        <w:rPr>
          <w:i/>
          <w:iCs/>
        </w:rPr>
        <w:t>World.</w:t>
      </w:r>
      <w:r>
        <w:rPr>
          <w:color w:val="222222"/>
          <w:highlight w:val="white"/>
        </w:rPr>
        <w:t>Available</w:t>
      </w:r>
      <w:proofErr w:type="spellEnd"/>
      <w:r>
        <w:rPr>
          <w:color w:val="222222"/>
          <w:highlight w:val="white"/>
        </w:rPr>
        <w:t xml:space="preserve"> at </w:t>
      </w:r>
      <w:hyperlink r:id="rId81">
        <w:r>
          <w:rPr>
            <w:color w:val="1155CC"/>
            <w:highlight w:val="white"/>
            <w:u w:val="single"/>
          </w:rPr>
          <w:t>https://finance.yahoo.com/news/25-countries-highest-inflation-world-200709169.html?guccounter=1&amp;guce_referrer=aHR0cHM6Ly93d3cuZ29vZ2xlLmNvbS8&amp;guce_referrer_sig=AQAAACqx2NM6ZBFPVzhfrIz1_SHXnY8vVhPiJhtoKj97Usxe100HwQURYNWVXB0ge2DE1cZazDwMW3-q5310clwIh7loV1W0O98nwuNDcbXma42JTd2_LWWPFOWIsThoRnpC3N8UZ_MolC9IqIu9zTAyY93Nsfpwi9EKGflYRjPNvzgj</w:t>
        </w:r>
      </w:hyperlink>
      <w:r>
        <w:rPr>
          <w:color w:val="222222"/>
          <w:highlight w:val="white"/>
        </w:rPr>
        <w:t xml:space="preserve">  (Accessed: 28th April, 2026)</w:t>
      </w:r>
    </w:p>
    <w:sectPr w:rsidR="00773A16">
      <w:headerReference w:type="even" r:id="rId82"/>
      <w:headerReference w:type="default" r:id="rId83"/>
      <w:footerReference w:type="even" r:id="rId84"/>
      <w:footerReference w:type="default" r:id="rId85"/>
      <w:headerReference w:type="first" r:id="rId86"/>
      <w:footerReference w:type="first" r:id="rId87"/>
      <w:pgSz w:w="11906" w:h="16838"/>
      <w:pgMar w:top="1440" w:right="1440" w:bottom="1440" w:left="1440" w:header="720" w:footer="720" w:gutter="0"/>
      <w:pgBorders w:offsetFrom="page">
        <w:top w:val="single" w:sz="18" w:space="24" w:color="auto"/>
        <w:left w:val="single" w:sz="18" w:space="24" w:color="auto"/>
        <w:bottom w:val="single" w:sz="18" w:space="24" w:color="auto"/>
        <w:right w:val="single" w:sz="18" w:space="24" w:color="auto"/>
      </w:pgBorders>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DD337C" w14:textId="77777777" w:rsidR="000D24CA" w:rsidRDefault="000D24CA">
      <w:pPr>
        <w:spacing w:line="240" w:lineRule="auto"/>
      </w:pPr>
      <w:r>
        <w:separator/>
      </w:r>
    </w:p>
  </w:endnote>
  <w:endnote w:type="continuationSeparator" w:id="0">
    <w:p w14:paraId="2EAC06D8" w14:textId="77777777" w:rsidR="000D24CA" w:rsidRDefault="000D24C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5FCE5FFA-3F04-49CD-9A24-25C99019BCF6}"/>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embedRegular r:id="rId2" w:fontKey="{AEFD55CC-9FFF-4E84-9967-B97AC0637C3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2CDA6F" w14:textId="77777777" w:rsidR="00773A16" w:rsidRDefault="00773A1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29234637"/>
      <w:docPartObj>
        <w:docPartGallery w:val="AutoText"/>
      </w:docPartObj>
    </w:sdtPr>
    <w:sdtContent>
      <w:p w14:paraId="668D8E12" w14:textId="77777777" w:rsidR="00773A16" w:rsidRDefault="00000000">
        <w:pPr>
          <w:pStyle w:val="Footer"/>
          <w:jc w:val="right"/>
        </w:pPr>
        <w:r>
          <w:fldChar w:fldCharType="begin"/>
        </w:r>
        <w:r>
          <w:instrText xml:space="preserve"> PAGE   \* MERGEFORMAT </w:instrText>
        </w:r>
        <w:r>
          <w:fldChar w:fldCharType="separate"/>
        </w:r>
        <w:r>
          <w:t>2</w:t>
        </w:r>
        <w: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BC863A" w14:textId="77777777" w:rsidR="00773A16" w:rsidRDefault="00773A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AC59D4" w14:textId="77777777" w:rsidR="000D24CA" w:rsidRDefault="000D24CA">
      <w:r>
        <w:separator/>
      </w:r>
    </w:p>
  </w:footnote>
  <w:footnote w:type="continuationSeparator" w:id="0">
    <w:p w14:paraId="09CCD685" w14:textId="77777777" w:rsidR="000D24CA" w:rsidRDefault="000D24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CB4683" w14:textId="77777777" w:rsidR="00773A16" w:rsidRDefault="00773A1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DD9FD0" w14:textId="77777777" w:rsidR="00773A16" w:rsidRDefault="00000000">
    <w:r>
      <w:rPr>
        <w:noProof/>
      </w:rPr>
      <w:drawing>
        <wp:inline distT="114300" distB="114300" distL="114300" distR="114300" wp14:anchorId="19B59139" wp14:editId="6590F2AC">
          <wp:extent cx="1304925" cy="514350"/>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1" name="image3.png"/>
                  <pic:cNvPicPr preferRelativeResize="0"/>
                </pic:nvPicPr>
                <pic:blipFill>
                  <a:blip r:embed="rId1"/>
                  <a:srcRect/>
                  <a:stretch>
                    <a:fillRect/>
                  </a:stretch>
                </pic:blipFill>
                <pic:spPr>
                  <a:xfrm>
                    <a:off x="0" y="0"/>
                    <a:ext cx="1304925" cy="51435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A8BC36" w14:textId="77777777" w:rsidR="00773A16" w:rsidRDefault="00773A1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54001"/>
    <w:multiLevelType w:val="multilevel"/>
    <w:tmpl w:val="05F5400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AA97D23"/>
    <w:multiLevelType w:val="multilevel"/>
    <w:tmpl w:val="1AA97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8CF47A9"/>
    <w:multiLevelType w:val="multilevel"/>
    <w:tmpl w:val="28CF47A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B1208D9"/>
    <w:multiLevelType w:val="multilevel"/>
    <w:tmpl w:val="2B1208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151500A"/>
    <w:multiLevelType w:val="multilevel"/>
    <w:tmpl w:val="515150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CFC5BA5"/>
    <w:multiLevelType w:val="multilevel"/>
    <w:tmpl w:val="6CFC5BA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ED65DF6"/>
    <w:multiLevelType w:val="multilevel"/>
    <w:tmpl w:val="6ED65D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7C312DB3"/>
    <w:multiLevelType w:val="multilevel"/>
    <w:tmpl w:val="7C312DB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009139839">
    <w:abstractNumId w:val="3"/>
  </w:num>
  <w:num w:numId="2" w16cid:durableId="1120223009">
    <w:abstractNumId w:val="2"/>
  </w:num>
  <w:num w:numId="3" w16cid:durableId="717555448">
    <w:abstractNumId w:val="6"/>
  </w:num>
  <w:num w:numId="4" w16cid:durableId="1073698516">
    <w:abstractNumId w:val="4"/>
  </w:num>
  <w:num w:numId="5" w16cid:durableId="1228997422">
    <w:abstractNumId w:val="5"/>
  </w:num>
  <w:num w:numId="6" w16cid:durableId="1109590446">
    <w:abstractNumId w:val="0"/>
  </w:num>
  <w:num w:numId="7" w16cid:durableId="373039500">
    <w:abstractNumId w:val="7"/>
  </w:num>
  <w:num w:numId="8" w16cid:durableId="17709277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5BEF"/>
    <w:rsid w:val="000D24CA"/>
    <w:rsid w:val="00114554"/>
    <w:rsid w:val="002067D5"/>
    <w:rsid w:val="00296CE8"/>
    <w:rsid w:val="00363AD4"/>
    <w:rsid w:val="003F7191"/>
    <w:rsid w:val="00773A16"/>
    <w:rsid w:val="00874C47"/>
    <w:rsid w:val="009B428A"/>
    <w:rsid w:val="009B5BEF"/>
    <w:rsid w:val="00A13DFD"/>
    <w:rsid w:val="00B0563F"/>
    <w:rsid w:val="00CA4AF8"/>
    <w:rsid w:val="22E20840"/>
  </w:rsids>
  <m:mathPr>
    <m:mathFont m:val="Cambria Math"/>
    <m:brkBin m:val="before"/>
    <m:brkBinSub m:val="--"/>
    <m:smallFrac m:val="0"/>
    <m:dispDef/>
    <m:lMargin m:val="0"/>
    <m:rMargin m:val="0"/>
    <m:defJc m:val="centerGroup"/>
    <m:wrapIndent m:val="1440"/>
    <m:intLim m:val="subSup"/>
    <m:naryLim m:val="undOvr"/>
  </m:mathPr>
  <w:themeFontLang w:val="en-IN"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D144D9"/>
  <w15:docId w15:val="{079AD264-F90B-4D7B-9E18-8C9F22CA9C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360" w:lineRule="auto"/>
      <w:jc w:val="both"/>
    </w:pPr>
    <w:rPr>
      <w:sz w:val="24"/>
      <w:szCs w:val="24"/>
      <w:lang w:val="en"/>
    </w:rPr>
  </w:style>
  <w:style w:type="paragraph" w:styleId="Heading1">
    <w:name w:val="heading 1"/>
    <w:basedOn w:val="Normal"/>
    <w:next w:val="Normal"/>
    <w:uiPriority w:val="9"/>
    <w:qFormat/>
    <w:pPr>
      <w:keepNext/>
      <w:keepLines/>
      <w:spacing w:before="400" w:after="120"/>
      <w:outlineLvl w:val="0"/>
    </w:pPr>
    <w:rPr>
      <w:b/>
      <w:bCs/>
      <w:sz w:val="28"/>
      <w:szCs w:val="28"/>
    </w:rPr>
  </w:style>
  <w:style w:type="paragraph" w:styleId="Heading2">
    <w:name w:val="heading 2"/>
    <w:basedOn w:val="Normal"/>
    <w:next w:val="Normal"/>
    <w:uiPriority w:val="9"/>
    <w:unhideWhenUsed/>
    <w:qFormat/>
    <w:pPr>
      <w:keepNext/>
      <w:keepLines/>
      <w:spacing w:before="360" w:after="120"/>
      <w:outlineLvl w:val="1"/>
    </w:pPr>
    <w:rPr>
      <w:b/>
      <w:bCs/>
      <w:sz w:val="26"/>
      <w:szCs w:val="26"/>
    </w:rPr>
  </w:style>
  <w:style w:type="paragraph" w:styleId="Heading3">
    <w:name w:val="heading 3"/>
    <w:basedOn w:val="Normal"/>
    <w:next w:val="Normal"/>
    <w:uiPriority w:val="9"/>
    <w:unhideWhenUsed/>
    <w:qFormat/>
    <w:pPr>
      <w:keepNext/>
      <w:keepLines/>
      <w:spacing w:before="320" w:after="80"/>
      <w:outlineLvl w:val="2"/>
    </w:pPr>
    <w:rPr>
      <w:b/>
      <w:b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513"/>
        <w:tab w:val="right" w:pos="9026"/>
      </w:tabs>
      <w:spacing w:line="240" w:lineRule="auto"/>
    </w:pPr>
  </w:style>
  <w:style w:type="paragraph" w:styleId="Header">
    <w:name w:val="header"/>
    <w:basedOn w:val="Normal"/>
    <w:link w:val="HeaderChar"/>
    <w:uiPriority w:val="99"/>
    <w:unhideWhenUsed/>
    <w:qFormat/>
    <w:pPr>
      <w:tabs>
        <w:tab w:val="center" w:pos="4513"/>
        <w:tab w:val="right" w:pos="9026"/>
      </w:tabs>
      <w:spacing w:line="240" w:lineRule="auto"/>
    </w:pPr>
  </w:style>
  <w:style w:type="character" w:styleId="Hyperlink">
    <w:name w:val="Hyperlink"/>
    <w:basedOn w:val="DefaultParagraphFont"/>
    <w:uiPriority w:val="99"/>
    <w:unhideWhenUsed/>
    <w:qFormat/>
    <w:rPr>
      <w:color w:val="0000FF" w:themeColor="hyperlink"/>
      <w:u w:val="single"/>
    </w:rPr>
  </w:style>
  <w:style w:type="paragraph" w:styleId="Subtitle">
    <w:name w:val="Subtitle"/>
    <w:basedOn w:val="Normal"/>
    <w:next w:val="Normal"/>
    <w:uiPriority w:val="11"/>
    <w:qFormat/>
    <w:pPr>
      <w:keepNext/>
      <w:keepLines/>
      <w:spacing w:after="320"/>
    </w:pPr>
    <w:rPr>
      <w:color w:val="666666"/>
      <w:sz w:val="30"/>
      <w:szCs w:val="30"/>
    </w:rPr>
  </w:style>
  <w:style w:type="paragraph" w:styleId="Title">
    <w:name w:val="Title"/>
    <w:basedOn w:val="Normal"/>
    <w:next w:val="Normal"/>
    <w:uiPriority w:val="10"/>
    <w:qFormat/>
    <w:pPr>
      <w:keepNext/>
      <w:keepLines/>
      <w:spacing w:after="60"/>
      <w:jc w:val="center"/>
    </w:pPr>
    <w:rPr>
      <w:b/>
      <w:bCs/>
      <w:sz w:val="32"/>
      <w:szCs w:val="32"/>
    </w:rPr>
  </w:style>
  <w:style w:type="paragraph" w:styleId="TOC1">
    <w:name w:val="toc 1"/>
    <w:basedOn w:val="Normal"/>
    <w:next w:val="Normal"/>
    <w:autoRedefine/>
    <w:uiPriority w:val="39"/>
    <w:unhideWhenUsed/>
    <w:qFormat/>
    <w:pPr>
      <w:spacing w:after="100"/>
    </w:pPr>
  </w:style>
  <w:style w:type="paragraph" w:styleId="TOC2">
    <w:name w:val="toc 2"/>
    <w:basedOn w:val="Normal"/>
    <w:next w:val="Normal"/>
    <w:autoRedefine/>
    <w:uiPriority w:val="39"/>
    <w:unhideWhenUsed/>
    <w:qFormat/>
    <w:pPr>
      <w:spacing w:after="100"/>
      <w:ind w:left="240"/>
    </w:pPr>
  </w:style>
  <w:style w:type="paragraph" w:styleId="TOC3">
    <w:name w:val="toc 3"/>
    <w:basedOn w:val="Normal"/>
    <w:next w:val="Normal"/>
    <w:autoRedefine/>
    <w:uiPriority w:val="39"/>
    <w:unhideWhenUsed/>
    <w:qFormat/>
    <w:pPr>
      <w:spacing w:after="100"/>
      <w:ind w:left="480"/>
    </w:pPr>
  </w:style>
  <w:style w:type="table" w:customStyle="1" w:styleId="TableNormal0">
    <w:name w:val="TableNormal"/>
    <w:qFormat/>
    <w:tblPr>
      <w:tblCellMar>
        <w:top w:w="100" w:type="dxa"/>
        <w:left w:w="100" w:type="dxa"/>
        <w:bottom w:w="100" w:type="dxa"/>
        <w:right w:w="100" w:type="dxa"/>
      </w:tblCellMar>
    </w:tblPr>
  </w:style>
  <w:style w:type="table" w:customStyle="1" w:styleId="Style12">
    <w:name w:val="_Style 12"/>
    <w:basedOn w:val="TableNormal0"/>
    <w:qFormat/>
    <w:tblPr/>
  </w:style>
  <w:style w:type="table" w:customStyle="1" w:styleId="Style13">
    <w:name w:val="_Style 13"/>
    <w:basedOn w:val="TableNormal0"/>
    <w:qFormat/>
    <w:tblPr/>
  </w:style>
  <w:style w:type="table" w:customStyle="1" w:styleId="Style14">
    <w:name w:val="_Style 14"/>
    <w:basedOn w:val="TableNormal0"/>
    <w:qFormat/>
    <w:tblPr/>
  </w:style>
  <w:style w:type="table" w:customStyle="1" w:styleId="Style15">
    <w:name w:val="_Style 15"/>
    <w:basedOn w:val="TableNormal0"/>
    <w:qFormat/>
    <w:tblPr/>
  </w:style>
  <w:style w:type="paragraph" w:customStyle="1" w:styleId="TOCHeading1">
    <w:name w:val="TOC Heading1"/>
    <w:basedOn w:val="Heading1"/>
    <w:next w:val="Normal"/>
    <w:uiPriority w:val="39"/>
    <w:unhideWhenUsed/>
    <w:qFormat/>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doi.org/10.55677/GJEFR/09-2025-Vol02E11" TargetMode="External"/><Relationship Id="rId21" Type="http://schemas.openxmlformats.org/officeDocument/2006/relationships/hyperlink" Target="https://doi.org/10.1108/IJOA-02-2023-3635" TargetMode="External"/><Relationship Id="rId42" Type="http://schemas.openxmlformats.org/officeDocument/2006/relationships/hyperlink" Target="https://doi.org/10.3390/su16010016" TargetMode="External"/><Relationship Id="rId47" Type="http://schemas.openxmlformats.org/officeDocument/2006/relationships/hyperlink" Target="https://books.google.com/books?hl=en&amp;lr=&amp;id=xgmhEQAAQBAJ&amp;oi=fnd&amp;pg=PA93&amp;dq=+Change+Management+Model+by+Kotter+unilever&amp;ots=qlTT4npC42&amp;sig=ZG1w4-fdZzaDbusjz4DEVI4Fq0Y" TargetMode="External"/><Relationship Id="rId63" Type="http://schemas.openxmlformats.org/officeDocument/2006/relationships/hyperlink" Target="https://link.springer.com/article/10.1186/s40991-016-0004-6" TargetMode="External"/><Relationship Id="rId68" Type="http://schemas.openxmlformats.org/officeDocument/2006/relationships/hyperlink" Target="https://www.theguardian.com/business/2024/oct/10/unilever-sells-russian-business-after-pressure-from-campaigners" TargetMode="External"/><Relationship Id="rId84" Type="http://schemas.openxmlformats.org/officeDocument/2006/relationships/footer" Target="footer1.xml"/><Relationship Id="rId89" Type="http://schemas.openxmlformats.org/officeDocument/2006/relationships/theme" Target="theme/theme1.xml"/><Relationship Id="rId16" Type="http://schemas.openxmlformats.org/officeDocument/2006/relationships/hyperlink" Target="https://doi.org/10.2991/aebmr.k.220209.057" TargetMode="External"/><Relationship Id="rId11" Type="http://schemas.openxmlformats.org/officeDocument/2006/relationships/image" Target="media/image4.png"/><Relationship Id="rId32" Type="http://schemas.openxmlformats.org/officeDocument/2006/relationships/hyperlink" Target="https://doi.org/10.3390/admsci13080187" TargetMode="External"/><Relationship Id="rId37" Type="http://schemas.openxmlformats.org/officeDocument/2006/relationships/hyperlink" Target="https://doi.org/10.3390/su12041685" TargetMode="External"/><Relationship Id="rId53" Type="http://schemas.openxmlformats.org/officeDocument/2006/relationships/hyperlink" Target="https://pdfs.semanticscholar.org/db3f/eb5c80d3778b1ec00f24667275cb8f7512fc.pdf" TargetMode="External"/><Relationship Id="rId58" Type="http://schemas.openxmlformats.org/officeDocument/2006/relationships/hyperlink" Target="https://www.euromonitor.com/newsroom/press-releases/june-2025/fmcg-e-commerce-sales-grow-by-11-in-2024" TargetMode="External"/><Relationship Id="rId74" Type="http://schemas.openxmlformats.org/officeDocument/2006/relationships/hyperlink" Target="https://www.unilever.com/sustainability/climate/" TargetMode="External"/><Relationship Id="rId79" Type="http://schemas.openxmlformats.org/officeDocument/2006/relationships/hyperlink" Target="https://www.unilever.com/files/origin/b7c407227f4eb0b869ff1b6b50f81d5c50ccdecd.pdf/2000-social-review-of-1999-data.pdf" TargetMode="External"/><Relationship Id="rId5" Type="http://schemas.openxmlformats.org/officeDocument/2006/relationships/webSettings" Target="webSettings.xml"/><Relationship Id="rId14" Type="http://schemas.openxmlformats.org/officeDocument/2006/relationships/hyperlink" Target="https://doi.org/10.1007/978-3-032-00250-1_53" TargetMode="External"/><Relationship Id="rId22" Type="http://schemas.openxmlformats.org/officeDocument/2006/relationships/hyperlink" Target="https://doi.org/10.1108/IJOA-02-2023-3635" TargetMode="External"/><Relationship Id="rId27" Type="http://schemas.openxmlformats.org/officeDocument/2006/relationships/hyperlink" Target="https://doi.org/10.1016/j.indmarman.2022.12.008" TargetMode="External"/><Relationship Id="rId30" Type="http://schemas.openxmlformats.org/officeDocument/2006/relationships/hyperlink" Target="https://doi.org/10.3390/admsci13080187" TargetMode="External"/><Relationship Id="rId35" Type="http://schemas.openxmlformats.org/officeDocument/2006/relationships/hyperlink" Target="https://doi.org/10.18276/ais.2024.50-06" TargetMode="External"/><Relationship Id="rId43" Type="http://schemas.openxmlformats.org/officeDocument/2006/relationships/hyperlink" Target="https://doi.org/10.3390/su16010016" TargetMode="External"/><Relationship Id="rId48" Type="http://schemas.openxmlformats.org/officeDocument/2006/relationships/hyperlink" Target="https://onlinelibrary.wiley.com/doi/pdf/10.1002/jsc.70023" TargetMode="External"/><Relationship Id="rId56" Type="http://schemas.openxmlformats.org/officeDocument/2006/relationships/hyperlink" Target="https://onlinelibrary.wiley.com/doi/pdf/10.1002/jsc.70023" TargetMode="External"/><Relationship Id="rId64" Type="http://schemas.openxmlformats.org/officeDocument/2006/relationships/hyperlink" Target="https://link.springer.com/article/10.1186/s40991-016-0004-6" TargetMode="External"/><Relationship Id="rId69" Type="http://schemas.openxmlformats.org/officeDocument/2006/relationships/hyperlink" Target="https://www.theguardian.com/business/2025/apr/24/unilever-and-nestle-indicate-more-price-increases-may-be-on-way-amid-market-uncertainty" TargetMode="External"/><Relationship Id="rId77" Type="http://schemas.openxmlformats.org/officeDocument/2006/relationships/hyperlink" Target="https://www.unilever.com/files/origin/b7c407227f4eb0b869ff1b6b50f81d5c50ccdecd.pdf/2000-social-review-of-1999-data.pdf" TargetMode="External"/><Relationship Id="rId8" Type="http://schemas.openxmlformats.org/officeDocument/2006/relationships/image" Target="media/image1.png"/><Relationship Id="rId51" Type="http://schemas.openxmlformats.org/officeDocument/2006/relationships/hyperlink" Target="https://doi.org/10.3390/su17135954" TargetMode="External"/><Relationship Id="rId72" Type="http://schemas.openxmlformats.org/officeDocument/2006/relationships/hyperlink" Target="https://www.unilever.com/news/news-search/2025/how-ai-is-helping-drive-desire-at-scale-across-unilever/" TargetMode="External"/><Relationship Id="rId80" Type="http://schemas.openxmlformats.org/officeDocument/2006/relationships/hyperlink" Target="https://www.unilever.com/files/origin/b7c407227f4eb0b869ff1b6b50f81d5c50ccdecd.pdf/2000-social-review-of-1999-data.pdf" TargetMode="External"/><Relationship Id="rId85" Type="http://schemas.openxmlformats.org/officeDocument/2006/relationships/footer" Target="footer2.xml"/><Relationship Id="rId3" Type="http://schemas.openxmlformats.org/officeDocument/2006/relationships/styles" Target="styles.xml"/><Relationship Id="rId12" Type="http://schemas.openxmlformats.org/officeDocument/2006/relationships/hyperlink" Target="https://doi.org/10.4135/9798348852573" TargetMode="External"/><Relationship Id="rId17" Type="http://schemas.openxmlformats.org/officeDocument/2006/relationships/hyperlink" Target="https://doi.org/10.2991/aebmr.k.220209.057" TargetMode="External"/><Relationship Id="rId25" Type="http://schemas.openxmlformats.org/officeDocument/2006/relationships/hyperlink" Target="https://doi.org/10.55677/GJEFR/09-2025-Vol02E11" TargetMode="External"/><Relationship Id="rId33" Type="http://schemas.openxmlformats.org/officeDocument/2006/relationships/hyperlink" Target="https://doi.org/10.1108/EJIM-05-2022-0226" TargetMode="External"/><Relationship Id="rId38" Type="http://schemas.openxmlformats.org/officeDocument/2006/relationships/hyperlink" Target="https://doi.org/10.1016/j.jbusres.2023.114104" TargetMode="External"/><Relationship Id="rId46" Type="http://schemas.openxmlformats.org/officeDocument/2006/relationships/hyperlink" Target="https://books.google.com/books?hl=en&amp;lr=&amp;id=xgmhEQAAQBAJ&amp;oi=fnd&amp;pg=PA93&amp;dq=+Change+Management+Model+by+Kotter+unilever&amp;ots=qlTT4npC42&amp;sig=ZG1w4-fdZzaDbusjz4DEVI4Fq0Y" TargetMode="External"/><Relationship Id="rId59" Type="http://schemas.openxmlformats.org/officeDocument/2006/relationships/hyperlink" Target="https://expertprogrammanagement.com/2021/02/kotters-8-step-change-model/" TargetMode="External"/><Relationship Id="rId67" Type="http://schemas.openxmlformats.org/officeDocument/2006/relationships/hyperlink" Target="https://www.theglobaleconomy.com/rankings/wb_political_stability/" TargetMode="External"/><Relationship Id="rId20" Type="http://schemas.openxmlformats.org/officeDocument/2006/relationships/hyperlink" Target="https://doi.org/10.24818/EA/2022/61/847" TargetMode="External"/><Relationship Id="rId41" Type="http://schemas.openxmlformats.org/officeDocument/2006/relationships/hyperlink" Target="https://doi.org/10.24818/BASIQ/2022/08/076" TargetMode="External"/><Relationship Id="rId54" Type="http://schemas.openxmlformats.org/officeDocument/2006/relationships/hyperlink" Target="https://sk.sagepub.com/foundations/ansoff-matrix?tab=Theory+In+Practice" TargetMode="External"/><Relationship Id="rId62" Type="http://schemas.openxmlformats.org/officeDocument/2006/relationships/hyperlink" Target="https://www.pwc.com/gx/en/news-room/press-releases/2024/pwc-2024-voice-of-consumer-survey.html" TargetMode="External"/><Relationship Id="rId70" Type="http://schemas.openxmlformats.org/officeDocument/2006/relationships/hyperlink" Target="https://www.unep.org/plastic-pollution" TargetMode="External"/><Relationship Id="rId75" Type="http://schemas.openxmlformats.org/officeDocument/2006/relationships/hyperlink" Target="https://www.unilever.com/sustainability/" TargetMode="External"/><Relationship Id="rId83" Type="http://schemas.openxmlformats.org/officeDocument/2006/relationships/header" Target="header2.xml"/><Relationship Id="rId88"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1007/978-3-032-00250-1_53" TargetMode="External"/><Relationship Id="rId23" Type="http://schemas.openxmlformats.org/officeDocument/2006/relationships/hyperlink" Target="https://doi.org/10.31181/msa21202528" TargetMode="External"/><Relationship Id="rId28" Type="http://schemas.openxmlformats.org/officeDocument/2006/relationships/hyperlink" Target="https://www.theseus.fi/bitstream/handle/10024/887397/Jayawardana_Prabhashi.pdf?sequence=2" TargetMode="External"/><Relationship Id="rId36" Type="http://schemas.openxmlformats.org/officeDocument/2006/relationships/hyperlink" Target="https://onlinelibrary.wiley.com/doi/pdf/10.1002/jsc.70023" TargetMode="External"/><Relationship Id="rId49" Type="http://schemas.openxmlformats.org/officeDocument/2006/relationships/hyperlink" Target="https://doi.org/10.3390/logistics8040111" TargetMode="External"/><Relationship Id="rId57" Type="http://schemas.openxmlformats.org/officeDocument/2006/relationships/hyperlink" Target="https://onlinelibrary.wiley.com/doi/pdf/10.1002/jsc.70023" TargetMode="External"/><Relationship Id="rId10" Type="http://schemas.openxmlformats.org/officeDocument/2006/relationships/image" Target="media/image3.png"/><Relationship Id="rId31" Type="http://schemas.openxmlformats.org/officeDocument/2006/relationships/hyperlink" Target="https://onlinelibrary.wiley.com/doi/pdf/10.1002/jsc.70023" TargetMode="External"/><Relationship Id="rId44" Type="http://schemas.openxmlformats.org/officeDocument/2006/relationships/hyperlink" Target="https://onlinelibrary.wiley.com/doi/pdf/10.1002/bse.4258" TargetMode="External"/><Relationship Id="rId52" Type="http://schemas.openxmlformats.org/officeDocument/2006/relationships/hyperlink" Target="https://pdfs.semanticscholar.org/db3f/eb5c80d3778b1ec00f24667275cb8f7512fc.pdf" TargetMode="External"/><Relationship Id="rId60" Type="http://schemas.openxmlformats.org/officeDocument/2006/relationships/hyperlink" Target="https://www.globenewswire.com/news-release/2025/11/03/3179370/0/en/Global-Sustainable-Packaging-Usage-Trends-Reflect-Growing-Consumer-Demand-for-Eco-Friendly-Solutions.html" TargetMode="External"/><Relationship Id="rId65" Type="http://schemas.openxmlformats.org/officeDocument/2006/relationships/hyperlink" Target="https://www.statista.com/statistics/256598/global-inflation-rate-compared-to-previous-year/?srsltid=AfmBOopaorwLoreT4YGL6KMj_JHIkAV69_e1HfEpnCaaAqnb74mro_sH" TargetMode="External"/><Relationship Id="rId73" Type="http://schemas.openxmlformats.org/officeDocument/2006/relationships/hyperlink" Target="https://www.unilever.com/our-company/at-a-glance/" TargetMode="External"/><Relationship Id="rId78" Type="http://schemas.openxmlformats.org/officeDocument/2006/relationships/hyperlink" Target="https://www.unilever.com/files/origin/b7c407227f4eb0b869ff1b6b50f81d5c50ccdecd.pdf/2000-social-review-of-1999-data.pdf" TargetMode="External"/><Relationship Id="rId81" Type="http://schemas.openxmlformats.org/officeDocument/2006/relationships/hyperlink" Target="https://finance.yahoo.com/news/25-countries-highest-inflation-world-200709169.html?guccounter=1&amp;guce_referrer=aHR0cHM6Ly93d3cuZ29vZ2xlLmNvbS8&amp;guce_referrer_sig=AQAAACqx2NM6ZBFPVzhfrIz1_SHXnY8vVhPiJhtoKj97Usxe100HwQURYNWVXB0ge2DE1cZazDwMW3-q5310clwIh7loV1W0O98nwuNDcbXma42JTd2_LWWPFOWIsThoRnpC3N8UZ_MolC9IqIu9zTAyY93Nsfpwi9EKGflYRjPNvzgj" TargetMode="External"/><Relationship Id="rId86"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s://doi.org/10.4135/9798348852573" TargetMode="External"/><Relationship Id="rId18" Type="http://schemas.openxmlformats.org/officeDocument/2006/relationships/hyperlink" Target="https://onlinelibrary.wiley.com/doi/pdf/10.1002/jsc.70023" TargetMode="External"/><Relationship Id="rId39" Type="http://schemas.openxmlformats.org/officeDocument/2006/relationships/hyperlink" Target="https://doi.org/10.1016/j.jbusres.2023.114104" TargetMode="External"/><Relationship Id="rId34" Type="http://schemas.openxmlformats.org/officeDocument/2006/relationships/hyperlink" Target="https://doi.org/10.1108/EJIM-05-2022-0226" TargetMode="External"/><Relationship Id="rId50" Type="http://schemas.openxmlformats.org/officeDocument/2006/relationships/hyperlink" Target="https://onlinelibrary.wiley.com/doi/pdf/10.1002/jsc.70023" TargetMode="External"/><Relationship Id="rId55" Type="http://schemas.openxmlformats.org/officeDocument/2006/relationships/hyperlink" Target="https://sk.sagepub.com/foundations/ansoff-matrix?tab=Theory+In+Practice" TargetMode="External"/><Relationship Id="rId76" Type="http://schemas.openxmlformats.org/officeDocument/2006/relationships/hyperlink" Target="https://www.unilever.com/sustainability/" TargetMode="External"/><Relationship Id="rId7" Type="http://schemas.openxmlformats.org/officeDocument/2006/relationships/endnotes" Target="endnotes.xml"/><Relationship Id="rId71" Type="http://schemas.openxmlformats.org/officeDocument/2006/relationships/hyperlink" Target="https://www.unilever.com/news/news-search/2024/future-rd-how-unilever-is-transforming-innovation-with-microsoft/" TargetMode="External"/><Relationship Id="rId2" Type="http://schemas.openxmlformats.org/officeDocument/2006/relationships/numbering" Target="numbering.xml"/><Relationship Id="rId29" Type="http://schemas.openxmlformats.org/officeDocument/2006/relationships/hyperlink" Target="https://doi.org/10.3390/admsci13080187" TargetMode="External"/><Relationship Id="rId24" Type="http://schemas.openxmlformats.org/officeDocument/2006/relationships/hyperlink" Target="https://doi.org/10.31181/msa21202528" TargetMode="External"/><Relationship Id="rId40" Type="http://schemas.openxmlformats.org/officeDocument/2006/relationships/hyperlink" Target="https://doi.org/10.24818/BASIQ/2022/08/076" TargetMode="External"/><Relationship Id="rId45" Type="http://schemas.openxmlformats.org/officeDocument/2006/relationships/hyperlink" Target="https://onlinelibrary.wiley.com/doi/pdf/10.1002/bse.4258" TargetMode="External"/><Relationship Id="rId66" Type="http://schemas.openxmlformats.org/officeDocument/2006/relationships/hyperlink" Target="https://www.statista.com/statistics/269190/global-revenue-of-the-unilever-group-since-2007/?srsltid=AfmBOoqOee3v8hldhDL3J5NEk16OTA1nz2lAniidKUGBumINv72oYvXs" TargetMode="External"/><Relationship Id="rId87" Type="http://schemas.openxmlformats.org/officeDocument/2006/relationships/footer" Target="footer3.xml"/><Relationship Id="rId61" Type="http://schemas.openxmlformats.org/officeDocument/2006/relationships/hyperlink" Target="https://www.imf.org/en/blogs/articles/2024/07/22/financial-stability-implications-of-emerging-market-currency-developments" TargetMode="External"/><Relationship Id="rId82" Type="http://schemas.openxmlformats.org/officeDocument/2006/relationships/header" Target="header1.xml"/><Relationship Id="rId19" Type="http://schemas.openxmlformats.org/officeDocument/2006/relationships/hyperlink" Target="https://doi.org/10.3390/su152215935"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C0D60D-55E1-4B24-B89B-FD74819808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8188</Words>
  <Characters>46673</Characters>
  <Application>Microsoft Office Word</Application>
  <DocSecurity>0</DocSecurity>
  <Lines>388</Lines>
  <Paragraphs>109</Paragraphs>
  <ScaleCrop>false</ScaleCrop>
  <Company/>
  <LinksUpToDate>false</LinksUpToDate>
  <CharactersWithSpaces>54752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91628</dc:creator>
  <cp:lastModifiedBy>Rahul Jyoti</cp:lastModifiedBy>
  <cp:revision>2</cp:revision>
  <dcterms:created xsi:type="dcterms:W3CDTF">2026-04-30T05:59:00Z</dcterms:created>
  <dcterms:modified xsi:type="dcterms:W3CDTF">2026-04-30T05:59:00Z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2f181fee-36c3-4374-a730-165cf4dc7a50</vt:lpwstr>
  </property>
  <property fmtid="{D5CDD505-2E9C-101B-9397-08002B2CF9AE}" pid="3" name="KSOTemplateDocerSaveRecord">
    <vt:lpwstr>eyJoZGlkIjoiNmE4YjRmMjkzZGFlZTYyMDgyMDJjYTAzYWE2OWQ2OGEiLCJ1c2VySWQiOiI1NjcwNjEyMzcxMTYifQ==</vt:lpwstr>
  </property>
  <property fmtid="{D5CDD505-2E9C-101B-9397-08002B2CF9AE}" pid="4" name="KSOProductBuildVer">
    <vt:lpwstr>1033-12.1.0.25862</vt:lpwstr>
  </property>
  <property fmtid="{D5CDD505-2E9C-101B-9397-08002B2CF9AE}" pid="5" name="ICV">
    <vt:lpwstr>8CFEE29D8F08428DBEF5C1FFDA7C2BA8_13</vt:lpwstr>
  </property>
</Properties>
</file>