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ACCB0C" w14:textId="77777777" w:rsidR="00AA74A4" w:rsidRDefault="00AA74A4" w:rsidP="00AA74A4">
      <w:pPr>
        <w:spacing w:line="480" w:lineRule="auto"/>
        <w:rPr>
          <w:rFonts w:ascii="Arial" w:hAnsi="Arial" w:cs="Arial"/>
        </w:rPr>
      </w:pPr>
    </w:p>
    <w:p w14:paraId="0F05C4B0" w14:textId="77777777" w:rsidR="00AA74A4" w:rsidRDefault="00AA74A4" w:rsidP="00AA74A4">
      <w:pPr>
        <w:spacing w:line="480" w:lineRule="auto"/>
        <w:rPr>
          <w:rFonts w:ascii="Arial" w:hAnsi="Arial" w:cs="Arial"/>
        </w:rPr>
      </w:pPr>
    </w:p>
    <w:p w14:paraId="111E9F5E" w14:textId="77777777" w:rsidR="00AA74A4" w:rsidRDefault="00AA74A4" w:rsidP="00AA74A4">
      <w:pPr>
        <w:spacing w:line="480" w:lineRule="auto"/>
        <w:rPr>
          <w:rFonts w:ascii="Arial" w:hAnsi="Arial" w:cs="Arial"/>
        </w:rPr>
      </w:pPr>
    </w:p>
    <w:p w14:paraId="1E5F828E" w14:textId="77777777" w:rsidR="00AA74A4" w:rsidRDefault="00AA74A4" w:rsidP="00AA74A4">
      <w:pPr>
        <w:spacing w:line="480" w:lineRule="auto"/>
        <w:rPr>
          <w:rFonts w:ascii="Arial" w:hAnsi="Arial" w:cs="Arial"/>
        </w:rPr>
      </w:pPr>
    </w:p>
    <w:p w14:paraId="5BEB351F" w14:textId="77777777" w:rsidR="00AA74A4" w:rsidRDefault="00AA74A4" w:rsidP="00AA74A4">
      <w:pPr>
        <w:spacing w:line="480" w:lineRule="auto"/>
        <w:rPr>
          <w:rFonts w:ascii="Arial" w:hAnsi="Arial" w:cs="Arial"/>
        </w:rPr>
      </w:pPr>
    </w:p>
    <w:p w14:paraId="6732EA2F" w14:textId="77777777" w:rsidR="00AA74A4" w:rsidRDefault="00AA74A4" w:rsidP="00AA74A4">
      <w:pPr>
        <w:spacing w:line="480" w:lineRule="auto"/>
        <w:rPr>
          <w:rFonts w:ascii="Arial" w:hAnsi="Arial" w:cs="Arial"/>
        </w:rPr>
      </w:pPr>
    </w:p>
    <w:p w14:paraId="1A67A063" w14:textId="77777777" w:rsidR="00AA74A4" w:rsidRDefault="00AA74A4" w:rsidP="00AA74A4">
      <w:pPr>
        <w:spacing w:line="480" w:lineRule="auto"/>
        <w:rPr>
          <w:rFonts w:ascii="Arial" w:hAnsi="Arial" w:cs="Arial"/>
        </w:rPr>
      </w:pPr>
    </w:p>
    <w:p w14:paraId="14C191F9" w14:textId="7B05698F" w:rsidR="00AA74A4" w:rsidRDefault="00AA74A4" w:rsidP="00AA74A4">
      <w:pPr>
        <w:spacing w:line="480" w:lineRule="auto"/>
        <w:jc w:val="center"/>
        <w:rPr>
          <w:rFonts w:ascii="Arial" w:hAnsi="Arial" w:cs="Arial"/>
        </w:rPr>
      </w:pPr>
    </w:p>
    <w:p w14:paraId="3DFFB57C" w14:textId="3C77925B" w:rsidR="000506C5" w:rsidRDefault="000506C5" w:rsidP="00AA74A4">
      <w:pPr>
        <w:spacing w:line="480" w:lineRule="auto"/>
        <w:jc w:val="center"/>
        <w:rPr>
          <w:rFonts w:ascii="Arial" w:hAnsi="Arial" w:cs="Arial"/>
        </w:rPr>
      </w:pPr>
      <w:r>
        <w:rPr>
          <w:rFonts w:ascii="Arial" w:hAnsi="Arial" w:cs="Arial"/>
        </w:rPr>
        <w:t>LORINE AIKPAOJIE</w:t>
      </w:r>
    </w:p>
    <w:p w14:paraId="106EFC67" w14:textId="18E6135D" w:rsidR="000506C5" w:rsidRDefault="000506C5" w:rsidP="00AA74A4">
      <w:pPr>
        <w:spacing w:line="480" w:lineRule="auto"/>
        <w:jc w:val="center"/>
        <w:rPr>
          <w:rFonts w:ascii="Arial" w:hAnsi="Arial" w:cs="Arial"/>
        </w:rPr>
      </w:pPr>
      <w:r>
        <w:rPr>
          <w:rFonts w:ascii="Arial" w:hAnsi="Arial" w:cs="Arial"/>
        </w:rPr>
        <w:t>2532537</w:t>
      </w:r>
    </w:p>
    <w:p w14:paraId="01FD4BD6" w14:textId="503BEB1C" w:rsidR="000506C5" w:rsidRDefault="000506C5" w:rsidP="00AA74A4">
      <w:pPr>
        <w:spacing w:line="480" w:lineRule="auto"/>
        <w:jc w:val="center"/>
        <w:rPr>
          <w:rFonts w:ascii="Arial" w:hAnsi="Arial" w:cs="Arial"/>
        </w:rPr>
      </w:pPr>
      <w:r>
        <w:rPr>
          <w:rFonts w:ascii="Arial" w:hAnsi="Arial" w:cs="Arial"/>
        </w:rPr>
        <w:t>LCHS7002</w:t>
      </w:r>
    </w:p>
    <w:p w14:paraId="0B966C71" w14:textId="7E3EF6DB" w:rsidR="000506C5" w:rsidRDefault="000506C5" w:rsidP="00AA74A4">
      <w:pPr>
        <w:spacing w:line="480" w:lineRule="auto"/>
        <w:jc w:val="center"/>
        <w:rPr>
          <w:rFonts w:ascii="Arial" w:hAnsi="Arial" w:cs="Arial"/>
        </w:rPr>
      </w:pPr>
      <w:r>
        <w:rPr>
          <w:rFonts w:ascii="Arial" w:hAnsi="Arial" w:cs="Arial"/>
        </w:rPr>
        <w:t>HEALTH CARE SYSTEM ORGANISATION AND   LEADERSHIP</w:t>
      </w:r>
    </w:p>
    <w:p w14:paraId="7202C040" w14:textId="1417DDF6" w:rsidR="000506C5" w:rsidRDefault="000506C5" w:rsidP="00AA74A4">
      <w:pPr>
        <w:spacing w:line="480" w:lineRule="auto"/>
        <w:jc w:val="center"/>
        <w:rPr>
          <w:rFonts w:ascii="Arial" w:hAnsi="Arial" w:cs="Arial"/>
        </w:rPr>
      </w:pPr>
      <w:r>
        <w:rPr>
          <w:rFonts w:ascii="Arial" w:hAnsi="Arial" w:cs="Arial"/>
        </w:rPr>
        <w:t>TONIA BABALOLA</w:t>
      </w:r>
    </w:p>
    <w:p w14:paraId="6A4FDB20" w14:textId="63FE8B91" w:rsidR="000506C5" w:rsidRDefault="000506C5" w:rsidP="00AA74A4">
      <w:pPr>
        <w:spacing w:line="480" w:lineRule="auto"/>
        <w:jc w:val="center"/>
        <w:rPr>
          <w:rFonts w:ascii="Arial" w:hAnsi="Arial" w:cs="Arial"/>
        </w:rPr>
      </w:pPr>
      <w:r>
        <w:rPr>
          <w:rFonts w:ascii="Arial" w:hAnsi="Arial" w:cs="Arial"/>
        </w:rPr>
        <w:t>CASE REPORT: UNINTENTIONAL OVERDOSE OF MORPHINE SULFATE ORAL SOLUTION</w:t>
      </w:r>
    </w:p>
    <w:p w14:paraId="02CD92CE" w14:textId="19AF8E5C" w:rsidR="000506C5" w:rsidRDefault="000506C5" w:rsidP="000506C5">
      <w:pPr>
        <w:spacing w:line="480" w:lineRule="auto"/>
        <w:jc w:val="center"/>
        <w:rPr>
          <w:rFonts w:ascii="Arial" w:hAnsi="Arial" w:cs="Arial"/>
        </w:rPr>
      </w:pPr>
    </w:p>
    <w:p w14:paraId="2FF2705E" w14:textId="77777777" w:rsidR="000506C5" w:rsidRDefault="000506C5" w:rsidP="00AA74A4">
      <w:pPr>
        <w:spacing w:line="480" w:lineRule="auto"/>
        <w:jc w:val="center"/>
        <w:rPr>
          <w:rFonts w:ascii="Arial" w:hAnsi="Arial" w:cs="Arial"/>
        </w:rPr>
      </w:pPr>
    </w:p>
    <w:p w14:paraId="1A168665" w14:textId="77777777" w:rsidR="000506C5" w:rsidRPr="00AA74A4" w:rsidRDefault="000506C5" w:rsidP="00AA74A4">
      <w:pPr>
        <w:spacing w:line="480" w:lineRule="auto"/>
        <w:jc w:val="center"/>
        <w:rPr>
          <w:rFonts w:ascii="Arial" w:hAnsi="Arial" w:cs="Arial"/>
        </w:rPr>
      </w:pPr>
    </w:p>
    <w:p w14:paraId="18376873" w14:textId="6109C5D6" w:rsidR="00BB2124" w:rsidRPr="00AA74A4" w:rsidRDefault="00BB2124" w:rsidP="00AA74A4">
      <w:pPr>
        <w:spacing w:line="480" w:lineRule="auto"/>
        <w:jc w:val="center"/>
        <w:rPr>
          <w:rFonts w:ascii="Arial" w:hAnsi="Arial" w:cs="Arial"/>
        </w:rPr>
      </w:pPr>
    </w:p>
    <w:p w14:paraId="5955EEFC" w14:textId="77777777" w:rsidR="00AA74A4" w:rsidRDefault="00AA74A4">
      <w:pPr>
        <w:rPr>
          <w:rFonts w:ascii="Arial" w:hAnsi="Arial" w:cs="Arial"/>
        </w:rPr>
      </w:pPr>
      <w:r>
        <w:rPr>
          <w:rFonts w:ascii="Arial" w:hAnsi="Arial" w:cs="Arial"/>
        </w:rPr>
        <w:br w:type="page"/>
      </w:r>
    </w:p>
    <w:p w14:paraId="7C61D042" w14:textId="5B25EF30" w:rsidR="00F678FF" w:rsidRPr="00AA74A4" w:rsidRDefault="00F678FF" w:rsidP="00AA74A4">
      <w:pPr>
        <w:spacing w:line="480" w:lineRule="auto"/>
        <w:jc w:val="center"/>
        <w:rPr>
          <w:rFonts w:ascii="Arial" w:hAnsi="Arial" w:cs="Arial"/>
          <w:b/>
          <w:bCs/>
        </w:rPr>
      </w:pPr>
      <w:r w:rsidRPr="00AA74A4">
        <w:rPr>
          <w:rFonts w:ascii="Arial" w:hAnsi="Arial" w:cs="Arial"/>
          <w:b/>
          <w:bCs/>
        </w:rPr>
        <w:lastRenderedPageBreak/>
        <w:t>Introduction</w:t>
      </w:r>
    </w:p>
    <w:p w14:paraId="4E5C5B16" w14:textId="665B01CE" w:rsidR="00AC3467" w:rsidRPr="00AA74A4" w:rsidRDefault="00097E81" w:rsidP="00AA74A4">
      <w:pPr>
        <w:spacing w:line="480" w:lineRule="auto"/>
        <w:rPr>
          <w:rFonts w:ascii="Arial" w:hAnsi="Arial" w:cs="Arial"/>
        </w:rPr>
      </w:pPr>
      <w:r w:rsidRPr="00AA74A4">
        <w:rPr>
          <w:rFonts w:ascii="Arial" w:hAnsi="Arial" w:cs="Arial"/>
        </w:rPr>
        <w:t>This</w:t>
      </w:r>
      <w:r w:rsidR="00AC3467" w:rsidRPr="00AA74A4">
        <w:rPr>
          <w:rFonts w:ascii="Arial" w:hAnsi="Arial" w:cs="Arial"/>
        </w:rPr>
        <w:t xml:space="preserve"> report</w:t>
      </w:r>
      <w:r w:rsidRPr="00AA74A4">
        <w:rPr>
          <w:rFonts w:ascii="Arial" w:hAnsi="Arial" w:cs="Arial"/>
        </w:rPr>
        <w:t xml:space="preserve"> focuses</w:t>
      </w:r>
      <w:r w:rsidR="00AC3467" w:rsidRPr="00AA74A4">
        <w:rPr>
          <w:rFonts w:ascii="Arial" w:hAnsi="Arial" w:cs="Arial"/>
        </w:rPr>
        <w:t xml:space="preserve"> on a transformation which took place within a health and soc</w:t>
      </w:r>
      <w:r w:rsidR="00FE6C13" w:rsidRPr="00AA74A4">
        <w:rPr>
          <w:rFonts w:ascii="Arial" w:hAnsi="Arial" w:cs="Arial"/>
        </w:rPr>
        <w:t xml:space="preserve">ial care organisation following a patient safety incident. The </w:t>
      </w:r>
      <w:r w:rsidR="00C04D87">
        <w:rPr>
          <w:rFonts w:ascii="Arial" w:hAnsi="Arial" w:cs="Arial"/>
        </w:rPr>
        <w:t>basis</w:t>
      </w:r>
      <w:r w:rsidR="00FE6C13" w:rsidRPr="00AA74A4">
        <w:rPr>
          <w:rFonts w:ascii="Arial" w:hAnsi="Arial" w:cs="Arial"/>
        </w:rPr>
        <w:t xml:space="preserve"> for this transformation is based on an investigation report by the Health Services Safety Investigations Body (HSSIB)</w:t>
      </w:r>
      <w:r w:rsidR="00D379A5" w:rsidRPr="00AA74A4">
        <w:rPr>
          <w:rFonts w:ascii="Arial" w:hAnsi="Arial" w:cs="Arial"/>
        </w:rPr>
        <w:t xml:space="preserve"> (2026)</w:t>
      </w:r>
      <w:r w:rsidR="00FE6C13" w:rsidRPr="00AA74A4">
        <w:rPr>
          <w:rFonts w:ascii="Arial" w:hAnsi="Arial" w:cs="Arial"/>
        </w:rPr>
        <w:t xml:space="preserve">, which is the independent body responsible for investigating patient safety concerns in England’s healthcare system, following a fatal accidental overdose of morphine </w:t>
      </w:r>
      <w:proofErr w:type="spellStart"/>
      <w:r w:rsidR="00FE6C13" w:rsidRPr="00AA74A4">
        <w:rPr>
          <w:rFonts w:ascii="Arial" w:hAnsi="Arial" w:cs="Arial"/>
        </w:rPr>
        <w:t>sulfate</w:t>
      </w:r>
      <w:proofErr w:type="spellEnd"/>
      <w:r w:rsidR="00FE6C13" w:rsidRPr="00AA74A4">
        <w:rPr>
          <w:rFonts w:ascii="Arial" w:hAnsi="Arial" w:cs="Arial"/>
        </w:rPr>
        <w:t xml:space="preserve"> oral solution by an 89-year-old man prescribed for his pain.</w:t>
      </w:r>
      <w:r w:rsidR="00D379A5" w:rsidRPr="00AA74A4">
        <w:rPr>
          <w:rFonts w:ascii="Arial" w:hAnsi="Arial" w:cs="Arial"/>
        </w:rPr>
        <w:t xml:space="preserve"> While a preliminary scoping investigation into the incident did not meet the threshold for a full national probe, the HSSIB (2022) recognised a critical opportunity to improve its performance and contribution to patient safety. The organisation chose to transform its approach by publishing a shorter,</w:t>
      </w:r>
      <w:r w:rsidRPr="00AA74A4">
        <w:rPr>
          <w:rFonts w:ascii="Arial" w:hAnsi="Arial" w:cs="Arial"/>
        </w:rPr>
        <w:t xml:space="preserve"> albeit</w:t>
      </w:r>
      <w:r w:rsidR="00D379A5" w:rsidRPr="00AA74A4">
        <w:rPr>
          <w:rFonts w:ascii="Arial" w:hAnsi="Arial" w:cs="Arial"/>
        </w:rPr>
        <w:t xml:space="preserve"> targeted investigation report.</w:t>
      </w:r>
    </w:p>
    <w:p w14:paraId="59E07840" w14:textId="3B71AFF1" w:rsidR="00D379A5" w:rsidRPr="00AA74A4" w:rsidRDefault="00D379A5" w:rsidP="00AA74A4">
      <w:pPr>
        <w:spacing w:line="480" w:lineRule="auto"/>
        <w:rPr>
          <w:rFonts w:ascii="Arial" w:hAnsi="Arial" w:cs="Arial"/>
        </w:rPr>
      </w:pPr>
      <w:r w:rsidRPr="00AA74A4">
        <w:rPr>
          <w:rFonts w:ascii="Arial" w:hAnsi="Arial" w:cs="Arial"/>
        </w:rPr>
        <w:t>In this context, leadership is defined as the ability to influence, motivate, and enable others to contribute toward the effectiveness and success of the organisations of which they are members (Perez</w:t>
      </w:r>
      <w:r w:rsidR="00A2390C">
        <w:rPr>
          <w:rFonts w:ascii="Arial" w:hAnsi="Arial" w:cs="Arial"/>
        </w:rPr>
        <w:t>,</w:t>
      </w:r>
      <w:r w:rsidRPr="00AA74A4">
        <w:rPr>
          <w:rFonts w:ascii="Arial" w:hAnsi="Arial" w:cs="Arial"/>
        </w:rPr>
        <w:t xml:space="preserve"> 2021). In health and social care, this translates to guiding professionals, teams, and entire systems towards the shared</w:t>
      </w:r>
      <w:r w:rsidR="006B41E6" w:rsidRPr="00AA74A4">
        <w:rPr>
          <w:rFonts w:ascii="Arial" w:hAnsi="Arial" w:cs="Arial"/>
        </w:rPr>
        <w:t xml:space="preserve"> and</w:t>
      </w:r>
      <w:r w:rsidRPr="00AA74A4">
        <w:rPr>
          <w:rFonts w:ascii="Arial" w:hAnsi="Arial" w:cs="Arial"/>
        </w:rPr>
        <w:t xml:space="preserve"> unequivocal goal of delivering safe, compassionate, and high-quality patient care. It involves creating a vision, building commitment, and navigating the complex interplay of professional hierarchies, resource constraints, and deeply ingrained cultural norms to achieve improvements that directly impact patient outcomes and public trust</w:t>
      </w:r>
      <w:r w:rsidR="006B41E6" w:rsidRPr="00AA74A4">
        <w:rPr>
          <w:rFonts w:ascii="Arial" w:hAnsi="Arial" w:cs="Arial"/>
        </w:rPr>
        <w:t xml:space="preserve"> (Perez</w:t>
      </w:r>
      <w:r w:rsidR="00A2390C">
        <w:rPr>
          <w:rFonts w:ascii="Arial" w:hAnsi="Arial" w:cs="Arial"/>
        </w:rPr>
        <w:t>,</w:t>
      </w:r>
      <w:r w:rsidR="006B41E6" w:rsidRPr="00AA74A4">
        <w:rPr>
          <w:rFonts w:ascii="Arial" w:hAnsi="Arial" w:cs="Arial"/>
        </w:rPr>
        <w:t xml:space="preserve"> 2021)</w:t>
      </w:r>
      <w:r w:rsidRPr="00AA74A4">
        <w:rPr>
          <w:rFonts w:ascii="Arial" w:hAnsi="Arial" w:cs="Arial"/>
        </w:rPr>
        <w:t>.</w:t>
      </w:r>
    </w:p>
    <w:p w14:paraId="147CF8D4" w14:textId="799F76B0" w:rsidR="006B41E6" w:rsidRPr="00AA74A4" w:rsidRDefault="006B41E6" w:rsidP="00AA74A4">
      <w:pPr>
        <w:spacing w:line="480" w:lineRule="auto"/>
        <w:rPr>
          <w:rFonts w:ascii="Arial" w:hAnsi="Arial" w:cs="Arial"/>
        </w:rPr>
      </w:pPr>
      <w:r w:rsidRPr="00AA74A4">
        <w:rPr>
          <w:rFonts w:ascii="Arial" w:hAnsi="Arial" w:cs="Arial"/>
        </w:rPr>
        <w:t>The initial</w:t>
      </w:r>
      <w:r w:rsidR="00C04D87">
        <w:rPr>
          <w:rFonts w:ascii="Arial" w:hAnsi="Arial" w:cs="Arial"/>
        </w:rPr>
        <w:t>ly</w:t>
      </w:r>
      <w:r w:rsidRPr="00AA74A4">
        <w:rPr>
          <w:rFonts w:ascii="Arial" w:hAnsi="Arial" w:cs="Arial"/>
        </w:rPr>
        <w:t xml:space="preserve"> rigid approach to investigation by HSSIB (2022) represents a degree of centralisation, where decisions about what constitutes a national-level issue are made at a central point (</w:t>
      </w:r>
      <w:proofErr w:type="spellStart"/>
      <w:r w:rsidRPr="00AA74A4">
        <w:rPr>
          <w:rFonts w:ascii="Arial" w:hAnsi="Arial" w:cs="Arial"/>
        </w:rPr>
        <w:t>Sreeramareddy</w:t>
      </w:r>
      <w:proofErr w:type="spellEnd"/>
      <w:r w:rsidRPr="00AA74A4">
        <w:rPr>
          <w:rFonts w:ascii="Arial" w:hAnsi="Arial" w:cs="Arial"/>
        </w:rPr>
        <w:t xml:space="preserve"> and Sathyanarayana</w:t>
      </w:r>
      <w:r w:rsidR="00A2390C">
        <w:rPr>
          <w:rFonts w:ascii="Arial" w:hAnsi="Arial" w:cs="Arial"/>
        </w:rPr>
        <w:t>,</w:t>
      </w:r>
      <w:r w:rsidRPr="00AA74A4">
        <w:rPr>
          <w:rFonts w:ascii="Arial" w:hAnsi="Arial" w:cs="Arial"/>
        </w:rPr>
        <w:t xml:space="preserve"> 2019). The decision to publish a shorter report signifies a move towards decentralisation, which should empower the organisation to create flexible and value-driven outputs that are not strictly dictated by a centralised approach (</w:t>
      </w:r>
      <w:proofErr w:type="spellStart"/>
      <w:r w:rsidRPr="00AA74A4">
        <w:rPr>
          <w:rFonts w:ascii="Arial" w:hAnsi="Arial" w:cs="Arial"/>
        </w:rPr>
        <w:t>Sreeramareddy</w:t>
      </w:r>
      <w:proofErr w:type="spellEnd"/>
      <w:r w:rsidRPr="00AA74A4">
        <w:rPr>
          <w:rFonts w:ascii="Arial" w:hAnsi="Arial" w:cs="Arial"/>
        </w:rPr>
        <w:t xml:space="preserve"> and Sathyanarayana</w:t>
      </w:r>
      <w:r w:rsidR="00A2390C">
        <w:rPr>
          <w:rFonts w:ascii="Arial" w:hAnsi="Arial" w:cs="Arial"/>
        </w:rPr>
        <w:t>,</w:t>
      </w:r>
      <w:r w:rsidRPr="00AA74A4">
        <w:rPr>
          <w:rFonts w:ascii="Arial" w:hAnsi="Arial" w:cs="Arial"/>
        </w:rPr>
        <w:t xml:space="preserve"> 2019). This strategic shift aligns with key leadership theories. The vision to improve patient safety by broadening the organisation's impact resonates with transformational leadership, which seeks to inspire and </w:t>
      </w:r>
      <w:r w:rsidR="0036656C" w:rsidRPr="00AA74A4">
        <w:rPr>
          <w:rFonts w:ascii="Arial" w:hAnsi="Arial" w:cs="Arial"/>
        </w:rPr>
        <w:t>implement</w:t>
      </w:r>
      <w:r w:rsidRPr="00AA74A4">
        <w:rPr>
          <w:rFonts w:ascii="Arial" w:hAnsi="Arial" w:cs="Arial"/>
        </w:rPr>
        <w:t xml:space="preserve"> </w:t>
      </w:r>
      <w:r w:rsidRPr="00AA74A4">
        <w:rPr>
          <w:rFonts w:ascii="Arial" w:hAnsi="Arial" w:cs="Arial"/>
        </w:rPr>
        <w:lastRenderedPageBreak/>
        <w:t>change by elevating the interests of the greater good</w:t>
      </w:r>
      <w:r w:rsidR="0036656C" w:rsidRPr="00AA74A4">
        <w:rPr>
          <w:rFonts w:ascii="Arial" w:hAnsi="Arial" w:cs="Arial"/>
        </w:rPr>
        <w:t xml:space="preserve"> (</w:t>
      </w:r>
      <w:proofErr w:type="spellStart"/>
      <w:r w:rsidR="0036656C" w:rsidRPr="00AA74A4">
        <w:rPr>
          <w:rFonts w:ascii="Arial" w:hAnsi="Arial" w:cs="Arial"/>
        </w:rPr>
        <w:t>Ystaas</w:t>
      </w:r>
      <w:proofErr w:type="spellEnd"/>
      <w:r w:rsidR="0036656C" w:rsidRPr="00AA74A4">
        <w:rPr>
          <w:rFonts w:ascii="Arial" w:hAnsi="Arial" w:cs="Arial"/>
        </w:rPr>
        <w:t xml:space="preserve"> et al.</w:t>
      </w:r>
      <w:r w:rsidR="00A2390C">
        <w:rPr>
          <w:rFonts w:ascii="Arial" w:hAnsi="Arial" w:cs="Arial"/>
        </w:rPr>
        <w:t>,</w:t>
      </w:r>
      <w:r w:rsidR="0036656C" w:rsidRPr="00AA74A4">
        <w:rPr>
          <w:rFonts w:ascii="Arial" w:hAnsi="Arial" w:cs="Arial"/>
        </w:rPr>
        <w:t xml:space="preserve"> 2023)</w:t>
      </w:r>
      <w:r w:rsidRPr="00AA74A4">
        <w:rPr>
          <w:rFonts w:ascii="Arial" w:hAnsi="Arial" w:cs="Arial"/>
        </w:rPr>
        <w:t>. The careful assessment of the incident’s details to determine the most effective response reflects situational leadership, where the chosen action is adapted to the specific context</w:t>
      </w:r>
      <w:r w:rsidR="0036656C" w:rsidRPr="00AA74A4">
        <w:rPr>
          <w:rFonts w:ascii="Arial" w:hAnsi="Arial" w:cs="Arial"/>
        </w:rPr>
        <w:t xml:space="preserve"> (Singh et al.</w:t>
      </w:r>
      <w:r w:rsidR="00A2390C">
        <w:rPr>
          <w:rFonts w:ascii="Arial" w:hAnsi="Arial" w:cs="Arial"/>
        </w:rPr>
        <w:t>,</w:t>
      </w:r>
      <w:r w:rsidR="0036656C" w:rsidRPr="00AA74A4">
        <w:rPr>
          <w:rFonts w:ascii="Arial" w:hAnsi="Arial" w:cs="Arial"/>
        </w:rPr>
        <w:t xml:space="preserve"> 2024)</w:t>
      </w:r>
      <w:r w:rsidRPr="00AA74A4">
        <w:rPr>
          <w:rFonts w:ascii="Arial" w:hAnsi="Arial" w:cs="Arial"/>
        </w:rPr>
        <w:t>. The day-to-day management of the investigation process also involves elements of transactional leadership,</w:t>
      </w:r>
      <w:r w:rsidR="0036656C" w:rsidRPr="00AA74A4">
        <w:rPr>
          <w:rFonts w:ascii="Arial" w:hAnsi="Arial" w:cs="Arial"/>
        </w:rPr>
        <w:t xml:space="preserve"> which</w:t>
      </w:r>
      <w:r w:rsidRPr="00AA74A4">
        <w:rPr>
          <w:rFonts w:ascii="Arial" w:hAnsi="Arial" w:cs="Arial"/>
        </w:rPr>
        <w:t xml:space="preserve"> ensur</w:t>
      </w:r>
      <w:r w:rsidR="0036656C" w:rsidRPr="00AA74A4">
        <w:rPr>
          <w:rFonts w:ascii="Arial" w:hAnsi="Arial" w:cs="Arial"/>
        </w:rPr>
        <w:t>es that</w:t>
      </w:r>
      <w:r w:rsidRPr="00AA74A4">
        <w:rPr>
          <w:rFonts w:ascii="Arial" w:hAnsi="Arial" w:cs="Arial"/>
        </w:rPr>
        <w:t xml:space="preserve"> tasks are completed correctly and to standard</w:t>
      </w:r>
      <w:r w:rsidR="0036656C" w:rsidRPr="00AA74A4">
        <w:rPr>
          <w:rFonts w:ascii="Arial" w:hAnsi="Arial" w:cs="Arial"/>
        </w:rPr>
        <w:t xml:space="preserve"> (Singh et al.</w:t>
      </w:r>
      <w:r w:rsidR="00A2390C">
        <w:rPr>
          <w:rFonts w:ascii="Arial" w:hAnsi="Arial" w:cs="Arial"/>
        </w:rPr>
        <w:t>,</w:t>
      </w:r>
      <w:r w:rsidR="0036656C" w:rsidRPr="00AA74A4">
        <w:rPr>
          <w:rFonts w:ascii="Arial" w:hAnsi="Arial" w:cs="Arial"/>
        </w:rPr>
        <w:t xml:space="preserve"> 2024)</w:t>
      </w:r>
      <w:r w:rsidRPr="00AA74A4">
        <w:rPr>
          <w:rFonts w:ascii="Arial" w:hAnsi="Arial" w:cs="Arial"/>
        </w:rPr>
        <w:t>.</w:t>
      </w:r>
    </w:p>
    <w:p w14:paraId="3DCE2AD4" w14:textId="6245D1AA" w:rsidR="00D379A5" w:rsidRPr="00AA74A4" w:rsidRDefault="006B41E6" w:rsidP="00AA74A4">
      <w:pPr>
        <w:spacing w:line="480" w:lineRule="auto"/>
        <w:rPr>
          <w:rFonts w:ascii="Arial" w:hAnsi="Arial" w:cs="Arial"/>
        </w:rPr>
      </w:pPr>
      <w:r w:rsidRPr="00AA74A4">
        <w:rPr>
          <w:rFonts w:ascii="Arial" w:hAnsi="Arial" w:cs="Arial"/>
        </w:rPr>
        <w:t>This report will subsequently analyse the specific drivers for this transformation, evaluate the leadership approaches employed to implement it, assess its impact on the organisation's performance and stakeholder relationships, and finally, synthesise key lessons and recommendations for other health and social care organisations navigating similar challenges.</w:t>
      </w:r>
    </w:p>
    <w:p w14:paraId="74DFB45C" w14:textId="4F5B2D0E" w:rsidR="00F678FF" w:rsidRPr="00AA74A4" w:rsidRDefault="00F678FF" w:rsidP="00AA74A4">
      <w:pPr>
        <w:spacing w:line="480" w:lineRule="auto"/>
        <w:jc w:val="center"/>
        <w:rPr>
          <w:rFonts w:ascii="Arial" w:hAnsi="Arial" w:cs="Arial"/>
          <w:b/>
          <w:bCs/>
        </w:rPr>
      </w:pPr>
      <w:r w:rsidRPr="00AA74A4">
        <w:rPr>
          <w:rFonts w:ascii="Arial" w:hAnsi="Arial" w:cs="Arial"/>
          <w:b/>
          <w:bCs/>
        </w:rPr>
        <w:t>Problem Identification</w:t>
      </w:r>
    </w:p>
    <w:p w14:paraId="65809CF7" w14:textId="75992603" w:rsidR="007C0C28" w:rsidRPr="00AA74A4" w:rsidRDefault="007C0C28" w:rsidP="00AA74A4">
      <w:pPr>
        <w:spacing w:line="480" w:lineRule="auto"/>
        <w:rPr>
          <w:rFonts w:ascii="Arial" w:hAnsi="Arial" w:cs="Arial"/>
        </w:rPr>
      </w:pPr>
      <w:r w:rsidRPr="00AA74A4">
        <w:rPr>
          <w:rFonts w:ascii="Arial" w:hAnsi="Arial" w:cs="Arial"/>
        </w:rPr>
        <w:t>A critical review of the investigation report by HSSIB (2022) shows that the central problem in this case study is a fatal medication error resulting from a catastrophic failure in the communication of critical safety information across the primary care system. Len was accidentally administered a morphine overdose by his wife, who misinterpreted the manufacturer's stated strength of 10mg in 5ml as the prescribed dose, rather than the dispensing label's instruction for 1.25ml to 2.5ml which remained unseen on the outer packaging (HSSIB</w:t>
      </w:r>
      <w:r w:rsidR="00A2390C">
        <w:rPr>
          <w:rFonts w:ascii="Arial" w:hAnsi="Arial" w:cs="Arial"/>
        </w:rPr>
        <w:t>,</w:t>
      </w:r>
      <w:r w:rsidRPr="00AA74A4">
        <w:rPr>
          <w:rFonts w:ascii="Arial" w:hAnsi="Arial" w:cs="Arial"/>
        </w:rPr>
        <w:t xml:space="preserve"> 2022). The World Health Organization (WHO) estimates that medication errors harm approximately one in every 20 patients worldwide, which highlights the pervasive and significant nature of this issue across all healthcare systems (Khan 2025). This issue of opioid-related harm is also pronounced in the UK, as NHS England</w:t>
      </w:r>
      <w:r w:rsidR="00C44096" w:rsidRPr="00AA74A4">
        <w:rPr>
          <w:rFonts w:ascii="Arial" w:hAnsi="Arial" w:cs="Arial"/>
        </w:rPr>
        <w:t xml:space="preserve"> (2021)</w:t>
      </w:r>
      <w:r w:rsidRPr="00AA74A4">
        <w:rPr>
          <w:rFonts w:ascii="Arial" w:hAnsi="Arial" w:cs="Arial"/>
        </w:rPr>
        <w:t xml:space="preserve"> identified that over one million people were being prescribed opioids for longer than three months despite limited evidence supporting their efficacy for chronic, non-cancer pai</w:t>
      </w:r>
      <w:r w:rsidR="00C44096" w:rsidRPr="00AA74A4">
        <w:rPr>
          <w:rFonts w:ascii="Arial" w:hAnsi="Arial" w:cs="Arial"/>
        </w:rPr>
        <w:t>n</w:t>
      </w:r>
      <w:r w:rsidRPr="00AA74A4">
        <w:rPr>
          <w:rFonts w:ascii="Arial" w:hAnsi="Arial" w:cs="Arial"/>
        </w:rPr>
        <w:t>.</w:t>
      </w:r>
    </w:p>
    <w:p w14:paraId="3DB3779B" w14:textId="0F542679" w:rsidR="007321E0" w:rsidRPr="00AA74A4" w:rsidRDefault="00C44096" w:rsidP="00AA74A4">
      <w:pPr>
        <w:spacing w:line="480" w:lineRule="auto"/>
        <w:rPr>
          <w:rFonts w:ascii="Arial" w:hAnsi="Arial" w:cs="Arial"/>
        </w:rPr>
      </w:pPr>
      <w:r w:rsidRPr="00AA74A4">
        <w:rPr>
          <w:rFonts w:ascii="Arial" w:hAnsi="Arial" w:cs="Arial"/>
        </w:rPr>
        <w:t xml:space="preserve">Examining this problem through the lens of internationally recognised patient safety organisations reveals consistent patterns of systemic vulnerability. The </w:t>
      </w:r>
      <w:r w:rsidR="00057CF6" w:rsidRPr="00AA74A4">
        <w:rPr>
          <w:rFonts w:ascii="Arial" w:hAnsi="Arial" w:cs="Arial"/>
        </w:rPr>
        <w:t xml:space="preserve">Institute for </w:t>
      </w:r>
      <w:r w:rsidR="00057CF6" w:rsidRPr="00AA74A4">
        <w:rPr>
          <w:rFonts w:ascii="Arial" w:hAnsi="Arial" w:cs="Arial"/>
        </w:rPr>
        <w:lastRenderedPageBreak/>
        <w:t>Healthcare Improvement (IHI)</w:t>
      </w:r>
      <w:r w:rsidRPr="00AA74A4">
        <w:rPr>
          <w:rFonts w:ascii="Arial" w:hAnsi="Arial" w:cs="Arial"/>
        </w:rPr>
        <w:t xml:space="preserve"> has long classified narcotics and opiates as "high-alert medications", which are drugs that bear a heightened risk of causing significant patient harm when used in error </w:t>
      </w:r>
      <w:r w:rsidR="007321E0" w:rsidRPr="00AA74A4">
        <w:rPr>
          <w:rFonts w:ascii="Arial" w:hAnsi="Arial" w:cs="Arial"/>
        </w:rPr>
        <w:t>(Holland et al.</w:t>
      </w:r>
      <w:r w:rsidR="00A2390C">
        <w:rPr>
          <w:rFonts w:ascii="Arial" w:hAnsi="Arial" w:cs="Arial"/>
        </w:rPr>
        <w:t>,</w:t>
      </w:r>
      <w:r w:rsidR="007321E0" w:rsidRPr="00AA74A4">
        <w:rPr>
          <w:rFonts w:ascii="Arial" w:hAnsi="Arial" w:cs="Arial"/>
        </w:rPr>
        <w:t xml:space="preserve"> 2022)</w:t>
      </w:r>
      <w:r w:rsidRPr="00AA74A4">
        <w:rPr>
          <w:rFonts w:ascii="Arial" w:hAnsi="Arial" w:cs="Arial"/>
        </w:rPr>
        <w:t>.</w:t>
      </w:r>
      <w:r w:rsidR="007321E0" w:rsidRPr="00AA74A4">
        <w:rPr>
          <w:rFonts w:ascii="Arial" w:hAnsi="Arial" w:cs="Arial"/>
        </w:rPr>
        <w:t xml:space="preserve"> This classification acknowledges that the potential for harm is inherent in the pharmacological properties of the drug, the complex interplay of human behaviour, system design, and organisational processes surrounding its use. The international consistency in identifying opioids as high-risk underscores that Len's case reflects a universally recognised challenge. For instance, the New Zealand Health Quality and Safety Commission (2021) similarly identifies opioids as a leading contributor to healthcare-associated harm and notes that they can cause serious consequences including opioid-induced ventilatory impairment and arrest when given in high doses or to individuals at higher risk.</w:t>
      </w:r>
    </w:p>
    <w:p w14:paraId="08C643AD" w14:textId="1FA1EC08" w:rsidR="00C44096" w:rsidRPr="00AA74A4" w:rsidRDefault="007321E0" w:rsidP="00AA74A4">
      <w:pPr>
        <w:spacing w:line="480" w:lineRule="auto"/>
        <w:rPr>
          <w:rFonts w:ascii="Arial" w:hAnsi="Arial" w:cs="Arial"/>
        </w:rPr>
      </w:pPr>
      <w:r w:rsidRPr="00AA74A4">
        <w:rPr>
          <w:rFonts w:ascii="Arial" w:hAnsi="Arial" w:cs="Arial"/>
        </w:rPr>
        <w:t>The fundamental nature of this problem reflects deep systemic weaknesses in addition to simple individual error. The most prominent weakness is in communication across multiple interfaces</w:t>
      </w:r>
      <w:r w:rsidR="009E697A">
        <w:rPr>
          <w:rFonts w:ascii="Arial" w:hAnsi="Arial" w:cs="Arial"/>
        </w:rPr>
        <w:t>. This includes</w:t>
      </w:r>
      <w:r w:rsidRPr="00AA74A4">
        <w:rPr>
          <w:rFonts w:ascii="Arial" w:hAnsi="Arial" w:cs="Arial"/>
        </w:rPr>
        <w:t xml:space="preserve"> between the prescriber and the patient regarding how to interpret medication labelling, between the pharmacy's dispensing label and the patient's understanding of which information to follow, and between the manufacturer's mandated strength declaration and the patient's assumption that this constituted dosing instructions</w:t>
      </w:r>
      <w:r w:rsidR="00057CF6" w:rsidRPr="00AA74A4">
        <w:rPr>
          <w:rFonts w:ascii="Arial" w:hAnsi="Arial" w:cs="Arial"/>
        </w:rPr>
        <w:t xml:space="preserve"> (HSSIB</w:t>
      </w:r>
      <w:r w:rsidR="00A2390C">
        <w:rPr>
          <w:rFonts w:ascii="Arial" w:hAnsi="Arial" w:cs="Arial"/>
        </w:rPr>
        <w:t>,</w:t>
      </w:r>
      <w:r w:rsidR="00057CF6" w:rsidRPr="00AA74A4">
        <w:rPr>
          <w:rFonts w:ascii="Arial" w:hAnsi="Arial" w:cs="Arial"/>
        </w:rPr>
        <w:t xml:space="preserve"> 2022)</w:t>
      </w:r>
      <w:r w:rsidRPr="00AA74A4">
        <w:rPr>
          <w:rFonts w:ascii="Arial" w:hAnsi="Arial" w:cs="Arial"/>
        </w:rPr>
        <w:t>.</w:t>
      </w:r>
      <w:r w:rsidR="00057CF6" w:rsidRPr="00AA74A4">
        <w:rPr>
          <w:rFonts w:ascii="Arial" w:hAnsi="Arial" w:cs="Arial"/>
        </w:rPr>
        <w:t xml:space="preserve"> The Care Quality Commission's (2025) annual update on controlled drugs identifies communication failures as a recurrent theme in Prevention of Future Death Reports. The report explicitly cites cases where deaths were attributed to "not sharing or adequately communicating information in a timely way" about changes in medicines, patient histories, and risks associated with specific drugs (Care Quality Commission</w:t>
      </w:r>
      <w:r w:rsidR="00A2390C">
        <w:rPr>
          <w:rFonts w:ascii="Arial" w:hAnsi="Arial" w:cs="Arial"/>
        </w:rPr>
        <w:t>,</w:t>
      </w:r>
      <w:r w:rsidR="00057CF6" w:rsidRPr="00AA74A4">
        <w:rPr>
          <w:rFonts w:ascii="Arial" w:hAnsi="Arial" w:cs="Arial"/>
        </w:rPr>
        <w:t xml:space="preserve"> 2025). This systemic communication gap is compounded by weaknesses in accountability, as no single professional or organisation holds explicit responsibility for ensuring that the patient understands how to translate a prescription into safe administration (Holland et al.</w:t>
      </w:r>
      <w:r w:rsidR="00A2390C">
        <w:rPr>
          <w:rFonts w:ascii="Arial" w:hAnsi="Arial" w:cs="Arial"/>
        </w:rPr>
        <w:t>,</w:t>
      </w:r>
      <w:r w:rsidR="00057CF6" w:rsidRPr="00AA74A4">
        <w:rPr>
          <w:rFonts w:ascii="Arial" w:hAnsi="Arial" w:cs="Arial"/>
        </w:rPr>
        <w:t xml:space="preserve"> 2022). The GP in the case study prescribed appropriately, the pharmacist dispensed correctly, and </w:t>
      </w:r>
      <w:r w:rsidR="00057CF6" w:rsidRPr="00AA74A4">
        <w:rPr>
          <w:rFonts w:ascii="Arial" w:hAnsi="Arial" w:cs="Arial"/>
        </w:rPr>
        <w:lastRenderedPageBreak/>
        <w:t>the manufacturer labelled per regulation (HSSIB</w:t>
      </w:r>
      <w:r w:rsidR="00A2390C">
        <w:rPr>
          <w:rFonts w:ascii="Arial" w:hAnsi="Arial" w:cs="Arial"/>
        </w:rPr>
        <w:t>,</w:t>
      </w:r>
      <w:r w:rsidR="00057CF6" w:rsidRPr="00AA74A4">
        <w:rPr>
          <w:rFonts w:ascii="Arial" w:hAnsi="Arial" w:cs="Arial"/>
        </w:rPr>
        <w:t xml:space="preserve"> 2022). However, the patient remained unprotected because the system lacked an integrated mechanism to verify comprehension.</w:t>
      </w:r>
    </w:p>
    <w:p w14:paraId="133293B2" w14:textId="47A89B3E" w:rsidR="002E1C06" w:rsidRPr="00AA74A4" w:rsidRDefault="002E1C06" w:rsidP="00AA74A4">
      <w:pPr>
        <w:spacing w:line="480" w:lineRule="auto"/>
        <w:rPr>
          <w:rFonts w:ascii="Arial" w:hAnsi="Arial" w:cs="Arial"/>
        </w:rPr>
      </w:pPr>
      <w:r w:rsidRPr="00AA74A4">
        <w:rPr>
          <w:rFonts w:ascii="Arial" w:hAnsi="Arial" w:cs="Arial"/>
        </w:rPr>
        <w:t>This problem was influenced at multiple levels of governance, although it was most significantly at the national level through regulatory frameworks governing medicine labelling and the structures for safety investigation and learning. The Human Medicines Regulations 2012 set the legislative requirements for packaging and labelling, which requires manufacturers to display the drug strength (Care Quality Commission</w:t>
      </w:r>
      <w:r w:rsidR="00A2390C">
        <w:rPr>
          <w:rFonts w:ascii="Arial" w:hAnsi="Arial" w:cs="Arial"/>
        </w:rPr>
        <w:t>,</w:t>
      </w:r>
      <w:r w:rsidRPr="00AA74A4">
        <w:rPr>
          <w:rFonts w:ascii="Arial" w:hAnsi="Arial" w:cs="Arial"/>
        </w:rPr>
        <w:t xml:space="preserve"> 2025). However, Holland et al. (2022) note that these regulations do not adequately address how this information interacts with dispensing labels in the patient's interpretation. The investigation by HSSIB (2022) also revealed governance gaps at the regional level. This is because the NHS England Controlled Drugs Accountable Officer function, which provides crucial oversight of controlled drug safety across organisational boundaries, faces uncertainty due to structural reorganisation (Care Quality Commission</w:t>
      </w:r>
      <w:r w:rsidR="00A2390C">
        <w:rPr>
          <w:rFonts w:ascii="Arial" w:hAnsi="Arial" w:cs="Arial"/>
        </w:rPr>
        <w:t>,</w:t>
      </w:r>
      <w:r w:rsidRPr="00AA74A4">
        <w:rPr>
          <w:rFonts w:ascii="Arial" w:hAnsi="Arial" w:cs="Arial"/>
        </w:rPr>
        <w:t xml:space="preserve"> 2025). This dilution of oversight function mirrors previous arrangements where the national controlled </w:t>
      </w:r>
      <w:proofErr w:type="gramStart"/>
      <w:r w:rsidRPr="00AA74A4">
        <w:rPr>
          <w:rFonts w:ascii="Arial" w:hAnsi="Arial" w:cs="Arial"/>
        </w:rPr>
        <w:t>drugs</w:t>
      </w:r>
      <w:proofErr w:type="gramEnd"/>
      <w:r w:rsidRPr="00AA74A4">
        <w:rPr>
          <w:rFonts w:ascii="Arial" w:hAnsi="Arial" w:cs="Arial"/>
        </w:rPr>
        <w:t xml:space="preserve"> function was spread across primary care trusts and proved less effective in identifying, sharing, or acting on incidents (Care Quality Commission</w:t>
      </w:r>
      <w:r w:rsidR="00A2390C">
        <w:rPr>
          <w:rFonts w:ascii="Arial" w:hAnsi="Arial" w:cs="Arial"/>
        </w:rPr>
        <w:t>,</w:t>
      </w:r>
      <w:r w:rsidRPr="00AA74A4">
        <w:rPr>
          <w:rFonts w:ascii="Arial" w:hAnsi="Arial" w:cs="Arial"/>
        </w:rPr>
        <w:t xml:space="preserve"> 2025).</w:t>
      </w:r>
    </w:p>
    <w:p w14:paraId="0D49B130" w14:textId="420801C4" w:rsidR="005804C0" w:rsidRPr="00AA74A4" w:rsidRDefault="005804C0" w:rsidP="00AA74A4">
      <w:pPr>
        <w:spacing w:line="480" w:lineRule="auto"/>
        <w:rPr>
          <w:rFonts w:ascii="Arial" w:hAnsi="Arial" w:cs="Arial"/>
        </w:rPr>
      </w:pPr>
      <w:r w:rsidRPr="00AA74A4">
        <w:rPr>
          <w:rFonts w:ascii="Arial" w:hAnsi="Arial" w:cs="Arial"/>
        </w:rPr>
        <w:t xml:space="preserve">Several underlying challenges also facilitated the conditions for this error. Patient safety outcomes data from coronial investigations reveal that oral morphine </w:t>
      </w:r>
      <w:proofErr w:type="spellStart"/>
      <w:r w:rsidRPr="00AA74A4">
        <w:rPr>
          <w:rFonts w:ascii="Arial" w:hAnsi="Arial" w:cs="Arial"/>
        </w:rPr>
        <w:t>sulfate</w:t>
      </w:r>
      <w:proofErr w:type="spellEnd"/>
      <w:r w:rsidRPr="00AA74A4">
        <w:rPr>
          <w:rFonts w:ascii="Arial" w:hAnsi="Arial" w:cs="Arial"/>
        </w:rPr>
        <w:t xml:space="preserve"> liquid has been directly linked to the cause of death in 13 Prevention of Future Death Reports since 2013 (Care Quality Commission</w:t>
      </w:r>
      <w:r w:rsidR="00A2390C">
        <w:rPr>
          <w:rFonts w:ascii="Arial" w:hAnsi="Arial" w:cs="Arial"/>
        </w:rPr>
        <w:t>,</w:t>
      </w:r>
      <w:r w:rsidRPr="00AA74A4">
        <w:rPr>
          <w:rFonts w:ascii="Arial" w:hAnsi="Arial" w:cs="Arial"/>
        </w:rPr>
        <w:t xml:space="preserve"> 2025). These reports consistently identify themes including poor pain management leading patients to double doses without clinical guidance, lack of fail-safes in prescribing and dispensing allowing duplicate prescriptions or oversupply to go undetected, and polypharmacy risks from combining central nervous system depressants (Care Quality Commission</w:t>
      </w:r>
      <w:r w:rsidR="00A2390C">
        <w:rPr>
          <w:rFonts w:ascii="Arial" w:hAnsi="Arial" w:cs="Arial"/>
        </w:rPr>
        <w:t>,</w:t>
      </w:r>
      <w:r w:rsidRPr="00AA74A4">
        <w:rPr>
          <w:rFonts w:ascii="Arial" w:hAnsi="Arial" w:cs="Arial"/>
        </w:rPr>
        <w:t xml:space="preserve"> 2025). Workforce pressures further compound these safety risks as Griffiths et al. (2025) suggest that approximately 10% of nursing posts in acute settings were vacant as of March 2022, which represented 38,972 vacancies. While Len's care occurred in primary care, the systemic strain across the health service creates </w:t>
      </w:r>
      <w:r w:rsidRPr="00AA74A4">
        <w:rPr>
          <w:rFonts w:ascii="Arial" w:hAnsi="Arial" w:cs="Arial"/>
        </w:rPr>
        <w:lastRenderedPageBreak/>
        <w:t>conditions where communication and patient education</w:t>
      </w:r>
      <w:r w:rsidR="008E4EA2" w:rsidRPr="00AA74A4">
        <w:rPr>
          <w:rFonts w:ascii="Arial" w:hAnsi="Arial" w:cs="Arial"/>
        </w:rPr>
        <w:t xml:space="preserve"> </w:t>
      </w:r>
      <w:r w:rsidRPr="00AA74A4">
        <w:rPr>
          <w:rFonts w:ascii="Arial" w:hAnsi="Arial" w:cs="Arial"/>
        </w:rPr>
        <w:t>become compressed and compromised. Budget constraints further limit investment in safety infrastructure, despite evidence that each additional hour of registered nurse care per patient day could significantly reduce mortality </w:t>
      </w:r>
      <w:r w:rsidR="008E4EA2" w:rsidRPr="00AA74A4">
        <w:rPr>
          <w:rFonts w:ascii="Arial" w:hAnsi="Arial" w:cs="Arial"/>
        </w:rPr>
        <w:t>(Griffiths et al.</w:t>
      </w:r>
      <w:r w:rsidR="00A2390C">
        <w:rPr>
          <w:rFonts w:ascii="Arial" w:hAnsi="Arial" w:cs="Arial"/>
        </w:rPr>
        <w:t>,</w:t>
      </w:r>
      <w:r w:rsidR="008E4EA2" w:rsidRPr="00AA74A4">
        <w:rPr>
          <w:rFonts w:ascii="Arial" w:hAnsi="Arial" w:cs="Arial"/>
        </w:rPr>
        <w:t xml:space="preserve"> 2025)</w:t>
      </w:r>
      <w:r w:rsidRPr="00AA74A4">
        <w:rPr>
          <w:rFonts w:ascii="Arial" w:hAnsi="Arial" w:cs="Arial"/>
        </w:rPr>
        <w:t xml:space="preserve">. </w:t>
      </w:r>
    </w:p>
    <w:p w14:paraId="7DAAD8F3" w14:textId="483895D1" w:rsidR="00057CF6" w:rsidRPr="00AA74A4" w:rsidRDefault="008E4EA2" w:rsidP="00AA74A4">
      <w:pPr>
        <w:spacing w:line="480" w:lineRule="auto"/>
        <w:rPr>
          <w:rFonts w:ascii="Arial" w:hAnsi="Arial" w:cs="Arial"/>
        </w:rPr>
      </w:pPr>
      <w:r w:rsidRPr="00AA74A4">
        <w:rPr>
          <w:rFonts w:ascii="Arial" w:hAnsi="Arial" w:cs="Arial"/>
        </w:rPr>
        <w:t>The complexity of this problem can be visualised through a</w:t>
      </w:r>
      <w:r w:rsidRPr="008E4EA2">
        <w:rPr>
          <w:rFonts w:ascii="Arial" w:hAnsi="Arial" w:cs="Arial"/>
        </w:rPr>
        <w:t xml:space="preserve"> Rich Picture</w:t>
      </w:r>
      <w:r w:rsidRPr="00AA74A4">
        <w:rPr>
          <w:rFonts w:ascii="Arial" w:hAnsi="Arial" w:cs="Arial"/>
        </w:rPr>
        <w:t>, which</w:t>
      </w:r>
      <w:r w:rsidRPr="008E4EA2">
        <w:rPr>
          <w:rFonts w:ascii="Arial" w:hAnsi="Arial" w:cs="Arial"/>
        </w:rPr>
        <w:t xml:space="preserve"> demonstrates that Len's death was not the result of a single point of failure but emerged from the interaction of multiple system elements</w:t>
      </w:r>
      <w:r w:rsidRPr="00AA74A4">
        <w:rPr>
          <w:rFonts w:ascii="Arial" w:hAnsi="Arial" w:cs="Arial"/>
        </w:rPr>
        <w:t>. These include the</w:t>
      </w:r>
      <w:r w:rsidRPr="008E4EA2">
        <w:rPr>
          <w:rFonts w:ascii="Arial" w:hAnsi="Arial" w:cs="Arial"/>
        </w:rPr>
        <w:t xml:space="preserve"> physical design of packaging, cognitive interpretation of information, communication across professional boundaries, and governance structures that create accountability gaps</w:t>
      </w:r>
      <w:r w:rsidRPr="00AA74A4">
        <w:rPr>
          <w:rFonts w:ascii="Arial" w:hAnsi="Arial" w:cs="Arial"/>
        </w:rPr>
        <w:t xml:space="preserve"> (HSSIB</w:t>
      </w:r>
      <w:r w:rsidR="00A2390C">
        <w:rPr>
          <w:rFonts w:ascii="Arial" w:hAnsi="Arial" w:cs="Arial"/>
        </w:rPr>
        <w:t>,</w:t>
      </w:r>
      <w:r w:rsidRPr="00AA74A4">
        <w:rPr>
          <w:rFonts w:ascii="Arial" w:hAnsi="Arial" w:cs="Arial"/>
        </w:rPr>
        <w:t xml:space="preserve"> 2022)</w:t>
      </w:r>
      <w:r w:rsidRPr="008E4EA2">
        <w:rPr>
          <w:rFonts w:ascii="Arial" w:hAnsi="Arial" w:cs="Arial"/>
        </w:rPr>
        <w:t xml:space="preserve">. Each actor acted reasonably within their own context, </w:t>
      </w:r>
      <w:r w:rsidR="009E697A">
        <w:rPr>
          <w:rFonts w:ascii="Arial" w:hAnsi="Arial" w:cs="Arial"/>
        </w:rPr>
        <w:t>albeit</w:t>
      </w:r>
      <w:r w:rsidRPr="008E4EA2">
        <w:rPr>
          <w:rFonts w:ascii="Arial" w:hAnsi="Arial" w:cs="Arial"/>
        </w:rPr>
        <w:t xml:space="preserve"> the system as a whole failed to protect a vulnerable patient. </w:t>
      </w:r>
    </w:p>
    <w:p w14:paraId="41CFF938" w14:textId="3BE558F2" w:rsidR="00F678FF" w:rsidRPr="00AA74A4" w:rsidRDefault="00F678FF" w:rsidP="00AA74A4">
      <w:pPr>
        <w:spacing w:line="480" w:lineRule="auto"/>
        <w:jc w:val="center"/>
        <w:rPr>
          <w:rFonts w:ascii="Arial" w:hAnsi="Arial" w:cs="Arial"/>
          <w:b/>
          <w:bCs/>
        </w:rPr>
      </w:pPr>
      <w:r w:rsidRPr="00AA74A4">
        <w:rPr>
          <w:rFonts w:ascii="Arial" w:hAnsi="Arial" w:cs="Arial"/>
          <w:b/>
          <w:bCs/>
        </w:rPr>
        <w:t>Centralisation and Decentralisation</w:t>
      </w:r>
    </w:p>
    <w:p w14:paraId="100B51AF" w14:textId="19ACD136" w:rsidR="008E4EA2" w:rsidRPr="008E4EA2" w:rsidRDefault="008E4EA2" w:rsidP="00AA74A4">
      <w:pPr>
        <w:spacing w:line="480" w:lineRule="auto"/>
        <w:rPr>
          <w:rFonts w:ascii="Arial" w:hAnsi="Arial" w:cs="Arial"/>
        </w:rPr>
      </w:pPr>
      <w:proofErr w:type="spellStart"/>
      <w:r w:rsidRPr="00AA74A4">
        <w:rPr>
          <w:rFonts w:ascii="Arial" w:hAnsi="Arial" w:cs="Arial"/>
        </w:rPr>
        <w:t>Sreeramareddy</w:t>
      </w:r>
      <w:proofErr w:type="spellEnd"/>
      <w:r w:rsidRPr="00AA74A4">
        <w:rPr>
          <w:rFonts w:ascii="Arial" w:hAnsi="Arial" w:cs="Arial"/>
        </w:rPr>
        <w:t xml:space="preserve"> and Sathyanarayana (2019) elucidate that i</w:t>
      </w:r>
      <w:r w:rsidRPr="008E4EA2">
        <w:rPr>
          <w:rFonts w:ascii="Arial" w:hAnsi="Arial" w:cs="Arial"/>
        </w:rPr>
        <w:t xml:space="preserve">n a centralised system, decision-making authority concentrates at the national level, with local organisations implementing policies and priorities determined centrally. </w:t>
      </w:r>
      <w:r w:rsidR="009E697A">
        <w:rPr>
          <w:rFonts w:ascii="Arial" w:hAnsi="Arial" w:cs="Arial"/>
        </w:rPr>
        <w:t>An example of this model is t</w:t>
      </w:r>
      <w:r w:rsidRPr="008E4EA2">
        <w:rPr>
          <w:rFonts w:ascii="Arial" w:hAnsi="Arial" w:cs="Arial"/>
        </w:rPr>
        <w:t xml:space="preserve">he English NHS through several mechanisms. Since the Health and Social Care Act 2012, overall responsibility for running the NHS was transferred to NHS England, </w:t>
      </w:r>
      <w:r w:rsidR="00D73F71" w:rsidRPr="00AA74A4">
        <w:rPr>
          <w:rFonts w:ascii="Arial" w:hAnsi="Arial" w:cs="Arial"/>
        </w:rPr>
        <w:t xml:space="preserve">which Dayan (2025) points out is </w:t>
      </w:r>
      <w:r w:rsidRPr="008E4EA2">
        <w:rPr>
          <w:rFonts w:ascii="Arial" w:hAnsi="Arial" w:cs="Arial"/>
        </w:rPr>
        <w:t>an arm's-length body operating under mandate from the Department of Health and Social Care. This arrangement created a hierarchical chain of command where national bodies set strategy, allocate resources, and define performance targets for local providers</w:t>
      </w:r>
      <w:r w:rsidR="00D73F71" w:rsidRPr="00AA74A4">
        <w:rPr>
          <w:rFonts w:ascii="Arial" w:hAnsi="Arial" w:cs="Arial"/>
        </w:rPr>
        <w:t xml:space="preserve"> (Dayan</w:t>
      </w:r>
      <w:r w:rsidR="00A2390C">
        <w:rPr>
          <w:rFonts w:ascii="Arial" w:hAnsi="Arial" w:cs="Arial"/>
        </w:rPr>
        <w:t>,</w:t>
      </w:r>
      <w:r w:rsidR="00D73F71" w:rsidRPr="00AA74A4">
        <w:rPr>
          <w:rFonts w:ascii="Arial" w:hAnsi="Arial" w:cs="Arial"/>
        </w:rPr>
        <w:t xml:space="preserve"> 2025)</w:t>
      </w:r>
      <w:r w:rsidRPr="008E4EA2">
        <w:rPr>
          <w:rFonts w:ascii="Arial" w:hAnsi="Arial" w:cs="Arial"/>
        </w:rPr>
        <w:t xml:space="preserve">. The concentration of decision-making is evident in the NHS Long Term </w:t>
      </w:r>
      <w:r w:rsidR="00D73F71" w:rsidRPr="00AA74A4">
        <w:rPr>
          <w:rFonts w:ascii="Arial" w:hAnsi="Arial" w:cs="Arial"/>
        </w:rPr>
        <w:t>Plan, which was</w:t>
      </w:r>
      <w:r w:rsidRPr="008E4EA2">
        <w:rPr>
          <w:rFonts w:ascii="Arial" w:hAnsi="Arial" w:cs="Arial"/>
        </w:rPr>
        <w:t xml:space="preserve"> developed nationally and implemented locally, </w:t>
      </w:r>
      <w:r w:rsidR="00D73F71" w:rsidRPr="00AA74A4">
        <w:rPr>
          <w:rFonts w:ascii="Arial" w:hAnsi="Arial" w:cs="Arial"/>
        </w:rPr>
        <w:t>as well as</w:t>
      </w:r>
      <w:r w:rsidRPr="008E4EA2">
        <w:rPr>
          <w:rFonts w:ascii="Arial" w:hAnsi="Arial" w:cs="Arial"/>
        </w:rPr>
        <w:t xml:space="preserve"> in the system of national targets against which local performance is measured</w:t>
      </w:r>
      <w:r w:rsidR="00D73F71" w:rsidRPr="00AA74A4">
        <w:rPr>
          <w:rFonts w:ascii="Arial" w:hAnsi="Arial" w:cs="Arial"/>
        </w:rPr>
        <w:t xml:space="preserve"> (Pearson, Watson and Witcher</w:t>
      </w:r>
      <w:r w:rsidR="00A2390C">
        <w:rPr>
          <w:rFonts w:ascii="Arial" w:hAnsi="Arial" w:cs="Arial"/>
        </w:rPr>
        <w:t>,</w:t>
      </w:r>
      <w:r w:rsidR="00D73F71" w:rsidRPr="00AA74A4">
        <w:rPr>
          <w:rFonts w:ascii="Arial" w:hAnsi="Arial" w:cs="Arial"/>
        </w:rPr>
        <w:t xml:space="preserve"> 2024)</w:t>
      </w:r>
      <w:r w:rsidRPr="008E4EA2">
        <w:rPr>
          <w:rFonts w:ascii="Arial" w:hAnsi="Arial" w:cs="Arial"/>
        </w:rPr>
        <w:t>. A clear example of centralised decision-making affecting patient safety is the National Patient Safety Alerting System</w:t>
      </w:r>
      <w:r w:rsidR="00D73F71" w:rsidRPr="00AA74A4">
        <w:rPr>
          <w:rFonts w:ascii="Arial" w:hAnsi="Arial" w:cs="Arial"/>
        </w:rPr>
        <w:t xml:space="preserve"> that is</w:t>
      </w:r>
      <w:r w:rsidRPr="008E4EA2">
        <w:rPr>
          <w:rFonts w:ascii="Arial" w:hAnsi="Arial" w:cs="Arial"/>
        </w:rPr>
        <w:t xml:space="preserve"> operated centrally through NHS England, which issues mandatory alerts that all providers must implement</w:t>
      </w:r>
      <w:r w:rsidR="00D73F71" w:rsidRPr="00AA74A4">
        <w:rPr>
          <w:rFonts w:ascii="Arial" w:hAnsi="Arial" w:cs="Arial"/>
        </w:rPr>
        <w:t xml:space="preserve"> (UK Health Security Agency</w:t>
      </w:r>
      <w:r w:rsidR="00A2390C">
        <w:rPr>
          <w:rFonts w:ascii="Arial" w:hAnsi="Arial" w:cs="Arial"/>
        </w:rPr>
        <w:t>,</w:t>
      </w:r>
      <w:r w:rsidR="00D73F71" w:rsidRPr="00AA74A4">
        <w:rPr>
          <w:rFonts w:ascii="Arial" w:hAnsi="Arial" w:cs="Arial"/>
        </w:rPr>
        <w:t xml:space="preserve"> 2021)</w:t>
      </w:r>
      <w:r w:rsidRPr="008E4EA2">
        <w:rPr>
          <w:rFonts w:ascii="Arial" w:hAnsi="Arial" w:cs="Arial"/>
        </w:rPr>
        <w:t xml:space="preserve">. The </w:t>
      </w:r>
      <w:r w:rsidRPr="008E4EA2">
        <w:rPr>
          <w:rFonts w:ascii="Arial" w:hAnsi="Arial" w:cs="Arial"/>
        </w:rPr>
        <w:lastRenderedPageBreak/>
        <w:t>HSSIB</w:t>
      </w:r>
      <w:r w:rsidR="00D73F71" w:rsidRPr="00AA74A4">
        <w:rPr>
          <w:rFonts w:ascii="Arial" w:hAnsi="Arial" w:cs="Arial"/>
        </w:rPr>
        <w:t xml:space="preserve"> (2026)</w:t>
      </w:r>
      <w:r w:rsidRPr="008E4EA2">
        <w:rPr>
          <w:rFonts w:ascii="Arial" w:hAnsi="Arial" w:cs="Arial"/>
        </w:rPr>
        <w:t xml:space="preserve"> itself</w:t>
      </w:r>
      <w:r w:rsidR="00D73F71" w:rsidRPr="00AA74A4">
        <w:rPr>
          <w:rFonts w:ascii="Arial" w:hAnsi="Arial" w:cs="Arial"/>
        </w:rPr>
        <w:t xml:space="preserve"> </w:t>
      </w:r>
      <w:r w:rsidRPr="008E4EA2">
        <w:rPr>
          <w:rFonts w:ascii="Arial" w:hAnsi="Arial" w:cs="Arial"/>
        </w:rPr>
        <w:t>represents a centralised approach to extracting learning from local incidents and disseminating it across the entire system.</w:t>
      </w:r>
    </w:p>
    <w:p w14:paraId="4EF4E453" w14:textId="35362878" w:rsidR="00D73F71" w:rsidRPr="00D73F71" w:rsidRDefault="00EF4021" w:rsidP="00AA74A4">
      <w:pPr>
        <w:spacing w:line="480" w:lineRule="auto"/>
        <w:rPr>
          <w:rFonts w:ascii="Arial" w:hAnsi="Arial" w:cs="Arial"/>
        </w:rPr>
      </w:pPr>
      <w:r w:rsidRPr="00AA74A4">
        <w:rPr>
          <w:rFonts w:ascii="Arial" w:hAnsi="Arial" w:cs="Arial"/>
        </w:rPr>
        <w:t>A centralised system provides several advantages in the context of medication safety.</w:t>
      </w:r>
      <w:r w:rsidR="00D73F71" w:rsidRPr="00D73F71">
        <w:rPr>
          <w:rFonts w:ascii="Arial" w:hAnsi="Arial" w:cs="Arial"/>
        </w:rPr>
        <w:t xml:space="preserve"> Centralised bodies can establish uniform standards, coordinate national improvement programmes, and ensure that lessons from incidents like Len's case are shared systematically</w:t>
      </w:r>
      <w:r w:rsidRPr="00AA74A4">
        <w:rPr>
          <w:rFonts w:ascii="Arial" w:hAnsi="Arial" w:cs="Arial"/>
        </w:rPr>
        <w:t xml:space="preserve"> (Omnicell</w:t>
      </w:r>
      <w:r w:rsidR="00A2390C">
        <w:rPr>
          <w:rFonts w:ascii="Arial" w:hAnsi="Arial" w:cs="Arial"/>
        </w:rPr>
        <w:t>,</w:t>
      </w:r>
      <w:r w:rsidRPr="00AA74A4">
        <w:rPr>
          <w:rFonts w:ascii="Arial" w:hAnsi="Arial" w:cs="Arial"/>
        </w:rPr>
        <w:t xml:space="preserve"> 2024)</w:t>
      </w:r>
      <w:r w:rsidR="00D73F71" w:rsidRPr="00D73F71">
        <w:rPr>
          <w:rFonts w:ascii="Arial" w:hAnsi="Arial" w:cs="Arial"/>
        </w:rPr>
        <w:t xml:space="preserve">. </w:t>
      </w:r>
      <w:r w:rsidRPr="00AA74A4">
        <w:rPr>
          <w:rFonts w:ascii="Arial" w:hAnsi="Arial" w:cs="Arial"/>
        </w:rPr>
        <w:t>Duggal (2022) elucidates that t</w:t>
      </w:r>
      <w:r w:rsidR="00D73F71" w:rsidRPr="00D73F71">
        <w:rPr>
          <w:rFonts w:ascii="Arial" w:hAnsi="Arial" w:cs="Arial"/>
        </w:rPr>
        <w:t xml:space="preserve">he NHS England National Medicines Safety Improvement Programme, </w:t>
      </w:r>
      <w:r w:rsidRPr="00AA74A4">
        <w:rPr>
          <w:rFonts w:ascii="Arial" w:hAnsi="Arial" w:cs="Arial"/>
        </w:rPr>
        <w:t xml:space="preserve">which </w:t>
      </w:r>
      <w:r w:rsidR="00D73F71" w:rsidRPr="00D73F71">
        <w:rPr>
          <w:rFonts w:ascii="Arial" w:hAnsi="Arial" w:cs="Arial"/>
        </w:rPr>
        <w:t>operat</w:t>
      </w:r>
      <w:r w:rsidRPr="00AA74A4">
        <w:rPr>
          <w:rFonts w:ascii="Arial" w:hAnsi="Arial" w:cs="Arial"/>
        </w:rPr>
        <w:t>ed</w:t>
      </w:r>
      <w:r w:rsidR="00D73F71" w:rsidRPr="00D73F71">
        <w:rPr>
          <w:rFonts w:ascii="Arial" w:hAnsi="Arial" w:cs="Arial"/>
        </w:rPr>
        <w:t xml:space="preserve"> from 2021 to 2025, successfully reduced monthly opioid prescribing by over 54,000 patients and was estimated to have saved 884 lives through centrally coordinated interventions. This demonstrates how concentrated authority can drive population-level safety improvements that might be unachievable through local action alone. </w:t>
      </w:r>
      <w:r w:rsidRPr="00AA74A4">
        <w:rPr>
          <w:rFonts w:ascii="Arial" w:hAnsi="Arial" w:cs="Arial"/>
        </w:rPr>
        <w:t>Dayan (2025) also opines that c</w:t>
      </w:r>
      <w:r w:rsidR="00D73F71" w:rsidRPr="00D73F71">
        <w:rPr>
          <w:rFonts w:ascii="Arial" w:hAnsi="Arial" w:cs="Arial"/>
        </w:rPr>
        <w:t>entralisation enables standardisation of safety guidance, professional training requirements, and regulatory frameworks</w:t>
      </w:r>
      <w:r w:rsidRPr="00AA74A4">
        <w:rPr>
          <w:rFonts w:ascii="Arial" w:hAnsi="Arial" w:cs="Arial"/>
        </w:rPr>
        <w:t>. This consequently</w:t>
      </w:r>
      <w:r w:rsidR="00D73F71" w:rsidRPr="00D73F71">
        <w:rPr>
          <w:rFonts w:ascii="Arial" w:hAnsi="Arial" w:cs="Arial"/>
        </w:rPr>
        <w:t xml:space="preserve"> reduc</w:t>
      </w:r>
      <w:r w:rsidRPr="00AA74A4">
        <w:rPr>
          <w:rFonts w:ascii="Arial" w:hAnsi="Arial" w:cs="Arial"/>
        </w:rPr>
        <w:t>es</w:t>
      </w:r>
      <w:r w:rsidR="00D73F71" w:rsidRPr="00D73F71">
        <w:rPr>
          <w:rFonts w:ascii="Arial" w:hAnsi="Arial" w:cs="Arial"/>
        </w:rPr>
        <w:t xml:space="preserve"> unwarranted variation in practice. The concentration of data collection through the National Reporting and Learning System, which recorded over 1.3 million medication incidents between 2017 and 2022, provides central bodies with intelligence to identify emerging risks and develop targeted responses</w:t>
      </w:r>
      <w:r w:rsidR="000E5233" w:rsidRPr="00AA74A4">
        <w:rPr>
          <w:rFonts w:ascii="Arial" w:hAnsi="Arial" w:cs="Arial"/>
        </w:rPr>
        <w:t xml:space="preserve"> (Department of Health and Social Care</w:t>
      </w:r>
      <w:r w:rsidR="00A2390C">
        <w:rPr>
          <w:rFonts w:ascii="Arial" w:hAnsi="Arial" w:cs="Arial"/>
        </w:rPr>
        <w:t>,</w:t>
      </w:r>
      <w:r w:rsidR="000E5233" w:rsidRPr="00AA74A4">
        <w:rPr>
          <w:rFonts w:ascii="Arial" w:hAnsi="Arial" w:cs="Arial"/>
        </w:rPr>
        <w:t xml:space="preserve"> 2022)</w:t>
      </w:r>
      <w:r w:rsidR="00D73F71" w:rsidRPr="00D73F71">
        <w:rPr>
          <w:rFonts w:ascii="Arial" w:hAnsi="Arial" w:cs="Arial"/>
        </w:rPr>
        <w:t>.</w:t>
      </w:r>
    </w:p>
    <w:p w14:paraId="416D8E7B" w14:textId="79BB5EDA" w:rsidR="000E5233" w:rsidRPr="000E5233" w:rsidRDefault="000E5233" w:rsidP="00AA74A4">
      <w:pPr>
        <w:spacing w:line="480" w:lineRule="auto"/>
        <w:rPr>
          <w:rFonts w:ascii="Arial" w:hAnsi="Arial" w:cs="Arial"/>
        </w:rPr>
      </w:pPr>
      <w:r w:rsidRPr="000E5233">
        <w:rPr>
          <w:rFonts w:ascii="Arial" w:hAnsi="Arial" w:cs="Arial"/>
        </w:rPr>
        <w:t xml:space="preserve">However, centralisation presents significant disadvantages that were evident in Len's case. </w:t>
      </w:r>
      <w:r w:rsidRPr="00AA74A4">
        <w:rPr>
          <w:rFonts w:ascii="Arial" w:hAnsi="Arial" w:cs="Arial"/>
        </w:rPr>
        <w:t>Although n</w:t>
      </w:r>
      <w:r w:rsidRPr="000E5233">
        <w:rPr>
          <w:rFonts w:ascii="Arial" w:hAnsi="Arial" w:cs="Arial"/>
        </w:rPr>
        <w:t>ational policies and regulations</w:t>
      </w:r>
      <w:r w:rsidRPr="00AA74A4">
        <w:rPr>
          <w:rFonts w:ascii="Arial" w:hAnsi="Arial" w:cs="Arial"/>
        </w:rPr>
        <w:t xml:space="preserve"> are undoubtedly</w:t>
      </w:r>
      <w:r w:rsidRPr="000E5233">
        <w:rPr>
          <w:rFonts w:ascii="Arial" w:hAnsi="Arial" w:cs="Arial"/>
        </w:rPr>
        <w:t xml:space="preserve"> necessary,</w:t>
      </w:r>
      <w:r w:rsidRPr="00AA74A4">
        <w:rPr>
          <w:rFonts w:ascii="Arial" w:hAnsi="Arial" w:cs="Arial"/>
        </w:rPr>
        <w:t xml:space="preserve"> Pearson, Watson and Witcher (2024) warn that they</w:t>
      </w:r>
      <w:r w:rsidRPr="000E5233">
        <w:rPr>
          <w:rFonts w:ascii="Arial" w:hAnsi="Arial" w:cs="Arial"/>
        </w:rPr>
        <w:t xml:space="preserve"> cannot anticipate every local context or patient circumstance. The Human Medicines Regulations 2012 mandate manufacturer labelling requirements but do not address how patients interact with multiple sources of information during medication administration</w:t>
      </w:r>
      <w:r w:rsidRPr="00AA74A4">
        <w:rPr>
          <w:rFonts w:ascii="Arial" w:hAnsi="Arial" w:cs="Arial"/>
        </w:rPr>
        <w:t xml:space="preserve"> (Care Quality Commission</w:t>
      </w:r>
      <w:r w:rsidR="00A2390C">
        <w:rPr>
          <w:rFonts w:ascii="Arial" w:hAnsi="Arial" w:cs="Arial"/>
        </w:rPr>
        <w:t>,</w:t>
      </w:r>
      <w:r w:rsidRPr="00AA74A4">
        <w:rPr>
          <w:rFonts w:ascii="Arial" w:hAnsi="Arial" w:cs="Arial"/>
        </w:rPr>
        <w:t xml:space="preserve"> 2025)</w:t>
      </w:r>
      <w:r w:rsidRPr="000E5233">
        <w:rPr>
          <w:rFonts w:ascii="Arial" w:hAnsi="Arial" w:cs="Arial"/>
        </w:rPr>
        <w:t>. The centralised approach to safety investigation</w:t>
      </w:r>
      <w:r w:rsidRPr="00AA74A4">
        <w:rPr>
          <w:rFonts w:ascii="Arial" w:hAnsi="Arial" w:cs="Arial"/>
        </w:rPr>
        <w:t xml:space="preserve"> also</w:t>
      </w:r>
      <w:r w:rsidRPr="000E5233">
        <w:rPr>
          <w:rFonts w:ascii="Arial" w:hAnsi="Arial" w:cs="Arial"/>
        </w:rPr>
        <w:t xml:space="preserve"> operates on thresholds that may exclude incidents with significant local learning potential. </w:t>
      </w:r>
      <w:r w:rsidRPr="00AA74A4">
        <w:rPr>
          <w:rFonts w:ascii="Arial" w:hAnsi="Arial" w:cs="Arial"/>
        </w:rPr>
        <w:t>Although t</w:t>
      </w:r>
      <w:r w:rsidRPr="000E5233">
        <w:rPr>
          <w:rFonts w:ascii="Arial" w:hAnsi="Arial" w:cs="Arial"/>
        </w:rPr>
        <w:t>he HSSIB's</w:t>
      </w:r>
      <w:r w:rsidRPr="00AA74A4">
        <w:rPr>
          <w:rFonts w:ascii="Arial" w:hAnsi="Arial" w:cs="Arial"/>
        </w:rPr>
        <w:t xml:space="preserve"> (2022)</w:t>
      </w:r>
      <w:r w:rsidRPr="000E5233">
        <w:rPr>
          <w:rFonts w:ascii="Arial" w:hAnsi="Arial" w:cs="Arial"/>
        </w:rPr>
        <w:t xml:space="preserve"> decision to publish only a shorter report rather than a full national investigation demonstrat</w:t>
      </w:r>
      <w:r w:rsidRPr="00AA74A4">
        <w:rPr>
          <w:rFonts w:ascii="Arial" w:hAnsi="Arial" w:cs="Arial"/>
        </w:rPr>
        <w:t>es</w:t>
      </w:r>
      <w:r w:rsidRPr="000E5233">
        <w:rPr>
          <w:rFonts w:ascii="Arial" w:hAnsi="Arial" w:cs="Arial"/>
        </w:rPr>
        <w:t xml:space="preserve"> flexibility,</w:t>
      </w:r>
      <w:r w:rsidRPr="00AA74A4">
        <w:rPr>
          <w:rFonts w:ascii="Arial" w:hAnsi="Arial" w:cs="Arial"/>
        </w:rPr>
        <w:t xml:space="preserve"> it</w:t>
      </w:r>
      <w:r w:rsidRPr="000E5233">
        <w:rPr>
          <w:rFonts w:ascii="Arial" w:hAnsi="Arial" w:cs="Arial"/>
        </w:rPr>
        <w:t xml:space="preserve"> also reveals how centralised criteria can limit the amplification of safety lessons from incidents that do not </w:t>
      </w:r>
      <w:r w:rsidRPr="000E5233">
        <w:rPr>
          <w:rFonts w:ascii="Arial" w:hAnsi="Arial" w:cs="Arial"/>
        </w:rPr>
        <w:lastRenderedPageBreak/>
        <w:t>meet national significance thresholds. Furthermore,</w:t>
      </w:r>
      <w:r w:rsidR="00A71556" w:rsidRPr="00AA74A4">
        <w:rPr>
          <w:rFonts w:ascii="Arial" w:hAnsi="Arial" w:cs="Arial"/>
        </w:rPr>
        <w:t xml:space="preserve"> Dayan (2025) highlights that</w:t>
      </w:r>
      <w:r w:rsidRPr="000E5233">
        <w:rPr>
          <w:rFonts w:ascii="Arial" w:hAnsi="Arial" w:cs="Arial"/>
        </w:rPr>
        <w:t xml:space="preserve"> centralised systems can become bureaucratic and slow to respond to emerging local concerns, </w:t>
      </w:r>
      <w:r w:rsidR="00A71556" w:rsidRPr="00AA74A4">
        <w:rPr>
          <w:rFonts w:ascii="Arial" w:hAnsi="Arial" w:cs="Arial"/>
        </w:rPr>
        <w:t>as</w:t>
      </w:r>
      <w:r w:rsidRPr="000E5233">
        <w:rPr>
          <w:rFonts w:ascii="Arial" w:hAnsi="Arial" w:cs="Arial"/>
        </w:rPr>
        <w:t xml:space="preserve"> multiple layers of management creat</w:t>
      </w:r>
      <w:r w:rsidR="00A71556" w:rsidRPr="00AA74A4">
        <w:rPr>
          <w:rFonts w:ascii="Arial" w:hAnsi="Arial" w:cs="Arial"/>
        </w:rPr>
        <w:t>e</w:t>
      </w:r>
      <w:r w:rsidRPr="000E5233">
        <w:rPr>
          <w:rFonts w:ascii="Arial" w:hAnsi="Arial" w:cs="Arial"/>
        </w:rPr>
        <w:t xml:space="preserve"> distance between decision-makers and frontline reality. </w:t>
      </w:r>
    </w:p>
    <w:p w14:paraId="710BB967" w14:textId="0CFE9A7F" w:rsidR="00A71556" w:rsidRPr="00A71556" w:rsidRDefault="00A71556" w:rsidP="00AA74A4">
      <w:pPr>
        <w:spacing w:line="480" w:lineRule="auto"/>
        <w:rPr>
          <w:rFonts w:ascii="Arial" w:hAnsi="Arial" w:cs="Arial"/>
        </w:rPr>
      </w:pPr>
      <w:r w:rsidRPr="00A71556">
        <w:rPr>
          <w:rFonts w:ascii="Arial" w:hAnsi="Arial" w:cs="Arial"/>
        </w:rPr>
        <w:t>Decentralised systems</w:t>
      </w:r>
      <w:r w:rsidR="005F7166">
        <w:rPr>
          <w:rFonts w:ascii="Arial" w:hAnsi="Arial" w:cs="Arial"/>
        </w:rPr>
        <w:t xml:space="preserve"> contrastingly</w:t>
      </w:r>
      <w:r w:rsidRPr="00A71556">
        <w:rPr>
          <w:rFonts w:ascii="Arial" w:hAnsi="Arial" w:cs="Arial"/>
        </w:rPr>
        <w:t xml:space="preserve"> distribute authority to regional or local levels, </w:t>
      </w:r>
      <w:r w:rsidR="005012A8" w:rsidRPr="00AA74A4">
        <w:rPr>
          <w:rFonts w:ascii="Arial" w:hAnsi="Arial" w:cs="Arial"/>
        </w:rPr>
        <w:t xml:space="preserve">which </w:t>
      </w:r>
      <w:r w:rsidRPr="00A71556">
        <w:rPr>
          <w:rFonts w:ascii="Arial" w:hAnsi="Arial" w:cs="Arial"/>
        </w:rPr>
        <w:t>enabl</w:t>
      </w:r>
      <w:r w:rsidR="005012A8" w:rsidRPr="00AA74A4">
        <w:rPr>
          <w:rFonts w:ascii="Arial" w:hAnsi="Arial" w:cs="Arial"/>
        </w:rPr>
        <w:t>es</w:t>
      </w:r>
      <w:r w:rsidRPr="00A71556">
        <w:rPr>
          <w:rFonts w:ascii="Arial" w:hAnsi="Arial" w:cs="Arial"/>
        </w:rPr>
        <w:t xml:space="preserve"> responsiveness to local population needs and context</w:t>
      </w:r>
      <w:r w:rsidR="005012A8" w:rsidRPr="00AA74A4">
        <w:rPr>
          <w:rFonts w:ascii="Arial" w:hAnsi="Arial" w:cs="Arial"/>
        </w:rPr>
        <w:t xml:space="preserve"> (</w:t>
      </w:r>
      <w:proofErr w:type="spellStart"/>
      <w:r w:rsidR="005012A8" w:rsidRPr="00AA74A4">
        <w:rPr>
          <w:rFonts w:ascii="Arial" w:hAnsi="Arial" w:cs="Arial"/>
        </w:rPr>
        <w:t>Britteon</w:t>
      </w:r>
      <w:proofErr w:type="spellEnd"/>
      <w:r w:rsidR="005012A8" w:rsidRPr="00AA74A4">
        <w:rPr>
          <w:rFonts w:ascii="Arial" w:hAnsi="Arial" w:cs="Arial"/>
        </w:rPr>
        <w:t xml:space="preserve"> et al.</w:t>
      </w:r>
      <w:r w:rsidR="00A2390C">
        <w:rPr>
          <w:rFonts w:ascii="Arial" w:hAnsi="Arial" w:cs="Arial"/>
        </w:rPr>
        <w:t>,</w:t>
      </w:r>
      <w:r w:rsidR="005012A8" w:rsidRPr="00AA74A4">
        <w:rPr>
          <w:rFonts w:ascii="Arial" w:hAnsi="Arial" w:cs="Arial"/>
        </w:rPr>
        <w:t xml:space="preserve"> 2024)</w:t>
      </w:r>
      <w:r w:rsidRPr="00A71556">
        <w:rPr>
          <w:rFonts w:ascii="Arial" w:hAnsi="Arial" w:cs="Arial"/>
        </w:rPr>
        <w:t xml:space="preserve">. In the </w:t>
      </w:r>
      <w:r w:rsidR="005012A8" w:rsidRPr="00AA74A4">
        <w:rPr>
          <w:rFonts w:ascii="Arial" w:hAnsi="Arial" w:cs="Arial"/>
        </w:rPr>
        <w:t>UK</w:t>
      </w:r>
      <w:r w:rsidRPr="00A71556">
        <w:rPr>
          <w:rFonts w:ascii="Arial" w:hAnsi="Arial" w:cs="Arial"/>
        </w:rPr>
        <w:t xml:space="preserve">, </w:t>
      </w:r>
      <w:r w:rsidR="005012A8" w:rsidRPr="00AA74A4">
        <w:rPr>
          <w:rFonts w:ascii="Arial" w:hAnsi="Arial" w:cs="Arial"/>
        </w:rPr>
        <w:t>t</w:t>
      </w:r>
      <w:r w:rsidRPr="00A71556">
        <w:rPr>
          <w:rFonts w:ascii="Arial" w:hAnsi="Arial" w:cs="Arial"/>
        </w:rPr>
        <w:t xml:space="preserve">he creation of 42 Integrated Care Systems (ICSs) brings together local commissioners, providers, and local authorities to plan services for populations </w:t>
      </w:r>
      <w:r w:rsidR="00B72E13" w:rsidRPr="00AA74A4">
        <w:rPr>
          <w:rFonts w:ascii="Arial" w:hAnsi="Arial" w:cs="Arial"/>
        </w:rPr>
        <w:t>(Anderson et al. 2022)</w:t>
      </w:r>
      <w:r w:rsidRPr="00A71556">
        <w:rPr>
          <w:rFonts w:ascii="Arial" w:hAnsi="Arial" w:cs="Arial"/>
        </w:rPr>
        <w:t>. At a more local level, Primary Care Networks serve populations of 30,000 to 50,000</w:t>
      </w:r>
      <w:r w:rsidR="00B72E13" w:rsidRPr="00AA74A4">
        <w:rPr>
          <w:rFonts w:ascii="Arial" w:hAnsi="Arial" w:cs="Arial"/>
        </w:rPr>
        <w:t xml:space="preserve"> and</w:t>
      </w:r>
      <w:r w:rsidRPr="00A71556">
        <w:rPr>
          <w:rFonts w:ascii="Arial" w:hAnsi="Arial" w:cs="Arial"/>
        </w:rPr>
        <w:t xml:space="preserve"> coordinat</w:t>
      </w:r>
      <w:r w:rsidR="00B72E13" w:rsidRPr="00AA74A4">
        <w:rPr>
          <w:rFonts w:ascii="Arial" w:hAnsi="Arial" w:cs="Arial"/>
        </w:rPr>
        <w:t>e</w:t>
      </w:r>
      <w:r w:rsidRPr="00A71556">
        <w:rPr>
          <w:rFonts w:ascii="Arial" w:hAnsi="Arial" w:cs="Arial"/>
        </w:rPr>
        <w:t xml:space="preserve"> community services </w:t>
      </w:r>
      <w:r w:rsidR="00B72E13" w:rsidRPr="00AA74A4">
        <w:rPr>
          <w:rFonts w:ascii="Arial" w:hAnsi="Arial" w:cs="Arial"/>
        </w:rPr>
        <w:t>as well as</w:t>
      </w:r>
      <w:r w:rsidRPr="00A71556">
        <w:rPr>
          <w:rFonts w:ascii="Arial" w:hAnsi="Arial" w:cs="Arial"/>
        </w:rPr>
        <w:t xml:space="preserve"> enabl</w:t>
      </w:r>
      <w:r w:rsidR="00B72E13" w:rsidRPr="00AA74A4">
        <w:rPr>
          <w:rFonts w:ascii="Arial" w:hAnsi="Arial" w:cs="Arial"/>
        </w:rPr>
        <w:t>e</w:t>
      </w:r>
      <w:r w:rsidRPr="00A71556">
        <w:rPr>
          <w:rFonts w:ascii="Arial" w:hAnsi="Arial" w:cs="Arial"/>
        </w:rPr>
        <w:t xml:space="preserve"> multidisciplinary collaboration </w:t>
      </w:r>
      <w:r w:rsidR="00B72E13" w:rsidRPr="00AA74A4">
        <w:rPr>
          <w:rFonts w:ascii="Arial" w:hAnsi="Arial" w:cs="Arial"/>
        </w:rPr>
        <w:t>(</w:t>
      </w:r>
      <w:proofErr w:type="spellStart"/>
      <w:r w:rsidR="00B72E13" w:rsidRPr="00AA74A4">
        <w:rPr>
          <w:rFonts w:ascii="Arial" w:hAnsi="Arial" w:cs="Arial"/>
        </w:rPr>
        <w:t>Britteon</w:t>
      </w:r>
      <w:proofErr w:type="spellEnd"/>
      <w:r w:rsidR="00B72E13" w:rsidRPr="00AA74A4">
        <w:rPr>
          <w:rFonts w:ascii="Arial" w:hAnsi="Arial" w:cs="Arial"/>
        </w:rPr>
        <w:t xml:space="preserve"> et al.</w:t>
      </w:r>
      <w:r w:rsidR="00A2390C">
        <w:rPr>
          <w:rFonts w:ascii="Arial" w:hAnsi="Arial" w:cs="Arial"/>
        </w:rPr>
        <w:t>,</w:t>
      </w:r>
      <w:r w:rsidR="00B72E13" w:rsidRPr="00AA74A4">
        <w:rPr>
          <w:rFonts w:ascii="Arial" w:hAnsi="Arial" w:cs="Arial"/>
        </w:rPr>
        <w:t xml:space="preserve"> 2024)</w:t>
      </w:r>
      <w:r w:rsidRPr="00A71556">
        <w:rPr>
          <w:rFonts w:ascii="Arial" w:hAnsi="Arial" w:cs="Arial"/>
        </w:rPr>
        <w:t xml:space="preserve">. A clear example of decentralisation is the variation in how different ICSs have organised medication safety review processes, </w:t>
      </w:r>
      <w:r w:rsidR="00B72E13" w:rsidRPr="00AA74A4">
        <w:rPr>
          <w:rFonts w:ascii="Arial" w:hAnsi="Arial" w:cs="Arial"/>
        </w:rPr>
        <w:t xml:space="preserve">as </w:t>
      </w:r>
      <w:r w:rsidRPr="00A71556">
        <w:rPr>
          <w:rFonts w:ascii="Arial" w:hAnsi="Arial" w:cs="Arial"/>
        </w:rPr>
        <w:t xml:space="preserve">some </w:t>
      </w:r>
      <w:r w:rsidR="00B72E13" w:rsidRPr="00AA74A4">
        <w:rPr>
          <w:rFonts w:ascii="Arial" w:hAnsi="Arial" w:cs="Arial"/>
        </w:rPr>
        <w:t xml:space="preserve">have </w:t>
      </w:r>
      <w:r w:rsidRPr="00A71556">
        <w:rPr>
          <w:rFonts w:ascii="Arial" w:hAnsi="Arial" w:cs="Arial"/>
        </w:rPr>
        <w:t>develop</w:t>
      </w:r>
      <w:r w:rsidR="00B72E13" w:rsidRPr="00AA74A4">
        <w:rPr>
          <w:rFonts w:ascii="Arial" w:hAnsi="Arial" w:cs="Arial"/>
        </w:rPr>
        <w:t>ed</w:t>
      </w:r>
      <w:r w:rsidRPr="00A71556">
        <w:rPr>
          <w:rFonts w:ascii="Arial" w:hAnsi="Arial" w:cs="Arial"/>
        </w:rPr>
        <w:t xml:space="preserve"> local systems for post-discharge medicines reconciliation while others focus on GP practice-level safety audits</w:t>
      </w:r>
      <w:r w:rsidR="00B72E13" w:rsidRPr="00AA74A4">
        <w:rPr>
          <w:rFonts w:ascii="Arial" w:hAnsi="Arial" w:cs="Arial"/>
        </w:rPr>
        <w:t xml:space="preserve"> (Anderson et al.</w:t>
      </w:r>
      <w:r w:rsidR="00A2390C">
        <w:rPr>
          <w:rFonts w:ascii="Arial" w:hAnsi="Arial" w:cs="Arial"/>
        </w:rPr>
        <w:t>,</w:t>
      </w:r>
      <w:r w:rsidR="00B72E13" w:rsidRPr="00AA74A4">
        <w:rPr>
          <w:rFonts w:ascii="Arial" w:hAnsi="Arial" w:cs="Arial"/>
        </w:rPr>
        <w:t xml:space="preserve"> 2022)</w:t>
      </w:r>
      <w:r w:rsidRPr="00A71556">
        <w:rPr>
          <w:rFonts w:ascii="Arial" w:hAnsi="Arial" w:cs="Arial"/>
        </w:rPr>
        <w:t>.</w:t>
      </w:r>
    </w:p>
    <w:p w14:paraId="69D4A3B8" w14:textId="3BC44031" w:rsidR="00A71556" w:rsidRPr="00A71556" w:rsidRDefault="00B72E13" w:rsidP="00AA74A4">
      <w:pPr>
        <w:spacing w:line="480" w:lineRule="auto"/>
        <w:rPr>
          <w:rFonts w:ascii="Arial" w:hAnsi="Arial" w:cs="Arial"/>
        </w:rPr>
      </w:pPr>
      <w:r w:rsidRPr="00AA74A4">
        <w:rPr>
          <w:rFonts w:ascii="Arial" w:hAnsi="Arial" w:cs="Arial"/>
        </w:rPr>
        <w:t>An advantage of</w:t>
      </w:r>
      <w:r w:rsidR="00A71556" w:rsidRPr="00A71556">
        <w:rPr>
          <w:rFonts w:ascii="Arial" w:hAnsi="Arial" w:cs="Arial"/>
        </w:rPr>
        <w:t xml:space="preserve"> decentralisation </w:t>
      </w:r>
      <w:r w:rsidRPr="00AA74A4">
        <w:rPr>
          <w:rFonts w:ascii="Arial" w:hAnsi="Arial" w:cs="Arial"/>
        </w:rPr>
        <w:t>is that</w:t>
      </w:r>
      <w:r w:rsidR="00A71556" w:rsidRPr="00A71556">
        <w:rPr>
          <w:rFonts w:ascii="Arial" w:hAnsi="Arial" w:cs="Arial"/>
        </w:rPr>
        <w:t xml:space="preserve"> </w:t>
      </w:r>
      <w:r w:rsidRPr="00AA74A4">
        <w:rPr>
          <w:rFonts w:ascii="Arial" w:hAnsi="Arial" w:cs="Arial"/>
        </w:rPr>
        <w:t>l</w:t>
      </w:r>
      <w:r w:rsidR="00A71556" w:rsidRPr="00A71556">
        <w:rPr>
          <w:rFonts w:ascii="Arial" w:hAnsi="Arial" w:cs="Arial"/>
        </w:rPr>
        <w:t>ocal systems can adapt national guidance to reflect community demographics, local health priorities, and specific service configurations</w:t>
      </w:r>
      <w:r w:rsidRPr="00AA74A4">
        <w:rPr>
          <w:rFonts w:ascii="Arial" w:hAnsi="Arial" w:cs="Arial"/>
        </w:rPr>
        <w:t xml:space="preserve"> (</w:t>
      </w:r>
      <w:proofErr w:type="spellStart"/>
      <w:r w:rsidRPr="00AA74A4">
        <w:rPr>
          <w:rFonts w:ascii="Arial" w:hAnsi="Arial" w:cs="Arial"/>
        </w:rPr>
        <w:t>Britteon</w:t>
      </w:r>
      <w:proofErr w:type="spellEnd"/>
      <w:r w:rsidRPr="00AA74A4">
        <w:rPr>
          <w:rFonts w:ascii="Arial" w:hAnsi="Arial" w:cs="Arial"/>
        </w:rPr>
        <w:t xml:space="preserve"> et al.</w:t>
      </w:r>
      <w:r w:rsidR="00A2390C">
        <w:rPr>
          <w:rFonts w:ascii="Arial" w:hAnsi="Arial" w:cs="Arial"/>
        </w:rPr>
        <w:t>,</w:t>
      </w:r>
      <w:r w:rsidRPr="00AA74A4">
        <w:rPr>
          <w:rFonts w:ascii="Arial" w:hAnsi="Arial" w:cs="Arial"/>
        </w:rPr>
        <w:t xml:space="preserve"> 2024)</w:t>
      </w:r>
      <w:r w:rsidR="00A71556" w:rsidRPr="00A71556">
        <w:rPr>
          <w:rFonts w:ascii="Arial" w:hAnsi="Arial" w:cs="Arial"/>
        </w:rPr>
        <w:t>. In Len's case, a more locally responsive system might have developed</w:t>
      </w:r>
      <w:r w:rsidRPr="00AA74A4">
        <w:rPr>
          <w:rFonts w:ascii="Arial" w:hAnsi="Arial" w:cs="Arial"/>
        </w:rPr>
        <w:t xml:space="preserve"> tailored</w:t>
      </w:r>
      <w:r w:rsidR="00A71556" w:rsidRPr="00A71556">
        <w:rPr>
          <w:rFonts w:ascii="Arial" w:hAnsi="Arial" w:cs="Arial"/>
        </w:rPr>
        <w:t xml:space="preserve"> mechanisms for verifying patient comprehension of complex medication instructions. </w:t>
      </w:r>
      <w:r w:rsidR="00144BA9" w:rsidRPr="00AA74A4">
        <w:rPr>
          <w:rFonts w:ascii="Arial" w:hAnsi="Arial" w:cs="Arial"/>
        </w:rPr>
        <w:t>Dayan (2025) opines that d</w:t>
      </w:r>
      <w:r w:rsidR="00A71556" w:rsidRPr="00A71556">
        <w:rPr>
          <w:rFonts w:ascii="Arial" w:hAnsi="Arial" w:cs="Arial"/>
        </w:rPr>
        <w:t>ecentralisation enables innovation and testing of different approaches</w:t>
      </w:r>
      <w:r w:rsidR="00144BA9" w:rsidRPr="00AA74A4">
        <w:rPr>
          <w:rFonts w:ascii="Arial" w:hAnsi="Arial" w:cs="Arial"/>
        </w:rPr>
        <w:t xml:space="preserve"> as</w:t>
      </w:r>
      <w:r w:rsidR="00A71556" w:rsidRPr="00A71556">
        <w:rPr>
          <w:rFonts w:ascii="Arial" w:hAnsi="Arial" w:cs="Arial"/>
        </w:rPr>
        <w:t xml:space="preserve"> successful local initiatives potentially spread through professional networks rather than top-down mandate. Local decision-making can also reduce the distance between those setting priorities and those delivering care,</w:t>
      </w:r>
      <w:r w:rsidR="00144BA9" w:rsidRPr="00AA74A4">
        <w:rPr>
          <w:rFonts w:ascii="Arial" w:hAnsi="Arial" w:cs="Arial"/>
        </w:rPr>
        <w:t xml:space="preserve"> which could</w:t>
      </w:r>
      <w:r w:rsidR="00A71556" w:rsidRPr="00A71556">
        <w:rPr>
          <w:rFonts w:ascii="Arial" w:hAnsi="Arial" w:cs="Arial"/>
        </w:rPr>
        <w:t xml:space="preserve"> potentially improv</w:t>
      </w:r>
      <w:r w:rsidR="00144BA9" w:rsidRPr="00AA74A4">
        <w:rPr>
          <w:rFonts w:ascii="Arial" w:hAnsi="Arial" w:cs="Arial"/>
        </w:rPr>
        <w:t>e</w:t>
      </w:r>
      <w:r w:rsidR="00A71556" w:rsidRPr="00A71556">
        <w:rPr>
          <w:rFonts w:ascii="Arial" w:hAnsi="Arial" w:cs="Arial"/>
        </w:rPr>
        <w:t xml:space="preserve"> responsiveness to emerging safety concerns</w:t>
      </w:r>
      <w:r w:rsidR="005F7166">
        <w:rPr>
          <w:rFonts w:ascii="Arial" w:hAnsi="Arial" w:cs="Arial"/>
        </w:rPr>
        <w:t xml:space="preserve"> </w:t>
      </w:r>
      <w:r w:rsidR="005F7166" w:rsidRPr="00AA74A4">
        <w:rPr>
          <w:rFonts w:ascii="Arial" w:hAnsi="Arial" w:cs="Arial"/>
        </w:rPr>
        <w:t>(</w:t>
      </w:r>
      <w:proofErr w:type="spellStart"/>
      <w:r w:rsidR="005F7166" w:rsidRPr="00AA74A4">
        <w:rPr>
          <w:rFonts w:ascii="Arial" w:hAnsi="Arial" w:cs="Arial"/>
        </w:rPr>
        <w:t>Britteon</w:t>
      </w:r>
      <w:proofErr w:type="spellEnd"/>
      <w:r w:rsidR="005F7166" w:rsidRPr="00AA74A4">
        <w:rPr>
          <w:rFonts w:ascii="Arial" w:hAnsi="Arial" w:cs="Arial"/>
        </w:rPr>
        <w:t xml:space="preserve"> et al.</w:t>
      </w:r>
      <w:r w:rsidR="00A2390C">
        <w:rPr>
          <w:rFonts w:ascii="Arial" w:hAnsi="Arial" w:cs="Arial"/>
        </w:rPr>
        <w:t>,</w:t>
      </w:r>
      <w:r w:rsidR="005F7166" w:rsidRPr="00AA74A4">
        <w:rPr>
          <w:rFonts w:ascii="Arial" w:hAnsi="Arial" w:cs="Arial"/>
        </w:rPr>
        <w:t xml:space="preserve"> 2024)</w:t>
      </w:r>
      <w:r w:rsidR="00A71556" w:rsidRPr="00A71556">
        <w:rPr>
          <w:rFonts w:ascii="Arial" w:hAnsi="Arial" w:cs="Arial"/>
        </w:rPr>
        <w:t>.</w:t>
      </w:r>
    </w:p>
    <w:p w14:paraId="1D99BB10" w14:textId="013430F6" w:rsidR="00A71556" w:rsidRPr="00A71556" w:rsidRDefault="00A71556" w:rsidP="00AA74A4">
      <w:pPr>
        <w:spacing w:line="480" w:lineRule="auto"/>
        <w:rPr>
          <w:rFonts w:ascii="Arial" w:hAnsi="Arial" w:cs="Arial"/>
        </w:rPr>
      </w:pPr>
      <w:r w:rsidRPr="00A71556">
        <w:rPr>
          <w:rFonts w:ascii="Arial" w:hAnsi="Arial" w:cs="Arial"/>
        </w:rPr>
        <w:t>However, decentralisation carries disadvantages that were relevant to Len's case. Variation in local approaches can lead to inequitable patient experiences and outcomes, with safety depending on where patients happen to live</w:t>
      </w:r>
      <w:r w:rsidR="00144BA9" w:rsidRPr="00AA74A4">
        <w:rPr>
          <w:rFonts w:ascii="Arial" w:hAnsi="Arial" w:cs="Arial"/>
        </w:rPr>
        <w:t xml:space="preserve"> (Pearson, Watson and Witcher</w:t>
      </w:r>
      <w:r w:rsidR="00A2390C">
        <w:rPr>
          <w:rFonts w:ascii="Arial" w:hAnsi="Arial" w:cs="Arial"/>
        </w:rPr>
        <w:t>,</w:t>
      </w:r>
      <w:r w:rsidR="00144BA9" w:rsidRPr="00AA74A4">
        <w:rPr>
          <w:rFonts w:ascii="Arial" w:hAnsi="Arial" w:cs="Arial"/>
        </w:rPr>
        <w:t xml:space="preserve"> 2024)</w:t>
      </w:r>
      <w:r w:rsidRPr="00A71556">
        <w:rPr>
          <w:rFonts w:ascii="Arial" w:hAnsi="Arial" w:cs="Arial"/>
        </w:rPr>
        <w:t xml:space="preserve">. National oversight of medication safety becomes more challenging when data collection, analysis, </w:t>
      </w:r>
      <w:r w:rsidRPr="00A71556">
        <w:rPr>
          <w:rFonts w:ascii="Arial" w:hAnsi="Arial" w:cs="Arial"/>
        </w:rPr>
        <w:lastRenderedPageBreak/>
        <w:t xml:space="preserve">and response mechanisms are fragmented. </w:t>
      </w:r>
      <w:r w:rsidR="00144BA9" w:rsidRPr="00AA74A4">
        <w:rPr>
          <w:rFonts w:ascii="Arial" w:hAnsi="Arial" w:cs="Arial"/>
        </w:rPr>
        <w:t>Dayan (2025) highlights that d</w:t>
      </w:r>
      <w:r w:rsidRPr="00A71556">
        <w:rPr>
          <w:rFonts w:ascii="Arial" w:hAnsi="Arial" w:cs="Arial"/>
        </w:rPr>
        <w:t>ecentralisation without adequate coordination risks losing the population-level learning that national bodies can facilitate. Furthermore, local bodies may lack the resources, analytical capacity, or political influence to address systemic safety issues that require national action</w:t>
      </w:r>
      <w:r w:rsidR="00144BA9" w:rsidRPr="00AA74A4">
        <w:rPr>
          <w:rFonts w:ascii="Arial" w:hAnsi="Arial" w:cs="Arial"/>
        </w:rPr>
        <w:t xml:space="preserve"> (Anderson et al.</w:t>
      </w:r>
      <w:r w:rsidR="00A2390C">
        <w:rPr>
          <w:rFonts w:ascii="Arial" w:hAnsi="Arial" w:cs="Arial"/>
        </w:rPr>
        <w:t>,</w:t>
      </w:r>
      <w:r w:rsidR="00144BA9" w:rsidRPr="00AA74A4">
        <w:rPr>
          <w:rFonts w:ascii="Arial" w:hAnsi="Arial" w:cs="Arial"/>
        </w:rPr>
        <w:t xml:space="preserve"> 2022)</w:t>
      </w:r>
      <w:r w:rsidRPr="00A71556">
        <w:rPr>
          <w:rFonts w:ascii="Arial" w:hAnsi="Arial" w:cs="Arial"/>
        </w:rPr>
        <w:t xml:space="preserve">. </w:t>
      </w:r>
      <w:r w:rsidR="00144BA9" w:rsidRPr="00AA74A4">
        <w:rPr>
          <w:rFonts w:ascii="Arial" w:hAnsi="Arial" w:cs="Arial"/>
        </w:rPr>
        <w:t>The smaller size of Scotland, Wales, and Northern Ireland facilitates closer working between central and local levels in ways that are more challenging for England's larger population.</w:t>
      </w:r>
    </w:p>
    <w:p w14:paraId="281A305B" w14:textId="2079B5D6" w:rsidR="008E4EA2" w:rsidRPr="00AA74A4" w:rsidRDefault="00144BA9" w:rsidP="00AA74A4">
      <w:pPr>
        <w:spacing w:line="480" w:lineRule="auto"/>
        <w:rPr>
          <w:rFonts w:ascii="Arial" w:hAnsi="Arial" w:cs="Arial"/>
        </w:rPr>
      </w:pPr>
      <w:r w:rsidRPr="00AA74A4">
        <w:rPr>
          <w:rFonts w:ascii="Arial" w:hAnsi="Arial" w:cs="Arial"/>
        </w:rPr>
        <w:t>In Len’s case, the system provided centralised safety infrastructure including national prescribing guidance, regulated product labelling, and professional standards</w:t>
      </w:r>
      <w:r w:rsidR="00065FB9" w:rsidRPr="00AA74A4">
        <w:rPr>
          <w:rFonts w:ascii="Arial" w:hAnsi="Arial" w:cs="Arial"/>
        </w:rPr>
        <w:t xml:space="preserve"> (HSSIB</w:t>
      </w:r>
      <w:r w:rsidR="00A2390C">
        <w:rPr>
          <w:rFonts w:ascii="Arial" w:hAnsi="Arial" w:cs="Arial"/>
        </w:rPr>
        <w:t>,</w:t>
      </w:r>
      <w:r w:rsidR="00065FB9" w:rsidRPr="00AA74A4">
        <w:rPr>
          <w:rFonts w:ascii="Arial" w:hAnsi="Arial" w:cs="Arial"/>
        </w:rPr>
        <w:t xml:space="preserve"> 2022)</w:t>
      </w:r>
      <w:r w:rsidRPr="00AA74A4">
        <w:rPr>
          <w:rFonts w:ascii="Arial" w:hAnsi="Arial" w:cs="Arial"/>
        </w:rPr>
        <w:t>. The GP appropriately prescribed a reduced morphine dose in line with national recommendations for older adults and those with kidney dysfunction </w:t>
      </w:r>
      <w:r w:rsidR="00065FB9" w:rsidRPr="00AA74A4">
        <w:rPr>
          <w:rFonts w:ascii="Arial" w:hAnsi="Arial" w:cs="Arial"/>
        </w:rPr>
        <w:t>(Duggal</w:t>
      </w:r>
      <w:r w:rsidR="00A2390C">
        <w:rPr>
          <w:rFonts w:ascii="Arial" w:hAnsi="Arial" w:cs="Arial"/>
        </w:rPr>
        <w:t>,</w:t>
      </w:r>
      <w:r w:rsidR="00065FB9" w:rsidRPr="00AA74A4">
        <w:rPr>
          <w:rFonts w:ascii="Arial" w:hAnsi="Arial" w:cs="Arial"/>
        </w:rPr>
        <w:t xml:space="preserve"> 2022)</w:t>
      </w:r>
      <w:r w:rsidRPr="00AA74A4">
        <w:rPr>
          <w:rFonts w:ascii="Arial" w:hAnsi="Arial" w:cs="Arial"/>
        </w:rPr>
        <w:t>.</w:t>
      </w:r>
      <w:r w:rsidR="00065FB9" w:rsidRPr="00AA74A4">
        <w:rPr>
          <w:rFonts w:ascii="Arial" w:hAnsi="Arial" w:cs="Arial"/>
        </w:rPr>
        <w:t xml:space="preserve"> In addition,</w:t>
      </w:r>
      <w:r w:rsidRPr="00AA74A4">
        <w:rPr>
          <w:rFonts w:ascii="Arial" w:hAnsi="Arial" w:cs="Arial"/>
        </w:rPr>
        <w:t xml:space="preserve"> </w:t>
      </w:r>
      <w:r w:rsidR="00065FB9" w:rsidRPr="00AA74A4">
        <w:rPr>
          <w:rFonts w:ascii="Arial" w:hAnsi="Arial" w:cs="Arial"/>
        </w:rPr>
        <w:t>t</w:t>
      </w:r>
      <w:r w:rsidRPr="00AA74A4">
        <w:rPr>
          <w:rFonts w:ascii="Arial" w:hAnsi="Arial" w:cs="Arial"/>
        </w:rPr>
        <w:t>he pharmacist appl</w:t>
      </w:r>
      <w:r w:rsidR="00065FB9" w:rsidRPr="00AA74A4">
        <w:rPr>
          <w:rFonts w:ascii="Arial" w:hAnsi="Arial" w:cs="Arial"/>
        </w:rPr>
        <w:t>ied</w:t>
      </w:r>
      <w:r w:rsidRPr="00AA74A4">
        <w:rPr>
          <w:rFonts w:ascii="Arial" w:hAnsi="Arial" w:cs="Arial"/>
        </w:rPr>
        <w:t xml:space="preserve"> the dispensing label to the outer box as legally required. However, these centralised safeguards failed to protect Len because they did not address the cognitive and behavioural realities of medication administration in the home setting. The system lacked a mechanism to verify that patients and carers could correctly interpret and apply the information provided.</w:t>
      </w:r>
    </w:p>
    <w:p w14:paraId="52353696" w14:textId="7AD3DAD7" w:rsidR="00F678FF" w:rsidRPr="00AA74A4" w:rsidRDefault="00F678FF" w:rsidP="00AA74A4">
      <w:pPr>
        <w:spacing w:line="480" w:lineRule="auto"/>
        <w:jc w:val="center"/>
        <w:rPr>
          <w:rFonts w:ascii="Arial" w:hAnsi="Arial" w:cs="Arial"/>
          <w:b/>
          <w:bCs/>
        </w:rPr>
      </w:pPr>
      <w:r w:rsidRPr="00AA74A4">
        <w:rPr>
          <w:rFonts w:ascii="Arial" w:hAnsi="Arial" w:cs="Arial"/>
          <w:b/>
          <w:bCs/>
        </w:rPr>
        <w:t>Leadership Theories and Application to the Case Study</w:t>
      </w:r>
    </w:p>
    <w:p w14:paraId="51B19361" w14:textId="26E1AF57" w:rsidR="00065FB9" w:rsidRPr="00065FB9" w:rsidRDefault="00065FB9" w:rsidP="00AA74A4">
      <w:pPr>
        <w:spacing w:line="480" w:lineRule="auto"/>
        <w:rPr>
          <w:rFonts w:ascii="Arial" w:hAnsi="Arial" w:cs="Arial"/>
        </w:rPr>
      </w:pPr>
      <w:r w:rsidRPr="00AA74A4">
        <w:rPr>
          <w:rFonts w:ascii="Arial" w:hAnsi="Arial" w:cs="Arial"/>
        </w:rPr>
        <w:t xml:space="preserve">According to </w:t>
      </w:r>
      <w:proofErr w:type="spellStart"/>
      <w:r w:rsidRPr="00AA74A4">
        <w:rPr>
          <w:rFonts w:ascii="Arial" w:hAnsi="Arial" w:cs="Arial"/>
        </w:rPr>
        <w:t>Ystaas</w:t>
      </w:r>
      <w:proofErr w:type="spellEnd"/>
      <w:r w:rsidRPr="00AA74A4">
        <w:rPr>
          <w:rFonts w:ascii="Arial" w:hAnsi="Arial" w:cs="Arial"/>
        </w:rPr>
        <w:t xml:space="preserve"> et al. (2023), t</w:t>
      </w:r>
      <w:r w:rsidRPr="00065FB9">
        <w:rPr>
          <w:rFonts w:ascii="Arial" w:hAnsi="Arial" w:cs="Arial"/>
        </w:rPr>
        <w:t>ransformational leadership is concerned with inspiring and motivating followers to achieve extraordinary outcomes by appealing to their values and sense of purpose. This theory is centrally relevant to the HSSIB's</w:t>
      </w:r>
      <w:r w:rsidRPr="00AA74A4">
        <w:rPr>
          <w:rFonts w:ascii="Arial" w:hAnsi="Arial" w:cs="Arial"/>
        </w:rPr>
        <w:t xml:space="preserve"> (2022)</w:t>
      </w:r>
      <w:r w:rsidRPr="00065FB9">
        <w:rPr>
          <w:rFonts w:ascii="Arial" w:hAnsi="Arial" w:cs="Arial"/>
        </w:rPr>
        <w:t xml:space="preserve"> decision to publish a shorter investigation report on Len's case despite it not meeting the criteria for a full national investigation. By prioritising the dissemination of learning, HSSIB</w:t>
      </w:r>
      <w:r w:rsidRPr="00AA74A4">
        <w:rPr>
          <w:rFonts w:ascii="Arial" w:hAnsi="Arial" w:cs="Arial"/>
        </w:rPr>
        <w:t xml:space="preserve"> (2022)</w:t>
      </w:r>
      <w:r w:rsidRPr="00065FB9">
        <w:rPr>
          <w:rFonts w:ascii="Arial" w:hAnsi="Arial" w:cs="Arial"/>
        </w:rPr>
        <w:t xml:space="preserve"> leadership sought to elevate the organisation's impact and engage stakeholders who might otherwise feel excluded from the safety investigation process. The transformational element lay in reframing the organisation's identity from a purely investigative body to a broader learning and safety promotion entity.</w:t>
      </w:r>
    </w:p>
    <w:p w14:paraId="246FBF97" w14:textId="04DB031D" w:rsidR="00065FB9" w:rsidRPr="00065FB9" w:rsidRDefault="00065FB9" w:rsidP="00AA74A4">
      <w:pPr>
        <w:spacing w:line="480" w:lineRule="auto"/>
        <w:rPr>
          <w:rFonts w:ascii="Arial" w:hAnsi="Arial" w:cs="Arial"/>
        </w:rPr>
      </w:pPr>
      <w:r w:rsidRPr="00065FB9">
        <w:rPr>
          <w:rFonts w:ascii="Arial" w:hAnsi="Arial" w:cs="Arial"/>
        </w:rPr>
        <w:lastRenderedPageBreak/>
        <w:t xml:space="preserve">However, </w:t>
      </w:r>
      <w:r w:rsidRPr="00AA74A4">
        <w:rPr>
          <w:rFonts w:ascii="Arial" w:hAnsi="Arial" w:cs="Arial"/>
        </w:rPr>
        <w:t>w</w:t>
      </w:r>
      <w:r w:rsidRPr="00065FB9">
        <w:rPr>
          <w:rFonts w:ascii="Arial" w:hAnsi="Arial" w:cs="Arial"/>
        </w:rPr>
        <w:t>hile the decision to publish the shorter report was visionary, it remained a reactive response to an incident that had already caused harm. A more consistently transformational approach might have anticipated the systemic vulnerabilities in opioid prescribing and medication administration long before Len's case occurred</w:t>
      </w:r>
      <w:r w:rsidR="005F7166">
        <w:rPr>
          <w:rFonts w:ascii="Arial" w:hAnsi="Arial" w:cs="Arial"/>
        </w:rPr>
        <w:t xml:space="preserve"> </w:t>
      </w:r>
      <w:r w:rsidR="005F7166" w:rsidRPr="00AA74A4">
        <w:rPr>
          <w:rFonts w:ascii="Arial" w:hAnsi="Arial" w:cs="Arial"/>
        </w:rPr>
        <w:t>(Anderson et al.</w:t>
      </w:r>
      <w:r w:rsidR="00A2390C">
        <w:rPr>
          <w:rFonts w:ascii="Arial" w:hAnsi="Arial" w:cs="Arial"/>
        </w:rPr>
        <w:t>,</w:t>
      </w:r>
      <w:r w:rsidR="005F7166" w:rsidRPr="00AA74A4">
        <w:rPr>
          <w:rFonts w:ascii="Arial" w:hAnsi="Arial" w:cs="Arial"/>
        </w:rPr>
        <w:t xml:space="preserve"> 2022)</w:t>
      </w:r>
      <w:r w:rsidRPr="00065FB9">
        <w:rPr>
          <w:rFonts w:ascii="Arial" w:hAnsi="Arial" w:cs="Arial"/>
        </w:rPr>
        <w:t xml:space="preserve">. The NHS Business Services Authority's development of opioid prescribing comparators dashboards represents a proactive, data-driven initiative that enables prescribers to identify patients at risk and review their medications before harm occurs </w:t>
      </w:r>
      <w:r w:rsidR="00841AD1" w:rsidRPr="00AA74A4">
        <w:rPr>
          <w:rFonts w:ascii="Arial" w:hAnsi="Arial" w:cs="Arial"/>
        </w:rPr>
        <w:t>(Pharmacy Magazine</w:t>
      </w:r>
      <w:r w:rsidR="00A2390C">
        <w:rPr>
          <w:rFonts w:ascii="Arial" w:hAnsi="Arial" w:cs="Arial"/>
        </w:rPr>
        <w:t>,</w:t>
      </w:r>
      <w:r w:rsidR="00841AD1" w:rsidRPr="00AA74A4">
        <w:rPr>
          <w:rFonts w:ascii="Arial" w:hAnsi="Arial" w:cs="Arial"/>
        </w:rPr>
        <w:t xml:space="preserve"> 2022)</w:t>
      </w:r>
      <w:r w:rsidRPr="00065FB9">
        <w:rPr>
          <w:rFonts w:ascii="Arial" w:hAnsi="Arial" w:cs="Arial"/>
        </w:rPr>
        <w:t>. This tool</w:t>
      </w:r>
      <w:r w:rsidR="00841AD1" w:rsidRPr="00AA74A4">
        <w:rPr>
          <w:rFonts w:ascii="Arial" w:hAnsi="Arial" w:cs="Arial"/>
        </w:rPr>
        <w:t xml:space="preserve"> </w:t>
      </w:r>
      <w:r w:rsidRPr="00065FB9">
        <w:rPr>
          <w:rFonts w:ascii="Arial" w:hAnsi="Arial" w:cs="Arial"/>
        </w:rPr>
        <w:t>demonstrates how leadership can create systems that prevent errors rather than merely learning from them after the fact</w:t>
      </w:r>
      <w:r w:rsidR="00841AD1" w:rsidRPr="00AA74A4">
        <w:rPr>
          <w:rFonts w:ascii="Arial" w:hAnsi="Arial" w:cs="Arial"/>
        </w:rPr>
        <w:t xml:space="preserve">, which </w:t>
      </w:r>
      <w:r w:rsidRPr="00065FB9">
        <w:rPr>
          <w:rFonts w:ascii="Arial" w:hAnsi="Arial" w:cs="Arial"/>
        </w:rPr>
        <w:t>exemplifies transformational leadership applied to system design rather than incident response.</w:t>
      </w:r>
    </w:p>
    <w:p w14:paraId="2D75F932" w14:textId="3791ABFC" w:rsidR="00841AD1" w:rsidRPr="00841AD1" w:rsidRDefault="00841AD1" w:rsidP="00AA74A4">
      <w:pPr>
        <w:spacing w:line="480" w:lineRule="auto"/>
        <w:rPr>
          <w:rFonts w:ascii="Arial" w:hAnsi="Arial" w:cs="Arial"/>
        </w:rPr>
      </w:pPr>
      <w:r w:rsidRPr="00841AD1">
        <w:rPr>
          <w:rFonts w:ascii="Arial" w:hAnsi="Arial" w:cs="Arial"/>
        </w:rPr>
        <w:t>Distributed leadership theory posits that influence and decision-making should be spread across multiple individuals and levels within an organisation rather than concentrated at the top</w:t>
      </w:r>
      <w:r w:rsidRPr="00AA74A4">
        <w:rPr>
          <w:rFonts w:ascii="Arial" w:hAnsi="Arial" w:cs="Arial"/>
        </w:rPr>
        <w:t xml:space="preserve"> (Carstensen, Kjeldsen and Nielsen</w:t>
      </w:r>
      <w:r w:rsidR="00A2390C">
        <w:rPr>
          <w:rFonts w:ascii="Arial" w:hAnsi="Arial" w:cs="Arial"/>
        </w:rPr>
        <w:t>,</w:t>
      </w:r>
      <w:r w:rsidRPr="00AA74A4">
        <w:rPr>
          <w:rFonts w:ascii="Arial" w:hAnsi="Arial" w:cs="Arial"/>
        </w:rPr>
        <w:t xml:space="preserve"> 2023)</w:t>
      </w:r>
      <w:r w:rsidRPr="00841AD1">
        <w:rPr>
          <w:rFonts w:ascii="Arial" w:hAnsi="Arial" w:cs="Arial"/>
        </w:rPr>
        <w:t>. The evidence from Len's case reveals the critical importance of distributed leadership, as the failure involved the interactions between GP, pharmacist, manufacturer, and family caregivers. The Care Quality Commission</w:t>
      </w:r>
      <w:r w:rsidRPr="00AA74A4">
        <w:rPr>
          <w:rFonts w:ascii="Arial" w:hAnsi="Arial" w:cs="Arial"/>
        </w:rPr>
        <w:t xml:space="preserve"> (2025)</w:t>
      </w:r>
      <w:r w:rsidRPr="00841AD1">
        <w:rPr>
          <w:rFonts w:ascii="Arial" w:hAnsi="Arial" w:cs="Arial"/>
        </w:rPr>
        <w:t xml:space="preserve"> explicitly recommends that improvement in the safer management of controlled drugs requires "working collaboratively in local systems," noting that "better collaboration and partnership working can result in better outcomes for people". This recommendation reflects an understanding that safety emerges from distributed responsibility and coordinated action across professional and organisational boundaries.</w:t>
      </w:r>
      <w:r w:rsidR="00AA1DD7" w:rsidRPr="00AA74A4">
        <w:rPr>
          <w:rFonts w:ascii="Arial" w:hAnsi="Arial" w:cs="Arial"/>
        </w:rPr>
        <w:t xml:space="preserve"> The data on medication errors supports this approach, as Holland et al. (2022) note that 54% of errors occur during administration where patients and carers are most directly </w:t>
      </w:r>
      <w:r w:rsidR="001032ED" w:rsidRPr="00AA74A4">
        <w:rPr>
          <w:rFonts w:ascii="Arial" w:hAnsi="Arial" w:cs="Arial"/>
        </w:rPr>
        <w:t>involved.</w:t>
      </w:r>
      <w:r w:rsidR="00AA1DD7" w:rsidRPr="00AA74A4">
        <w:rPr>
          <w:rFonts w:ascii="Arial" w:hAnsi="Arial" w:cs="Arial"/>
        </w:rPr>
        <w:t xml:space="preserve"> </w:t>
      </w:r>
      <w:r w:rsidRPr="00AA74A4">
        <w:rPr>
          <w:rFonts w:ascii="Arial" w:hAnsi="Arial" w:cs="Arial"/>
        </w:rPr>
        <w:t xml:space="preserve"> </w:t>
      </w:r>
      <w:r w:rsidRPr="00841AD1">
        <w:rPr>
          <w:rFonts w:ascii="Arial" w:hAnsi="Arial" w:cs="Arial"/>
        </w:rPr>
        <w:t xml:space="preserve">In Len's case, his wife was effectively the final link in the medication safety chain, </w:t>
      </w:r>
      <w:r w:rsidR="00AA1DD7" w:rsidRPr="00AA74A4">
        <w:rPr>
          <w:rFonts w:ascii="Arial" w:hAnsi="Arial" w:cs="Arial"/>
        </w:rPr>
        <w:t>although</w:t>
      </w:r>
      <w:r w:rsidRPr="00841AD1">
        <w:rPr>
          <w:rFonts w:ascii="Arial" w:hAnsi="Arial" w:cs="Arial"/>
        </w:rPr>
        <w:t xml:space="preserve"> the system provided her with insufficient support to fulfil this role safely</w:t>
      </w:r>
      <w:r w:rsidR="00AA1DD7" w:rsidRPr="00AA74A4">
        <w:rPr>
          <w:rFonts w:ascii="Arial" w:hAnsi="Arial" w:cs="Arial"/>
        </w:rPr>
        <w:t xml:space="preserve"> (HSSIB</w:t>
      </w:r>
      <w:r w:rsidR="00A2390C">
        <w:rPr>
          <w:rFonts w:ascii="Arial" w:hAnsi="Arial" w:cs="Arial"/>
        </w:rPr>
        <w:t>,</w:t>
      </w:r>
      <w:r w:rsidR="00AA1DD7" w:rsidRPr="00AA74A4">
        <w:rPr>
          <w:rFonts w:ascii="Arial" w:hAnsi="Arial" w:cs="Arial"/>
        </w:rPr>
        <w:t xml:space="preserve"> 2022)</w:t>
      </w:r>
      <w:r w:rsidRPr="00841AD1">
        <w:rPr>
          <w:rFonts w:ascii="Arial" w:hAnsi="Arial" w:cs="Arial"/>
        </w:rPr>
        <w:t>. A more robust distributed leadership model would have recognised her as a critical safety partner and equipped her with the tools, training, and support needed to administer morphine correctly.</w:t>
      </w:r>
    </w:p>
    <w:p w14:paraId="784843EE" w14:textId="6690BC2A" w:rsidR="00AA1DD7" w:rsidRPr="00AA1DD7" w:rsidRDefault="00AA1DD7" w:rsidP="00AA74A4">
      <w:pPr>
        <w:spacing w:line="480" w:lineRule="auto"/>
        <w:rPr>
          <w:rFonts w:ascii="Arial" w:hAnsi="Arial" w:cs="Arial"/>
        </w:rPr>
      </w:pPr>
      <w:r w:rsidRPr="00AA74A4">
        <w:rPr>
          <w:rFonts w:ascii="Arial" w:hAnsi="Arial" w:cs="Arial"/>
        </w:rPr>
        <w:lastRenderedPageBreak/>
        <w:t>Finally, t</w:t>
      </w:r>
      <w:r w:rsidRPr="00AA1DD7">
        <w:rPr>
          <w:rFonts w:ascii="Arial" w:hAnsi="Arial" w:cs="Arial"/>
        </w:rPr>
        <w:t>he structured processes of prescribing, dispensing, and labelling that were correctly followed by Len's GP and pharmacist represent the successful application of transactional leadership within their respective domains</w:t>
      </w:r>
      <w:r w:rsidRPr="00AA74A4">
        <w:rPr>
          <w:rFonts w:ascii="Arial" w:hAnsi="Arial" w:cs="Arial"/>
        </w:rPr>
        <w:t xml:space="preserve"> (HSSIB</w:t>
      </w:r>
      <w:r w:rsidR="00A2390C">
        <w:rPr>
          <w:rFonts w:ascii="Arial" w:hAnsi="Arial" w:cs="Arial"/>
        </w:rPr>
        <w:t>,</w:t>
      </w:r>
      <w:r w:rsidRPr="00AA74A4">
        <w:rPr>
          <w:rFonts w:ascii="Arial" w:hAnsi="Arial" w:cs="Arial"/>
        </w:rPr>
        <w:t xml:space="preserve"> 2022)</w:t>
      </w:r>
      <w:r w:rsidRPr="00AA1DD7">
        <w:rPr>
          <w:rFonts w:ascii="Arial" w:hAnsi="Arial" w:cs="Arial"/>
        </w:rPr>
        <w:t>. These actions demonstrate that transactional leadership</w:t>
      </w:r>
      <w:r w:rsidRPr="00AA74A4">
        <w:rPr>
          <w:rFonts w:ascii="Arial" w:hAnsi="Arial" w:cs="Arial"/>
        </w:rPr>
        <w:t xml:space="preserve">, which entails </w:t>
      </w:r>
      <w:r w:rsidRPr="00AA1DD7">
        <w:rPr>
          <w:rFonts w:ascii="Arial" w:hAnsi="Arial" w:cs="Arial"/>
        </w:rPr>
        <w:t>following rules, meeting standards, completing tasks correctly</w:t>
      </w:r>
      <w:r w:rsidRPr="00AA74A4">
        <w:rPr>
          <w:rFonts w:ascii="Arial" w:hAnsi="Arial" w:cs="Arial"/>
        </w:rPr>
        <w:t xml:space="preserve">, </w:t>
      </w:r>
      <w:r w:rsidRPr="00AA1DD7">
        <w:rPr>
          <w:rFonts w:ascii="Arial" w:hAnsi="Arial" w:cs="Arial"/>
        </w:rPr>
        <w:t>was functioning as designed</w:t>
      </w:r>
      <w:r w:rsidR="00F857BE" w:rsidRPr="00AA74A4">
        <w:rPr>
          <w:rFonts w:ascii="Arial" w:hAnsi="Arial" w:cs="Arial"/>
        </w:rPr>
        <w:t xml:space="preserve"> (Al-</w:t>
      </w:r>
      <w:proofErr w:type="spellStart"/>
      <w:r w:rsidR="00F857BE" w:rsidRPr="00AA74A4">
        <w:rPr>
          <w:rFonts w:ascii="Arial" w:hAnsi="Arial" w:cs="Arial"/>
        </w:rPr>
        <w:t>Rjoub</w:t>
      </w:r>
      <w:proofErr w:type="spellEnd"/>
      <w:r w:rsidR="00F857BE" w:rsidRPr="00AA74A4">
        <w:rPr>
          <w:rFonts w:ascii="Arial" w:hAnsi="Arial" w:cs="Arial"/>
        </w:rPr>
        <w:t xml:space="preserve"> et al.</w:t>
      </w:r>
      <w:r w:rsidR="00A2390C">
        <w:rPr>
          <w:rFonts w:ascii="Arial" w:hAnsi="Arial" w:cs="Arial"/>
        </w:rPr>
        <w:t>,</w:t>
      </w:r>
      <w:r w:rsidR="00F857BE" w:rsidRPr="00AA74A4">
        <w:rPr>
          <w:rFonts w:ascii="Arial" w:hAnsi="Arial" w:cs="Arial"/>
        </w:rPr>
        <w:t xml:space="preserve"> 2024)</w:t>
      </w:r>
      <w:r w:rsidRPr="00AA1DD7">
        <w:rPr>
          <w:rFonts w:ascii="Arial" w:hAnsi="Arial" w:cs="Arial"/>
        </w:rPr>
        <w:t xml:space="preserve">. However, the tragic outcome reveals that transactional leadership alone is insufficient when system-level interactions create unanticipated risks. The national data on medication errors contextualises the scale of this challenge. Between 2017 and June 2022, over 1.3 million medication-related incidents were reported to the National Reporting and Learning System </w:t>
      </w:r>
      <w:r w:rsidR="00F857BE" w:rsidRPr="00AA74A4">
        <w:rPr>
          <w:rFonts w:ascii="Arial" w:hAnsi="Arial" w:cs="Arial"/>
        </w:rPr>
        <w:t>(Camacho et al.</w:t>
      </w:r>
      <w:r w:rsidR="00A2390C">
        <w:rPr>
          <w:rFonts w:ascii="Arial" w:hAnsi="Arial" w:cs="Arial"/>
        </w:rPr>
        <w:t>,</w:t>
      </w:r>
      <w:r w:rsidR="00F857BE" w:rsidRPr="00AA74A4">
        <w:rPr>
          <w:rFonts w:ascii="Arial" w:hAnsi="Arial" w:cs="Arial"/>
        </w:rPr>
        <w:t xml:space="preserve"> 2024)</w:t>
      </w:r>
      <w:r w:rsidRPr="00AA1DD7">
        <w:rPr>
          <w:rFonts w:ascii="Arial" w:hAnsi="Arial" w:cs="Arial"/>
        </w:rPr>
        <w:t>. This suggests that while transactional processes prevent many errors, the sheer volume of medication transactions</w:t>
      </w:r>
      <w:r w:rsidR="00F857BE" w:rsidRPr="00AA74A4">
        <w:rPr>
          <w:rFonts w:ascii="Arial" w:hAnsi="Arial" w:cs="Arial"/>
        </w:rPr>
        <w:t xml:space="preserve"> </w:t>
      </w:r>
      <w:r w:rsidRPr="00AA1DD7">
        <w:rPr>
          <w:rFonts w:ascii="Arial" w:hAnsi="Arial" w:cs="Arial"/>
        </w:rPr>
        <w:t>means that even a small percentage of severe errors represents a substantial burden of avoidable harm.</w:t>
      </w:r>
      <w:r w:rsidR="00F857BE" w:rsidRPr="00AA74A4">
        <w:rPr>
          <w:rFonts w:ascii="Arial" w:hAnsi="Arial" w:cs="Arial"/>
        </w:rPr>
        <w:t xml:space="preserve"> Camacho et al. (2024) further highlight that</w:t>
      </w:r>
      <w:r w:rsidRPr="00AA1DD7">
        <w:rPr>
          <w:rFonts w:ascii="Arial" w:hAnsi="Arial" w:cs="Arial"/>
        </w:rPr>
        <w:t xml:space="preserve"> </w:t>
      </w:r>
      <w:r w:rsidR="00F857BE" w:rsidRPr="00AA74A4">
        <w:rPr>
          <w:rFonts w:ascii="Arial" w:hAnsi="Arial" w:cs="Arial"/>
        </w:rPr>
        <w:t>t</w:t>
      </w:r>
      <w:r w:rsidRPr="00AA1DD7">
        <w:rPr>
          <w:rFonts w:ascii="Arial" w:hAnsi="Arial" w:cs="Arial"/>
        </w:rPr>
        <w:t>he cost of opioid drugs alone decreased by 26.7% between 2015 and 2022, yet prescribing volumes remained relatively stable</w:t>
      </w:r>
      <w:r w:rsidR="00F857BE" w:rsidRPr="00AA74A4">
        <w:rPr>
          <w:rFonts w:ascii="Arial" w:hAnsi="Arial" w:cs="Arial"/>
        </w:rPr>
        <w:t xml:space="preserve">. This </w:t>
      </w:r>
      <w:r w:rsidRPr="00AA1DD7">
        <w:rPr>
          <w:rFonts w:ascii="Arial" w:hAnsi="Arial" w:cs="Arial"/>
        </w:rPr>
        <w:t>indicat</w:t>
      </w:r>
      <w:r w:rsidR="00F857BE" w:rsidRPr="00AA74A4">
        <w:rPr>
          <w:rFonts w:ascii="Arial" w:hAnsi="Arial" w:cs="Arial"/>
        </w:rPr>
        <w:t>es</w:t>
      </w:r>
      <w:r w:rsidRPr="00AA1DD7">
        <w:rPr>
          <w:rFonts w:ascii="Arial" w:hAnsi="Arial" w:cs="Arial"/>
        </w:rPr>
        <w:t xml:space="preserve"> that safety improvements have focused on cost efficiency rather than fundamentally reducing exposure to high-risk medications.</w:t>
      </w:r>
    </w:p>
    <w:p w14:paraId="2DB60776" w14:textId="7A486244" w:rsidR="00065FB9" w:rsidRPr="00AA74A4" w:rsidRDefault="00F857BE" w:rsidP="00AA74A4">
      <w:pPr>
        <w:spacing w:line="480" w:lineRule="auto"/>
        <w:rPr>
          <w:rFonts w:ascii="Arial" w:hAnsi="Arial" w:cs="Arial"/>
        </w:rPr>
      </w:pPr>
      <w:r w:rsidRPr="00AA74A4">
        <w:rPr>
          <w:rFonts w:ascii="Arial" w:hAnsi="Arial" w:cs="Arial"/>
        </w:rPr>
        <w:t>Different leadership approaches could have averted Len’s unfortunate case.</w:t>
      </w:r>
      <w:r w:rsidR="00F33FAC" w:rsidRPr="00AA74A4">
        <w:rPr>
          <w:rFonts w:ascii="Arial" w:hAnsi="Arial" w:cs="Arial"/>
        </w:rPr>
        <w:t xml:space="preserve"> A more distributed leadership approach might have ensured that the pharmacist, as the final professional contact before medication reached the patient, had both the authority and responsibility to verify patient comprehension (HSSIB</w:t>
      </w:r>
      <w:r w:rsidR="00A2390C">
        <w:rPr>
          <w:rFonts w:ascii="Arial" w:hAnsi="Arial" w:cs="Arial"/>
        </w:rPr>
        <w:t>,</w:t>
      </w:r>
      <w:r w:rsidR="00F33FAC" w:rsidRPr="00AA74A4">
        <w:rPr>
          <w:rFonts w:ascii="Arial" w:hAnsi="Arial" w:cs="Arial"/>
        </w:rPr>
        <w:t xml:space="preserve"> 2022). This would require moving beyond the transactional completion of labelling requirements toward a more relational engagement with patients and carers. Similarly, more emotionally intelligent leadership at the system level might have anticipated the cognitive challenges faced by elderly carers managing complex medication regimens (Al-</w:t>
      </w:r>
      <w:proofErr w:type="spellStart"/>
      <w:r w:rsidR="00F33FAC" w:rsidRPr="00AA74A4">
        <w:rPr>
          <w:rFonts w:ascii="Arial" w:hAnsi="Arial" w:cs="Arial"/>
        </w:rPr>
        <w:t>Rjoub</w:t>
      </w:r>
      <w:proofErr w:type="spellEnd"/>
      <w:r w:rsidR="00F33FAC" w:rsidRPr="00AA74A4">
        <w:rPr>
          <w:rFonts w:ascii="Arial" w:hAnsi="Arial" w:cs="Arial"/>
        </w:rPr>
        <w:t xml:space="preserve"> et al.</w:t>
      </w:r>
      <w:r w:rsidR="00A2390C">
        <w:rPr>
          <w:rFonts w:ascii="Arial" w:hAnsi="Arial" w:cs="Arial"/>
        </w:rPr>
        <w:t>,</w:t>
      </w:r>
      <w:r w:rsidR="00F33FAC" w:rsidRPr="00AA74A4">
        <w:rPr>
          <w:rFonts w:ascii="Arial" w:hAnsi="Arial" w:cs="Arial"/>
        </w:rPr>
        <w:t xml:space="preserve"> 2024). The simple intervention of ensuring that dose measurement aids can measure the full range of prescribed doses, as recommended in Safety Observation O/2022/165, reflects this kind of anticipatory, patient-centred thinking (HSSIB</w:t>
      </w:r>
      <w:r w:rsidR="00A2390C">
        <w:rPr>
          <w:rFonts w:ascii="Arial" w:hAnsi="Arial" w:cs="Arial"/>
        </w:rPr>
        <w:t>,</w:t>
      </w:r>
      <w:r w:rsidR="00F33FAC" w:rsidRPr="00AA74A4">
        <w:rPr>
          <w:rFonts w:ascii="Arial" w:hAnsi="Arial" w:cs="Arial"/>
        </w:rPr>
        <w:t xml:space="preserve"> 2022). More fundamentally, the systemic weakness revealed by this case requires leadership that is willing to challenge the assumption that correctly </w:t>
      </w:r>
      <w:r w:rsidR="00F33FAC" w:rsidRPr="00AA74A4">
        <w:rPr>
          <w:rFonts w:ascii="Arial" w:hAnsi="Arial" w:cs="Arial"/>
        </w:rPr>
        <w:lastRenderedPageBreak/>
        <w:t xml:space="preserve">following individual professional duties equates to system safety. This demands what </w:t>
      </w:r>
      <w:r w:rsidR="005F7166" w:rsidRPr="00AA74A4">
        <w:rPr>
          <w:rFonts w:ascii="Arial" w:hAnsi="Arial" w:cs="Arial"/>
        </w:rPr>
        <w:t xml:space="preserve">Pereira, Hill and Jones </w:t>
      </w:r>
      <w:r w:rsidR="005F7166">
        <w:rPr>
          <w:rFonts w:ascii="Arial" w:hAnsi="Arial" w:cs="Arial"/>
        </w:rPr>
        <w:t>(</w:t>
      </w:r>
      <w:r w:rsidR="005F7166" w:rsidRPr="00AA74A4">
        <w:rPr>
          <w:rFonts w:ascii="Arial" w:hAnsi="Arial" w:cs="Arial"/>
        </w:rPr>
        <w:t>2025)</w:t>
      </w:r>
      <w:r w:rsidR="00F33FAC" w:rsidRPr="00AA74A4">
        <w:rPr>
          <w:rFonts w:ascii="Arial" w:hAnsi="Arial" w:cs="Arial"/>
        </w:rPr>
        <w:t xml:space="preserve"> describe as "management systems to support local accountability" where responsibility for quality rests with front-line providers and commissioners, </w:t>
      </w:r>
      <w:r w:rsidR="00B25E8D" w:rsidRPr="00AA74A4">
        <w:rPr>
          <w:rFonts w:ascii="Arial" w:hAnsi="Arial" w:cs="Arial"/>
        </w:rPr>
        <w:t xml:space="preserve">who are consequently </w:t>
      </w:r>
      <w:r w:rsidR="00F33FAC" w:rsidRPr="00AA74A4">
        <w:rPr>
          <w:rFonts w:ascii="Arial" w:hAnsi="Arial" w:cs="Arial"/>
        </w:rPr>
        <w:t>supported by coherent</w:t>
      </w:r>
      <w:r w:rsidR="00B25E8D" w:rsidRPr="00AA74A4">
        <w:rPr>
          <w:rFonts w:ascii="Arial" w:hAnsi="Arial" w:cs="Arial"/>
        </w:rPr>
        <w:t xml:space="preserve"> and</w:t>
      </w:r>
      <w:r w:rsidR="00F33FAC" w:rsidRPr="00AA74A4">
        <w:rPr>
          <w:rFonts w:ascii="Arial" w:hAnsi="Arial" w:cs="Arial"/>
        </w:rPr>
        <w:t xml:space="preserve"> operationally embedded approaches to quality planning, control, and improvement. Such systems would create the feedback loops and accountability mechanisms that were absent in Len's journey through the healthcare system.</w:t>
      </w:r>
    </w:p>
    <w:p w14:paraId="5336EF0B" w14:textId="3728475F" w:rsidR="00F678FF" w:rsidRPr="00AA74A4" w:rsidRDefault="00F678FF" w:rsidP="00AA74A4">
      <w:pPr>
        <w:spacing w:line="480" w:lineRule="auto"/>
        <w:jc w:val="center"/>
        <w:rPr>
          <w:rFonts w:ascii="Arial" w:hAnsi="Arial" w:cs="Arial"/>
          <w:b/>
          <w:bCs/>
        </w:rPr>
      </w:pPr>
      <w:r w:rsidRPr="00AA74A4">
        <w:rPr>
          <w:rFonts w:ascii="Arial" w:hAnsi="Arial" w:cs="Arial"/>
          <w:b/>
          <w:bCs/>
        </w:rPr>
        <w:t>Improvement and Lessons Learned</w:t>
      </w:r>
    </w:p>
    <w:p w14:paraId="028BBBC9" w14:textId="5EE18C8C" w:rsidR="0070647D" w:rsidRPr="00AA74A4" w:rsidRDefault="00B25E8D" w:rsidP="00AA74A4">
      <w:pPr>
        <w:spacing w:line="480" w:lineRule="auto"/>
        <w:rPr>
          <w:rFonts w:ascii="Arial" w:hAnsi="Arial" w:cs="Arial"/>
        </w:rPr>
      </w:pPr>
      <w:r w:rsidRPr="00AA74A4">
        <w:rPr>
          <w:rFonts w:ascii="Arial" w:hAnsi="Arial" w:cs="Arial"/>
        </w:rPr>
        <w:t xml:space="preserve">The fundamental governance failure in Len's case was the absence of any mechanism to oversee the entire medication pathway from prescription to administration. The centralised governance structure exacerbated this problem by creating what </w:t>
      </w:r>
      <w:r w:rsidR="0070647D" w:rsidRPr="00AA74A4">
        <w:rPr>
          <w:rFonts w:ascii="Arial" w:hAnsi="Arial" w:cs="Arial"/>
        </w:rPr>
        <w:t>Nzinga et al. (2021)</w:t>
      </w:r>
      <w:r w:rsidRPr="00AA74A4">
        <w:rPr>
          <w:rFonts w:ascii="Arial" w:hAnsi="Arial" w:cs="Arial"/>
        </w:rPr>
        <w:t xml:space="preserve"> term "responsibility without autonomy".</w:t>
      </w:r>
      <w:r w:rsidR="0070647D" w:rsidRPr="00AA74A4">
        <w:rPr>
          <w:rFonts w:ascii="Arial" w:hAnsi="Arial" w:cs="Arial"/>
        </w:rPr>
        <w:t xml:space="preserve"> The unequal distribution of decision-making power, which </w:t>
      </w:r>
      <w:proofErr w:type="spellStart"/>
      <w:r w:rsidR="0070647D" w:rsidRPr="00AA74A4">
        <w:rPr>
          <w:rFonts w:ascii="Arial" w:hAnsi="Arial" w:cs="Arial"/>
        </w:rPr>
        <w:t>Britteon</w:t>
      </w:r>
      <w:proofErr w:type="spellEnd"/>
      <w:r w:rsidR="0070647D" w:rsidRPr="00AA74A4">
        <w:rPr>
          <w:rFonts w:ascii="Arial" w:hAnsi="Arial" w:cs="Arial"/>
        </w:rPr>
        <w:t xml:space="preserve"> et al. (2024) note is embedded within bureaucratic and professional hierarchies, limited the emergence of the distributed leadership that might have bridged these gaps. Existing data on the scale of unreported learning from medication incidents is substantial. For instance, the Care Quality Commission (2025) reveals that </w:t>
      </w:r>
      <w:proofErr w:type="spellStart"/>
      <w:r w:rsidR="0070647D" w:rsidRPr="00AA74A4">
        <w:rPr>
          <w:rFonts w:ascii="Arial" w:hAnsi="Arial" w:cs="Arial"/>
        </w:rPr>
        <w:t>sulfate</w:t>
      </w:r>
      <w:proofErr w:type="spellEnd"/>
      <w:r w:rsidR="0070647D" w:rsidRPr="00AA74A4">
        <w:rPr>
          <w:rFonts w:ascii="Arial" w:hAnsi="Arial" w:cs="Arial"/>
        </w:rPr>
        <w:t xml:space="preserve"> liquid has been directly linked to the cause of death in 13 Prevention of Future Death Reports since 2013, which suggests that critical lessons were not translated into preventive action despite functional incident reporting systems.</w:t>
      </w:r>
    </w:p>
    <w:p w14:paraId="5AF2F116" w14:textId="51889E78" w:rsidR="00AA49DC" w:rsidRPr="00AA49DC" w:rsidRDefault="00AA49DC" w:rsidP="00AA74A4">
      <w:pPr>
        <w:spacing w:line="480" w:lineRule="auto"/>
        <w:rPr>
          <w:rFonts w:ascii="Arial" w:hAnsi="Arial" w:cs="Arial"/>
        </w:rPr>
      </w:pPr>
      <w:r w:rsidRPr="00AA49DC">
        <w:rPr>
          <w:rFonts w:ascii="Arial" w:hAnsi="Arial" w:cs="Arial"/>
        </w:rPr>
        <w:t>The introduction of the Patient Safety Incident Response Framework (PSIRF) in 2022 represents a fundamental shift in governance that directly addresses the weaknesses exposed in Len's case</w:t>
      </w:r>
      <w:r w:rsidRPr="00AA74A4">
        <w:rPr>
          <w:rFonts w:ascii="Arial" w:hAnsi="Arial" w:cs="Arial"/>
        </w:rPr>
        <w:t xml:space="preserve"> (Health Innovation East</w:t>
      </w:r>
      <w:r w:rsidR="00A2390C">
        <w:rPr>
          <w:rFonts w:ascii="Arial" w:hAnsi="Arial" w:cs="Arial"/>
        </w:rPr>
        <w:t>,</w:t>
      </w:r>
      <w:r w:rsidRPr="00AA74A4">
        <w:rPr>
          <w:rFonts w:ascii="Arial" w:hAnsi="Arial" w:cs="Arial"/>
        </w:rPr>
        <w:t xml:space="preserve"> 2022)</w:t>
      </w:r>
      <w:r w:rsidRPr="00AA49DC">
        <w:rPr>
          <w:rFonts w:ascii="Arial" w:hAnsi="Arial" w:cs="Arial"/>
        </w:rPr>
        <w:t>. PSIRF replaces the previous Serious Incident Framework with a system-based approach focused on compassionate engagement, proportionate responses, and supportive oversight </w:t>
      </w:r>
      <w:r w:rsidRPr="00AA74A4">
        <w:rPr>
          <w:rFonts w:ascii="Arial" w:hAnsi="Arial" w:cs="Arial"/>
        </w:rPr>
        <w:t>(Health Innovation East</w:t>
      </w:r>
      <w:r w:rsidR="00A2390C">
        <w:rPr>
          <w:rFonts w:ascii="Arial" w:hAnsi="Arial" w:cs="Arial"/>
        </w:rPr>
        <w:t>,</w:t>
      </w:r>
      <w:r w:rsidRPr="00AA74A4">
        <w:rPr>
          <w:rFonts w:ascii="Arial" w:hAnsi="Arial" w:cs="Arial"/>
        </w:rPr>
        <w:t xml:space="preserve"> 2022)</w:t>
      </w:r>
      <w:r w:rsidRPr="00AA49DC">
        <w:rPr>
          <w:rFonts w:ascii="Arial" w:hAnsi="Arial" w:cs="Arial"/>
        </w:rPr>
        <w:t>. Crucially, PSIRF enables organisations to use a variety of tools beyond formal investigation, including multidisciplinary team huddles and After</w:t>
      </w:r>
      <w:r w:rsidRPr="00AA74A4">
        <w:rPr>
          <w:rFonts w:ascii="Arial" w:hAnsi="Arial" w:cs="Arial"/>
        </w:rPr>
        <w:t>-</w:t>
      </w:r>
      <w:r w:rsidRPr="00AA49DC">
        <w:rPr>
          <w:rFonts w:ascii="Arial" w:hAnsi="Arial" w:cs="Arial"/>
        </w:rPr>
        <w:t>Action Reviews, to identify learning by understanding the multiple factors leading to an incident </w:t>
      </w:r>
      <w:r w:rsidRPr="00AA74A4">
        <w:rPr>
          <w:rFonts w:ascii="Arial" w:hAnsi="Arial" w:cs="Arial"/>
        </w:rPr>
        <w:t>(Health Innovation East</w:t>
      </w:r>
      <w:r w:rsidR="00A2390C">
        <w:rPr>
          <w:rFonts w:ascii="Arial" w:hAnsi="Arial" w:cs="Arial"/>
        </w:rPr>
        <w:t>,</w:t>
      </w:r>
      <w:r w:rsidRPr="00AA74A4">
        <w:rPr>
          <w:rFonts w:ascii="Arial" w:hAnsi="Arial" w:cs="Arial"/>
        </w:rPr>
        <w:t xml:space="preserve"> 2022)</w:t>
      </w:r>
      <w:r w:rsidRPr="00AA49DC">
        <w:rPr>
          <w:rFonts w:ascii="Arial" w:hAnsi="Arial" w:cs="Arial"/>
        </w:rPr>
        <w:t xml:space="preserve">. This </w:t>
      </w:r>
      <w:r w:rsidRPr="00AA49DC">
        <w:rPr>
          <w:rFonts w:ascii="Arial" w:hAnsi="Arial" w:cs="Arial"/>
        </w:rPr>
        <w:lastRenderedPageBreak/>
        <w:t>decentralisation of response mechanisms empowers local teams to extract learning from incidents like Len's without requiring them to meet national investigation thresholds.</w:t>
      </w:r>
    </w:p>
    <w:p w14:paraId="3618C96C" w14:textId="4B2C6AC1" w:rsidR="00C02588" w:rsidRPr="00C02588" w:rsidRDefault="00AA49DC" w:rsidP="00AA74A4">
      <w:pPr>
        <w:spacing w:line="480" w:lineRule="auto"/>
        <w:rPr>
          <w:rFonts w:ascii="Arial" w:hAnsi="Arial" w:cs="Arial"/>
        </w:rPr>
      </w:pPr>
      <w:r w:rsidRPr="00AA74A4">
        <w:rPr>
          <w:rFonts w:ascii="Arial" w:hAnsi="Arial" w:cs="Arial"/>
        </w:rPr>
        <w:t xml:space="preserve">Another problem identified in the case study is reactive safety management as interventions only occurred after harm. No mechanism existed to identify Len's vulnerability as an older adult with CMT-related respiratory weakness being prescribed opioids, and to trigger preventive intervention before harm occurred. This reactive orientation reflects what the NHS England Medicines Optimisation Dashboard </w:t>
      </w:r>
      <w:r w:rsidR="00C02588" w:rsidRPr="00AA74A4">
        <w:rPr>
          <w:rFonts w:ascii="Arial" w:hAnsi="Arial" w:cs="Arial"/>
        </w:rPr>
        <w:t xml:space="preserve">(2015) </w:t>
      </w:r>
      <w:r w:rsidRPr="00AA74A4">
        <w:rPr>
          <w:rFonts w:ascii="Arial" w:hAnsi="Arial" w:cs="Arial"/>
        </w:rPr>
        <w:t xml:space="preserve">identified as a persistent challenge, which is that </w:t>
      </w:r>
      <w:r w:rsidR="00C02588" w:rsidRPr="00AA74A4">
        <w:rPr>
          <w:rFonts w:ascii="Arial" w:hAnsi="Arial" w:cs="Arial"/>
        </w:rPr>
        <w:t>about 17%</w:t>
      </w:r>
      <w:r w:rsidRPr="00AA74A4">
        <w:rPr>
          <w:rFonts w:ascii="Arial" w:hAnsi="Arial" w:cs="Arial"/>
        </w:rPr>
        <w:t xml:space="preserve"> of all unplanned hospital admissions</w:t>
      </w:r>
      <w:r w:rsidR="00C02588" w:rsidRPr="00AA74A4">
        <w:rPr>
          <w:rFonts w:ascii="Arial" w:hAnsi="Arial" w:cs="Arial"/>
        </w:rPr>
        <w:t xml:space="preserve"> in people over 65 years</w:t>
      </w:r>
      <w:r w:rsidRPr="00AA74A4">
        <w:rPr>
          <w:rFonts w:ascii="Arial" w:hAnsi="Arial" w:cs="Arial"/>
        </w:rPr>
        <w:t xml:space="preserve"> are due to medication issues.</w:t>
      </w:r>
      <w:r w:rsidR="00C02588" w:rsidRPr="00AA74A4">
        <w:rPr>
          <w:rFonts w:ascii="Arial" w:hAnsi="Arial" w:cs="Arial"/>
        </w:rPr>
        <w:t xml:space="preserve"> This is worsened by the realisation that about £300 million is wasted in primary care alone through medication issues, about half of which is avoidable (NHS England</w:t>
      </w:r>
      <w:r w:rsidR="00A2390C">
        <w:rPr>
          <w:rFonts w:ascii="Arial" w:hAnsi="Arial" w:cs="Arial"/>
        </w:rPr>
        <w:t>,</w:t>
      </w:r>
      <w:r w:rsidR="00C02588" w:rsidRPr="00AA74A4">
        <w:rPr>
          <w:rFonts w:ascii="Arial" w:hAnsi="Arial" w:cs="Arial"/>
        </w:rPr>
        <w:t xml:space="preserve"> 2015).</w:t>
      </w:r>
      <w:r w:rsidR="00C8359D" w:rsidRPr="00AA74A4">
        <w:rPr>
          <w:rFonts w:ascii="Arial" w:hAnsi="Arial" w:cs="Arial"/>
        </w:rPr>
        <w:t xml:space="preserve"> </w:t>
      </w:r>
      <w:r w:rsidR="00C02588" w:rsidRPr="00AA74A4">
        <w:rPr>
          <w:rFonts w:ascii="Arial" w:hAnsi="Arial" w:cs="Arial"/>
        </w:rPr>
        <w:t>To address this issue, t</w:t>
      </w:r>
      <w:r w:rsidR="00C02588" w:rsidRPr="00C02588">
        <w:rPr>
          <w:rFonts w:ascii="Arial" w:hAnsi="Arial" w:cs="Arial"/>
        </w:rPr>
        <w:t>he NHS Business Services Authority</w:t>
      </w:r>
      <w:r w:rsidR="00C02588" w:rsidRPr="00AA74A4">
        <w:rPr>
          <w:rFonts w:ascii="Arial" w:hAnsi="Arial" w:cs="Arial"/>
        </w:rPr>
        <w:t xml:space="preserve"> (2025)</w:t>
      </w:r>
      <w:r w:rsidR="00C02588" w:rsidRPr="00C02588">
        <w:rPr>
          <w:rFonts w:ascii="Arial" w:hAnsi="Arial" w:cs="Arial"/>
        </w:rPr>
        <w:t xml:space="preserve"> opioid prescribing comparators dashboard represents a technological solution to proactive surveillance. The dashboard enables prescribers and commissioners to identify patients at risk and review medications before harm occurs </w:t>
      </w:r>
      <w:r w:rsidR="00C02588" w:rsidRPr="00AA74A4">
        <w:rPr>
          <w:rFonts w:ascii="Arial" w:hAnsi="Arial" w:cs="Arial"/>
        </w:rPr>
        <w:t>(NHS Business Services Authority</w:t>
      </w:r>
      <w:r w:rsidR="00A2390C">
        <w:rPr>
          <w:rFonts w:ascii="Arial" w:hAnsi="Arial" w:cs="Arial"/>
        </w:rPr>
        <w:t>,</w:t>
      </w:r>
      <w:r w:rsidR="00C02588" w:rsidRPr="00AA74A4">
        <w:rPr>
          <w:rFonts w:ascii="Arial" w:hAnsi="Arial" w:cs="Arial"/>
        </w:rPr>
        <w:t xml:space="preserve"> 2025)</w:t>
      </w:r>
      <w:r w:rsidR="00C02588" w:rsidRPr="00C02588">
        <w:rPr>
          <w:rFonts w:ascii="Arial" w:hAnsi="Arial" w:cs="Arial"/>
        </w:rPr>
        <w:t xml:space="preserve">. </w:t>
      </w:r>
    </w:p>
    <w:p w14:paraId="37D42661" w14:textId="153B5C12" w:rsidR="00C8359D" w:rsidRPr="00AA74A4" w:rsidRDefault="00C8359D" w:rsidP="00AA74A4">
      <w:pPr>
        <w:spacing w:line="480" w:lineRule="auto"/>
        <w:rPr>
          <w:rFonts w:ascii="Arial" w:hAnsi="Arial" w:cs="Arial"/>
        </w:rPr>
      </w:pPr>
      <w:r w:rsidRPr="00C8359D">
        <w:rPr>
          <w:rFonts w:ascii="Arial" w:hAnsi="Arial" w:cs="Arial"/>
        </w:rPr>
        <w:t>Len's wife, as the medication administrator, was effectively the final link in the safety chain yet received no support to fulfil this role. She was not asked to demonstrate understanding before leaving the pharmacy, given no follow-up contact to verify correct administration, and provided with no mechanism to ask questions when uncertainty arose</w:t>
      </w:r>
      <w:r w:rsidRPr="00AA74A4">
        <w:rPr>
          <w:rFonts w:ascii="Arial" w:hAnsi="Arial" w:cs="Arial"/>
        </w:rPr>
        <w:t xml:space="preserve"> (HSSIB</w:t>
      </w:r>
      <w:r w:rsidR="00A2390C">
        <w:rPr>
          <w:rFonts w:ascii="Arial" w:hAnsi="Arial" w:cs="Arial"/>
        </w:rPr>
        <w:t>,</w:t>
      </w:r>
      <w:r w:rsidRPr="00AA74A4">
        <w:rPr>
          <w:rFonts w:ascii="Arial" w:hAnsi="Arial" w:cs="Arial"/>
        </w:rPr>
        <w:t xml:space="preserve"> 2022)</w:t>
      </w:r>
      <w:r w:rsidRPr="00C8359D">
        <w:rPr>
          <w:rFonts w:ascii="Arial" w:hAnsi="Arial" w:cs="Arial"/>
        </w:rPr>
        <w:t>. This reflects what PSIRF identifies as a failure of "compassionate engagement and involvement of those affected by patient safety incidents" </w:t>
      </w:r>
      <w:r w:rsidRPr="00AA74A4">
        <w:rPr>
          <w:rFonts w:ascii="Arial" w:hAnsi="Arial" w:cs="Arial"/>
        </w:rPr>
        <w:t>(Health Innovation East</w:t>
      </w:r>
      <w:r w:rsidR="00A2390C">
        <w:rPr>
          <w:rFonts w:ascii="Arial" w:hAnsi="Arial" w:cs="Arial"/>
        </w:rPr>
        <w:t>,</w:t>
      </w:r>
      <w:r w:rsidRPr="00AA74A4">
        <w:rPr>
          <w:rFonts w:ascii="Arial" w:hAnsi="Arial" w:cs="Arial"/>
        </w:rPr>
        <w:t xml:space="preserve"> 2022)</w:t>
      </w:r>
      <w:r w:rsidRPr="00C8359D">
        <w:rPr>
          <w:rFonts w:ascii="Arial" w:hAnsi="Arial" w:cs="Arial"/>
        </w:rPr>
        <w:t xml:space="preserve">. </w:t>
      </w:r>
      <w:r w:rsidRPr="00AA74A4">
        <w:rPr>
          <w:rFonts w:ascii="Arial" w:hAnsi="Arial" w:cs="Arial"/>
        </w:rPr>
        <w:t>PSIRF requires that organisations deploy the most appropriate and proportionate responses to incidents. However, Jury (2025) identifies that organisations are unsure of how or where they can do more for families. Dedicated family mediation support offers one solution, though</w:t>
      </w:r>
      <w:r w:rsidR="00BD0020" w:rsidRPr="00AA74A4">
        <w:rPr>
          <w:rFonts w:ascii="Arial" w:hAnsi="Arial" w:cs="Arial"/>
        </w:rPr>
        <w:t xml:space="preserve"> Jury (2025) asserts that</w:t>
      </w:r>
      <w:r w:rsidRPr="00AA74A4">
        <w:rPr>
          <w:rFonts w:ascii="Arial" w:hAnsi="Arial" w:cs="Arial"/>
        </w:rPr>
        <w:t xml:space="preserve"> careful design is needed to avoid creating additional barriers between families and the system. </w:t>
      </w:r>
    </w:p>
    <w:p w14:paraId="54C35A16" w14:textId="5AEC30A7" w:rsidR="00BD0020" w:rsidRPr="00BD0020" w:rsidRDefault="00BD0020" w:rsidP="00AA74A4">
      <w:pPr>
        <w:spacing w:line="480" w:lineRule="auto"/>
        <w:rPr>
          <w:rFonts w:ascii="Arial" w:hAnsi="Arial" w:cs="Arial"/>
        </w:rPr>
      </w:pPr>
      <w:r w:rsidRPr="00BD0020">
        <w:rPr>
          <w:rFonts w:ascii="Arial" w:hAnsi="Arial" w:cs="Arial"/>
        </w:rPr>
        <w:lastRenderedPageBreak/>
        <w:t xml:space="preserve">The interaction between centralised governance structures, distributed leadership deficits, and inadequate feedback mechanisms produced the conditions for Len's death. </w:t>
      </w:r>
      <w:r w:rsidRPr="00AA74A4">
        <w:rPr>
          <w:rFonts w:ascii="Arial" w:hAnsi="Arial" w:cs="Arial"/>
        </w:rPr>
        <w:t>Although t</w:t>
      </w:r>
      <w:r w:rsidRPr="00BD0020">
        <w:rPr>
          <w:rFonts w:ascii="Arial" w:hAnsi="Arial" w:cs="Arial"/>
        </w:rPr>
        <w:t>he centralised system provided essential infrastructure</w:t>
      </w:r>
      <w:r w:rsidRPr="00AA74A4">
        <w:rPr>
          <w:rFonts w:ascii="Arial" w:hAnsi="Arial" w:cs="Arial"/>
        </w:rPr>
        <w:t>, it also</w:t>
      </w:r>
      <w:r w:rsidRPr="00BD0020">
        <w:rPr>
          <w:rFonts w:ascii="Arial" w:hAnsi="Arial" w:cs="Arial"/>
        </w:rPr>
        <w:t xml:space="preserve"> created distance between rule-makers and the reality of medication administration in patients' homes</w:t>
      </w:r>
      <w:r w:rsidR="004E407F" w:rsidRPr="00AA74A4">
        <w:rPr>
          <w:rFonts w:ascii="Arial" w:hAnsi="Arial" w:cs="Arial"/>
        </w:rPr>
        <w:t xml:space="preserve"> (</w:t>
      </w:r>
      <w:proofErr w:type="spellStart"/>
      <w:r w:rsidR="004E407F" w:rsidRPr="00AA74A4">
        <w:rPr>
          <w:rFonts w:ascii="Arial" w:hAnsi="Arial" w:cs="Arial"/>
        </w:rPr>
        <w:t>Britteon</w:t>
      </w:r>
      <w:proofErr w:type="spellEnd"/>
      <w:r w:rsidR="004E407F" w:rsidRPr="00AA74A4">
        <w:rPr>
          <w:rFonts w:ascii="Arial" w:hAnsi="Arial" w:cs="Arial"/>
        </w:rPr>
        <w:t xml:space="preserve"> et al.</w:t>
      </w:r>
      <w:r w:rsidR="00A2390C">
        <w:rPr>
          <w:rFonts w:ascii="Arial" w:hAnsi="Arial" w:cs="Arial"/>
        </w:rPr>
        <w:t>,</w:t>
      </w:r>
      <w:r w:rsidR="004E407F" w:rsidRPr="00AA74A4">
        <w:rPr>
          <w:rFonts w:ascii="Arial" w:hAnsi="Arial" w:cs="Arial"/>
        </w:rPr>
        <w:t xml:space="preserve"> 2024)</w:t>
      </w:r>
      <w:r w:rsidRPr="00BD0020">
        <w:rPr>
          <w:rFonts w:ascii="Arial" w:hAnsi="Arial" w:cs="Arial"/>
        </w:rPr>
        <w:t>. The leadership styles evident in the system were</w:t>
      </w:r>
      <w:r w:rsidRPr="00AA74A4">
        <w:rPr>
          <w:rFonts w:ascii="Arial" w:hAnsi="Arial" w:cs="Arial"/>
        </w:rPr>
        <w:t xml:space="preserve"> also</w:t>
      </w:r>
      <w:r w:rsidRPr="00BD0020">
        <w:rPr>
          <w:rFonts w:ascii="Arial" w:hAnsi="Arial" w:cs="Arial"/>
        </w:rPr>
        <w:t xml:space="preserve"> predominantly transactional</w:t>
      </w:r>
      <w:r w:rsidRPr="00AA74A4">
        <w:rPr>
          <w:rFonts w:ascii="Arial" w:hAnsi="Arial" w:cs="Arial"/>
        </w:rPr>
        <w:t>, as</w:t>
      </w:r>
      <w:r w:rsidRPr="00BD0020">
        <w:rPr>
          <w:rFonts w:ascii="Arial" w:hAnsi="Arial" w:cs="Arial"/>
        </w:rPr>
        <w:t xml:space="preserve"> professionals focused on correctly completing their specific tasks rather than owning the collective outcome</w:t>
      </w:r>
      <w:r w:rsidRPr="00AA74A4">
        <w:rPr>
          <w:rFonts w:ascii="Arial" w:hAnsi="Arial" w:cs="Arial"/>
        </w:rPr>
        <w:t xml:space="preserve"> (HSSIB</w:t>
      </w:r>
      <w:r w:rsidR="00A2390C">
        <w:rPr>
          <w:rFonts w:ascii="Arial" w:hAnsi="Arial" w:cs="Arial"/>
        </w:rPr>
        <w:t>,</w:t>
      </w:r>
      <w:r w:rsidRPr="00AA74A4">
        <w:rPr>
          <w:rFonts w:ascii="Arial" w:hAnsi="Arial" w:cs="Arial"/>
        </w:rPr>
        <w:t xml:space="preserve"> 2022)</w:t>
      </w:r>
      <w:r w:rsidRPr="00BD0020">
        <w:rPr>
          <w:rFonts w:ascii="Arial" w:hAnsi="Arial" w:cs="Arial"/>
        </w:rPr>
        <w:t xml:space="preserve">. </w:t>
      </w:r>
      <w:r w:rsidRPr="00AA74A4">
        <w:rPr>
          <w:rFonts w:ascii="Arial" w:hAnsi="Arial" w:cs="Arial"/>
        </w:rPr>
        <w:t>Finally, t</w:t>
      </w:r>
      <w:r w:rsidRPr="00BD0020">
        <w:rPr>
          <w:rFonts w:ascii="Arial" w:hAnsi="Arial" w:cs="Arial"/>
        </w:rPr>
        <w:t>he feedback mechanisms failed at multiple levels</w:t>
      </w:r>
      <w:r w:rsidRPr="00AA74A4">
        <w:rPr>
          <w:rFonts w:ascii="Arial" w:hAnsi="Arial" w:cs="Arial"/>
        </w:rPr>
        <w:t>, as</w:t>
      </w:r>
      <w:r w:rsidRPr="00BD0020">
        <w:rPr>
          <w:rFonts w:ascii="Arial" w:hAnsi="Arial" w:cs="Arial"/>
        </w:rPr>
        <w:t xml:space="preserve"> </w:t>
      </w:r>
      <w:r w:rsidRPr="00AA74A4">
        <w:rPr>
          <w:rFonts w:ascii="Arial" w:hAnsi="Arial" w:cs="Arial"/>
        </w:rPr>
        <w:t>i</w:t>
      </w:r>
      <w:r w:rsidRPr="00BD0020">
        <w:rPr>
          <w:rFonts w:ascii="Arial" w:hAnsi="Arial" w:cs="Arial"/>
        </w:rPr>
        <w:t>ncident reporting systems captured data but did not translate it into preventive action. This</w:t>
      </w:r>
      <w:r w:rsidRPr="00AA74A4">
        <w:rPr>
          <w:rFonts w:ascii="Arial" w:hAnsi="Arial" w:cs="Arial"/>
        </w:rPr>
        <w:t xml:space="preserve"> interaction of key factors infers that learning remains siloed within individual organisations when there is a lack of cross-system thematic analysis.</w:t>
      </w:r>
    </w:p>
    <w:p w14:paraId="1AAB8502" w14:textId="3AB37344" w:rsidR="00C02588" w:rsidRPr="00AA74A4" w:rsidRDefault="004E407F" w:rsidP="00AA74A4">
      <w:pPr>
        <w:spacing w:line="480" w:lineRule="auto"/>
        <w:rPr>
          <w:rFonts w:ascii="Arial" w:hAnsi="Arial" w:cs="Arial"/>
        </w:rPr>
      </w:pPr>
      <w:r w:rsidRPr="00AA74A4">
        <w:rPr>
          <w:rFonts w:ascii="Arial" w:hAnsi="Arial" w:cs="Arial"/>
        </w:rPr>
        <w:t>This realisation provides several lessons for other health organisations. First, safety requires system-level accountability,</w:t>
      </w:r>
      <w:r w:rsidRPr="00AA74A4">
        <w:rPr>
          <w:rFonts w:ascii="Arial" w:hAnsi="Arial" w:cs="Arial"/>
          <w:b/>
          <w:bCs/>
        </w:rPr>
        <w:t xml:space="preserve"> </w:t>
      </w:r>
      <w:r w:rsidRPr="00AA74A4">
        <w:rPr>
          <w:rFonts w:ascii="Arial" w:hAnsi="Arial" w:cs="Arial"/>
        </w:rPr>
        <w:t>as Len's case demonstrates that correctly following professional duties can coexist with catastrophic patient harm (HSSIB</w:t>
      </w:r>
      <w:r w:rsidR="00A2390C">
        <w:rPr>
          <w:rFonts w:ascii="Arial" w:hAnsi="Arial" w:cs="Arial"/>
        </w:rPr>
        <w:t>,</w:t>
      </w:r>
      <w:r w:rsidRPr="00AA74A4">
        <w:rPr>
          <w:rFonts w:ascii="Arial" w:hAnsi="Arial" w:cs="Arial"/>
        </w:rPr>
        <w:t xml:space="preserve"> 2022). This means that organisations must establish mechanisms to oversee entire care pathways. Second, proactive surveillance using digital tools should enable prevention rather than reaction. Tools such as the opioid prescribing comparators dashboard and medicines optimisation dashboards provide real-time intelligence that allows intervention before harm occurs (Pharmacy Magazine</w:t>
      </w:r>
      <w:r w:rsidR="00A2390C">
        <w:rPr>
          <w:rFonts w:ascii="Arial" w:hAnsi="Arial" w:cs="Arial"/>
        </w:rPr>
        <w:t>,</w:t>
      </w:r>
      <w:r w:rsidRPr="00AA74A4">
        <w:rPr>
          <w:rFonts w:ascii="Arial" w:hAnsi="Arial" w:cs="Arial"/>
        </w:rPr>
        <w:t xml:space="preserve"> 2022). Therefore, organisations should invest in data infrastructure that identifies vulnerable patients and triggers proactive review. Third, meaningful patient and carer engagement must be embedded, as the failure to verify that Len's wife understood how to administer morphine represents a systemic blind spot. PSIRF's emphasis on compassionate engagement provides the framework, but organisations must operationalise this through routine verification of comprehension, follow-up contact for high-risk medications, and accessible mechanisms for asking questions (Health Innovation East</w:t>
      </w:r>
      <w:r w:rsidR="00A2390C">
        <w:rPr>
          <w:rFonts w:ascii="Arial" w:hAnsi="Arial" w:cs="Arial"/>
        </w:rPr>
        <w:t>,</w:t>
      </w:r>
      <w:r w:rsidRPr="00AA74A4">
        <w:rPr>
          <w:rFonts w:ascii="Arial" w:hAnsi="Arial" w:cs="Arial"/>
        </w:rPr>
        <w:t xml:space="preserve"> 2022). Finally, distributed leadership must be actively cultivated</w:t>
      </w:r>
      <w:r w:rsidR="00EE7BCB" w:rsidRPr="00AA74A4">
        <w:rPr>
          <w:rFonts w:ascii="Arial" w:hAnsi="Arial" w:cs="Arial"/>
        </w:rPr>
        <w:t xml:space="preserve">. This means that organisations should identify and nurture this style by empowering frontline staff to identify and mitigate cross-boundary risks. Ultimately, implementing these lessons </w:t>
      </w:r>
      <w:r w:rsidR="00EE7BCB" w:rsidRPr="00AA74A4">
        <w:rPr>
          <w:rFonts w:ascii="Arial" w:hAnsi="Arial" w:cs="Arial"/>
        </w:rPr>
        <w:lastRenderedPageBreak/>
        <w:t>requires moving beyond the assumption that correctly following rules equates to system safety. Instead, organisations should embrace the reality that safety must be actively created through continuous learning, collaboration, and accountability across boundaries (Carstensen, Kjeldsen and Nielsen</w:t>
      </w:r>
      <w:r w:rsidR="00A2390C">
        <w:rPr>
          <w:rFonts w:ascii="Arial" w:hAnsi="Arial" w:cs="Arial"/>
        </w:rPr>
        <w:t>,</w:t>
      </w:r>
      <w:r w:rsidR="00EE7BCB" w:rsidRPr="00AA74A4">
        <w:rPr>
          <w:rFonts w:ascii="Arial" w:hAnsi="Arial" w:cs="Arial"/>
        </w:rPr>
        <w:t xml:space="preserve"> 2023).</w:t>
      </w:r>
    </w:p>
    <w:p w14:paraId="0F3C54D4" w14:textId="16B74620" w:rsidR="00F678FF" w:rsidRPr="00AA74A4" w:rsidRDefault="00F678FF" w:rsidP="00AA74A4">
      <w:pPr>
        <w:spacing w:line="480" w:lineRule="auto"/>
        <w:jc w:val="center"/>
        <w:rPr>
          <w:rFonts w:ascii="Arial" w:hAnsi="Arial" w:cs="Arial"/>
          <w:b/>
          <w:bCs/>
        </w:rPr>
      </w:pPr>
      <w:r w:rsidRPr="00AA74A4">
        <w:rPr>
          <w:rFonts w:ascii="Arial" w:hAnsi="Arial" w:cs="Arial"/>
          <w:b/>
          <w:bCs/>
        </w:rPr>
        <w:t>Recommendation</w:t>
      </w:r>
      <w:r w:rsidR="00B659D7" w:rsidRPr="00AA74A4">
        <w:rPr>
          <w:rFonts w:ascii="Arial" w:hAnsi="Arial" w:cs="Arial"/>
          <w:b/>
          <w:bCs/>
        </w:rPr>
        <w:t>s</w:t>
      </w:r>
    </w:p>
    <w:p w14:paraId="40F01B54" w14:textId="3B616ED8" w:rsidR="00EE7BCB" w:rsidRPr="00AA74A4" w:rsidRDefault="00EE7BCB" w:rsidP="00AA74A4">
      <w:pPr>
        <w:spacing w:line="480" w:lineRule="auto"/>
        <w:rPr>
          <w:rFonts w:ascii="Arial" w:hAnsi="Arial" w:cs="Arial"/>
        </w:rPr>
      </w:pPr>
      <w:r w:rsidRPr="00AA74A4">
        <w:rPr>
          <w:rFonts w:ascii="Arial" w:hAnsi="Arial" w:cs="Arial"/>
        </w:rPr>
        <w:t>A key recommendation is that the HSSIB should build upon its demonstrated flexibility by formally establishing a category of targeted safety briefings for incidents that do not meet full national investigation criteria but contain significant learning potential</w:t>
      </w:r>
      <w:r w:rsidR="00462BE8" w:rsidRPr="00AA74A4">
        <w:rPr>
          <w:rFonts w:ascii="Arial" w:hAnsi="Arial" w:cs="Arial"/>
        </w:rPr>
        <w:t xml:space="preserve"> (Holland et al.</w:t>
      </w:r>
      <w:r w:rsidR="00A2390C">
        <w:rPr>
          <w:rFonts w:ascii="Arial" w:hAnsi="Arial" w:cs="Arial"/>
        </w:rPr>
        <w:t>,</w:t>
      </w:r>
      <w:r w:rsidR="00462BE8" w:rsidRPr="00AA74A4">
        <w:rPr>
          <w:rFonts w:ascii="Arial" w:hAnsi="Arial" w:cs="Arial"/>
        </w:rPr>
        <w:t xml:space="preserve"> 2022)</w:t>
      </w:r>
      <w:r w:rsidRPr="00AA74A4">
        <w:rPr>
          <w:rFonts w:ascii="Arial" w:hAnsi="Arial" w:cs="Arial"/>
        </w:rPr>
        <w:t>. This would institutionalise the approach taken in Len's case and ensure that similar opportunities to disseminate safety intelligence are not dependent on non-routine decisions. The organisation should develop clear criteria for these briefings</w:t>
      </w:r>
      <w:r w:rsidR="00462BE8" w:rsidRPr="00AA74A4">
        <w:rPr>
          <w:rFonts w:ascii="Arial" w:hAnsi="Arial" w:cs="Arial"/>
        </w:rPr>
        <w:t>. An example is</w:t>
      </w:r>
      <w:r w:rsidRPr="00AA74A4">
        <w:rPr>
          <w:rFonts w:ascii="Arial" w:hAnsi="Arial" w:cs="Arial"/>
        </w:rPr>
        <w:t xml:space="preserve"> focusing on incidents that reveal systemic vulnerabilities applicable across multiple care settings, such as the interaction between manufacturer labelling and patient comprehension. Additionally, HSSIB should establish a formal mechanism to share thematic findings from these targeted briefings with </w:t>
      </w:r>
      <w:r w:rsidR="00462BE8" w:rsidRPr="00AA74A4">
        <w:rPr>
          <w:rFonts w:ascii="Arial" w:hAnsi="Arial" w:cs="Arial"/>
        </w:rPr>
        <w:t>national regulatory agencies</w:t>
      </w:r>
      <w:r w:rsidRPr="00AA74A4">
        <w:rPr>
          <w:rFonts w:ascii="Arial" w:hAnsi="Arial" w:cs="Arial"/>
        </w:rPr>
        <w:t xml:space="preserve"> and professional regulatory bodies</w:t>
      </w:r>
      <w:r w:rsidR="00462BE8" w:rsidRPr="00AA74A4">
        <w:rPr>
          <w:rFonts w:ascii="Arial" w:hAnsi="Arial" w:cs="Arial"/>
        </w:rPr>
        <w:t>. This should help</w:t>
      </w:r>
      <w:r w:rsidRPr="00AA74A4">
        <w:rPr>
          <w:rFonts w:ascii="Arial" w:hAnsi="Arial" w:cs="Arial"/>
        </w:rPr>
        <w:t xml:space="preserve"> creat</w:t>
      </w:r>
      <w:r w:rsidR="00462BE8" w:rsidRPr="00AA74A4">
        <w:rPr>
          <w:rFonts w:ascii="Arial" w:hAnsi="Arial" w:cs="Arial"/>
        </w:rPr>
        <w:t>e</w:t>
      </w:r>
      <w:r w:rsidRPr="00AA74A4">
        <w:rPr>
          <w:rFonts w:ascii="Arial" w:hAnsi="Arial" w:cs="Arial"/>
        </w:rPr>
        <w:t xml:space="preserve"> a direct feedback loop from local incidents to national policy and guidance</w:t>
      </w:r>
      <w:r w:rsidR="00462BE8" w:rsidRPr="00AA74A4">
        <w:rPr>
          <w:rFonts w:ascii="Arial" w:hAnsi="Arial" w:cs="Arial"/>
        </w:rPr>
        <w:t xml:space="preserve"> (Barrow et al.</w:t>
      </w:r>
      <w:r w:rsidR="00A2390C">
        <w:rPr>
          <w:rFonts w:ascii="Arial" w:hAnsi="Arial" w:cs="Arial"/>
        </w:rPr>
        <w:t>,</w:t>
      </w:r>
      <w:r w:rsidR="00462BE8" w:rsidRPr="00AA74A4">
        <w:rPr>
          <w:rFonts w:ascii="Arial" w:hAnsi="Arial" w:cs="Arial"/>
        </w:rPr>
        <w:t xml:space="preserve"> 2024)</w:t>
      </w:r>
      <w:r w:rsidRPr="00AA74A4">
        <w:rPr>
          <w:rFonts w:ascii="Arial" w:hAnsi="Arial" w:cs="Arial"/>
        </w:rPr>
        <w:t xml:space="preserve">. </w:t>
      </w:r>
    </w:p>
    <w:p w14:paraId="2AADC1D4" w14:textId="5068DFEC" w:rsidR="00462BE8" w:rsidRPr="00462BE8" w:rsidRDefault="00462BE8" w:rsidP="00AA74A4">
      <w:pPr>
        <w:spacing w:line="480" w:lineRule="auto"/>
        <w:rPr>
          <w:rFonts w:ascii="Arial" w:hAnsi="Arial" w:cs="Arial"/>
        </w:rPr>
      </w:pPr>
      <w:r w:rsidRPr="00AA74A4">
        <w:rPr>
          <w:rFonts w:ascii="Arial" w:hAnsi="Arial" w:cs="Arial"/>
        </w:rPr>
        <w:t>Another recommendation entails</w:t>
      </w:r>
      <w:r w:rsidRPr="00462BE8">
        <w:rPr>
          <w:rFonts w:ascii="Arial" w:hAnsi="Arial" w:cs="Arial"/>
        </w:rPr>
        <w:t xml:space="preserve"> moving beyond the predominantly transactional approaches that characterised the current system</w:t>
      </w:r>
      <w:r w:rsidRPr="00AA74A4">
        <w:rPr>
          <w:rFonts w:ascii="Arial" w:hAnsi="Arial" w:cs="Arial"/>
        </w:rPr>
        <w:t xml:space="preserve"> towards </w:t>
      </w:r>
      <w:r w:rsidRPr="00462BE8">
        <w:rPr>
          <w:rFonts w:ascii="Arial" w:hAnsi="Arial" w:cs="Arial"/>
        </w:rPr>
        <w:t>a deliberate blend of distributed and transformational leadership.</w:t>
      </w:r>
      <w:r w:rsidRPr="00AA74A4">
        <w:rPr>
          <w:rFonts w:ascii="Arial" w:hAnsi="Arial" w:cs="Arial"/>
        </w:rPr>
        <w:t xml:space="preserve"> Carstensen, Kjeldsen and Nielsen (2023) suggest that</w:t>
      </w:r>
      <w:r w:rsidRPr="00462BE8">
        <w:rPr>
          <w:rFonts w:ascii="Arial" w:hAnsi="Arial" w:cs="Arial"/>
        </w:rPr>
        <w:t xml:space="preserve"> </w:t>
      </w:r>
      <w:r w:rsidRPr="00AA74A4">
        <w:rPr>
          <w:rFonts w:ascii="Arial" w:hAnsi="Arial" w:cs="Arial"/>
        </w:rPr>
        <w:t>d</w:t>
      </w:r>
      <w:r w:rsidRPr="00462BE8">
        <w:rPr>
          <w:rFonts w:ascii="Arial" w:hAnsi="Arial" w:cs="Arial"/>
        </w:rPr>
        <w:t>istributed leadership must be actively cultivated across primary care networks, integrated care systems, and community pharmacy networks to address the cross-boundary nature of medication safety. This means empowering frontline pharmacists, GPs, and community nurses to form local medication safety collaboratives with the authority to implement changes tailored to their populations</w:t>
      </w:r>
      <w:r w:rsidR="00366532" w:rsidRPr="00AA74A4">
        <w:rPr>
          <w:rFonts w:ascii="Arial" w:hAnsi="Arial" w:cs="Arial"/>
        </w:rPr>
        <w:t xml:space="preserve"> (Carstensen, Kjeldsen and Nielsen</w:t>
      </w:r>
      <w:r w:rsidR="00A2390C">
        <w:rPr>
          <w:rFonts w:ascii="Arial" w:hAnsi="Arial" w:cs="Arial"/>
        </w:rPr>
        <w:t>,</w:t>
      </w:r>
      <w:r w:rsidR="00366532" w:rsidRPr="00AA74A4">
        <w:rPr>
          <w:rFonts w:ascii="Arial" w:hAnsi="Arial" w:cs="Arial"/>
        </w:rPr>
        <w:t xml:space="preserve"> 2023)</w:t>
      </w:r>
      <w:r w:rsidRPr="00462BE8">
        <w:rPr>
          <w:rFonts w:ascii="Arial" w:hAnsi="Arial" w:cs="Arial"/>
        </w:rPr>
        <w:t xml:space="preserve">. Simultaneously, transformational leadership is required at system level to articulate a compelling vision of medication safety that encompasses the entire pathway from </w:t>
      </w:r>
      <w:r w:rsidRPr="00462BE8">
        <w:rPr>
          <w:rFonts w:ascii="Arial" w:hAnsi="Arial" w:cs="Arial"/>
        </w:rPr>
        <w:lastRenderedPageBreak/>
        <w:t>prescription to administration</w:t>
      </w:r>
      <w:r w:rsidR="00366532" w:rsidRPr="00AA74A4">
        <w:rPr>
          <w:rFonts w:ascii="Arial" w:hAnsi="Arial" w:cs="Arial"/>
        </w:rPr>
        <w:t xml:space="preserve"> (</w:t>
      </w:r>
      <w:proofErr w:type="spellStart"/>
      <w:r w:rsidR="00366532" w:rsidRPr="00AA74A4">
        <w:rPr>
          <w:rFonts w:ascii="Arial" w:hAnsi="Arial" w:cs="Arial"/>
        </w:rPr>
        <w:t>Ystaas</w:t>
      </w:r>
      <w:proofErr w:type="spellEnd"/>
      <w:r w:rsidR="00366532" w:rsidRPr="00AA74A4">
        <w:rPr>
          <w:rFonts w:ascii="Arial" w:hAnsi="Arial" w:cs="Arial"/>
        </w:rPr>
        <w:t xml:space="preserve"> et al.</w:t>
      </w:r>
      <w:r w:rsidR="00A2390C">
        <w:rPr>
          <w:rFonts w:ascii="Arial" w:hAnsi="Arial" w:cs="Arial"/>
        </w:rPr>
        <w:t>,</w:t>
      </w:r>
      <w:r w:rsidR="00366532" w:rsidRPr="00AA74A4">
        <w:rPr>
          <w:rFonts w:ascii="Arial" w:hAnsi="Arial" w:cs="Arial"/>
        </w:rPr>
        <w:t xml:space="preserve"> 2023). </w:t>
      </w:r>
      <w:r w:rsidRPr="00462BE8">
        <w:rPr>
          <w:rFonts w:ascii="Arial" w:hAnsi="Arial" w:cs="Arial"/>
        </w:rPr>
        <w:t>This vision must elevate the goal beyond compliance with individual professional duties toward collective ownership of patient outcomes,</w:t>
      </w:r>
      <w:r w:rsidR="00366532" w:rsidRPr="00AA74A4">
        <w:rPr>
          <w:rFonts w:ascii="Arial" w:hAnsi="Arial" w:cs="Arial"/>
        </w:rPr>
        <w:t xml:space="preserve"> which could</w:t>
      </w:r>
      <w:r w:rsidRPr="00462BE8">
        <w:rPr>
          <w:rFonts w:ascii="Arial" w:hAnsi="Arial" w:cs="Arial"/>
        </w:rPr>
        <w:t xml:space="preserve"> inspir</w:t>
      </w:r>
      <w:r w:rsidR="00366532" w:rsidRPr="00AA74A4">
        <w:rPr>
          <w:rFonts w:ascii="Arial" w:hAnsi="Arial" w:cs="Arial"/>
        </w:rPr>
        <w:t>e</w:t>
      </w:r>
      <w:r w:rsidRPr="00462BE8">
        <w:rPr>
          <w:rFonts w:ascii="Arial" w:hAnsi="Arial" w:cs="Arial"/>
        </w:rPr>
        <w:t xml:space="preserve"> the cultural shift necessary to sustain improvement beyond initial interventions.</w:t>
      </w:r>
    </w:p>
    <w:p w14:paraId="3B4463D4" w14:textId="156318B6" w:rsidR="00366532" w:rsidRPr="00366532" w:rsidRDefault="00366532" w:rsidP="00AA74A4">
      <w:pPr>
        <w:spacing w:line="480" w:lineRule="auto"/>
        <w:rPr>
          <w:rFonts w:ascii="Arial" w:hAnsi="Arial" w:cs="Arial"/>
        </w:rPr>
      </w:pPr>
      <w:r w:rsidRPr="00366532">
        <w:rPr>
          <w:rFonts w:ascii="Arial" w:hAnsi="Arial" w:cs="Arial"/>
        </w:rPr>
        <w:t>Governance reforms should</w:t>
      </w:r>
      <w:r w:rsidRPr="00AA74A4">
        <w:rPr>
          <w:rFonts w:ascii="Arial" w:hAnsi="Arial" w:cs="Arial"/>
        </w:rPr>
        <w:t xml:space="preserve"> also</w:t>
      </w:r>
      <w:r w:rsidRPr="00366532">
        <w:rPr>
          <w:rFonts w:ascii="Arial" w:hAnsi="Arial" w:cs="Arial"/>
        </w:rPr>
        <w:t xml:space="preserve"> focus on establishing clear accountability for the complete medication pathway. Integrated care systems should designate a named clinical lead for medication safety with responsibility for overseeing the entire journey from prescribing through to home administration within their geography. This role would have authority to convene representatives from general practice, community pharmacy, secondary care, and patient groups to identify and address cross-boundary risks. Communication improvements must address the fundamental design flaw exposed in Len's case</w:t>
      </w:r>
      <w:r w:rsidRPr="00AA74A4">
        <w:rPr>
          <w:rFonts w:ascii="Arial" w:hAnsi="Arial" w:cs="Arial"/>
        </w:rPr>
        <w:t>, which is</w:t>
      </w:r>
      <w:r w:rsidRPr="00366532">
        <w:rPr>
          <w:rFonts w:ascii="Arial" w:hAnsi="Arial" w:cs="Arial"/>
        </w:rPr>
        <w:t xml:space="preserve"> the predictable misinterpretation of manufacturer strength declarations as dosing instructions</w:t>
      </w:r>
      <w:r w:rsidRPr="00AA74A4">
        <w:rPr>
          <w:rFonts w:ascii="Arial" w:hAnsi="Arial" w:cs="Arial"/>
        </w:rPr>
        <w:t xml:space="preserve"> (HSSIB</w:t>
      </w:r>
      <w:r w:rsidR="00A2390C">
        <w:rPr>
          <w:rFonts w:ascii="Arial" w:hAnsi="Arial" w:cs="Arial"/>
        </w:rPr>
        <w:t>,</w:t>
      </w:r>
      <w:r w:rsidRPr="00AA74A4">
        <w:rPr>
          <w:rFonts w:ascii="Arial" w:hAnsi="Arial" w:cs="Arial"/>
        </w:rPr>
        <w:t xml:space="preserve"> 2022)</w:t>
      </w:r>
      <w:r w:rsidRPr="00366532">
        <w:rPr>
          <w:rFonts w:ascii="Arial" w:hAnsi="Arial" w:cs="Arial"/>
        </w:rPr>
        <w:t>. The Human Medicines Regulations should be updated to require integrated labelling designs where manufacturer information and dispensing instructions are presented in a unified format that cannot be physically separated</w:t>
      </w:r>
      <w:r w:rsidRPr="00AA74A4">
        <w:rPr>
          <w:rFonts w:ascii="Arial" w:hAnsi="Arial" w:cs="Arial"/>
        </w:rPr>
        <w:t xml:space="preserve"> (Duggal</w:t>
      </w:r>
      <w:r w:rsidR="00A2390C">
        <w:rPr>
          <w:rFonts w:ascii="Arial" w:hAnsi="Arial" w:cs="Arial"/>
        </w:rPr>
        <w:t>,</w:t>
      </w:r>
      <w:r w:rsidRPr="00AA74A4">
        <w:rPr>
          <w:rFonts w:ascii="Arial" w:hAnsi="Arial" w:cs="Arial"/>
        </w:rPr>
        <w:t xml:space="preserve"> 2022)</w:t>
      </w:r>
      <w:r w:rsidRPr="00366532">
        <w:rPr>
          <w:rFonts w:ascii="Arial" w:hAnsi="Arial" w:cs="Arial"/>
        </w:rPr>
        <w:t>. Until regulatory change is achieved, NHS England</w:t>
      </w:r>
      <w:r w:rsidRPr="00AA74A4">
        <w:rPr>
          <w:rFonts w:ascii="Arial" w:hAnsi="Arial" w:cs="Arial"/>
        </w:rPr>
        <w:t xml:space="preserve"> (2021)</w:t>
      </w:r>
      <w:r w:rsidRPr="00366532">
        <w:rPr>
          <w:rFonts w:ascii="Arial" w:hAnsi="Arial" w:cs="Arial"/>
        </w:rPr>
        <w:t xml:space="preserve"> should issue national guidance requiring community pharmacists to verify patient or carer comprehension of morphine dosing before dispensing, including demonstration of accurate measurement using the supplied oral syringe. This directly addresses the communication gap that left Len's wife without support at the critical moment of administration.</w:t>
      </w:r>
    </w:p>
    <w:p w14:paraId="76816E9D" w14:textId="70FFBC1B" w:rsidR="00EE7BCB" w:rsidRPr="00AA74A4" w:rsidRDefault="00366532" w:rsidP="00AA74A4">
      <w:pPr>
        <w:spacing w:line="480" w:lineRule="auto"/>
        <w:rPr>
          <w:rFonts w:ascii="Arial" w:hAnsi="Arial" w:cs="Arial"/>
        </w:rPr>
      </w:pPr>
      <w:r w:rsidRPr="00AA74A4">
        <w:rPr>
          <w:rFonts w:ascii="Arial" w:hAnsi="Arial" w:cs="Arial"/>
        </w:rPr>
        <w:t>According to Camacho et al. (2024), s</w:t>
      </w:r>
      <w:r w:rsidRPr="00366532">
        <w:rPr>
          <w:rFonts w:ascii="Arial" w:hAnsi="Arial" w:cs="Arial"/>
        </w:rPr>
        <w:t>ystems integration requires investment in digital infrastructure that connects prescribing data across primary and secondary care. The opioid prescribing comparators dashboard provides a model that should be expanded to include all high-alert medications, with real-time data accessible to GPs, pharmacists, and integrated care system medication safety leads</w:t>
      </w:r>
      <w:r w:rsidR="009D63AE" w:rsidRPr="00AA74A4">
        <w:rPr>
          <w:rFonts w:ascii="Arial" w:hAnsi="Arial" w:cs="Arial"/>
        </w:rPr>
        <w:t xml:space="preserve"> (NHS Business Services Authority</w:t>
      </w:r>
      <w:r w:rsidR="00A2390C">
        <w:rPr>
          <w:rFonts w:ascii="Arial" w:hAnsi="Arial" w:cs="Arial"/>
        </w:rPr>
        <w:t>,</w:t>
      </w:r>
      <w:r w:rsidR="009D63AE" w:rsidRPr="00AA74A4">
        <w:rPr>
          <w:rFonts w:ascii="Arial" w:hAnsi="Arial" w:cs="Arial"/>
        </w:rPr>
        <w:t xml:space="preserve"> 2025)</w:t>
      </w:r>
      <w:r w:rsidRPr="00366532">
        <w:rPr>
          <w:rFonts w:ascii="Arial" w:hAnsi="Arial" w:cs="Arial"/>
        </w:rPr>
        <w:t>. This would enable proactive identification of patients like Len</w:t>
      </w:r>
      <w:r w:rsidR="009D63AE" w:rsidRPr="00AA74A4">
        <w:rPr>
          <w:rFonts w:ascii="Arial" w:hAnsi="Arial" w:cs="Arial"/>
        </w:rPr>
        <w:t xml:space="preserve"> </w:t>
      </w:r>
      <w:r w:rsidRPr="00366532">
        <w:rPr>
          <w:rFonts w:ascii="Arial" w:hAnsi="Arial" w:cs="Arial"/>
        </w:rPr>
        <w:t>and trigger automatic review before dispensing occurs.</w:t>
      </w:r>
      <w:r w:rsidR="009D63AE" w:rsidRPr="00AA74A4">
        <w:rPr>
          <w:rFonts w:ascii="Arial" w:hAnsi="Arial" w:cs="Arial"/>
        </w:rPr>
        <w:t xml:space="preserve"> Finally, continuous learning should move towards systematic analysis of </w:t>
      </w:r>
      <w:r w:rsidR="009D63AE" w:rsidRPr="00AA74A4">
        <w:rPr>
          <w:rFonts w:ascii="Arial" w:hAnsi="Arial" w:cs="Arial"/>
        </w:rPr>
        <w:lastRenderedPageBreak/>
        <w:t>aggregated safety intelligence. A central function within HSSIB or NHS England should conduct and publish regular thematic analyses of medication-related incidents, coroners' reports, and safety investigations. This should create the feedback loop that was absent in Len's case. In this regard, s</w:t>
      </w:r>
      <w:r w:rsidR="009D63AE" w:rsidRPr="009D63AE">
        <w:rPr>
          <w:rFonts w:ascii="Arial" w:hAnsi="Arial" w:cs="Arial"/>
        </w:rPr>
        <w:t>takeholder engagement must become routine</w:t>
      </w:r>
      <w:r w:rsidR="009D63AE" w:rsidRPr="00AA74A4">
        <w:rPr>
          <w:rFonts w:ascii="Arial" w:hAnsi="Arial" w:cs="Arial"/>
        </w:rPr>
        <w:t xml:space="preserve"> (</w:t>
      </w:r>
      <w:proofErr w:type="spellStart"/>
      <w:r w:rsidR="009D63AE" w:rsidRPr="00AA74A4">
        <w:rPr>
          <w:rFonts w:ascii="Arial" w:hAnsi="Arial" w:cs="Arial"/>
        </w:rPr>
        <w:t>Britteon</w:t>
      </w:r>
      <w:proofErr w:type="spellEnd"/>
      <w:r w:rsidR="009D63AE" w:rsidRPr="00AA74A4">
        <w:rPr>
          <w:rFonts w:ascii="Arial" w:hAnsi="Arial" w:cs="Arial"/>
        </w:rPr>
        <w:t xml:space="preserve"> et al.</w:t>
      </w:r>
      <w:r w:rsidR="00A2390C">
        <w:rPr>
          <w:rFonts w:ascii="Arial" w:hAnsi="Arial" w:cs="Arial"/>
        </w:rPr>
        <w:t>,</w:t>
      </w:r>
      <w:r w:rsidR="009D63AE" w:rsidRPr="00AA74A4">
        <w:rPr>
          <w:rFonts w:ascii="Arial" w:hAnsi="Arial" w:cs="Arial"/>
        </w:rPr>
        <w:t xml:space="preserve"> 2024)</w:t>
      </w:r>
      <w:r w:rsidR="009D63AE" w:rsidRPr="009D63AE">
        <w:rPr>
          <w:rFonts w:ascii="Arial" w:hAnsi="Arial" w:cs="Arial"/>
        </w:rPr>
        <w:t>. Patient and carer representatives should be embedded in medication safety committees at national, integrated care system, and local levels. For medication safety, this means involving patients and carers in designing labelling, developing patient information, and testing administration devices before widespread deployment</w:t>
      </w:r>
      <w:r w:rsidR="009D63AE" w:rsidRPr="00AA74A4">
        <w:rPr>
          <w:rFonts w:ascii="Arial" w:hAnsi="Arial" w:cs="Arial"/>
        </w:rPr>
        <w:t xml:space="preserve"> (Duggal</w:t>
      </w:r>
      <w:r w:rsidR="00A2390C">
        <w:rPr>
          <w:rFonts w:ascii="Arial" w:hAnsi="Arial" w:cs="Arial"/>
        </w:rPr>
        <w:t>,</w:t>
      </w:r>
      <w:r w:rsidR="009D63AE" w:rsidRPr="00AA74A4">
        <w:rPr>
          <w:rFonts w:ascii="Arial" w:hAnsi="Arial" w:cs="Arial"/>
        </w:rPr>
        <w:t xml:space="preserve"> 2022)</w:t>
      </w:r>
      <w:r w:rsidR="009D63AE" w:rsidRPr="009D63AE">
        <w:rPr>
          <w:rFonts w:ascii="Arial" w:hAnsi="Arial" w:cs="Arial"/>
        </w:rPr>
        <w:t>.</w:t>
      </w:r>
    </w:p>
    <w:p w14:paraId="3EE24D2E" w14:textId="0FF1FCB7" w:rsidR="00F678FF" w:rsidRPr="00AA74A4" w:rsidRDefault="00F678FF" w:rsidP="00AA74A4">
      <w:pPr>
        <w:spacing w:line="480" w:lineRule="auto"/>
        <w:jc w:val="center"/>
        <w:rPr>
          <w:rFonts w:ascii="Arial" w:hAnsi="Arial" w:cs="Arial"/>
          <w:b/>
          <w:bCs/>
        </w:rPr>
      </w:pPr>
      <w:r w:rsidRPr="00AA74A4">
        <w:rPr>
          <w:rFonts w:ascii="Arial" w:hAnsi="Arial" w:cs="Arial"/>
          <w:b/>
          <w:bCs/>
        </w:rPr>
        <w:t>Conclusion</w:t>
      </w:r>
    </w:p>
    <w:p w14:paraId="28A9BB3D" w14:textId="77777777" w:rsidR="00AA74A4" w:rsidRDefault="009D63AE" w:rsidP="00AA74A4">
      <w:pPr>
        <w:spacing w:line="480" w:lineRule="auto"/>
        <w:rPr>
          <w:rFonts w:ascii="Arial" w:hAnsi="Arial" w:cs="Arial"/>
        </w:rPr>
      </w:pPr>
      <w:r w:rsidRPr="00AA74A4">
        <w:rPr>
          <w:rFonts w:ascii="Arial" w:hAnsi="Arial" w:cs="Arial"/>
        </w:rPr>
        <w:t xml:space="preserve">In conclusion, </w:t>
      </w:r>
      <w:r w:rsidR="00847F7E" w:rsidRPr="00AA74A4">
        <w:rPr>
          <w:rFonts w:ascii="Arial" w:hAnsi="Arial" w:cs="Arial"/>
        </w:rPr>
        <w:t xml:space="preserve">this case study set out to examine a significant organisational transformation following an investigation report by HSSIB (2022) after the death of a patient after an accidental overdose of morphine </w:t>
      </w:r>
      <w:proofErr w:type="spellStart"/>
      <w:r w:rsidR="00847F7E" w:rsidRPr="00AA74A4">
        <w:rPr>
          <w:rFonts w:ascii="Arial" w:hAnsi="Arial" w:cs="Arial"/>
        </w:rPr>
        <w:t>sulfate</w:t>
      </w:r>
      <w:proofErr w:type="spellEnd"/>
      <w:r w:rsidR="00847F7E" w:rsidRPr="00AA74A4">
        <w:rPr>
          <w:rFonts w:ascii="Arial" w:hAnsi="Arial" w:cs="Arial"/>
        </w:rPr>
        <w:t xml:space="preserve"> oral solution. A Rich Picture demonstrated that Len's death was not the result of a single point of failure but emerged from the interaction of multiple system elements. These included the physical design of packaging, cognitive interpretation of information, communication across professional boundaries, and governance structures that created accountability gaps. The report also analysed whether the case study organisation operated in a centralised or decentralised system. Len's death illustrates that safety emerges not from correctly following centralised rules alone, but from systems designed to anticipate and prevent the interactions between multiple correctly executed processes that can combine to produce adverse outcomes. The hybrid structure of the English NHS, which consists of a strong centralised framework overlaid with decentralised implementation, creates conditions where such interactions can occur without clear mechanisms for detection, intervention, or accountability.</w:t>
      </w:r>
      <w:r w:rsidR="00B659D7" w:rsidRPr="00AA74A4">
        <w:rPr>
          <w:rFonts w:ascii="Arial" w:hAnsi="Arial" w:cs="Arial"/>
        </w:rPr>
        <w:t xml:space="preserve"> </w:t>
      </w:r>
    </w:p>
    <w:p w14:paraId="095DFBAD" w14:textId="50BE1EA0" w:rsidR="009D63AE" w:rsidRDefault="00B659D7" w:rsidP="00AA74A4">
      <w:pPr>
        <w:spacing w:line="480" w:lineRule="auto"/>
        <w:rPr>
          <w:rFonts w:ascii="Arial" w:hAnsi="Arial" w:cs="Arial"/>
        </w:rPr>
      </w:pPr>
      <w:r w:rsidRPr="00AA74A4">
        <w:rPr>
          <w:rFonts w:ascii="Arial" w:hAnsi="Arial" w:cs="Arial"/>
        </w:rPr>
        <w:t xml:space="preserve">A critical review of leadership styles and their relevance to the case study emphasised a consideration of whether leaders acted reactively or proactively. This perspective facilitated the identification of several key lessons for other organisations. Finally, this report provided practical recommendations addressing the multiple failures that contributed to Len’s death. </w:t>
      </w:r>
      <w:r w:rsidRPr="00AA74A4">
        <w:rPr>
          <w:rFonts w:ascii="Arial" w:hAnsi="Arial" w:cs="Arial"/>
        </w:rPr>
        <w:lastRenderedPageBreak/>
        <w:t>Governance reforms should establish accountability for complete pathways; leadership development cultivates the distributed responsibility necessary to make those accountabilities meaningful; system integration creates the digital infrastructure for proactive surveillance; efficiency measures ensure resources target greatest risk; and continuous learning embeds the feedback loops that translate experience into improvement (Barrow et al. 2024). Each recommendation is grounded in evidence from this case and the broader literature on medication safety, and each is designed to be practical and achievable within existing structures while pointing toward necessary long-term reform.</w:t>
      </w:r>
    </w:p>
    <w:p w14:paraId="380CB91A" w14:textId="77777777" w:rsidR="00AA74A4" w:rsidRDefault="00AA74A4">
      <w:pPr>
        <w:rPr>
          <w:rFonts w:ascii="Arial" w:hAnsi="Arial" w:cs="Arial"/>
        </w:rPr>
      </w:pPr>
      <w:r>
        <w:rPr>
          <w:rFonts w:ascii="Arial" w:hAnsi="Arial" w:cs="Arial"/>
        </w:rPr>
        <w:br w:type="page"/>
      </w:r>
    </w:p>
    <w:p w14:paraId="43497A49" w14:textId="39381865" w:rsidR="00AA74A4" w:rsidRPr="00AA74A4" w:rsidRDefault="00AA74A4" w:rsidP="00AA74A4">
      <w:pPr>
        <w:spacing w:line="480" w:lineRule="auto"/>
        <w:jc w:val="center"/>
        <w:rPr>
          <w:rFonts w:ascii="Arial" w:hAnsi="Arial" w:cs="Arial"/>
          <w:b/>
          <w:bCs/>
        </w:rPr>
      </w:pPr>
      <w:r w:rsidRPr="00AA74A4">
        <w:rPr>
          <w:rFonts w:ascii="Arial" w:hAnsi="Arial" w:cs="Arial"/>
          <w:b/>
          <w:bCs/>
        </w:rPr>
        <w:lastRenderedPageBreak/>
        <w:t>References</w:t>
      </w:r>
    </w:p>
    <w:p w14:paraId="7483BDF3" w14:textId="77777777" w:rsidR="00AA74A4" w:rsidRPr="00AA74A4" w:rsidRDefault="00AA74A4" w:rsidP="00AA74A4">
      <w:pPr>
        <w:spacing w:line="480" w:lineRule="auto"/>
        <w:rPr>
          <w:rFonts w:ascii="Arial" w:hAnsi="Arial" w:cs="Arial"/>
        </w:rPr>
      </w:pPr>
      <w:r w:rsidRPr="00AA74A4">
        <w:rPr>
          <w:rFonts w:ascii="Arial" w:hAnsi="Arial" w:cs="Arial"/>
        </w:rPr>
        <w:t>Al-</w:t>
      </w:r>
      <w:proofErr w:type="spellStart"/>
      <w:r w:rsidRPr="00AA74A4">
        <w:rPr>
          <w:rFonts w:ascii="Arial" w:hAnsi="Arial" w:cs="Arial"/>
        </w:rPr>
        <w:t>Rjoub</w:t>
      </w:r>
      <w:proofErr w:type="spellEnd"/>
      <w:r w:rsidRPr="00AA74A4">
        <w:rPr>
          <w:rFonts w:ascii="Arial" w:hAnsi="Arial" w:cs="Arial"/>
        </w:rPr>
        <w:t>, S. </w:t>
      </w:r>
      <w:r w:rsidRPr="00AA74A4">
        <w:rPr>
          <w:rFonts w:ascii="Arial" w:hAnsi="Arial" w:cs="Arial"/>
          <w:i/>
          <w:iCs/>
        </w:rPr>
        <w:t>et al.</w:t>
      </w:r>
      <w:r w:rsidRPr="00AA74A4">
        <w:rPr>
          <w:rFonts w:ascii="Arial" w:hAnsi="Arial" w:cs="Arial"/>
        </w:rPr>
        <w:t> (2024) ‘Exploring the impact of transformational and transactional style of leadership on nursing care performance and patient outcomes’, </w:t>
      </w:r>
      <w:r w:rsidRPr="00AA74A4">
        <w:rPr>
          <w:rFonts w:ascii="Arial" w:hAnsi="Arial" w:cs="Arial"/>
          <w:i/>
          <w:iCs/>
        </w:rPr>
        <w:t>Journal of Healthcare Leadership</w:t>
      </w:r>
      <w:r w:rsidRPr="00AA74A4">
        <w:rPr>
          <w:rFonts w:ascii="Arial" w:hAnsi="Arial" w:cs="Arial"/>
        </w:rPr>
        <w:t>, Volume 16(December), pp. 557–568. Available at: </w:t>
      </w:r>
      <w:hyperlink r:id="rId6" w:tgtFrame="_blank" w:history="1">
        <w:r w:rsidRPr="00AA74A4">
          <w:rPr>
            <w:rStyle w:val="Hyperlink"/>
            <w:rFonts w:ascii="Arial" w:hAnsi="Arial" w:cs="Arial"/>
          </w:rPr>
          <w:t>https://doi.org/10.2147/jhl.s496266</w:t>
        </w:r>
      </w:hyperlink>
    </w:p>
    <w:p w14:paraId="7D1B1041" w14:textId="77777777" w:rsidR="00AA74A4" w:rsidRPr="00AA74A4" w:rsidRDefault="00AA74A4" w:rsidP="00AA74A4">
      <w:pPr>
        <w:spacing w:line="480" w:lineRule="auto"/>
        <w:rPr>
          <w:rFonts w:ascii="Arial" w:hAnsi="Arial" w:cs="Arial"/>
        </w:rPr>
      </w:pPr>
      <w:r w:rsidRPr="00AA74A4">
        <w:rPr>
          <w:rFonts w:ascii="Arial" w:hAnsi="Arial" w:cs="Arial"/>
        </w:rPr>
        <w:t>Anderson, M. </w:t>
      </w:r>
      <w:r w:rsidRPr="00AA74A4">
        <w:rPr>
          <w:rFonts w:ascii="Arial" w:hAnsi="Arial" w:cs="Arial"/>
          <w:i/>
          <w:iCs/>
        </w:rPr>
        <w:t>et al.</w:t>
      </w:r>
      <w:r w:rsidRPr="00AA74A4">
        <w:rPr>
          <w:rFonts w:ascii="Arial" w:hAnsi="Arial" w:cs="Arial"/>
        </w:rPr>
        <w:t> (2022) </w:t>
      </w:r>
      <w:r w:rsidRPr="00AA74A4">
        <w:rPr>
          <w:rFonts w:ascii="Arial" w:hAnsi="Arial" w:cs="Arial"/>
          <w:i/>
          <w:iCs/>
        </w:rPr>
        <w:t>United Kingdom: health system review 2022</w:t>
      </w:r>
      <w:r w:rsidRPr="00AA74A4">
        <w:rPr>
          <w:rFonts w:ascii="Arial" w:hAnsi="Arial" w:cs="Arial"/>
        </w:rPr>
        <w:t>. Available at: </w:t>
      </w:r>
      <w:hyperlink r:id="rId7" w:tgtFrame="_blank" w:history="1">
        <w:r w:rsidRPr="00AA74A4">
          <w:rPr>
            <w:rStyle w:val="Hyperlink"/>
            <w:rFonts w:ascii="Arial" w:hAnsi="Arial" w:cs="Arial"/>
          </w:rPr>
          <w:t>https://eurohealthobservatory.who.int/publications/i/united-kingdom-health-system-review-2022</w:t>
        </w:r>
      </w:hyperlink>
      <w:r w:rsidRPr="00AA74A4">
        <w:rPr>
          <w:rFonts w:ascii="Arial" w:hAnsi="Arial" w:cs="Arial"/>
        </w:rPr>
        <w:t> (Accessed: 11 March 2026).</w:t>
      </w:r>
    </w:p>
    <w:p w14:paraId="124B8CEB" w14:textId="77777777" w:rsidR="00AA74A4" w:rsidRPr="00AA74A4" w:rsidRDefault="00AA74A4" w:rsidP="00AA74A4">
      <w:pPr>
        <w:spacing w:line="480" w:lineRule="auto"/>
        <w:rPr>
          <w:rFonts w:ascii="Arial" w:hAnsi="Arial" w:cs="Arial"/>
        </w:rPr>
      </w:pPr>
      <w:r w:rsidRPr="00AA74A4">
        <w:rPr>
          <w:rFonts w:ascii="Arial" w:hAnsi="Arial" w:cs="Arial"/>
        </w:rPr>
        <w:t>Barrow, E. </w:t>
      </w:r>
      <w:r w:rsidRPr="00AA74A4">
        <w:rPr>
          <w:rFonts w:ascii="Arial" w:hAnsi="Arial" w:cs="Arial"/>
          <w:i/>
          <w:iCs/>
        </w:rPr>
        <w:t>et al.</w:t>
      </w:r>
      <w:r w:rsidRPr="00AA74A4">
        <w:rPr>
          <w:rFonts w:ascii="Arial" w:hAnsi="Arial" w:cs="Arial"/>
        </w:rPr>
        <w:t> (2024) ‘Positive reinforcement: balancing negative and positive feedback for comprehensive improvement’, </w:t>
      </w:r>
      <w:r w:rsidRPr="00AA74A4">
        <w:rPr>
          <w:rFonts w:ascii="Arial" w:hAnsi="Arial" w:cs="Arial"/>
          <w:i/>
          <w:iCs/>
        </w:rPr>
        <w:t>Journal of Dentistry</w:t>
      </w:r>
      <w:r w:rsidRPr="00AA74A4">
        <w:rPr>
          <w:rFonts w:ascii="Arial" w:hAnsi="Arial" w:cs="Arial"/>
        </w:rPr>
        <w:t>, (December), p. 105501. Available at: </w:t>
      </w:r>
      <w:hyperlink r:id="rId8" w:tgtFrame="_blank" w:history="1">
        <w:r w:rsidRPr="00AA74A4">
          <w:rPr>
            <w:rStyle w:val="Hyperlink"/>
            <w:rFonts w:ascii="Arial" w:hAnsi="Arial" w:cs="Arial"/>
          </w:rPr>
          <w:t>https://doi.org/10.1016/j.jdent.2024.105501</w:t>
        </w:r>
      </w:hyperlink>
    </w:p>
    <w:p w14:paraId="7769DE39" w14:textId="77777777" w:rsidR="00AA74A4" w:rsidRPr="00AA74A4" w:rsidRDefault="00AA74A4" w:rsidP="00AA74A4">
      <w:pPr>
        <w:spacing w:line="480" w:lineRule="auto"/>
        <w:rPr>
          <w:rFonts w:ascii="Arial" w:hAnsi="Arial" w:cs="Arial"/>
        </w:rPr>
      </w:pPr>
      <w:proofErr w:type="spellStart"/>
      <w:r w:rsidRPr="00AA74A4">
        <w:rPr>
          <w:rFonts w:ascii="Arial" w:hAnsi="Arial" w:cs="Arial"/>
        </w:rPr>
        <w:t>Britteon</w:t>
      </w:r>
      <w:proofErr w:type="spellEnd"/>
      <w:r w:rsidRPr="00AA74A4">
        <w:rPr>
          <w:rFonts w:ascii="Arial" w:hAnsi="Arial" w:cs="Arial"/>
        </w:rPr>
        <w:t>, P. </w:t>
      </w:r>
      <w:r w:rsidRPr="00AA74A4">
        <w:rPr>
          <w:rFonts w:ascii="Arial" w:hAnsi="Arial" w:cs="Arial"/>
          <w:i/>
          <w:iCs/>
        </w:rPr>
        <w:t>et al.</w:t>
      </w:r>
      <w:r w:rsidRPr="00AA74A4">
        <w:rPr>
          <w:rFonts w:ascii="Arial" w:hAnsi="Arial" w:cs="Arial"/>
        </w:rPr>
        <w:t> (2024) ‘The impact of devolution on local health systems: Evidence from Greater Manchester, England’, </w:t>
      </w:r>
      <w:r w:rsidRPr="00AA74A4">
        <w:rPr>
          <w:rFonts w:ascii="Arial" w:hAnsi="Arial" w:cs="Arial"/>
          <w:i/>
          <w:iCs/>
        </w:rPr>
        <w:t>Social Science &amp; Medicine</w:t>
      </w:r>
      <w:r w:rsidRPr="00AA74A4">
        <w:rPr>
          <w:rFonts w:ascii="Arial" w:hAnsi="Arial" w:cs="Arial"/>
        </w:rPr>
        <w:t>, 348(March), p. 116801. Available at: </w:t>
      </w:r>
      <w:hyperlink r:id="rId9" w:tgtFrame="_blank" w:history="1">
        <w:r w:rsidRPr="00AA74A4">
          <w:rPr>
            <w:rStyle w:val="Hyperlink"/>
            <w:rFonts w:ascii="Arial" w:hAnsi="Arial" w:cs="Arial"/>
          </w:rPr>
          <w:t>https://doi.org/10.1016/j.socscimed.2024.116801</w:t>
        </w:r>
      </w:hyperlink>
    </w:p>
    <w:p w14:paraId="337F1C28" w14:textId="77777777" w:rsidR="00AA74A4" w:rsidRPr="00AA74A4" w:rsidRDefault="00AA74A4" w:rsidP="00AA74A4">
      <w:pPr>
        <w:spacing w:line="480" w:lineRule="auto"/>
        <w:rPr>
          <w:rFonts w:ascii="Arial" w:hAnsi="Arial" w:cs="Arial"/>
        </w:rPr>
      </w:pPr>
      <w:r w:rsidRPr="00AA74A4">
        <w:rPr>
          <w:rFonts w:ascii="Arial" w:hAnsi="Arial" w:cs="Arial"/>
        </w:rPr>
        <w:t>Camacho, E. M. </w:t>
      </w:r>
      <w:r w:rsidRPr="00AA74A4">
        <w:rPr>
          <w:rFonts w:ascii="Arial" w:hAnsi="Arial" w:cs="Arial"/>
          <w:i/>
          <w:iCs/>
        </w:rPr>
        <w:t>et al.</w:t>
      </w:r>
      <w:r w:rsidRPr="00AA74A4">
        <w:rPr>
          <w:rFonts w:ascii="Arial" w:hAnsi="Arial" w:cs="Arial"/>
        </w:rPr>
        <w:t> (2024) ‘Estimating the impact on patient safety of enabling the digital transfer of patients’ prescription information in the English NHS’, </w:t>
      </w:r>
      <w:r w:rsidRPr="00AA74A4">
        <w:rPr>
          <w:rFonts w:ascii="Arial" w:hAnsi="Arial" w:cs="Arial"/>
          <w:i/>
          <w:iCs/>
        </w:rPr>
        <w:t>BMJ Quality &amp; Safety</w:t>
      </w:r>
      <w:r w:rsidRPr="00AA74A4">
        <w:rPr>
          <w:rFonts w:ascii="Arial" w:hAnsi="Arial" w:cs="Arial"/>
        </w:rPr>
        <w:t>, (26 March), pp. </w:t>
      </w:r>
      <w:proofErr w:type="spellStart"/>
      <w:r w:rsidRPr="00AA74A4">
        <w:rPr>
          <w:rFonts w:ascii="Arial" w:hAnsi="Arial" w:cs="Arial"/>
        </w:rPr>
        <w:t>bmjqs</w:t>
      </w:r>
      <w:proofErr w:type="spellEnd"/>
      <w:r w:rsidRPr="00AA74A4">
        <w:rPr>
          <w:rFonts w:ascii="Arial" w:hAnsi="Arial" w:cs="Arial"/>
        </w:rPr>
        <w:t>—2023–016675. Available at: </w:t>
      </w:r>
      <w:hyperlink r:id="rId10" w:tgtFrame="_blank" w:history="1">
        <w:r w:rsidRPr="00AA74A4">
          <w:rPr>
            <w:rStyle w:val="Hyperlink"/>
            <w:rFonts w:ascii="Arial" w:hAnsi="Arial" w:cs="Arial"/>
          </w:rPr>
          <w:t>https://doi.org/10.1136/bmjqs-2023-016675</w:t>
        </w:r>
      </w:hyperlink>
    </w:p>
    <w:p w14:paraId="2E67F04A" w14:textId="77777777" w:rsidR="00AA74A4" w:rsidRPr="00AA74A4" w:rsidRDefault="00AA74A4" w:rsidP="00AA74A4">
      <w:pPr>
        <w:spacing w:line="480" w:lineRule="auto"/>
        <w:rPr>
          <w:rFonts w:ascii="Arial" w:hAnsi="Arial" w:cs="Arial"/>
        </w:rPr>
      </w:pPr>
      <w:r w:rsidRPr="00AA74A4">
        <w:rPr>
          <w:rFonts w:ascii="Arial" w:hAnsi="Arial" w:cs="Arial"/>
        </w:rPr>
        <w:t>Care Quality Commission (2025) </w:t>
      </w:r>
      <w:r w:rsidRPr="00AA74A4">
        <w:rPr>
          <w:rFonts w:ascii="Arial" w:hAnsi="Arial" w:cs="Arial"/>
          <w:i/>
          <w:iCs/>
        </w:rPr>
        <w:t>The safer management of controlled drugs: annual update 2024</w:t>
      </w:r>
      <w:r w:rsidRPr="00AA74A4">
        <w:rPr>
          <w:rFonts w:ascii="Arial" w:hAnsi="Arial" w:cs="Arial"/>
        </w:rPr>
        <w:t>. Available at: </w:t>
      </w:r>
      <w:hyperlink r:id="rId11" w:tgtFrame="_blank" w:history="1">
        <w:r w:rsidRPr="00AA74A4">
          <w:rPr>
            <w:rStyle w:val="Hyperlink"/>
            <w:rFonts w:ascii="Arial" w:hAnsi="Arial" w:cs="Arial"/>
          </w:rPr>
          <w:t>https://www.cqc.org.uk/publications/controlled-drugs/2024/issues?utm_source=hs_email&amp;amp;utm_medium=email&amp;amp;_hsenc=p2ANqtz-81IKRzC3O3HbAUo2LbgQLrCWXDZEvLlAQ3RWBZf7ZsDcdX30IRvWuJlk9Z4ziCLoGs8bqF</w:t>
        </w:r>
      </w:hyperlink>
      <w:r w:rsidRPr="00AA74A4">
        <w:rPr>
          <w:rFonts w:ascii="Arial" w:hAnsi="Arial" w:cs="Arial"/>
        </w:rPr>
        <w:t> (Accessed: 11 March 2026).</w:t>
      </w:r>
    </w:p>
    <w:p w14:paraId="647A24D7" w14:textId="77777777" w:rsidR="00AA74A4" w:rsidRPr="00AA74A4" w:rsidRDefault="00AA74A4" w:rsidP="00AA74A4">
      <w:pPr>
        <w:spacing w:line="480" w:lineRule="auto"/>
        <w:rPr>
          <w:rFonts w:ascii="Arial" w:hAnsi="Arial" w:cs="Arial"/>
        </w:rPr>
      </w:pPr>
      <w:r w:rsidRPr="00AA74A4">
        <w:rPr>
          <w:rFonts w:ascii="Arial" w:hAnsi="Arial" w:cs="Arial"/>
        </w:rPr>
        <w:lastRenderedPageBreak/>
        <w:t>Carstensen, K., Kjeldsen, A. M. and Nielsen, C. P. (2023) ‘Distributed leadership in health quality improvement collaboratives’, </w:t>
      </w:r>
      <w:r w:rsidRPr="00AA74A4">
        <w:rPr>
          <w:rFonts w:ascii="Arial" w:hAnsi="Arial" w:cs="Arial"/>
          <w:i/>
          <w:iCs/>
        </w:rPr>
        <w:t>Health Care Management Review</w:t>
      </w:r>
      <w:r w:rsidRPr="00AA74A4">
        <w:rPr>
          <w:rFonts w:ascii="Arial" w:hAnsi="Arial" w:cs="Arial"/>
        </w:rPr>
        <w:t>, 49(1), pp. 46–58. Available at: </w:t>
      </w:r>
      <w:hyperlink r:id="rId12" w:tgtFrame="_blank" w:history="1">
        <w:r w:rsidRPr="00AA74A4">
          <w:rPr>
            <w:rStyle w:val="Hyperlink"/>
            <w:rFonts w:ascii="Arial" w:hAnsi="Arial" w:cs="Arial"/>
          </w:rPr>
          <w:t>https://doi.org/10.1097/hmr.0000000000000385</w:t>
        </w:r>
      </w:hyperlink>
    </w:p>
    <w:p w14:paraId="3CE443C4" w14:textId="77777777" w:rsidR="00AA74A4" w:rsidRPr="00AA74A4" w:rsidRDefault="00AA74A4" w:rsidP="00AA74A4">
      <w:pPr>
        <w:spacing w:line="480" w:lineRule="auto"/>
        <w:rPr>
          <w:rFonts w:ascii="Arial" w:hAnsi="Arial" w:cs="Arial"/>
        </w:rPr>
      </w:pPr>
      <w:r w:rsidRPr="00AA74A4">
        <w:rPr>
          <w:rFonts w:ascii="Arial" w:hAnsi="Arial" w:cs="Arial"/>
        </w:rPr>
        <w:t>Dayan, M. (2025) </w:t>
      </w:r>
      <w:r w:rsidRPr="00AA74A4">
        <w:rPr>
          <w:rFonts w:ascii="Arial" w:hAnsi="Arial" w:cs="Arial"/>
          <w:i/>
          <w:iCs/>
        </w:rPr>
        <w:t>2.3. Decentralization and centralization</w:t>
      </w:r>
      <w:r w:rsidRPr="00AA74A4">
        <w:rPr>
          <w:rFonts w:ascii="Arial" w:hAnsi="Arial" w:cs="Arial"/>
        </w:rPr>
        <w:t>. Available at: </w:t>
      </w:r>
      <w:hyperlink r:id="rId13" w:tgtFrame="_blank" w:history="1">
        <w:r w:rsidRPr="00AA74A4">
          <w:rPr>
            <w:rStyle w:val="Hyperlink"/>
            <w:rFonts w:ascii="Arial" w:hAnsi="Arial" w:cs="Arial"/>
          </w:rPr>
          <w:t>https://eurohealthobservatory.who.int/monitors/health-systems-monitor/countries-hspm/section-detail/hspm-united-kingdom-2022/organization-and-governance/decentralization-and-centralization/</w:t>
        </w:r>
      </w:hyperlink>
      <w:r w:rsidRPr="00AA74A4">
        <w:rPr>
          <w:rFonts w:ascii="Arial" w:hAnsi="Arial" w:cs="Arial"/>
        </w:rPr>
        <w:t> (Accessed: 11 March 2026).</w:t>
      </w:r>
    </w:p>
    <w:p w14:paraId="1C08931E" w14:textId="77777777" w:rsidR="00AA74A4" w:rsidRPr="00AA74A4" w:rsidRDefault="00AA74A4" w:rsidP="00AA74A4">
      <w:pPr>
        <w:spacing w:line="480" w:lineRule="auto"/>
        <w:rPr>
          <w:rFonts w:ascii="Arial" w:hAnsi="Arial" w:cs="Arial"/>
        </w:rPr>
      </w:pPr>
      <w:r w:rsidRPr="00AA74A4">
        <w:rPr>
          <w:rFonts w:ascii="Arial" w:hAnsi="Arial" w:cs="Arial"/>
        </w:rPr>
        <w:t>Department of Health and Social Care (2022) </w:t>
      </w:r>
      <w:r w:rsidRPr="00AA74A4">
        <w:rPr>
          <w:rFonts w:ascii="Arial" w:hAnsi="Arial" w:cs="Arial"/>
          <w:i/>
          <w:iCs/>
        </w:rPr>
        <w:t>NHS: negligence</w:t>
      </w:r>
      <w:r w:rsidRPr="00AA74A4">
        <w:rPr>
          <w:rFonts w:ascii="Arial" w:hAnsi="Arial" w:cs="Arial"/>
        </w:rPr>
        <w:t>. Available at: </w:t>
      </w:r>
      <w:hyperlink r:id="rId14" w:tgtFrame="_blank" w:history="1">
        <w:r w:rsidRPr="00AA74A4">
          <w:rPr>
            <w:rStyle w:val="Hyperlink"/>
            <w:rFonts w:ascii="Arial" w:hAnsi="Arial" w:cs="Arial"/>
          </w:rPr>
          <w:t>https://questions-statements.parliament.uk/written-questions/detail/2022-06-10/15784</w:t>
        </w:r>
      </w:hyperlink>
      <w:r w:rsidRPr="00AA74A4">
        <w:rPr>
          <w:rFonts w:ascii="Arial" w:hAnsi="Arial" w:cs="Arial"/>
        </w:rPr>
        <w:t> (Accessed: 11 March 2026).</w:t>
      </w:r>
    </w:p>
    <w:p w14:paraId="1000A25E" w14:textId="77777777" w:rsidR="00AA74A4" w:rsidRPr="00AA74A4" w:rsidRDefault="00AA74A4" w:rsidP="00AA74A4">
      <w:pPr>
        <w:spacing w:line="480" w:lineRule="auto"/>
        <w:rPr>
          <w:rFonts w:ascii="Arial" w:hAnsi="Arial" w:cs="Arial"/>
        </w:rPr>
      </w:pPr>
      <w:r w:rsidRPr="00AA74A4">
        <w:rPr>
          <w:rFonts w:ascii="Arial" w:hAnsi="Arial" w:cs="Arial"/>
        </w:rPr>
        <w:t>Duggal, D. (2022) </w:t>
      </w:r>
      <w:r w:rsidRPr="00AA74A4">
        <w:rPr>
          <w:rFonts w:ascii="Arial" w:hAnsi="Arial" w:cs="Arial"/>
          <w:i/>
          <w:iCs/>
        </w:rPr>
        <w:t>Medication Errors in the NHS and the need for interoperability</w:t>
      </w:r>
      <w:r w:rsidRPr="00AA74A4">
        <w:rPr>
          <w:rFonts w:ascii="Arial" w:hAnsi="Arial" w:cs="Arial"/>
        </w:rPr>
        <w:t>. Available at: </w:t>
      </w:r>
      <w:hyperlink r:id="rId15" w:tgtFrame="_blank" w:history="1">
        <w:r w:rsidRPr="00AA74A4">
          <w:rPr>
            <w:rStyle w:val="Hyperlink"/>
            <w:rFonts w:ascii="Arial" w:hAnsi="Arial" w:cs="Arial"/>
          </w:rPr>
          <w:t>https://www.bd.com/en-uk/about-bd/news-and-media/news/2023/09-27-2022</w:t>
        </w:r>
      </w:hyperlink>
      <w:r w:rsidRPr="00AA74A4">
        <w:rPr>
          <w:rFonts w:ascii="Arial" w:hAnsi="Arial" w:cs="Arial"/>
        </w:rPr>
        <w:t> (Accessed: 11 March 2026).</w:t>
      </w:r>
    </w:p>
    <w:p w14:paraId="0361BA08" w14:textId="77777777" w:rsidR="00AA74A4" w:rsidRPr="00AA74A4" w:rsidRDefault="00AA74A4" w:rsidP="00AA74A4">
      <w:pPr>
        <w:spacing w:line="480" w:lineRule="auto"/>
        <w:rPr>
          <w:rFonts w:ascii="Arial" w:hAnsi="Arial" w:cs="Arial"/>
        </w:rPr>
      </w:pPr>
      <w:r w:rsidRPr="00AA74A4">
        <w:rPr>
          <w:rFonts w:ascii="Arial" w:hAnsi="Arial" w:cs="Arial"/>
        </w:rPr>
        <w:t>Griffiths, P. </w:t>
      </w:r>
      <w:r w:rsidRPr="00AA74A4">
        <w:rPr>
          <w:rFonts w:ascii="Arial" w:hAnsi="Arial" w:cs="Arial"/>
          <w:i/>
          <w:iCs/>
        </w:rPr>
        <w:t>et al.</w:t>
      </w:r>
      <w:r w:rsidRPr="00AA74A4">
        <w:rPr>
          <w:rFonts w:ascii="Arial" w:hAnsi="Arial" w:cs="Arial"/>
        </w:rPr>
        <w:t> (2025) ‘Consequences, costs and cost-effectiveness of workforce configurations in English acute hospitals’, </w:t>
      </w:r>
      <w:r w:rsidRPr="00AA74A4">
        <w:rPr>
          <w:rFonts w:ascii="Arial" w:hAnsi="Arial" w:cs="Arial"/>
          <w:i/>
          <w:iCs/>
        </w:rPr>
        <w:t>Health and Social Care Delivery Research</w:t>
      </w:r>
      <w:r w:rsidRPr="00AA74A4">
        <w:rPr>
          <w:rFonts w:ascii="Arial" w:hAnsi="Arial" w:cs="Arial"/>
        </w:rPr>
        <w:t>, (July), pp. 1–107. Available at: </w:t>
      </w:r>
      <w:hyperlink r:id="rId16" w:tgtFrame="_blank" w:history="1">
        <w:r w:rsidRPr="00AA74A4">
          <w:rPr>
            <w:rStyle w:val="Hyperlink"/>
            <w:rFonts w:ascii="Arial" w:hAnsi="Arial" w:cs="Arial"/>
          </w:rPr>
          <w:t>https://doi.org/10.3310/zbar9152</w:t>
        </w:r>
      </w:hyperlink>
    </w:p>
    <w:p w14:paraId="572A7C21" w14:textId="77777777" w:rsidR="00AA74A4" w:rsidRPr="00AA74A4" w:rsidRDefault="00AA74A4" w:rsidP="00AA74A4">
      <w:pPr>
        <w:spacing w:line="480" w:lineRule="auto"/>
        <w:rPr>
          <w:rFonts w:ascii="Arial" w:hAnsi="Arial" w:cs="Arial"/>
        </w:rPr>
      </w:pPr>
      <w:r w:rsidRPr="00AA74A4">
        <w:rPr>
          <w:rFonts w:ascii="Arial" w:hAnsi="Arial" w:cs="Arial"/>
        </w:rPr>
        <w:t>Health Innovation East (2022) </w:t>
      </w:r>
      <w:r w:rsidRPr="00AA74A4">
        <w:rPr>
          <w:rFonts w:ascii="Arial" w:hAnsi="Arial" w:cs="Arial"/>
          <w:i/>
          <w:iCs/>
        </w:rPr>
        <w:t>Improving patient safety following serious incidents</w:t>
      </w:r>
      <w:r w:rsidRPr="00AA74A4">
        <w:rPr>
          <w:rFonts w:ascii="Arial" w:hAnsi="Arial" w:cs="Arial"/>
        </w:rPr>
        <w:t>. Available at: </w:t>
      </w:r>
      <w:hyperlink r:id="rId17" w:tgtFrame="_blank" w:history="1">
        <w:r w:rsidRPr="00AA74A4">
          <w:rPr>
            <w:rStyle w:val="Hyperlink"/>
            <w:rFonts w:ascii="Arial" w:hAnsi="Arial" w:cs="Arial"/>
          </w:rPr>
          <w:t>https://healthinnovationeast.co.uk/impact-story/improving-patient-safety/</w:t>
        </w:r>
      </w:hyperlink>
      <w:r w:rsidRPr="00AA74A4">
        <w:rPr>
          <w:rFonts w:ascii="Arial" w:hAnsi="Arial" w:cs="Arial"/>
        </w:rPr>
        <w:t> (Accessed: 11 March 2026).</w:t>
      </w:r>
    </w:p>
    <w:p w14:paraId="13E8D2CF" w14:textId="77777777" w:rsidR="00AA74A4" w:rsidRPr="00AA74A4" w:rsidRDefault="00AA74A4" w:rsidP="00AA74A4">
      <w:pPr>
        <w:spacing w:line="480" w:lineRule="auto"/>
        <w:rPr>
          <w:rFonts w:ascii="Arial" w:hAnsi="Arial" w:cs="Arial"/>
        </w:rPr>
      </w:pPr>
      <w:r w:rsidRPr="00AA74A4">
        <w:rPr>
          <w:rFonts w:ascii="Arial" w:hAnsi="Arial" w:cs="Arial"/>
        </w:rPr>
        <w:t>Health Quality &amp; Safety Commission (2021) </w:t>
      </w:r>
      <w:r w:rsidRPr="00AA74A4">
        <w:rPr>
          <w:rFonts w:ascii="Arial" w:hAnsi="Arial" w:cs="Arial"/>
          <w:i/>
          <w:iCs/>
        </w:rPr>
        <w:t>Safe use of opioids</w:t>
      </w:r>
      <w:r w:rsidRPr="00AA74A4">
        <w:rPr>
          <w:rFonts w:ascii="Arial" w:hAnsi="Arial" w:cs="Arial"/>
        </w:rPr>
        <w:t>. Available at: </w:t>
      </w:r>
      <w:hyperlink r:id="rId18" w:tgtFrame="_blank" w:history="1">
        <w:r w:rsidRPr="00AA74A4">
          <w:rPr>
            <w:rStyle w:val="Hyperlink"/>
            <w:rFonts w:ascii="Arial" w:hAnsi="Arial" w:cs="Arial"/>
          </w:rPr>
          <w:t>https://www.hqsc.govt.nz/our-work/system-safety/reducing-harm/medicines/projects/safe-use-of-opioids/</w:t>
        </w:r>
      </w:hyperlink>
      <w:r w:rsidRPr="00AA74A4">
        <w:rPr>
          <w:rFonts w:ascii="Arial" w:hAnsi="Arial" w:cs="Arial"/>
        </w:rPr>
        <w:t> (Accessed: 11 March 2026).</w:t>
      </w:r>
    </w:p>
    <w:p w14:paraId="65EC1A5A" w14:textId="77777777" w:rsidR="00AA74A4" w:rsidRPr="00AA74A4" w:rsidRDefault="00AA74A4" w:rsidP="00AA74A4">
      <w:pPr>
        <w:spacing w:line="480" w:lineRule="auto"/>
        <w:rPr>
          <w:rFonts w:ascii="Arial" w:hAnsi="Arial" w:cs="Arial"/>
        </w:rPr>
      </w:pPr>
      <w:r w:rsidRPr="00AA74A4">
        <w:rPr>
          <w:rFonts w:ascii="Arial" w:hAnsi="Arial" w:cs="Arial"/>
        </w:rPr>
        <w:t>Health Services Safety Investigations Body (2022) </w:t>
      </w:r>
      <w:r w:rsidRPr="00AA74A4">
        <w:rPr>
          <w:rFonts w:ascii="Arial" w:hAnsi="Arial" w:cs="Arial"/>
          <w:i/>
          <w:iCs/>
        </w:rPr>
        <w:t xml:space="preserve">Investigation report: unintentional overdose of morphine </w:t>
      </w:r>
      <w:proofErr w:type="spellStart"/>
      <w:r w:rsidRPr="00AA74A4">
        <w:rPr>
          <w:rFonts w:ascii="Arial" w:hAnsi="Arial" w:cs="Arial"/>
          <w:i/>
          <w:iCs/>
        </w:rPr>
        <w:t>sulfate</w:t>
      </w:r>
      <w:proofErr w:type="spellEnd"/>
      <w:r w:rsidRPr="00AA74A4">
        <w:rPr>
          <w:rFonts w:ascii="Arial" w:hAnsi="Arial" w:cs="Arial"/>
          <w:i/>
          <w:iCs/>
        </w:rPr>
        <w:t xml:space="preserve"> oral solution</w:t>
      </w:r>
      <w:r w:rsidRPr="00AA74A4">
        <w:rPr>
          <w:rFonts w:ascii="Arial" w:hAnsi="Arial" w:cs="Arial"/>
        </w:rPr>
        <w:t>. Available at: </w:t>
      </w:r>
      <w:hyperlink r:id="rId19" w:tgtFrame="_blank" w:history="1">
        <w:r w:rsidRPr="00AA74A4">
          <w:rPr>
            <w:rStyle w:val="Hyperlink"/>
            <w:rFonts w:ascii="Arial" w:hAnsi="Arial" w:cs="Arial"/>
          </w:rPr>
          <w:t>https://www.hssib.org.uk/patient-</w:t>
        </w:r>
        <w:r w:rsidRPr="00AA74A4">
          <w:rPr>
            <w:rStyle w:val="Hyperlink"/>
            <w:rFonts w:ascii="Arial" w:hAnsi="Arial" w:cs="Arial"/>
          </w:rPr>
          <w:lastRenderedPageBreak/>
          <w:t>safety-investigations/unintentional-overdose-of-morphine-sulfate-oral-solution/investigation-report/</w:t>
        </w:r>
      </w:hyperlink>
      <w:r w:rsidRPr="00AA74A4">
        <w:rPr>
          <w:rFonts w:ascii="Arial" w:hAnsi="Arial" w:cs="Arial"/>
        </w:rPr>
        <w:t> (Accessed: 10 March 2026).</w:t>
      </w:r>
    </w:p>
    <w:p w14:paraId="2DBBCFA7" w14:textId="77777777" w:rsidR="00AA74A4" w:rsidRPr="00AA74A4" w:rsidRDefault="00AA74A4" w:rsidP="00AA74A4">
      <w:pPr>
        <w:spacing w:line="480" w:lineRule="auto"/>
        <w:rPr>
          <w:rFonts w:ascii="Arial" w:hAnsi="Arial" w:cs="Arial"/>
        </w:rPr>
      </w:pPr>
      <w:r w:rsidRPr="00AA74A4">
        <w:rPr>
          <w:rFonts w:ascii="Arial" w:hAnsi="Arial" w:cs="Arial"/>
        </w:rPr>
        <w:t>Health Services Safety Investigations Body (2026) </w:t>
      </w:r>
      <w:r w:rsidRPr="00AA74A4">
        <w:rPr>
          <w:rFonts w:ascii="Arial" w:hAnsi="Arial" w:cs="Arial"/>
          <w:i/>
          <w:iCs/>
        </w:rPr>
        <w:t>Who we are</w:t>
      </w:r>
      <w:r w:rsidRPr="00AA74A4">
        <w:rPr>
          <w:rFonts w:ascii="Arial" w:hAnsi="Arial" w:cs="Arial"/>
        </w:rPr>
        <w:t>. Available at: </w:t>
      </w:r>
      <w:hyperlink r:id="rId20" w:tgtFrame="_blank" w:history="1">
        <w:r w:rsidRPr="00AA74A4">
          <w:rPr>
            <w:rStyle w:val="Hyperlink"/>
            <w:rFonts w:ascii="Arial" w:hAnsi="Arial" w:cs="Arial"/>
          </w:rPr>
          <w:t>https://www.hssib.org.uk/about-us/who-we-are/</w:t>
        </w:r>
      </w:hyperlink>
      <w:r w:rsidRPr="00AA74A4">
        <w:rPr>
          <w:rFonts w:ascii="Arial" w:hAnsi="Arial" w:cs="Arial"/>
        </w:rPr>
        <w:t> (Accessed: 10 March 2026).</w:t>
      </w:r>
    </w:p>
    <w:p w14:paraId="191A1528" w14:textId="77777777" w:rsidR="00AA74A4" w:rsidRPr="00AA74A4" w:rsidRDefault="00AA74A4" w:rsidP="00AA74A4">
      <w:pPr>
        <w:spacing w:line="480" w:lineRule="auto"/>
        <w:rPr>
          <w:rFonts w:ascii="Arial" w:hAnsi="Arial" w:cs="Arial"/>
        </w:rPr>
      </w:pPr>
      <w:r w:rsidRPr="00AA74A4">
        <w:rPr>
          <w:rFonts w:ascii="Arial" w:hAnsi="Arial" w:cs="Arial"/>
        </w:rPr>
        <w:t>Holland, A. </w:t>
      </w:r>
      <w:r w:rsidRPr="00AA74A4">
        <w:rPr>
          <w:rFonts w:ascii="Arial" w:hAnsi="Arial" w:cs="Arial"/>
          <w:i/>
          <w:iCs/>
        </w:rPr>
        <w:t>et al.</w:t>
      </w:r>
      <w:r w:rsidRPr="00AA74A4">
        <w:rPr>
          <w:rFonts w:ascii="Arial" w:hAnsi="Arial" w:cs="Arial"/>
        </w:rPr>
        <w:t> (2022) ‘Analysis of the UK Government’s 10-Year Drugs Strategy—a resource for practitioners and policymakers’, </w:t>
      </w:r>
      <w:r w:rsidRPr="00AA74A4">
        <w:rPr>
          <w:rFonts w:ascii="Arial" w:hAnsi="Arial" w:cs="Arial"/>
          <w:i/>
          <w:iCs/>
        </w:rPr>
        <w:t>Journal of Public Health</w:t>
      </w:r>
      <w:r w:rsidRPr="00AA74A4">
        <w:rPr>
          <w:rFonts w:ascii="Arial" w:hAnsi="Arial" w:cs="Arial"/>
        </w:rPr>
        <w:t>, 45(2), pp. 215–224. Available at: </w:t>
      </w:r>
      <w:hyperlink r:id="rId21" w:tgtFrame="_blank" w:history="1">
        <w:r w:rsidRPr="00AA74A4">
          <w:rPr>
            <w:rStyle w:val="Hyperlink"/>
            <w:rFonts w:ascii="Arial" w:hAnsi="Arial" w:cs="Arial"/>
          </w:rPr>
          <w:t>https://doi.org/10.1093/pubmed/fdac114</w:t>
        </w:r>
      </w:hyperlink>
    </w:p>
    <w:p w14:paraId="18AA710E" w14:textId="77777777" w:rsidR="00AA74A4" w:rsidRPr="00AA74A4" w:rsidRDefault="00AA74A4" w:rsidP="00AA74A4">
      <w:pPr>
        <w:spacing w:line="480" w:lineRule="auto"/>
        <w:rPr>
          <w:rFonts w:ascii="Arial" w:hAnsi="Arial" w:cs="Arial"/>
        </w:rPr>
      </w:pPr>
      <w:r w:rsidRPr="00AA74A4">
        <w:rPr>
          <w:rFonts w:ascii="Arial" w:hAnsi="Arial" w:cs="Arial"/>
        </w:rPr>
        <w:t>Jury, K. (2025) </w:t>
      </w:r>
      <w:r w:rsidRPr="00AA74A4">
        <w:rPr>
          <w:rFonts w:ascii="Arial" w:hAnsi="Arial" w:cs="Arial"/>
          <w:i/>
          <w:iCs/>
        </w:rPr>
        <w:t>Reflections after two years of the PSIRF</w:t>
      </w:r>
      <w:r w:rsidRPr="00AA74A4">
        <w:rPr>
          <w:rFonts w:ascii="Arial" w:hAnsi="Arial" w:cs="Arial"/>
        </w:rPr>
        <w:t>. Available at: </w:t>
      </w:r>
      <w:hyperlink r:id="rId22" w:tgtFrame="_blank" w:history="1">
        <w:r w:rsidRPr="00AA74A4">
          <w:rPr>
            <w:rStyle w:val="Hyperlink"/>
            <w:rFonts w:ascii="Arial" w:hAnsi="Arial" w:cs="Arial"/>
          </w:rPr>
          <w:t>https://www.nicheconsult.co.uk/reflections-after-two-years-of-the-psirf/</w:t>
        </w:r>
      </w:hyperlink>
      <w:r w:rsidRPr="00AA74A4">
        <w:rPr>
          <w:rFonts w:ascii="Arial" w:hAnsi="Arial" w:cs="Arial"/>
        </w:rPr>
        <w:t> (Accessed: 11 March 2026).</w:t>
      </w:r>
    </w:p>
    <w:p w14:paraId="5DBFF18A" w14:textId="77777777" w:rsidR="00AA74A4" w:rsidRPr="00AA74A4" w:rsidRDefault="00AA74A4" w:rsidP="00AA74A4">
      <w:pPr>
        <w:spacing w:line="480" w:lineRule="auto"/>
        <w:rPr>
          <w:rFonts w:ascii="Arial" w:hAnsi="Arial" w:cs="Arial"/>
        </w:rPr>
      </w:pPr>
      <w:r w:rsidRPr="00AA74A4">
        <w:rPr>
          <w:rFonts w:ascii="Arial" w:hAnsi="Arial" w:cs="Arial"/>
        </w:rPr>
        <w:t>Khan, D. M. (2025) </w:t>
      </w:r>
      <w:r w:rsidRPr="00AA74A4">
        <w:rPr>
          <w:rFonts w:ascii="Arial" w:hAnsi="Arial" w:cs="Arial"/>
          <w:i/>
          <w:iCs/>
        </w:rPr>
        <w:t>Do no harm?</w:t>
      </w:r>
      <w:r w:rsidRPr="00AA74A4">
        <w:rPr>
          <w:rFonts w:ascii="Arial" w:hAnsi="Arial" w:cs="Arial"/>
        </w:rPr>
        <w:t> Available at: </w:t>
      </w:r>
      <w:hyperlink r:id="rId23" w:tgtFrame="_blank" w:history="1">
        <w:r w:rsidRPr="00AA74A4">
          <w:rPr>
            <w:rStyle w:val="Hyperlink"/>
            <w:rFonts w:ascii="Arial" w:hAnsi="Arial" w:cs="Arial"/>
          </w:rPr>
          <w:t>https://www.thenews.com.pk/amp/1346381-do-no-harm</w:t>
        </w:r>
      </w:hyperlink>
      <w:r w:rsidRPr="00AA74A4">
        <w:rPr>
          <w:rFonts w:ascii="Arial" w:hAnsi="Arial" w:cs="Arial"/>
        </w:rPr>
        <w:t> (Accessed: 11 March 2026).</w:t>
      </w:r>
    </w:p>
    <w:p w14:paraId="27A2119A" w14:textId="77777777" w:rsidR="00AA74A4" w:rsidRPr="00AA74A4" w:rsidRDefault="00AA74A4" w:rsidP="00AA74A4">
      <w:pPr>
        <w:spacing w:line="480" w:lineRule="auto"/>
        <w:rPr>
          <w:rFonts w:ascii="Arial" w:hAnsi="Arial" w:cs="Arial"/>
        </w:rPr>
      </w:pPr>
      <w:r w:rsidRPr="00AA74A4">
        <w:rPr>
          <w:rFonts w:ascii="Arial" w:hAnsi="Arial" w:cs="Arial"/>
        </w:rPr>
        <w:t>NHS Business Services Authority (2025) </w:t>
      </w:r>
      <w:r w:rsidRPr="00AA74A4">
        <w:rPr>
          <w:rFonts w:ascii="Arial" w:hAnsi="Arial" w:cs="Arial"/>
          <w:i/>
          <w:iCs/>
        </w:rPr>
        <w:t>Opioid prescribing comparators dashboard</w:t>
      </w:r>
      <w:r w:rsidRPr="00AA74A4">
        <w:rPr>
          <w:rFonts w:ascii="Arial" w:hAnsi="Arial" w:cs="Arial"/>
        </w:rPr>
        <w:t>. Available at: </w:t>
      </w:r>
      <w:hyperlink r:id="rId24" w:tgtFrame="_blank" w:history="1">
        <w:r w:rsidRPr="00AA74A4">
          <w:rPr>
            <w:rStyle w:val="Hyperlink"/>
            <w:rFonts w:ascii="Arial" w:hAnsi="Arial" w:cs="Arial"/>
          </w:rPr>
          <w:t>https://www.nhsbsa.nhs.uk/access-our-data-products/epact2/dashboards-and-specifications/opioid-prescribing-comparators-dashboard</w:t>
        </w:r>
      </w:hyperlink>
      <w:r w:rsidRPr="00AA74A4">
        <w:rPr>
          <w:rFonts w:ascii="Arial" w:hAnsi="Arial" w:cs="Arial"/>
        </w:rPr>
        <w:t> (Accessed: 11 March 2026).</w:t>
      </w:r>
    </w:p>
    <w:p w14:paraId="0F8A0BF4" w14:textId="77777777" w:rsidR="00AA74A4" w:rsidRPr="00AA74A4" w:rsidRDefault="00AA74A4" w:rsidP="00AA74A4">
      <w:pPr>
        <w:spacing w:line="480" w:lineRule="auto"/>
        <w:rPr>
          <w:rFonts w:ascii="Arial" w:hAnsi="Arial" w:cs="Arial"/>
        </w:rPr>
      </w:pPr>
      <w:r w:rsidRPr="00AA74A4">
        <w:rPr>
          <w:rFonts w:ascii="Arial" w:hAnsi="Arial" w:cs="Arial"/>
        </w:rPr>
        <w:t>NHS England (2015) </w:t>
      </w:r>
      <w:r w:rsidRPr="00AA74A4">
        <w:rPr>
          <w:rFonts w:ascii="Arial" w:hAnsi="Arial" w:cs="Arial"/>
          <w:i/>
          <w:iCs/>
        </w:rPr>
        <w:t xml:space="preserve">NHS </w:t>
      </w:r>
      <w:proofErr w:type="spellStart"/>
      <w:r w:rsidRPr="00AA74A4">
        <w:rPr>
          <w:rFonts w:ascii="Arial" w:hAnsi="Arial" w:cs="Arial"/>
          <w:i/>
          <w:iCs/>
        </w:rPr>
        <w:t>england</w:t>
      </w:r>
      <w:proofErr w:type="spellEnd"/>
      <w:r w:rsidRPr="00AA74A4">
        <w:rPr>
          <w:rFonts w:ascii="Arial" w:hAnsi="Arial" w:cs="Arial"/>
          <w:i/>
          <w:iCs/>
        </w:rPr>
        <w:t xml:space="preserve"> launches new medicines optimisation dashboard</w:t>
      </w:r>
      <w:r w:rsidRPr="00AA74A4">
        <w:rPr>
          <w:rFonts w:ascii="Arial" w:hAnsi="Arial" w:cs="Arial"/>
        </w:rPr>
        <w:t>. Available at: </w:t>
      </w:r>
      <w:hyperlink r:id="rId25" w:tgtFrame="_blank" w:history="1">
        <w:r w:rsidRPr="00AA74A4">
          <w:rPr>
            <w:rStyle w:val="Hyperlink"/>
            <w:rFonts w:ascii="Arial" w:hAnsi="Arial" w:cs="Arial"/>
          </w:rPr>
          <w:t>https://www.england.nhs.uk/2015/05/mo-dashboard/</w:t>
        </w:r>
      </w:hyperlink>
      <w:r w:rsidRPr="00AA74A4">
        <w:rPr>
          <w:rFonts w:ascii="Arial" w:hAnsi="Arial" w:cs="Arial"/>
        </w:rPr>
        <w:t> (Accessed: 11 March 2026).</w:t>
      </w:r>
    </w:p>
    <w:p w14:paraId="3DF93C4C" w14:textId="77777777" w:rsidR="00AA74A4" w:rsidRPr="00AA74A4" w:rsidRDefault="00AA74A4" w:rsidP="00AA74A4">
      <w:pPr>
        <w:spacing w:line="480" w:lineRule="auto"/>
        <w:rPr>
          <w:rFonts w:ascii="Arial" w:hAnsi="Arial" w:cs="Arial"/>
        </w:rPr>
      </w:pPr>
      <w:r w:rsidRPr="00AA74A4">
        <w:rPr>
          <w:rFonts w:ascii="Arial" w:hAnsi="Arial" w:cs="Arial"/>
        </w:rPr>
        <w:t>NHS England (2021) </w:t>
      </w:r>
      <w:r w:rsidRPr="00AA74A4">
        <w:rPr>
          <w:rFonts w:ascii="Arial" w:hAnsi="Arial" w:cs="Arial"/>
          <w:i/>
          <w:iCs/>
        </w:rPr>
        <w:t>Reducing harm from opioids​</w:t>
      </w:r>
      <w:r w:rsidRPr="00AA74A4">
        <w:rPr>
          <w:rFonts w:ascii="Arial" w:hAnsi="Arial" w:cs="Arial"/>
        </w:rPr>
        <w:t>. Available at: </w:t>
      </w:r>
      <w:hyperlink r:id="rId26" w:tgtFrame="_blank" w:history="1">
        <w:r w:rsidRPr="00AA74A4">
          <w:rPr>
            <w:rStyle w:val="Hyperlink"/>
            <w:rFonts w:ascii="Arial" w:hAnsi="Arial" w:cs="Arial"/>
          </w:rPr>
          <w:t>https://thehealthinnovationnetwork.co.uk/case_studies/reducing-harm-from-opioids/</w:t>
        </w:r>
      </w:hyperlink>
      <w:r w:rsidRPr="00AA74A4">
        <w:rPr>
          <w:rFonts w:ascii="Arial" w:hAnsi="Arial" w:cs="Arial"/>
        </w:rPr>
        <w:t> (Accessed: 11 March 2026).</w:t>
      </w:r>
    </w:p>
    <w:p w14:paraId="1D8B1357" w14:textId="77777777" w:rsidR="00AA74A4" w:rsidRPr="00AA74A4" w:rsidRDefault="00AA74A4" w:rsidP="00AA74A4">
      <w:pPr>
        <w:spacing w:line="480" w:lineRule="auto"/>
        <w:rPr>
          <w:rFonts w:ascii="Arial" w:hAnsi="Arial" w:cs="Arial"/>
        </w:rPr>
      </w:pPr>
      <w:r w:rsidRPr="00AA74A4">
        <w:rPr>
          <w:rFonts w:ascii="Arial" w:hAnsi="Arial" w:cs="Arial"/>
        </w:rPr>
        <w:t>Nzinga, J. </w:t>
      </w:r>
      <w:r w:rsidRPr="00AA74A4">
        <w:rPr>
          <w:rFonts w:ascii="Arial" w:hAnsi="Arial" w:cs="Arial"/>
          <w:i/>
          <w:iCs/>
        </w:rPr>
        <w:t>et al.</w:t>
      </w:r>
      <w:r w:rsidRPr="00AA74A4">
        <w:rPr>
          <w:rFonts w:ascii="Arial" w:hAnsi="Arial" w:cs="Arial"/>
        </w:rPr>
        <w:t> (2021) ‘An innovative leadership development initiative to support building everyday resilience in health systems’, </w:t>
      </w:r>
      <w:r w:rsidRPr="00AA74A4">
        <w:rPr>
          <w:rFonts w:ascii="Arial" w:hAnsi="Arial" w:cs="Arial"/>
          <w:i/>
          <w:iCs/>
        </w:rPr>
        <w:t>Health Policy and Planning</w:t>
      </w:r>
      <w:r w:rsidRPr="00AA74A4">
        <w:rPr>
          <w:rFonts w:ascii="Arial" w:hAnsi="Arial" w:cs="Arial"/>
        </w:rPr>
        <w:t>, 36(7), pp. 1023–1035. Available at: </w:t>
      </w:r>
      <w:hyperlink r:id="rId27" w:tgtFrame="_blank" w:history="1">
        <w:r w:rsidRPr="00AA74A4">
          <w:rPr>
            <w:rStyle w:val="Hyperlink"/>
            <w:rFonts w:ascii="Arial" w:hAnsi="Arial" w:cs="Arial"/>
          </w:rPr>
          <w:t>https://doi.org/10.1093/heapol/czab056</w:t>
        </w:r>
      </w:hyperlink>
    </w:p>
    <w:p w14:paraId="7B71C160" w14:textId="77777777" w:rsidR="00AA74A4" w:rsidRPr="00AA74A4" w:rsidRDefault="00AA74A4" w:rsidP="00AA74A4">
      <w:pPr>
        <w:spacing w:line="480" w:lineRule="auto"/>
        <w:rPr>
          <w:rFonts w:ascii="Arial" w:hAnsi="Arial" w:cs="Arial"/>
        </w:rPr>
      </w:pPr>
      <w:r w:rsidRPr="00AA74A4">
        <w:rPr>
          <w:rFonts w:ascii="Arial" w:hAnsi="Arial" w:cs="Arial"/>
        </w:rPr>
        <w:lastRenderedPageBreak/>
        <w:t>Omnicell (2024) </w:t>
      </w:r>
      <w:r w:rsidRPr="00AA74A4">
        <w:rPr>
          <w:rFonts w:ascii="Arial" w:hAnsi="Arial" w:cs="Arial"/>
          <w:i/>
          <w:iCs/>
        </w:rPr>
        <w:t>How medication management systems reduce errors and improve patient safety</w:t>
      </w:r>
      <w:r w:rsidRPr="00AA74A4">
        <w:rPr>
          <w:rFonts w:ascii="Arial" w:hAnsi="Arial" w:cs="Arial"/>
        </w:rPr>
        <w:t>. Available at: </w:t>
      </w:r>
      <w:hyperlink r:id="rId28" w:tgtFrame="_blank" w:history="1">
        <w:r w:rsidRPr="00AA74A4">
          <w:rPr>
            <w:rStyle w:val="Hyperlink"/>
            <w:rFonts w:ascii="Arial" w:hAnsi="Arial" w:cs="Arial"/>
          </w:rPr>
          <w:t>https://www.omnicell.co.uk/resource-library/article/how-medication-management-systems-reduce-errors-and-improve-patient-safety/</w:t>
        </w:r>
      </w:hyperlink>
      <w:r w:rsidRPr="00AA74A4">
        <w:rPr>
          <w:rFonts w:ascii="Arial" w:hAnsi="Arial" w:cs="Arial"/>
        </w:rPr>
        <w:t> (Accessed: 11 March 2026).</w:t>
      </w:r>
    </w:p>
    <w:p w14:paraId="561478BC" w14:textId="77777777" w:rsidR="00AA74A4" w:rsidRPr="00AA74A4" w:rsidRDefault="00AA74A4" w:rsidP="00AA74A4">
      <w:pPr>
        <w:spacing w:line="480" w:lineRule="auto"/>
        <w:rPr>
          <w:rFonts w:ascii="Arial" w:hAnsi="Arial" w:cs="Arial"/>
        </w:rPr>
      </w:pPr>
      <w:r w:rsidRPr="00AA74A4">
        <w:rPr>
          <w:rFonts w:ascii="Arial" w:hAnsi="Arial" w:cs="Arial"/>
        </w:rPr>
        <w:t>Pearson, C., Watson, N. and Witcher, S. (2024) ‘Where next? The conflicts of centralisation, personalisation, and human rights in the reform of social care’, </w:t>
      </w:r>
      <w:r w:rsidRPr="00AA74A4">
        <w:rPr>
          <w:rFonts w:ascii="Arial" w:hAnsi="Arial" w:cs="Arial"/>
          <w:i/>
          <w:iCs/>
        </w:rPr>
        <w:t>Scandinavian Journal of Disability Research</w:t>
      </w:r>
      <w:r w:rsidRPr="00AA74A4">
        <w:rPr>
          <w:rFonts w:ascii="Arial" w:hAnsi="Arial" w:cs="Arial"/>
        </w:rPr>
        <w:t>, 26(1), pp. 244–258. Available at: </w:t>
      </w:r>
      <w:hyperlink r:id="rId29" w:tgtFrame="_blank" w:history="1">
        <w:r w:rsidRPr="00AA74A4">
          <w:rPr>
            <w:rStyle w:val="Hyperlink"/>
            <w:rFonts w:ascii="Arial" w:hAnsi="Arial" w:cs="Arial"/>
          </w:rPr>
          <w:t>https://doi.org/10.16993/sjdr.1116</w:t>
        </w:r>
      </w:hyperlink>
    </w:p>
    <w:p w14:paraId="6A689DAF" w14:textId="77777777" w:rsidR="00AA74A4" w:rsidRPr="00AA74A4" w:rsidRDefault="00AA74A4" w:rsidP="00AA74A4">
      <w:pPr>
        <w:spacing w:line="480" w:lineRule="auto"/>
        <w:rPr>
          <w:rFonts w:ascii="Arial" w:hAnsi="Arial" w:cs="Arial"/>
        </w:rPr>
      </w:pPr>
      <w:r w:rsidRPr="00AA74A4">
        <w:rPr>
          <w:rFonts w:ascii="Arial" w:hAnsi="Arial" w:cs="Arial"/>
        </w:rPr>
        <w:t>Pereira, P., Hill, M. and Jones, B. (2025) </w:t>
      </w:r>
      <w:r w:rsidRPr="00AA74A4">
        <w:rPr>
          <w:rFonts w:ascii="Arial" w:hAnsi="Arial" w:cs="Arial"/>
          <w:i/>
          <w:iCs/>
        </w:rPr>
        <w:t>Dash review: seven considerations for local NHS leaders</w:t>
      </w:r>
      <w:r w:rsidRPr="00AA74A4">
        <w:rPr>
          <w:rFonts w:ascii="Arial" w:hAnsi="Arial" w:cs="Arial"/>
        </w:rPr>
        <w:t>. Available at: </w:t>
      </w:r>
      <w:hyperlink r:id="rId30" w:tgtFrame="_blank" w:history="1">
        <w:r w:rsidRPr="00AA74A4">
          <w:rPr>
            <w:rStyle w:val="Hyperlink"/>
            <w:rFonts w:ascii="Arial" w:hAnsi="Arial" w:cs="Arial"/>
          </w:rPr>
          <w:t>https://www.health.org.uk/features-and-opinion/blogs/dash-review-seven-considerations-for-local-nhs-leaders</w:t>
        </w:r>
      </w:hyperlink>
      <w:r w:rsidRPr="00AA74A4">
        <w:rPr>
          <w:rFonts w:ascii="Arial" w:hAnsi="Arial" w:cs="Arial"/>
        </w:rPr>
        <w:t> (Accessed: 11 March 2026).</w:t>
      </w:r>
    </w:p>
    <w:p w14:paraId="4A76372A" w14:textId="77777777" w:rsidR="00AA74A4" w:rsidRPr="00AA74A4" w:rsidRDefault="00AA74A4" w:rsidP="00AA74A4">
      <w:pPr>
        <w:spacing w:line="480" w:lineRule="auto"/>
        <w:rPr>
          <w:rFonts w:ascii="Arial" w:hAnsi="Arial" w:cs="Arial"/>
        </w:rPr>
      </w:pPr>
      <w:r w:rsidRPr="00AA74A4">
        <w:rPr>
          <w:rFonts w:ascii="Arial" w:hAnsi="Arial" w:cs="Arial"/>
        </w:rPr>
        <w:t>Perez, J. (2021) ‘Leadership in healthcare’, </w:t>
      </w:r>
      <w:r w:rsidRPr="00AA74A4">
        <w:rPr>
          <w:rFonts w:ascii="Arial" w:hAnsi="Arial" w:cs="Arial"/>
          <w:i/>
          <w:iCs/>
        </w:rPr>
        <w:t>Journal of Healthcare Management</w:t>
      </w:r>
      <w:r w:rsidRPr="00AA74A4">
        <w:rPr>
          <w:rFonts w:ascii="Arial" w:hAnsi="Arial" w:cs="Arial"/>
        </w:rPr>
        <w:t>, 66(4), pp. 280–302. Available at: </w:t>
      </w:r>
      <w:hyperlink r:id="rId31" w:tgtFrame="_blank" w:history="1">
        <w:r w:rsidRPr="00AA74A4">
          <w:rPr>
            <w:rStyle w:val="Hyperlink"/>
            <w:rFonts w:ascii="Arial" w:hAnsi="Arial" w:cs="Arial"/>
          </w:rPr>
          <w:t>https://doi.org/10.1097/jhm-d-20-00057</w:t>
        </w:r>
      </w:hyperlink>
    </w:p>
    <w:p w14:paraId="342F1203" w14:textId="77777777" w:rsidR="00AA74A4" w:rsidRPr="00AA74A4" w:rsidRDefault="00AA74A4" w:rsidP="00AA74A4">
      <w:pPr>
        <w:spacing w:line="480" w:lineRule="auto"/>
        <w:rPr>
          <w:rFonts w:ascii="Arial" w:hAnsi="Arial" w:cs="Arial"/>
        </w:rPr>
      </w:pPr>
      <w:r w:rsidRPr="00AA74A4">
        <w:rPr>
          <w:rFonts w:ascii="Arial" w:hAnsi="Arial" w:cs="Arial"/>
        </w:rPr>
        <w:t>Pharmacy Magazine (2022) </w:t>
      </w:r>
      <w:r w:rsidRPr="00AA74A4">
        <w:rPr>
          <w:rFonts w:ascii="Arial" w:hAnsi="Arial" w:cs="Arial"/>
          <w:i/>
          <w:iCs/>
        </w:rPr>
        <w:t>New digital resource will help prescribers reduce harm of opioids</w:t>
      </w:r>
      <w:r w:rsidRPr="00AA74A4">
        <w:rPr>
          <w:rFonts w:ascii="Arial" w:hAnsi="Arial" w:cs="Arial"/>
        </w:rPr>
        <w:t>. Available at: </w:t>
      </w:r>
      <w:hyperlink r:id="rId32" w:tgtFrame="_blank" w:history="1">
        <w:r w:rsidRPr="00AA74A4">
          <w:rPr>
            <w:rStyle w:val="Hyperlink"/>
            <w:rFonts w:ascii="Arial" w:hAnsi="Arial" w:cs="Arial"/>
          </w:rPr>
          <w:t>https://www.pharmacymagazine.co.uk/news/852566-new-digital-resource-will-reduce-opioid-harm</w:t>
        </w:r>
      </w:hyperlink>
      <w:r w:rsidRPr="00AA74A4">
        <w:rPr>
          <w:rFonts w:ascii="Arial" w:hAnsi="Arial" w:cs="Arial"/>
        </w:rPr>
        <w:t> (Accessed: 11 March 2026).</w:t>
      </w:r>
    </w:p>
    <w:p w14:paraId="0CD2C912" w14:textId="77777777" w:rsidR="00AA74A4" w:rsidRPr="00AA74A4" w:rsidRDefault="00AA74A4" w:rsidP="00AA74A4">
      <w:pPr>
        <w:spacing w:line="480" w:lineRule="auto"/>
        <w:rPr>
          <w:rFonts w:ascii="Arial" w:hAnsi="Arial" w:cs="Arial"/>
        </w:rPr>
      </w:pPr>
      <w:r w:rsidRPr="00AA74A4">
        <w:rPr>
          <w:rFonts w:ascii="Arial" w:hAnsi="Arial" w:cs="Arial"/>
        </w:rPr>
        <w:t>Singh, P. </w:t>
      </w:r>
      <w:r w:rsidRPr="00AA74A4">
        <w:rPr>
          <w:rFonts w:ascii="Arial" w:hAnsi="Arial" w:cs="Arial"/>
          <w:i/>
          <w:iCs/>
        </w:rPr>
        <w:t>et al.</w:t>
      </w:r>
      <w:r w:rsidRPr="00AA74A4">
        <w:rPr>
          <w:rFonts w:ascii="Arial" w:hAnsi="Arial" w:cs="Arial"/>
        </w:rPr>
        <w:t> (2024) ‘Navigating healthcare leadership: theories, challenges, and practical insights for the future’, </w:t>
      </w:r>
      <w:r w:rsidRPr="00AA74A4">
        <w:rPr>
          <w:rFonts w:ascii="Arial" w:hAnsi="Arial" w:cs="Arial"/>
          <w:i/>
          <w:iCs/>
        </w:rPr>
        <w:t>Journal of Postgraduate Medicine</w:t>
      </w:r>
      <w:r w:rsidRPr="00AA74A4">
        <w:rPr>
          <w:rFonts w:ascii="Arial" w:hAnsi="Arial" w:cs="Arial"/>
        </w:rPr>
        <w:t>, 70(4), pp. 232–241. Available at: </w:t>
      </w:r>
      <w:hyperlink r:id="rId33" w:tgtFrame="_blank" w:history="1">
        <w:r w:rsidRPr="00AA74A4">
          <w:rPr>
            <w:rStyle w:val="Hyperlink"/>
            <w:rFonts w:ascii="Arial" w:hAnsi="Arial" w:cs="Arial"/>
          </w:rPr>
          <w:t>https://doi.org/10.4103/jpgm.jpgm_533_24</w:t>
        </w:r>
      </w:hyperlink>
    </w:p>
    <w:p w14:paraId="0D787210" w14:textId="77777777" w:rsidR="00AA74A4" w:rsidRPr="00AA74A4" w:rsidRDefault="00AA74A4" w:rsidP="00AA74A4">
      <w:pPr>
        <w:spacing w:line="480" w:lineRule="auto"/>
        <w:rPr>
          <w:rFonts w:ascii="Arial" w:hAnsi="Arial" w:cs="Arial"/>
        </w:rPr>
      </w:pPr>
      <w:proofErr w:type="spellStart"/>
      <w:r w:rsidRPr="00AA74A4">
        <w:rPr>
          <w:rFonts w:ascii="Arial" w:hAnsi="Arial" w:cs="Arial"/>
        </w:rPr>
        <w:t>Sreeramareddy</w:t>
      </w:r>
      <w:proofErr w:type="spellEnd"/>
      <w:r w:rsidRPr="00AA74A4">
        <w:rPr>
          <w:rFonts w:ascii="Arial" w:hAnsi="Arial" w:cs="Arial"/>
        </w:rPr>
        <w:t>, C. T. and Sathyanarayana, T. (2019) ‘Decentralised versus centralised governance of health services’, </w:t>
      </w:r>
      <w:r w:rsidRPr="00AA74A4">
        <w:rPr>
          <w:rFonts w:ascii="Arial" w:hAnsi="Arial" w:cs="Arial"/>
          <w:i/>
          <w:iCs/>
        </w:rPr>
        <w:t>Cochrane Database of Systematic Reviews</w:t>
      </w:r>
      <w:r w:rsidRPr="00AA74A4">
        <w:rPr>
          <w:rFonts w:ascii="Arial" w:hAnsi="Arial" w:cs="Arial"/>
        </w:rPr>
        <w:t>, 9(19 September). Available at: </w:t>
      </w:r>
      <w:hyperlink r:id="rId34" w:tgtFrame="_blank" w:history="1">
        <w:r w:rsidRPr="00AA74A4">
          <w:rPr>
            <w:rStyle w:val="Hyperlink"/>
            <w:rFonts w:ascii="Arial" w:hAnsi="Arial" w:cs="Arial"/>
          </w:rPr>
          <w:t>https://doi.org/10.1002/14651858.cd010830.pub2</w:t>
        </w:r>
      </w:hyperlink>
    </w:p>
    <w:p w14:paraId="60BC7DF7" w14:textId="77777777" w:rsidR="00AA74A4" w:rsidRPr="00AA74A4" w:rsidRDefault="00AA74A4" w:rsidP="00AA74A4">
      <w:pPr>
        <w:spacing w:line="480" w:lineRule="auto"/>
        <w:rPr>
          <w:rFonts w:ascii="Arial" w:hAnsi="Arial" w:cs="Arial"/>
        </w:rPr>
      </w:pPr>
      <w:r w:rsidRPr="00AA74A4">
        <w:rPr>
          <w:rFonts w:ascii="Arial" w:hAnsi="Arial" w:cs="Arial"/>
        </w:rPr>
        <w:t>UK Health Security Agency (2021) </w:t>
      </w:r>
      <w:r w:rsidRPr="00AA74A4">
        <w:rPr>
          <w:rFonts w:ascii="Arial" w:hAnsi="Arial" w:cs="Arial"/>
          <w:i/>
          <w:iCs/>
        </w:rPr>
        <w:t>UKHSA national patient safety alerts</w:t>
      </w:r>
      <w:r w:rsidRPr="00AA74A4">
        <w:rPr>
          <w:rFonts w:ascii="Arial" w:hAnsi="Arial" w:cs="Arial"/>
        </w:rPr>
        <w:t>. Available at: </w:t>
      </w:r>
      <w:hyperlink r:id="rId35" w:tgtFrame="_blank" w:history="1">
        <w:r w:rsidRPr="00AA74A4">
          <w:rPr>
            <w:rStyle w:val="Hyperlink"/>
            <w:rFonts w:ascii="Arial" w:hAnsi="Arial" w:cs="Arial"/>
          </w:rPr>
          <w:t>https://www.gov.uk/guidance/ukhsa-national-patient-safety-alerts</w:t>
        </w:r>
      </w:hyperlink>
      <w:r w:rsidRPr="00AA74A4">
        <w:rPr>
          <w:rFonts w:ascii="Arial" w:hAnsi="Arial" w:cs="Arial"/>
        </w:rPr>
        <w:t> (Accessed: 11 March 2026).</w:t>
      </w:r>
    </w:p>
    <w:p w14:paraId="4F4EC175" w14:textId="130B7299" w:rsidR="00AA74A4" w:rsidRPr="00AA74A4" w:rsidRDefault="00AA74A4" w:rsidP="00AA74A4">
      <w:pPr>
        <w:spacing w:line="480" w:lineRule="auto"/>
        <w:rPr>
          <w:rFonts w:ascii="Arial" w:hAnsi="Arial" w:cs="Arial"/>
        </w:rPr>
      </w:pPr>
      <w:proofErr w:type="spellStart"/>
      <w:r w:rsidRPr="00AA74A4">
        <w:rPr>
          <w:rFonts w:ascii="Arial" w:hAnsi="Arial" w:cs="Arial"/>
        </w:rPr>
        <w:lastRenderedPageBreak/>
        <w:t>Ystaas</w:t>
      </w:r>
      <w:proofErr w:type="spellEnd"/>
      <w:r w:rsidRPr="00AA74A4">
        <w:rPr>
          <w:rFonts w:ascii="Arial" w:hAnsi="Arial" w:cs="Arial"/>
        </w:rPr>
        <w:t>, L. M. K. </w:t>
      </w:r>
      <w:r w:rsidRPr="00AA74A4">
        <w:rPr>
          <w:rFonts w:ascii="Arial" w:hAnsi="Arial" w:cs="Arial"/>
          <w:i/>
          <w:iCs/>
        </w:rPr>
        <w:t>et al.</w:t>
      </w:r>
      <w:r w:rsidRPr="00AA74A4">
        <w:rPr>
          <w:rFonts w:ascii="Arial" w:hAnsi="Arial" w:cs="Arial"/>
        </w:rPr>
        <w:t> (2023) ‘The impact of transformational leadership in the nursing work environment and patients’ outcomes: a systematic review’, </w:t>
      </w:r>
      <w:r w:rsidRPr="00AA74A4">
        <w:rPr>
          <w:rFonts w:ascii="Arial" w:hAnsi="Arial" w:cs="Arial"/>
          <w:i/>
          <w:iCs/>
        </w:rPr>
        <w:t>Nursing Reports</w:t>
      </w:r>
      <w:r w:rsidRPr="00AA74A4">
        <w:rPr>
          <w:rFonts w:ascii="Arial" w:hAnsi="Arial" w:cs="Arial"/>
        </w:rPr>
        <w:t>, 13(3), pp. 1271–1290. Available at: </w:t>
      </w:r>
      <w:hyperlink r:id="rId36" w:tgtFrame="_blank" w:history="1">
        <w:r w:rsidRPr="00AA74A4">
          <w:rPr>
            <w:rStyle w:val="Hyperlink"/>
            <w:rFonts w:ascii="Arial" w:hAnsi="Arial" w:cs="Arial"/>
          </w:rPr>
          <w:t>https://doi.org/10.3390/nursrep13030108</w:t>
        </w:r>
      </w:hyperlink>
    </w:p>
    <w:sectPr w:rsidR="00AA74A4" w:rsidRPr="00AA74A4" w:rsidSect="00DD2F70">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BEE40A" w14:textId="77777777" w:rsidR="006005EB" w:rsidRDefault="006005EB" w:rsidP="00AA74A4">
      <w:pPr>
        <w:spacing w:after="0" w:line="240" w:lineRule="auto"/>
      </w:pPr>
      <w:r>
        <w:separator/>
      </w:r>
    </w:p>
  </w:endnote>
  <w:endnote w:type="continuationSeparator" w:id="0">
    <w:p w14:paraId="7F84465C" w14:textId="77777777" w:rsidR="006005EB" w:rsidRDefault="006005EB" w:rsidP="00AA74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35716" w14:textId="77777777" w:rsidR="006005EB" w:rsidRDefault="006005EB" w:rsidP="00AA74A4">
      <w:pPr>
        <w:spacing w:after="0" w:line="240" w:lineRule="auto"/>
      </w:pPr>
      <w:r>
        <w:separator/>
      </w:r>
    </w:p>
  </w:footnote>
  <w:footnote w:type="continuationSeparator" w:id="0">
    <w:p w14:paraId="7E1BA998" w14:textId="77777777" w:rsidR="006005EB" w:rsidRDefault="006005EB" w:rsidP="00AA74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9904631"/>
      <w:docPartObj>
        <w:docPartGallery w:val="Page Numbers (Top of Page)"/>
        <w:docPartUnique/>
      </w:docPartObj>
    </w:sdtPr>
    <w:sdtContent>
      <w:p w14:paraId="08B89CD3" w14:textId="1425E44E" w:rsidR="00AA74A4" w:rsidRDefault="00AA74A4">
        <w:pPr>
          <w:pStyle w:val="Header"/>
          <w:jc w:val="right"/>
        </w:pPr>
        <w:r>
          <w:fldChar w:fldCharType="begin"/>
        </w:r>
        <w:r>
          <w:instrText>PAGE   \* MERGEFORMAT</w:instrText>
        </w:r>
        <w:r>
          <w:fldChar w:fldCharType="separate"/>
        </w:r>
        <w:r>
          <w:t>2</w:t>
        </w:r>
        <w:r>
          <w:fldChar w:fldCharType="end"/>
        </w:r>
      </w:p>
    </w:sdtContent>
  </w:sdt>
  <w:p w14:paraId="66FF9797" w14:textId="77777777" w:rsidR="00AA74A4" w:rsidRDefault="00AA74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FF"/>
    <w:rsid w:val="000506C5"/>
    <w:rsid w:val="00057CF6"/>
    <w:rsid w:val="00065FB9"/>
    <w:rsid w:val="000901FF"/>
    <w:rsid w:val="00097E81"/>
    <w:rsid w:val="000C4195"/>
    <w:rsid w:val="000E5233"/>
    <w:rsid w:val="00100EAA"/>
    <w:rsid w:val="001032ED"/>
    <w:rsid w:val="00136078"/>
    <w:rsid w:val="00144BA9"/>
    <w:rsid w:val="001F14E4"/>
    <w:rsid w:val="00235D76"/>
    <w:rsid w:val="0024298A"/>
    <w:rsid w:val="002E1C06"/>
    <w:rsid w:val="00306AF6"/>
    <w:rsid w:val="00327173"/>
    <w:rsid w:val="00366532"/>
    <w:rsid w:val="0036656C"/>
    <w:rsid w:val="003A6CA2"/>
    <w:rsid w:val="00436625"/>
    <w:rsid w:val="00452070"/>
    <w:rsid w:val="00462BE8"/>
    <w:rsid w:val="004C6289"/>
    <w:rsid w:val="004E407F"/>
    <w:rsid w:val="005012A8"/>
    <w:rsid w:val="005804C0"/>
    <w:rsid w:val="0059694C"/>
    <w:rsid w:val="005F7166"/>
    <w:rsid w:val="006005EB"/>
    <w:rsid w:val="00690EB4"/>
    <w:rsid w:val="006951B1"/>
    <w:rsid w:val="006B41E6"/>
    <w:rsid w:val="006D1923"/>
    <w:rsid w:val="00700BF2"/>
    <w:rsid w:val="0070647D"/>
    <w:rsid w:val="007321E0"/>
    <w:rsid w:val="007C0C28"/>
    <w:rsid w:val="00841AD1"/>
    <w:rsid w:val="00847F7E"/>
    <w:rsid w:val="008905E7"/>
    <w:rsid w:val="008E4EA2"/>
    <w:rsid w:val="009A6EED"/>
    <w:rsid w:val="009D0174"/>
    <w:rsid w:val="009D63AE"/>
    <w:rsid w:val="009E697A"/>
    <w:rsid w:val="00A2390C"/>
    <w:rsid w:val="00A71556"/>
    <w:rsid w:val="00A94FCC"/>
    <w:rsid w:val="00AA1DD7"/>
    <w:rsid w:val="00AA49DC"/>
    <w:rsid w:val="00AA74A4"/>
    <w:rsid w:val="00AC3467"/>
    <w:rsid w:val="00B02418"/>
    <w:rsid w:val="00B133A4"/>
    <w:rsid w:val="00B25E8D"/>
    <w:rsid w:val="00B35C59"/>
    <w:rsid w:val="00B41DB1"/>
    <w:rsid w:val="00B659D7"/>
    <w:rsid w:val="00B72E13"/>
    <w:rsid w:val="00B9742E"/>
    <w:rsid w:val="00BB2124"/>
    <w:rsid w:val="00BD0020"/>
    <w:rsid w:val="00C02588"/>
    <w:rsid w:val="00C04D87"/>
    <w:rsid w:val="00C44096"/>
    <w:rsid w:val="00C8359D"/>
    <w:rsid w:val="00CD193B"/>
    <w:rsid w:val="00CF7525"/>
    <w:rsid w:val="00CF7582"/>
    <w:rsid w:val="00D379A5"/>
    <w:rsid w:val="00D73F71"/>
    <w:rsid w:val="00D91FB9"/>
    <w:rsid w:val="00D951F5"/>
    <w:rsid w:val="00DB4026"/>
    <w:rsid w:val="00DC238C"/>
    <w:rsid w:val="00DD2F70"/>
    <w:rsid w:val="00E10B92"/>
    <w:rsid w:val="00E90EA3"/>
    <w:rsid w:val="00EB54F3"/>
    <w:rsid w:val="00EE7BCB"/>
    <w:rsid w:val="00EF4021"/>
    <w:rsid w:val="00F06486"/>
    <w:rsid w:val="00F31875"/>
    <w:rsid w:val="00F33FAC"/>
    <w:rsid w:val="00F5507B"/>
    <w:rsid w:val="00F678FF"/>
    <w:rsid w:val="00F72C85"/>
    <w:rsid w:val="00F857BE"/>
    <w:rsid w:val="00FB26EE"/>
    <w:rsid w:val="00FB35FA"/>
    <w:rsid w:val="00FE6C1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58637"/>
  <w15:chartTrackingRefBased/>
  <w15:docId w15:val="{0B880E02-8403-45F9-AA7A-12CA9FFC4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78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78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78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78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78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78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78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78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78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8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78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78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78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78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78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78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78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78FF"/>
    <w:rPr>
      <w:rFonts w:eastAsiaTheme="majorEastAsia" w:cstheme="majorBidi"/>
      <w:color w:val="272727" w:themeColor="text1" w:themeTint="D8"/>
    </w:rPr>
  </w:style>
  <w:style w:type="paragraph" w:styleId="Title">
    <w:name w:val="Title"/>
    <w:basedOn w:val="Normal"/>
    <w:next w:val="Normal"/>
    <w:link w:val="TitleChar"/>
    <w:uiPriority w:val="10"/>
    <w:qFormat/>
    <w:rsid w:val="00F678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78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78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78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78FF"/>
    <w:pPr>
      <w:spacing w:before="160"/>
      <w:jc w:val="center"/>
    </w:pPr>
    <w:rPr>
      <w:i/>
      <w:iCs/>
      <w:color w:val="404040" w:themeColor="text1" w:themeTint="BF"/>
    </w:rPr>
  </w:style>
  <w:style w:type="character" w:customStyle="1" w:styleId="QuoteChar">
    <w:name w:val="Quote Char"/>
    <w:basedOn w:val="DefaultParagraphFont"/>
    <w:link w:val="Quote"/>
    <w:uiPriority w:val="29"/>
    <w:rsid w:val="00F678FF"/>
    <w:rPr>
      <w:i/>
      <w:iCs/>
      <w:color w:val="404040" w:themeColor="text1" w:themeTint="BF"/>
    </w:rPr>
  </w:style>
  <w:style w:type="paragraph" w:styleId="ListParagraph">
    <w:name w:val="List Paragraph"/>
    <w:basedOn w:val="Normal"/>
    <w:uiPriority w:val="34"/>
    <w:qFormat/>
    <w:rsid w:val="00F678FF"/>
    <w:pPr>
      <w:ind w:left="720"/>
      <w:contextualSpacing/>
    </w:pPr>
  </w:style>
  <w:style w:type="character" w:styleId="IntenseEmphasis">
    <w:name w:val="Intense Emphasis"/>
    <w:basedOn w:val="DefaultParagraphFont"/>
    <w:uiPriority w:val="21"/>
    <w:qFormat/>
    <w:rsid w:val="00F678FF"/>
    <w:rPr>
      <w:i/>
      <w:iCs/>
      <w:color w:val="0F4761" w:themeColor="accent1" w:themeShade="BF"/>
    </w:rPr>
  </w:style>
  <w:style w:type="paragraph" w:styleId="IntenseQuote">
    <w:name w:val="Intense Quote"/>
    <w:basedOn w:val="Normal"/>
    <w:next w:val="Normal"/>
    <w:link w:val="IntenseQuoteChar"/>
    <w:uiPriority w:val="30"/>
    <w:qFormat/>
    <w:rsid w:val="00F678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78FF"/>
    <w:rPr>
      <w:i/>
      <w:iCs/>
      <w:color w:val="0F4761" w:themeColor="accent1" w:themeShade="BF"/>
    </w:rPr>
  </w:style>
  <w:style w:type="character" w:styleId="IntenseReference">
    <w:name w:val="Intense Reference"/>
    <w:basedOn w:val="DefaultParagraphFont"/>
    <w:uiPriority w:val="32"/>
    <w:qFormat/>
    <w:rsid w:val="00F678FF"/>
    <w:rPr>
      <w:b/>
      <w:bCs/>
      <w:smallCaps/>
      <w:color w:val="0F4761" w:themeColor="accent1" w:themeShade="BF"/>
      <w:spacing w:val="5"/>
    </w:rPr>
  </w:style>
  <w:style w:type="character" w:styleId="Hyperlink">
    <w:name w:val="Hyperlink"/>
    <w:basedOn w:val="DefaultParagraphFont"/>
    <w:uiPriority w:val="99"/>
    <w:unhideWhenUsed/>
    <w:rsid w:val="00AA74A4"/>
    <w:rPr>
      <w:color w:val="467886" w:themeColor="hyperlink"/>
      <w:u w:val="single"/>
    </w:rPr>
  </w:style>
  <w:style w:type="character" w:styleId="UnresolvedMention">
    <w:name w:val="Unresolved Mention"/>
    <w:basedOn w:val="DefaultParagraphFont"/>
    <w:uiPriority w:val="99"/>
    <w:semiHidden/>
    <w:unhideWhenUsed/>
    <w:rsid w:val="00AA74A4"/>
    <w:rPr>
      <w:color w:val="605E5C"/>
      <w:shd w:val="clear" w:color="auto" w:fill="E1DFDD"/>
    </w:rPr>
  </w:style>
  <w:style w:type="paragraph" w:styleId="Header">
    <w:name w:val="header"/>
    <w:basedOn w:val="Normal"/>
    <w:link w:val="HeaderChar"/>
    <w:uiPriority w:val="99"/>
    <w:unhideWhenUsed/>
    <w:rsid w:val="00AA74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4A4"/>
  </w:style>
  <w:style w:type="paragraph" w:styleId="Footer">
    <w:name w:val="footer"/>
    <w:basedOn w:val="Normal"/>
    <w:link w:val="FooterChar"/>
    <w:uiPriority w:val="99"/>
    <w:unhideWhenUsed/>
    <w:rsid w:val="00AA74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4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ohealthobservatory.who.int/monitors/health-systems-monitor/countries-hspm/section-detail/hspm-united-kingdom-2022/organization-and-governance/decentralization-and-centralization/" TargetMode="External"/><Relationship Id="rId18" Type="http://schemas.openxmlformats.org/officeDocument/2006/relationships/hyperlink" Target="https://www.hqsc.govt.nz/our-work/system-safety/reducing-harm/medicines/projects/safe-use-of-opioids/" TargetMode="External"/><Relationship Id="rId26" Type="http://schemas.openxmlformats.org/officeDocument/2006/relationships/hyperlink" Target="https://thehealthinnovationnetwork.co.uk/case_studies/reducing-harm-from-opioids/" TargetMode="External"/><Relationship Id="rId39" Type="http://schemas.openxmlformats.org/officeDocument/2006/relationships/theme" Target="theme/theme1.xml"/><Relationship Id="rId21" Type="http://schemas.openxmlformats.org/officeDocument/2006/relationships/hyperlink" Target="https://doi.org/10.1093/pubmed/fdac114" TargetMode="External"/><Relationship Id="rId34" Type="http://schemas.openxmlformats.org/officeDocument/2006/relationships/hyperlink" Target="https://doi.org/10.1002/14651858.cd010830.pub2" TargetMode="External"/><Relationship Id="rId7" Type="http://schemas.openxmlformats.org/officeDocument/2006/relationships/hyperlink" Target="https://eurohealthobservatory.who.int/publications/i/united-kingdom-health-system-review-2022" TargetMode="External"/><Relationship Id="rId12" Type="http://schemas.openxmlformats.org/officeDocument/2006/relationships/hyperlink" Target="https://doi.org/10.1097/hmr.0000000000000385" TargetMode="External"/><Relationship Id="rId17" Type="http://schemas.openxmlformats.org/officeDocument/2006/relationships/hyperlink" Target="https://healthinnovationeast.co.uk/impact-story/improving-patient-safety/" TargetMode="External"/><Relationship Id="rId25" Type="http://schemas.openxmlformats.org/officeDocument/2006/relationships/hyperlink" Target="https://www.england.nhs.uk/2015/05/mo-dashboard/" TargetMode="External"/><Relationship Id="rId33" Type="http://schemas.openxmlformats.org/officeDocument/2006/relationships/hyperlink" Target="https://doi.org/10.4103/jpgm.jpgm_533_24"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3310/zbar9152" TargetMode="External"/><Relationship Id="rId20" Type="http://schemas.openxmlformats.org/officeDocument/2006/relationships/hyperlink" Target="https://www.hssib.org.uk/about-us/who-we-are/" TargetMode="External"/><Relationship Id="rId29" Type="http://schemas.openxmlformats.org/officeDocument/2006/relationships/hyperlink" Target="https://doi.org/10.16993/sjdr.1116" TargetMode="External"/><Relationship Id="rId1" Type="http://schemas.openxmlformats.org/officeDocument/2006/relationships/styles" Target="styles.xml"/><Relationship Id="rId6" Type="http://schemas.openxmlformats.org/officeDocument/2006/relationships/hyperlink" Target="https://doi.org/10.2147/jhl.s496266" TargetMode="External"/><Relationship Id="rId11" Type="http://schemas.openxmlformats.org/officeDocument/2006/relationships/hyperlink" Target="https://www.cqc.org.uk/publications/controlled-drugs/2024/issues?utm_source=hs_email&amp;amp;utm_medium=email&amp;amp;_hsenc=p2ANqtz-81IKRzC3O3HbAUo2LbgQLrCWXDZEvLlAQ3RWBZf7ZsDcdX30IRvWuJlk9Z4ziCLoGs8bqF" TargetMode="External"/><Relationship Id="rId24" Type="http://schemas.openxmlformats.org/officeDocument/2006/relationships/hyperlink" Target="https://www.nhsbsa.nhs.uk/access-our-data-products/epact2/dashboards-and-specifications/opioid-prescribing-comparators-dashboard" TargetMode="External"/><Relationship Id="rId32" Type="http://schemas.openxmlformats.org/officeDocument/2006/relationships/hyperlink" Target="https://www.pharmacymagazine.co.uk/news/852566-new-digital-resource-will-reduce-opioid-harm" TargetMode="External"/><Relationship Id="rId37"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bd.com/en-uk/about-bd/news-and-media/news/2023/09-27-2022" TargetMode="External"/><Relationship Id="rId23" Type="http://schemas.openxmlformats.org/officeDocument/2006/relationships/hyperlink" Target="https://www.thenews.com.pk/amp/1346381-do-no-harm" TargetMode="External"/><Relationship Id="rId28" Type="http://schemas.openxmlformats.org/officeDocument/2006/relationships/hyperlink" Target="https://www.omnicell.co.uk/resource-library/article/how-medication-management-systems-reduce-errors-and-improve-patient-safety/" TargetMode="External"/><Relationship Id="rId36" Type="http://schemas.openxmlformats.org/officeDocument/2006/relationships/hyperlink" Target="https://doi.org/10.3390/nursrep13030108" TargetMode="External"/><Relationship Id="rId10" Type="http://schemas.openxmlformats.org/officeDocument/2006/relationships/hyperlink" Target="https://doi.org/10.1136/bmjqs-2023-016675" TargetMode="External"/><Relationship Id="rId19" Type="http://schemas.openxmlformats.org/officeDocument/2006/relationships/hyperlink" Target="https://www.hssib.org.uk/patient-safety-investigations/unintentional-overdose-of-morphine-sulfate-oral-solution/investigation-report/" TargetMode="External"/><Relationship Id="rId31" Type="http://schemas.openxmlformats.org/officeDocument/2006/relationships/hyperlink" Target="https://doi.org/10.1097/jhm-d-20-00057" TargetMode="External"/><Relationship Id="rId4" Type="http://schemas.openxmlformats.org/officeDocument/2006/relationships/footnotes" Target="footnotes.xml"/><Relationship Id="rId9" Type="http://schemas.openxmlformats.org/officeDocument/2006/relationships/hyperlink" Target="https://doi.org/10.1016/j.socscimed.2024.116801" TargetMode="External"/><Relationship Id="rId14" Type="http://schemas.openxmlformats.org/officeDocument/2006/relationships/hyperlink" Target="https://questions-statements.parliament.uk/written-questions/detail/2022-06-10/15784" TargetMode="External"/><Relationship Id="rId22" Type="http://schemas.openxmlformats.org/officeDocument/2006/relationships/hyperlink" Target="https://www.nicheconsult.co.uk/reflections-after-two-years-of-the-psirf/" TargetMode="External"/><Relationship Id="rId27" Type="http://schemas.openxmlformats.org/officeDocument/2006/relationships/hyperlink" Target="https://doi.org/10.1093/heapol/czab056" TargetMode="External"/><Relationship Id="rId30" Type="http://schemas.openxmlformats.org/officeDocument/2006/relationships/hyperlink" Target="https://www.health.org.uk/features-and-opinion/blogs/dash-review-seven-considerations-for-local-nhs-leaders" TargetMode="External"/><Relationship Id="rId35" Type="http://schemas.openxmlformats.org/officeDocument/2006/relationships/hyperlink" Target="https://www.gov.uk/guidance/ukhsa-national-patient-safety-alerts" TargetMode="External"/><Relationship Id="rId8" Type="http://schemas.openxmlformats.org/officeDocument/2006/relationships/hyperlink" Target="https://doi.org/10.1016/j.jdent.2024.105501"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23</Pages>
  <Words>6092</Words>
  <Characters>40823</Characters>
  <Application>Microsoft Office Word</Application>
  <DocSecurity>0</DocSecurity>
  <Lines>591</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dc:creator>
  <cp:keywords/>
  <dc:description/>
  <cp:lastModifiedBy>Lorine Onyemhen Aikpaojie (2532537)</cp:lastModifiedBy>
  <cp:revision>2</cp:revision>
  <dcterms:created xsi:type="dcterms:W3CDTF">2026-04-18T06:49:00Z</dcterms:created>
  <dcterms:modified xsi:type="dcterms:W3CDTF">2026-04-18T06:49:00Z</dcterms:modified>
</cp:coreProperties>
</file>