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C2003" w14:textId="77777777" w:rsidR="00802E4F" w:rsidRDefault="00802E4F"/>
    <w:p w14:paraId="44950774" w14:textId="77777777" w:rsidR="000D040E" w:rsidRDefault="000D040E"/>
    <w:p w14:paraId="244BCA6E" w14:textId="77777777" w:rsidR="000D040E" w:rsidRDefault="000D040E"/>
    <w:p w14:paraId="0AA196E9" w14:textId="77777777" w:rsidR="000D040E" w:rsidRDefault="000D040E"/>
    <w:p w14:paraId="74271DEA" w14:textId="77777777" w:rsidR="00771F28" w:rsidRDefault="00771F28">
      <w:pPr>
        <w:spacing w:before="0" w:after="160"/>
      </w:pPr>
    </w:p>
    <w:tbl>
      <w:tblPr>
        <w:tblpPr w:leftFromText="180" w:rightFromText="180" w:horzAnchor="margin" w:tblpXSpec="center" w:tblpY="1245"/>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771F28" w:rsidRPr="000D040E" w14:paraId="63E00775" w14:textId="77777777" w:rsidTr="00CA1F33">
        <w:tc>
          <w:tcPr>
            <w:tcW w:w="2093" w:type="dxa"/>
          </w:tcPr>
          <w:p w14:paraId="1BB39FD5"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Student name:</w:t>
            </w:r>
          </w:p>
        </w:tc>
        <w:tc>
          <w:tcPr>
            <w:tcW w:w="3322" w:type="dxa"/>
          </w:tcPr>
          <w:p w14:paraId="55077197" w14:textId="77777777" w:rsidR="00771F28" w:rsidRPr="000D040E" w:rsidRDefault="00771F28" w:rsidP="00CA1F33">
            <w:pPr>
              <w:spacing w:before="120" w:after="120" w:line="240" w:lineRule="auto"/>
              <w:rPr>
                <w:rFonts w:cs="Arial"/>
                <w:b/>
                <w:szCs w:val="22"/>
                <w:lang w:eastAsia="en-GB"/>
              </w:rPr>
            </w:pPr>
            <w:proofErr w:type="spellStart"/>
            <w:r w:rsidRPr="00771F28">
              <w:rPr>
                <w:rFonts w:cs="Arial"/>
                <w:b/>
                <w:bCs/>
                <w:szCs w:val="22"/>
                <w:lang w:eastAsia="en-GB"/>
              </w:rPr>
              <w:t>Alinaqi</w:t>
            </w:r>
            <w:proofErr w:type="spellEnd"/>
            <w:r w:rsidRPr="00771F28">
              <w:rPr>
                <w:rFonts w:cs="Arial"/>
                <w:b/>
                <w:bCs/>
                <w:szCs w:val="22"/>
                <w:lang w:eastAsia="en-GB"/>
              </w:rPr>
              <w:t xml:space="preserve"> </w:t>
            </w:r>
            <w:proofErr w:type="spellStart"/>
            <w:r w:rsidRPr="00771F28">
              <w:rPr>
                <w:rFonts w:cs="Arial"/>
                <w:b/>
                <w:bCs/>
                <w:szCs w:val="22"/>
                <w:lang w:eastAsia="en-GB"/>
              </w:rPr>
              <w:t>Bukht</w:t>
            </w:r>
            <w:proofErr w:type="spellEnd"/>
            <w:r w:rsidRPr="00771F28">
              <w:rPr>
                <w:rFonts w:cs="Arial"/>
                <w:b/>
                <w:bCs/>
                <w:szCs w:val="22"/>
                <w:lang w:eastAsia="en-GB"/>
              </w:rPr>
              <w:t xml:space="preserve"> Mirza</w:t>
            </w:r>
          </w:p>
        </w:tc>
        <w:tc>
          <w:tcPr>
            <w:tcW w:w="2410" w:type="dxa"/>
            <w:shd w:val="clear" w:color="auto" w:fill="D9D9D9"/>
          </w:tcPr>
          <w:p w14:paraId="199D8513"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Student ID number:</w:t>
            </w:r>
          </w:p>
        </w:tc>
        <w:tc>
          <w:tcPr>
            <w:tcW w:w="2126" w:type="dxa"/>
          </w:tcPr>
          <w:p w14:paraId="4B06EDDD" w14:textId="77777777" w:rsidR="00771F28" w:rsidRPr="000D040E" w:rsidRDefault="00771F28" w:rsidP="00CA1F33">
            <w:pPr>
              <w:spacing w:before="120" w:after="120" w:line="240" w:lineRule="auto"/>
              <w:rPr>
                <w:rFonts w:cs="Arial"/>
                <w:b/>
                <w:szCs w:val="22"/>
                <w:lang w:eastAsia="en-GB"/>
              </w:rPr>
            </w:pPr>
            <w:r w:rsidRPr="00771F28">
              <w:rPr>
                <w:rFonts w:cs="Arial"/>
                <w:b/>
                <w:bCs/>
                <w:szCs w:val="22"/>
                <w:lang w:eastAsia="en-GB"/>
              </w:rPr>
              <w:t>2530128</w:t>
            </w:r>
          </w:p>
        </w:tc>
      </w:tr>
      <w:tr w:rsidR="00771F28" w:rsidRPr="000D040E" w14:paraId="4ADA2711" w14:textId="77777777" w:rsidTr="00CA1F33">
        <w:tc>
          <w:tcPr>
            <w:tcW w:w="2093" w:type="dxa"/>
          </w:tcPr>
          <w:p w14:paraId="248AFAFB"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Programme:</w:t>
            </w:r>
          </w:p>
        </w:tc>
        <w:tc>
          <w:tcPr>
            <w:tcW w:w="7858" w:type="dxa"/>
            <w:gridSpan w:val="3"/>
          </w:tcPr>
          <w:p w14:paraId="02CB431B" w14:textId="77777777" w:rsidR="00771F28" w:rsidRPr="000D040E" w:rsidRDefault="00771F28" w:rsidP="00CA1F33">
            <w:pPr>
              <w:spacing w:before="0" w:after="0" w:line="240" w:lineRule="auto"/>
              <w:jc w:val="left"/>
              <w:rPr>
                <w:rFonts w:cs="Arial"/>
                <w:b/>
                <w:bCs/>
                <w:szCs w:val="22"/>
                <w:lang w:eastAsia="en-GB"/>
              </w:rPr>
            </w:pPr>
            <w:proofErr w:type="spellStart"/>
            <w:r w:rsidRPr="000D040E">
              <w:rPr>
                <w:rFonts w:cs="Arial"/>
                <w:b/>
                <w:bCs/>
                <w:sz w:val="22"/>
                <w:szCs w:val="22"/>
                <w:lang w:eastAsia="en-GB"/>
              </w:rPr>
              <w:t>CertificateofHigherEducationSkillsforthe</w:t>
            </w:r>
            <w:r w:rsidRPr="000D040E">
              <w:rPr>
                <w:rFonts w:cs="Arial"/>
                <w:b/>
                <w:bCs/>
                <w:spacing w:val="-2"/>
                <w:sz w:val="22"/>
                <w:szCs w:val="22"/>
                <w:lang w:eastAsia="en-GB"/>
              </w:rPr>
              <w:t>Workplace</w:t>
            </w:r>
            <w:proofErr w:type="spellEnd"/>
            <w:r w:rsidRPr="000D040E">
              <w:rPr>
                <w:rFonts w:cs="Arial"/>
                <w:b/>
                <w:bCs/>
                <w:spacing w:val="-2"/>
                <w:sz w:val="22"/>
                <w:szCs w:val="22"/>
                <w:lang w:eastAsia="en-GB"/>
              </w:rPr>
              <w:t xml:space="preserve"> (Health &amp; Social Care)</w:t>
            </w:r>
          </w:p>
        </w:tc>
      </w:tr>
      <w:tr w:rsidR="00771F28" w:rsidRPr="000D040E" w14:paraId="5E3C58BE" w14:textId="77777777" w:rsidTr="00CA1F33">
        <w:tc>
          <w:tcPr>
            <w:tcW w:w="2093" w:type="dxa"/>
          </w:tcPr>
          <w:p w14:paraId="2E19A33A"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Module:</w:t>
            </w:r>
          </w:p>
        </w:tc>
        <w:tc>
          <w:tcPr>
            <w:tcW w:w="7858" w:type="dxa"/>
            <w:gridSpan w:val="3"/>
          </w:tcPr>
          <w:p w14:paraId="2897AFB4" w14:textId="77777777" w:rsidR="00771F28" w:rsidRPr="000D040E" w:rsidRDefault="00771F28" w:rsidP="00CA1F33">
            <w:pPr>
              <w:spacing w:before="120" w:after="120" w:line="240" w:lineRule="auto"/>
              <w:rPr>
                <w:rFonts w:cs="Arial"/>
                <w:b/>
                <w:bCs/>
                <w:szCs w:val="22"/>
                <w:lang w:eastAsia="en-GB"/>
              </w:rPr>
            </w:pPr>
            <w:r w:rsidRPr="000D040E">
              <w:rPr>
                <w:rFonts w:cs="Arial"/>
                <w:b/>
                <w:bCs/>
                <w:sz w:val="22"/>
                <w:szCs w:val="22"/>
                <w:lang w:eastAsia="en-GB"/>
              </w:rPr>
              <w:t>Introduction to Health and Social Care</w:t>
            </w:r>
          </w:p>
        </w:tc>
      </w:tr>
      <w:tr w:rsidR="00771F28" w:rsidRPr="000D040E" w14:paraId="058CE278" w14:textId="77777777" w:rsidTr="00CA1F33">
        <w:tc>
          <w:tcPr>
            <w:tcW w:w="2093" w:type="dxa"/>
          </w:tcPr>
          <w:p w14:paraId="4C254E62"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Module code:</w:t>
            </w:r>
          </w:p>
        </w:tc>
        <w:tc>
          <w:tcPr>
            <w:tcW w:w="3322" w:type="dxa"/>
          </w:tcPr>
          <w:p w14:paraId="4E3CEBE1" w14:textId="77777777" w:rsidR="00771F28" w:rsidRPr="000D040E" w:rsidRDefault="00771F28" w:rsidP="00CA1F33">
            <w:pPr>
              <w:spacing w:before="120" w:after="120" w:line="240" w:lineRule="auto"/>
              <w:jc w:val="left"/>
              <w:rPr>
                <w:rFonts w:cs="Arial"/>
                <w:b/>
                <w:bCs/>
                <w:szCs w:val="22"/>
                <w:lang w:eastAsia="en-GB"/>
              </w:rPr>
            </w:pPr>
            <w:r w:rsidRPr="000D040E">
              <w:rPr>
                <w:rFonts w:cs="Arial"/>
                <w:b/>
                <w:bCs/>
                <w:sz w:val="22"/>
                <w:szCs w:val="22"/>
                <w:lang w:eastAsia="en-GB"/>
              </w:rPr>
              <w:t>LCHS4003</w:t>
            </w:r>
          </w:p>
        </w:tc>
        <w:tc>
          <w:tcPr>
            <w:tcW w:w="2410" w:type="dxa"/>
            <w:shd w:val="clear" w:color="auto" w:fill="D9D9D9"/>
          </w:tcPr>
          <w:p w14:paraId="1231EE42" w14:textId="77777777" w:rsidR="00771F28" w:rsidRPr="000D040E" w:rsidRDefault="00771F28" w:rsidP="00CA1F33">
            <w:pPr>
              <w:keepNext/>
              <w:spacing w:before="0" w:after="0" w:line="240" w:lineRule="auto"/>
              <w:outlineLvl w:val="1"/>
              <w:rPr>
                <w:rFonts w:cs="Arial"/>
                <w:b/>
                <w:szCs w:val="22"/>
                <w:lang w:eastAsia="en-GB"/>
              </w:rPr>
            </w:pPr>
          </w:p>
        </w:tc>
        <w:tc>
          <w:tcPr>
            <w:tcW w:w="2126" w:type="dxa"/>
          </w:tcPr>
          <w:p w14:paraId="208E1373" w14:textId="77777777" w:rsidR="00771F28" w:rsidRPr="000D040E" w:rsidRDefault="00771F28" w:rsidP="00CA1F33">
            <w:pPr>
              <w:spacing w:before="120" w:after="120" w:line="240" w:lineRule="auto"/>
              <w:rPr>
                <w:rFonts w:cs="Arial"/>
                <w:b/>
                <w:bCs/>
                <w:szCs w:val="22"/>
                <w:lang w:eastAsia="en-GB"/>
              </w:rPr>
            </w:pPr>
          </w:p>
        </w:tc>
      </w:tr>
      <w:tr w:rsidR="00771F28" w:rsidRPr="000D040E" w14:paraId="2860BBEF" w14:textId="77777777" w:rsidTr="00CA1F33">
        <w:tc>
          <w:tcPr>
            <w:tcW w:w="2093" w:type="dxa"/>
          </w:tcPr>
          <w:p w14:paraId="08D8D835"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Lecturer:</w:t>
            </w:r>
          </w:p>
        </w:tc>
        <w:tc>
          <w:tcPr>
            <w:tcW w:w="3322" w:type="dxa"/>
          </w:tcPr>
          <w:p w14:paraId="01EB2F17" w14:textId="0933F928" w:rsidR="00771F28" w:rsidRPr="000D040E" w:rsidRDefault="003232CF" w:rsidP="00CA1F33">
            <w:pPr>
              <w:spacing w:before="120" w:after="120" w:line="240" w:lineRule="auto"/>
              <w:jc w:val="left"/>
              <w:rPr>
                <w:rFonts w:cs="Arial"/>
                <w:b/>
                <w:bCs/>
                <w:szCs w:val="22"/>
                <w:lang w:val="fr-FR" w:eastAsia="en-GB"/>
              </w:rPr>
            </w:pPr>
            <w:r>
              <w:rPr>
                <w:rFonts w:cs="Arial"/>
                <w:b/>
                <w:bCs/>
                <w:sz w:val="22"/>
                <w:szCs w:val="22"/>
                <w:lang w:val="fr-FR" w:eastAsia="en-GB"/>
              </w:rPr>
              <w:t>Vivian Osuchukwu</w:t>
            </w:r>
          </w:p>
        </w:tc>
        <w:tc>
          <w:tcPr>
            <w:tcW w:w="2410" w:type="dxa"/>
            <w:shd w:val="clear" w:color="auto" w:fill="D9D9D9"/>
          </w:tcPr>
          <w:p w14:paraId="367A43EC" w14:textId="77777777" w:rsidR="00771F28" w:rsidRPr="000D040E" w:rsidRDefault="00771F28" w:rsidP="00CA1F33">
            <w:pPr>
              <w:spacing w:before="120" w:after="120" w:line="240" w:lineRule="auto"/>
              <w:rPr>
                <w:rFonts w:cs="Arial"/>
                <w:b/>
                <w:bCs/>
                <w:szCs w:val="22"/>
                <w:lang w:eastAsia="en-GB"/>
              </w:rPr>
            </w:pPr>
            <w:r w:rsidRPr="000D040E">
              <w:rPr>
                <w:rFonts w:cs="Arial"/>
                <w:b/>
                <w:bCs/>
                <w:sz w:val="22"/>
                <w:szCs w:val="22"/>
                <w:lang w:eastAsia="en-GB"/>
              </w:rPr>
              <w:t>Internal Verifier:</w:t>
            </w:r>
          </w:p>
        </w:tc>
        <w:tc>
          <w:tcPr>
            <w:tcW w:w="2126" w:type="dxa"/>
          </w:tcPr>
          <w:p w14:paraId="0B8C81EB" w14:textId="77777777" w:rsidR="00771F28" w:rsidRPr="000D040E" w:rsidRDefault="00771F28" w:rsidP="00CA1F33">
            <w:pPr>
              <w:spacing w:before="120" w:after="120" w:line="259" w:lineRule="auto"/>
              <w:jc w:val="left"/>
              <w:rPr>
                <w:rFonts w:cs="Arial"/>
                <w:b/>
                <w:bCs/>
                <w:szCs w:val="22"/>
                <w:lang w:eastAsia="en-GB"/>
              </w:rPr>
            </w:pPr>
            <w:r w:rsidRPr="000D040E">
              <w:rPr>
                <w:rFonts w:cs="Arial"/>
                <w:b/>
                <w:bCs/>
                <w:sz w:val="22"/>
                <w:szCs w:val="22"/>
                <w:lang w:eastAsia="en-GB"/>
              </w:rPr>
              <w:t xml:space="preserve">Dr </w:t>
            </w:r>
            <w:proofErr w:type="spellStart"/>
            <w:r w:rsidRPr="000D040E">
              <w:rPr>
                <w:rFonts w:cs="Arial"/>
                <w:b/>
                <w:bCs/>
                <w:sz w:val="22"/>
                <w:szCs w:val="22"/>
                <w:lang w:eastAsia="en-GB"/>
              </w:rPr>
              <w:t>Besty</w:t>
            </w:r>
            <w:proofErr w:type="spellEnd"/>
            <w:r w:rsidRPr="000D040E">
              <w:rPr>
                <w:rFonts w:cs="Arial"/>
                <w:b/>
                <w:bCs/>
                <w:sz w:val="22"/>
                <w:szCs w:val="22"/>
                <w:lang w:eastAsia="en-GB"/>
              </w:rPr>
              <w:t xml:space="preserve"> Jose</w:t>
            </w:r>
          </w:p>
        </w:tc>
      </w:tr>
      <w:tr w:rsidR="00771F28" w:rsidRPr="000D040E" w14:paraId="13A7DA9A" w14:textId="77777777" w:rsidTr="00CA1F33">
        <w:trPr>
          <w:gridAfter w:val="2"/>
          <w:wAfter w:w="4536" w:type="dxa"/>
        </w:trPr>
        <w:tc>
          <w:tcPr>
            <w:tcW w:w="2093" w:type="dxa"/>
          </w:tcPr>
          <w:p w14:paraId="22169612" w14:textId="77777777" w:rsidR="00771F28" w:rsidRPr="000D040E" w:rsidRDefault="00771F28" w:rsidP="00CA1F33">
            <w:pPr>
              <w:spacing w:before="120" w:after="120" w:line="240" w:lineRule="auto"/>
              <w:rPr>
                <w:rFonts w:cs="Arial"/>
                <w:b/>
                <w:szCs w:val="22"/>
                <w:lang w:eastAsia="en-GB"/>
              </w:rPr>
            </w:pPr>
            <w:r w:rsidRPr="000D040E">
              <w:rPr>
                <w:rFonts w:cs="Arial"/>
                <w:b/>
                <w:sz w:val="22"/>
                <w:szCs w:val="22"/>
                <w:lang w:eastAsia="en-GB"/>
              </w:rPr>
              <w:t>Assignment Title:</w:t>
            </w:r>
          </w:p>
        </w:tc>
        <w:tc>
          <w:tcPr>
            <w:tcW w:w="3322" w:type="dxa"/>
          </w:tcPr>
          <w:p w14:paraId="5787E6A3" w14:textId="77777777" w:rsidR="00771F28" w:rsidRPr="000D040E" w:rsidRDefault="00771F28" w:rsidP="00CA1F33">
            <w:pPr>
              <w:spacing w:before="120" w:after="120" w:line="240" w:lineRule="auto"/>
              <w:rPr>
                <w:rFonts w:cs="Arial"/>
                <w:b/>
                <w:bCs/>
                <w:szCs w:val="22"/>
                <w:lang w:eastAsia="en-GB"/>
              </w:rPr>
            </w:pPr>
            <w:r w:rsidRPr="000D040E">
              <w:rPr>
                <w:rFonts w:cs="Arial"/>
                <w:b/>
                <w:bCs/>
                <w:sz w:val="22"/>
                <w:szCs w:val="22"/>
                <w:lang w:eastAsia="en-GB"/>
              </w:rPr>
              <w:t>Portfolio – Two Tasks</w:t>
            </w:r>
          </w:p>
        </w:tc>
      </w:tr>
    </w:tbl>
    <w:p w14:paraId="297A0230" w14:textId="77777777" w:rsidR="000D040E" w:rsidRDefault="000D040E">
      <w:pPr>
        <w:spacing w:before="0" w:after="160"/>
      </w:pPr>
    </w:p>
    <w:p w14:paraId="48B2C6C6" w14:textId="77777777" w:rsidR="00771F28" w:rsidRDefault="00771F28" w:rsidP="00CD35A1">
      <w:pPr>
        <w:pStyle w:val="Heading1"/>
      </w:pPr>
    </w:p>
    <w:p w14:paraId="0D8083E2" w14:textId="77777777" w:rsidR="00771F28" w:rsidRDefault="00771F28" w:rsidP="00CD35A1">
      <w:pPr>
        <w:pStyle w:val="Heading1"/>
      </w:pPr>
    </w:p>
    <w:p w14:paraId="16502270" w14:textId="77777777" w:rsidR="00771F28" w:rsidRDefault="00771F28" w:rsidP="00CD35A1">
      <w:pPr>
        <w:pStyle w:val="Heading1"/>
      </w:pPr>
    </w:p>
    <w:p w14:paraId="1B45D20B" w14:textId="77777777" w:rsidR="00771F28" w:rsidRDefault="00771F28" w:rsidP="00CD35A1">
      <w:pPr>
        <w:pStyle w:val="Heading1"/>
      </w:pPr>
    </w:p>
    <w:p w14:paraId="6097C20A" w14:textId="77777777" w:rsidR="00771F28" w:rsidRDefault="00771F28" w:rsidP="00CD35A1">
      <w:pPr>
        <w:pStyle w:val="Heading1"/>
      </w:pPr>
    </w:p>
    <w:p w14:paraId="38FBF5DD" w14:textId="77777777" w:rsidR="00771F28" w:rsidRDefault="00771F28" w:rsidP="00CD35A1">
      <w:pPr>
        <w:pStyle w:val="Heading1"/>
      </w:pPr>
    </w:p>
    <w:p w14:paraId="3513FF45" w14:textId="77777777" w:rsidR="00771F28" w:rsidRDefault="00771F28" w:rsidP="00CD35A1">
      <w:pPr>
        <w:pStyle w:val="Heading1"/>
      </w:pPr>
    </w:p>
    <w:p w14:paraId="5B34C7B1" w14:textId="77777777" w:rsidR="00771F28" w:rsidRDefault="00771F28" w:rsidP="00CD35A1">
      <w:pPr>
        <w:pStyle w:val="Heading1"/>
      </w:pPr>
    </w:p>
    <w:p w14:paraId="12DDB209" w14:textId="77777777" w:rsidR="00771F28" w:rsidRDefault="00771F28" w:rsidP="00CD35A1">
      <w:pPr>
        <w:pStyle w:val="Heading1"/>
      </w:pPr>
    </w:p>
    <w:p w14:paraId="5E03C9DA" w14:textId="77777777" w:rsidR="00771F28" w:rsidRDefault="00771F28" w:rsidP="00CD35A1">
      <w:pPr>
        <w:pStyle w:val="Heading1"/>
      </w:pPr>
    </w:p>
    <w:p w14:paraId="52638E14" w14:textId="77777777" w:rsidR="00771F28" w:rsidRDefault="00771F28" w:rsidP="00CD35A1">
      <w:pPr>
        <w:pStyle w:val="Heading1"/>
      </w:pPr>
    </w:p>
    <w:p w14:paraId="504E85F5" w14:textId="77777777" w:rsidR="00771F28" w:rsidRDefault="00771F28" w:rsidP="00CD35A1">
      <w:pPr>
        <w:pStyle w:val="Heading1"/>
      </w:pPr>
    </w:p>
    <w:p w14:paraId="6F75E909" w14:textId="77777777" w:rsidR="00771F28" w:rsidRDefault="00771F28" w:rsidP="00CD35A1">
      <w:pPr>
        <w:pStyle w:val="Heading1"/>
      </w:pPr>
    </w:p>
    <w:p w14:paraId="1979E0BA" w14:textId="77777777" w:rsidR="000D040E" w:rsidRDefault="00763DE6" w:rsidP="00CD35A1">
      <w:pPr>
        <w:pStyle w:val="Heading1"/>
      </w:pPr>
      <w:r w:rsidRPr="00763DE6">
        <w:t>Task 1: Poster</w:t>
      </w:r>
    </w:p>
    <w:p w14:paraId="73AF0CF8" w14:textId="77777777" w:rsidR="00763DE6" w:rsidRDefault="002E79A3" w:rsidP="00763DE6">
      <w:pPr>
        <w:rPr>
          <w:b/>
        </w:rPr>
      </w:pPr>
      <w:r>
        <w:rPr>
          <w:b/>
          <w:noProof/>
          <w:lang w:eastAsia="en-GB"/>
        </w:rPr>
        <w:drawing>
          <wp:inline distT="0" distB="0" distL="0" distR="0" wp14:anchorId="7BF43A2D" wp14:editId="6368BA4B">
            <wp:extent cx="5731510" cy="75152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kil.png"/>
                    <pic:cNvPicPr/>
                  </pic:nvPicPr>
                  <pic:blipFill rotWithShape="1">
                    <a:blip r:embed="rId7">
                      <a:extLst>
                        <a:ext uri="{28A0092B-C50C-407E-A947-70E740481C1C}">
                          <a14:useLocalDpi xmlns:a14="http://schemas.microsoft.com/office/drawing/2010/main" val="0"/>
                        </a:ext>
                      </a:extLst>
                    </a:blip>
                    <a:srcRect b="2093"/>
                    <a:stretch/>
                  </pic:blipFill>
                  <pic:spPr bwMode="auto">
                    <a:xfrm>
                      <a:off x="0" y="0"/>
                      <a:ext cx="5731510" cy="7515225"/>
                    </a:xfrm>
                    <a:prstGeom prst="rect">
                      <a:avLst/>
                    </a:prstGeom>
                    <a:ln>
                      <a:noFill/>
                    </a:ln>
                    <a:extLst>
                      <a:ext uri="{53640926-AAD7-44D8-BBD7-CCE9431645EC}">
                        <a14:shadowObscured xmlns:a14="http://schemas.microsoft.com/office/drawing/2010/main"/>
                      </a:ext>
                    </a:extLst>
                  </pic:spPr>
                </pic:pic>
              </a:graphicData>
            </a:graphic>
          </wp:inline>
        </w:drawing>
      </w:r>
    </w:p>
    <w:p w14:paraId="1D917849" w14:textId="77777777" w:rsidR="0028638C" w:rsidRDefault="0028638C">
      <w:pPr>
        <w:spacing w:before="0" w:after="160"/>
        <w:rPr>
          <w:b/>
        </w:rPr>
      </w:pPr>
      <w:r>
        <w:rPr>
          <w:b/>
        </w:rPr>
        <w:br w:type="page"/>
      </w:r>
    </w:p>
    <w:p w14:paraId="70C05B76" w14:textId="77777777" w:rsidR="00EE28A9" w:rsidRPr="00EE28A9" w:rsidRDefault="00EE28A9" w:rsidP="007E210A">
      <w:pPr>
        <w:pBdr>
          <w:bottom w:val="single" w:sz="4" w:space="1" w:color="auto"/>
        </w:pBdr>
        <w:jc w:val="center"/>
        <w:rPr>
          <w:b/>
          <w:bCs/>
        </w:rPr>
      </w:pPr>
      <w:r w:rsidRPr="00EE28A9">
        <w:rPr>
          <w:b/>
          <w:bCs/>
        </w:rPr>
        <w:t>DENTISTRY SERVICES IN THE UK</w:t>
      </w:r>
    </w:p>
    <w:p w14:paraId="1E81C0FE" w14:textId="77777777" w:rsidR="00EE28A9" w:rsidRPr="00EE28A9" w:rsidRDefault="00EE28A9" w:rsidP="007E210A">
      <w:pPr>
        <w:pBdr>
          <w:bottom w:val="single" w:sz="4" w:space="1" w:color="auto"/>
        </w:pBdr>
        <w:jc w:val="center"/>
        <w:rPr>
          <w:b/>
          <w:bCs/>
        </w:rPr>
      </w:pPr>
      <w:r w:rsidRPr="00EE28A9">
        <w:rPr>
          <w:b/>
          <w:bCs/>
        </w:rPr>
        <w:t>Promoting Oral Health and Preventing Dental Disease</w:t>
      </w:r>
    </w:p>
    <w:p w14:paraId="72D5A52A" w14:textId="77777777" w:rsidR="00EE28A9" w:rsidRPr="00EE28A9" w:rsidRDefault="00EE28A9" w:rsidP="00EE28A9">
      <w:pPr>
        <w:rPr>
          <w:b/>
          <w:bCs/>
        </w:rPr>
      </w:pPr>
      <w:r w:rsidRPr="00EE28A9">
        <w:rPr>
          <w:b/>
          <w:bCs/>
        </w:rPr>
        <w:t>What are Dentistry Services?</w:t>
      </w:r>
    </w:p>
    <w:p w14:paraId="092E34BF" w14:textId="77777777" w:rsidR="001A4B62" w:rsidRDefault="001A4B62" w:rsidP="001A4B62">
      <w:r>
        <w:t>Dentistry services are an important component of the UK healthcare system that focus on maintaining oral health, preventing dental diseases and treating conditions affecting the teeth, gums and mouth. These services are designed and delivered by the professional team of dental professionals in community, hospital, private and NHS dental services. Dentistry services are useful to make sure individuals have healthful teeth and gums stay away from oral health issues that can impact wellbeing and have an effect on an individual's overall health status. Examples of common services are routine examinations, fillings, extractions, preventive services and need for oral health education or emergency dental care (NHS England, 2024). Oral health plays an important role in enabling and promoting good nutrition, communication, confidence and quality of life.</w:t>
      </w:r>
    </w:p>
    <w:p w14:paraId="4CAA39DC" w14:textId="77777777" w:rsidR="001A4B62" w:rsidRPr="001A4B62" w:rsidRDefault="001A4B62" w:rsidP="001A4B62">
      <w:pPr>
        <w:rPr>
          <w:b/>
        </w:rPr>
      </w:pPr>
      <w:r w:rsidRPr="001A4B62">
        <w:rPr>
          <w:b/>
        </w:rPr>
        <w:t>Brief History of Dentistry Services</w:t>
      </w:r>
    </w:p>
    <w:p w14:paraId="397A88C9" w14:textId="77777777" w:rsidR="001A4B62" w:rsidRDefault="001A4B62" w:rsidP="001A4B62">
      <w:r>
        <w:t>The history of dentistry dates back centuries, but modern dentistry began to develop during the nineteenth century as scientific understanding of oral diseases improved. Before professional regulation, many people did not get proper dental care from trained dentists, and they generally treated their dental problems by extracting their teeth. Under the new Dental Act 1921 the profession was regulated and the standard of dental education and practice was increased (General Dental Council, 2023). One of the important milestones was the establishment of the National Health Service (NHS) in 1948 when access to dentists became more accessible for a cross section of the population (</w:t>
      </w:r>
      <w:proofErr w:type="spellStart"/>
      <w:r>
        <w:t>Bivins</w:t>
      </w:r>
      <w:proofErr w:type="spellEnd"/>
      <w:r>
        <w:t>, 2015). Since then, dentistry services have grown, and preventive and restorative dentistry and public health measures to enhance oral health have been introduced into society.</w:t>
      </w:r>
    </w:p>
    <w:p w14:paraId="2CDE5505" w14:textId="77777777" w:rsidR="001A4B62" w:rsidRPr="001A4B62" w:rsidRDefault="001A4B62" w:rsidP="001A4B62">
      <w:pPr>
        <w:rPr>
          <w:b/>
        </w:rPr>
      </w:pPr>
      <w:r w:rsidRPr="001A4B62">
        <w:rPr>
          <w:b/>
        </w:rPr>
        <w:t>Current Functioning of Dentistry Services</w:t>
      </w:r>
    </w:p>
    <w:p w14:paraId="68707E06" w14:textId="77777777" w:rsidR="001A4B62" w:rsidRDefault="001A4B62" w:rsidP="001A4B62">
      <w:r>
        <w:t>In modern times, dental services are provided by a mixture of NHS and private practices. Patients will have access to regular dental checks, disease prevention and specialist services. Dentists examine oral conditions, clinical diagnosis, take care of and choose treatment for the individual patient. The use of preventative services including fluoride treatment, oral health education and regular screening can decrease the risk of tooth decay and gum disease (Public Health England 2021).</w:t>
      </w:r>
    </w:p>
    <w:p w14:paraId="3E9FAAE2" w14:textId="77777777" w:rsidR="001A4B62" w:rsidRDefault="001A4B62" w:rsidP="001A4B62">
      <w:r>
        <w:t>Dentistry services additionally turn out to be crucial in spotting additional wellness problems. For instance, oral exams are able to detect diabetes, oral cancer, nutritional deficiencies, etc. A digital imaging system, the use of advanced restorative materials and an evidence-based approach to treatment are used in modern dental practices to enhance patient outcomes (British Dental Association 2023). Dentists also work with other healthcare professionals such as general physicians, hospitals, and others for seamless patient treatment. A multi-disciplinary approach that benefits oral health and whole-body health.</w:t>
      </w:r>
    </w:p>
    <w:p w14:paraId="0E6B7FDD" w14:textId="77777777" w:rsidR="001A4B62" w:rsidRPr="001A4B62" w:rsidRDefault="001A4B62" w:rsidP="001A4B62">
      <w:pPr>
        <w:rPr>
          <w:b/>
        </w:rPr>
      </w:pPr>
      <w:r w:rsidRPr="001A4B62">
        <w:rPr>
          <w:b/>
        </w:rPr>
        <w:t>Challenge 1: Limited Access to NHS Dental Care</w:t>
      </w:r>
    </w:p>
    <w:p w14:paraId="4D14FA01" w14:textId="77777777" w:rsidR="001A4B62" w:rsidRDefault="001A4B62" w:rsidP="001A4B62">
      <w:r>
        <w:t>One of the major challenges facing dentistry services is limited access to NHS dental appointments. Many people are unable to access timely oral health care services, due to rises in patients' needs, staffing gaps and funding constraints (The King's Fund, 2023). In certain regions, NHS dentists are experiencing difficulties in registering patients and patient queues are long. Limited access often means unequal access to treatment and can make oral health issues worse. For the policy makers and health care providers whose aim is to make healthcare systems more accessible, this challenge is a major worry.</w:t>
      </w:r>
    </w:p>
    <w:p w14:paraId="38C7E576" w14:textId="77777777" w:rsidR="001A4B62" w:rsidRPr="001A4B62" w:rsidRDefault="001A4B62" w:rsidP="001A4B62">
      <w:pPr>
        <w:rPr>
          <w:b/>
        </w:rPr>
      </w:pPr>
      <w:r w:rsidRPr="001A4B62">
        <w:rPr>
          <w:b/>
        </w:rPr>
        <w:t>Challenge 2: Oral Health Inequalities</w:t>
      </w:r>
    </w:p>
    <w:p w14:paraId="67BAA553" w14:textId="77777777" w:rsidR="001A4B62" w:rsidRDefault="001A4B62" w:rsidP="001A4B62">
      <w:r>
        <w:t>An additional issue is that there are inequalities in oral health status among social and economic groups. Those who reside in deprived communities are more likely to suffer from tooth decay, gum disease and tooth loss than their more affluent counterparts (World Health Organization, 2022). These inequalities are related to factors like income, education, diet and access of health services. Poor oral health is especially prevalent in children of disadvantaged households. Policies and programs that address these inequities include community-focused oral health education, community access to preventive services, tailored programmes of public health interventions.</w:t>
      </w:r>
    </w:p>
    <w:p w14:paraId="7E654999" w14:textId="77777777" w:rsidR="001A4B62" w:rsidRPr="001A4B62" w:rsidRDefault="001A4B62" w:rsidP="001A4B62">
      <w:pPr>
        <w:rPr>
          <w:b/>
        </w:rPr>
      </w:pPr>
      <w:r w:rsidRPr="001A4B62">
        <w:rPr>
          <w:b/>
        </w:rPr>
        <w:t>Conclusion</w:t>
      </w:r>
    </w:p>
    <w:p w14:paraId="0EC57ABB" w14:textId="77777777" w:rsidR="00EE28A9" w:rsidRPr="00EE28A9" w:rsidRDefault="001A4B62" w:rsidP="001A4B62">
      <w:r>
        <w:t>Dentistry services are a vital healthcare service that promotes oral health, prevents disease and improves overall wellbeing. Dentistry has undergone a change in focus from a service aimed at treatment, to a service that is now more focussed on prevention and patient-centred treatment. With the use of modern dental services, there are a variety of treatments available and health promotion that helps contribute to better health outcomes. However, some issues aiming to the way dental care services are delivered persist such as reduced access to NHS dental care and continued oral health inequalities. Investment in existing workforce development, prevention programmes, and public health initiatives must continue to help provide equitable and effective dental care to all citizens in society.</w:t>
      </w:r>
    </w:p>
    <w:p w14:paraId="49020D0F" w14:textId="77777777" w:rsidR="0028638C" w:rsidRPr="0028638C" w:rsidRDefault="0028638C" w:rsidP="00674C5E"/>
    <w:p w14:paraId="6EBBC9F8" w14:textId="77777777" w:rsidR="003A0954" w:rsidRDefault="003A0954">
      <w:pPr>
        <w:spacing w:before="0" w:after="160"/>
        <w:rPr>
          <w:b/>
        </w:rPr>
      </w:pPr>
      <w:r>
        <w:rPr>
          <w:b/>
        </w:rPr>
        <w:br w:type="page"/>
      </w:r>
    </w:p>
    <w:p w14:paraId="354020E9" w14:textId="77777777" w:rsidR="003A0954" w:rsidRPr="003A0954" w:rsidRDefault="003A0954" w:rsidP="00D65169">
      <w:pPr>
        <w:pStyle w:val="Heading1"/>
      </w:pPr>
      <w:r w:rsidRPr="003A0954">
        <w:t>References</w:t>
      </w:r>
    </w:p>
    <w:p w14:paraId="783B612F" w14:textId="77777777" w:rsidR="00EE28A9" w:rsidRPr="00EE28A9" w:rsidRDefault="00EE28A9" w:rsidP="00EE28A9">
      <w:pPr>
        <w:ind w:left="720" w:hanging="720"/>
      </w:pPr>
      <w:proofErr w:type="spellStart"/>
      <w:r w:rsidRPr="00EE28A9">
        <w:t>Bivins</w:t>
      </w:r>
      <w:proofErr w:type="spellEnd"/>
      <w:r w:rsidRPr="00EE28A9">
        <w:t xml:space="preserve">, R. (2015). </w:t>
      </w:r>
      <w:r w:rsidRPr="00EE28A9">
        <w:rPr>
          <w:i/>
          <w:iCs/>
        </w:rPr>
        <w:t>The NHS: A History</w:t>
      </w:r>
      <w:r w:rsidRPr="00EE28A9">
        <w:t>. Oxford: Oxford University Press.</w:t>
      </w:r>
    </w:p>
    <w:p w14:paraId="190C4069" w14:textId="77777777" w:rsidR="00EE28A9" w:rsidRPr="00EE28A9" w:rsidRDefault="00EE28A9" w:rsidP="00EE28A9">
      <w:pPr>
        <w:ind w:left="720" w:hanging="720"/>
      </w:pPr>
      <w:r w:rsidRPr="00EE28A9">
        <w:t xml:space="preserve">British Dental Association. (2023). </w:t>
      </w:r>
      <w:r w:rsidRPr="00EE28A9">
        <w:rPr>
          <w:i/>
          <w:iCs/>
        </w:rPr>
        <w:t>The Future of Dentistry in the UK</w:t>
      </w:r>
      <w:r w:rsidRPr="00EE28A9">
        <w:t>. London: BDA.</w:t>
      </w:r>
    </w:p>
    <w:p w14:paraId="060FCB0C" w14:textId="77777777" w:rsidR="00EE28A9" w:rsidRPr="00EE28A9" w:rsidRDefault="00EE28A9" w:rsidP="00EE28A9">
      <w:pPr>
        <w:ind w:left="720" w:hanging="720"/>
      </w:pPr>
      <w:r w:rsidRPr="00EE28A9">
        <w:t xml:space="preserve">General Dental Council. (2023). </w:t>
      </w:r>
      <w:r w:rsidRPr="00EE28A9">
        <w:rPr>
          <w:i/>
          <w:iCs/>
        </w:rPr>
        <w:t>Standards for the Dental Team</w:t>
      </w:r>
      <w:r w:rsidRPr="00EE28A9">
        <w:t>. London: GDC.</w:t>
      </w:r>
    </w:p>
    <w:p w14:paraId="26ED491A" w14:textId="77777777" w:rsidR="00EE28A9" w:rsidRPr="00EE28A9" w:rsidRDefault="00EE28A9" w:rsidP="00EE28A9">
      <w:pPr>
        <w:ind w:left="720" w:hanging="720"/>
      </w:pPr>
      <w:r w:rsidRPr="00EE28A9">
        <w:t xml:space="preserve">NHS England. (2024). </w:t>
      </w:r>
      <w:r w:rsidRPr="00EE28A9">
        <w:rPr>
          <w:i/>
          <w:iCs/>
        </w:rPr>
        <w:t>NHS Dental Services Overview</w:t>
      </w:r>
      <w:r w:rsidRPr="00EE28A9">
        <w:t>. London: NHS England.</w:t>
      </w:r>
    </w:p>
    <w:p w14:paraId="781A37B1" w14:textId="77777777" w:rsidR="00EE28A9" w:rsidRPr="00EE28A9" w:rsidRDefault="00EE28A9" w:rsidP="00EE28A9">
      <w:pPr>
        <w:ind w:left="720" w:hanging="720"/>
      </w:pPr>
      <w:r w:rsidRPr="00EE28A9">
        <w:t xml:space="preserve">Public Health England. (2021). </w:t>
      </w:r>
      <w:r w:rsidRPr="00EE28A9">
        <w:rPr>
          <w:i/>
          <w:iCs/>
        </w:rPr>
        <w:t>Improving Oral Health: An Evidence-Based Toolkit</w:t>
      </w:r>
      <w:r w:rsidRPr="00EE28A9">
        <w:t>. London: PHE.</w:t>
      </w:r>
    </w:p>
    <w:p w14:paraId="20D78BEC" w14:textId="77777777" w:rsidR="00EE28A9" w:rsidRPr="00EE28A9" w:rsidRDefault="00EE28A9" w:rsidP="00EE28A9">
      <w:pPr>
        <w:ind w:left="720" w:hanging="720"/>
      </w:pPr>
      <w:r w:rsidRPr="00EE28A9">
        <w:t xml:space="preserve">The King’s Fund. (2023). </w:t>
      </w:r>
      <w:r w:rsidRPr="00EE28A9">
        <w:rPr>
          <w:i/>
          <w:iCs/>
        </w:rPr>
        <w:t>Health Care in England: Challenges and Priorities</w:t>
      </w:r>
      <w:r w:rsidRPr="00EE28A9">
        <w:t>. London: The King’s Fund.</w:t>
      </w:r>
    </w:p>
    <w:p w14:paraId="081F9190" w14:textId="77777777" w:rsidR="00EE28A9" w:rsidRPr="00EE28A9" w:rsidRDefault="00EE28A9" w:rsidP="00EE28A9">
      <w:pPr>
        <w:ind w:left="720" w:hanging="720"/>
      </w:pPr>
      <w:r w:rsidRPr="00EE28A9">
        <w:t xml:space="preserve">World Health Organization. (2022). </w:t>
      </w:r>
      <w:r w:rsidRPr="00EE28A9">
        <w:rPr>
          <w:i/>
          <w:iCs/>
        </w:rPr>
        <w:t>Global Oral Health Status Report</w:t>
      </w:r>
      <w:r w:rsidRPr="00EE28A9">
        <w:t>. Geneva: WHO.</w:t>
      </w:r>
    </w:p>
    <w:p w14:paraId="3E1FF6F6" w14:textId="77777777" w:rsidR="00E26AE6" w:rsidRDefault="00E26AE6">
      <w:pPr>
        <w:spacing w:before="0" w:after="160"/>
      </w:pPr>
      <w:r>
        <w:br w:type="page"/>
      </w:r>
    </w:p>
    <w:p w14:paraId="6B52174D" w14:textId="77777777" w:rsidR="00E26AE6" w:rsidRDefault="00E26AE6" w:rsidP="00E26AE6">
      <w:pPr>
        <w:pStyle w:val="Heading1"/>
      </w:pPr>
      <w:r w:rsidRPr="0028638C">
        <w:t>Task 2: Essay</w:t>
      </w:r>
    </w:p>
    <w:p w14:paraId="4754E04E" w14:textId="77777777" w:rsidR="00E26AE6" w:rsidRPr="0028638C" w:rsidRDefault="00E26AE6" w:rsidP="00E26AE6">
      <w:pPr>
        <w:pStyle w:val="Heading2"/>
      </w:pPr>
      <w:r>
        <w:t xml:space="preserve">Essay Topic: </w:t>
      </w:r>
      <w:r w:rsidRPr="00CD35A1">
        <w:t>Residential Care Homes</w:t>
      </w:r>
    </w:p>
    <w:p w14:paraId="1E2DE96E" w14:textId="77777777" w:rsidR="00E26AE6" w:rsidRDefault="00E26AE6" w:rsidP="00E26AE6">
      <w:r>
        <w:t>Residential care homes are an important social care service that provides accommodation, personal care and daily living support for individuals who are unable to live independently. These services primarily benefit older people, physically disabled and long-term health condition sufferers. The purpose of residential care homes is to offer a secure home environment for service users to get help for activities including social interaction, handling medication, bathing and dressing. Social caring needs, demographic changes and the Government's policies for supporting vulnerable people have shaped the growth of residential care homes. They still play a part in the social care system in the UK today and are helping to enhance the well-being of many service users.</w:t>
      </w:r>
    </w:p>
    <w:p w14:paraId="6260D350" w14:textId="77777777" w:rsidR="00E26AE6" w:rsidRDefault="00E26AE6" w:rsidP="00E26AE6">
      <w:r>
        <w:t>The history of residential care homes dates back to the 19th century when the Poor Law system was in place and vulnerable people were put into workhouses. The main purpose of these institutions was to offer the most basic of shelter and support, not person-centred care (Means and Smith, 1998). The twentieth century saw a concern about the needs of older people and vulnerable citizens which resulted in major changes to social care services. The second world war and the founding of the welfare state after 1945, together with the passing of the National Assistance Act 1948, promoted the growth of residential care facilities with a focus on welfare and support instead of institutional control (Timmins, 2017). As the years went on, these residential care homes developed into specialised services that were focused on dignity, independence and quality of life.</w:t>
      </w:r>
    </w:p>
    <w:p w14:paraId="3797804D" w14:textId="77777777" w:rsidR="00E26AE6" w:rsidRDefault="00E26AE6" w:rsidP="00E26AE6">
      <w:r>
        <w:t>Modern-day residential care homes operate on a more formal arrangement of professional care with trained personnel. Care workers support people with their daily care needs and managers are responsible for planning and ensuring adherence to Care Quality Commission (Care Quality Commission, 2024) regulations. A number of care homes have individual care plans designed for people's needs and preferences. They also conduct social events, recreational programs and medical assistance to improve the quality of life of the residents. The development of a person centred approach has led to better quality of services as it promotes residents to be more involved in decisions that affect their lives. But shortages of staff, funding pressures, and increased demand for residential care services remain an issue for residential care homes.</w:t>
      </w:r>
    </w:p>
    <w:p w14:paraId="4A21D473" w14:textId="77777777" w:rsidR="00E26AE6" w:rsidRDefault="00E26AE6" w:rsidP="00E26AE6">
      <w:r>
        <w:t>An analysis of residential care homes reveals strengths and weaknesses. There is a strong strength in the provision for those who need a lot of support with the continuity of care and supervision. Residents enjoy a safe environment and have access to professional help if it is needed. Equally, staff shortages and financial pressures may impact the quality of the services provided and reduce access to personalised services (The King's Fund, 2023). There are also some critics who believe that residential services can decrease independence from community-based services. However, modern houses of care are increasingly focused on fostering choice, autonomy and social participation, which is an attempt to overcome some of the criticisms about institutional care in the past.</w:t>
      </w:r>
    </w:p>
    <w:p w14:paraId="0EE02EC0" w14:textId="77777777" w:rsidR="00E26AE6" w:rsidRPr="00CD35A1" w:rsidRDefault="00E26AE6" w:rsidP="00E26AE6">
      <w:r>
        <w:t>The contribution that residential care homes make to service user's quality of life is important. They offer physical safety, emotional support and social interaction, which may help to decrease loneliness and isolation. Availability of organised activities &amp; health care services enhances wellbeing and satisfaction with life. Additionally, the families in the residential care home feel reassured knowing that the care and support of the vulnerable person is consistent. With the population of the UK continuing to grow older, residential homes will continue to be a vital social care service. They play an ongoing role in the wider health and social care system as evidence of their person-centred approach to their work, ensuring the promotion of dignity and enhancement of the quality of life of their clients.</w:t>
      </w:r>
    </w:p>
    <w:p w14:paraId="496E2F9A" w14:textId="77777777" w:rsidR="00E26AE6" w:rsidRPr="0028638C" w:rsidRDefault="00E26AE6" w:rsidP="00E26AE6"/>
    <w:p w14:paraId="2324F519" w14:textId="77777777" w:rsidR="00E26AE6" w:rsidRDefault="00E26AE6" w:rsidP="00E26AE6">
      <w:pPr>
        <w:spacing w:before="0" w:after="160"/>
        <w:rPr>
          <w:b/>
        </w:rPr>
      </w:pPr>
      <w:r>
        <w:rPr>
          <w:b/>
        </w:rPr>
        <w:br w:type="page"/>
      </w:r>
    </w:p>
    <w:p w14:paraId="5BDB84DD" w14:textId="77777777" w:rsidR="00E26AE6" w:rsidRPr="003A0954" w:rsidRDefault="00E26AE6" w:rsidP="00E26AE6">
      <w:pPr>
        <w:pStyle w:val="Heading1"/>
      </w:pPr>
      <w:r w:rsidRPr="003A0954">
        <w:t>References</w:t>
      </w:r>
    </w:p>
    <w:p w14:paraId="0F8508C0" w14:textId="77777777" w:rsidR="00E26AE6" w:rsidRPr="00271E46" w:rsidRDefault="00E26AE6" w:rsidP="00E26AE6">
      <w:pPr>
        <w:ind w:left="720" w:hanging="720"/>
      </w:pPr>
      <w:r w:rsidRPr="00271E46">
        <w:t xml:space="preserve">Care Quality Commission. (2024). </w:t>
      </w:r>
      <w:r w:rsidRPr="00271E46">
        <w:rPr>
          <w:i/>
          <w:iCs/>
        </w:rPr>
        <w:t>Guidance for Residential Adult Social Care Services</w:t>
      </w:r>
      <w:r w:rsidRPr="00271E46">
        <w:t>. London: CQC.</w:t>
      </w:r>
    </w:p>
    <w:p w14:paraId="7DAD67E4" w14:textId="77777777" w:rsidR="00E26AE6" w:rsidRPr="00271E46" w:rsidRDefault="00E26AE6" w:rsidP="00E26AE6">
      <w:pPr>
        <w:ind w:left="720" w:hanging="720"/>
      </w:pPr>
      <w:r w:rsidRPr="00271E46">
        <w:t xml:space="preserve">Means, R. and Smith, R. (1998). </w:t>
      </w:r>
      <w:r w:rsidRPr="00271E46">
        <w:rPr>
          <w:i/>
          <w:iCs/>
        </w:rPr>
        <w:t>Community Care: Policy and Practice</w:t>
      </w:r>
      <w:r w:rsidRPr="00271E46">
        <w:t>. London: Macmillan.</w:t>
      </w:r>
    </w:p>
    <w:p w14:paraId="0077943D" w14:textId="77777777" w:rsidR="00E26AE6" w:rsidRPr="00271E46" w:rsidRDefault="00E26AE6" w:rsidP="00E26AE6">
      <w:pPr>
        <w:ind w:left="720" w:hanging="720"/>
      </w:pPr>
      <w:r w:rsidRPr="00271E46">
        <w:t xml:space="preserve">The King’s Fund. (2023). </w:t>
      </w:r>
      <w:r w:rsidRPr="00271E46">
        <w:rPr>
          <w:i/>
          <w:iCs/>
        </w:rPr>
        <w:t>Social Care 360</w:t>
      </w:r>
      <w:r w:rsidRPr="00271E46">
        <w:t>. London: The King’s Fund.</w:t>
      </w:r>
    </w:p>
    <w:p w14:paraId="067E85C3" w14:textId="77777777" w:rsidR="00E26AE6" w:rsidRPr="00271E46" w:rsidRDefault="00E26AE6" w:rsidP="00E26AE6">
      <w:pPr>
        <w:ind w:left="720" w:hanging="720"/>
      </w:pPr>
      <w:r w:rsidRPr="00271E46">
        <w:t xml:space="preserve">Timmins, N. (2017). </w:t>
      </w:r>
      <w:r w:rsidRPr="00271E46">
        <w:rPr>
          <w:i/>
          <w:iCs/>
        </w:rPr>
        <w:t>The Five Giants: A Biography of the Welfare State</w:t>
      </w:r>
      <w:r w:rsidRPr="00271E46">
        <w:t>. London: HarperCollins.</w:t>
      </w:r>
    </w:p>
    <w:p w14:paraId="3EDE33A7" w14:textId="77777777" w:rsidR="00E26AE6" w:rsidRPr="00271E46" w:rsidRDefault="00E26AE6" w:rsidP="00E26AE6">
      <w:pPr>
        <w:ind w:left="720" w:hanging="720"/>
      </w:pPr>
      <w:r w:rsidRPr="00271E46">
        <w:t xml:space="preserve">Department of Health and Social Care. (2022). </w:t>
      </w:r>
      <w:r w:rsidRPr="00271E46">
        <w:rPr>
          <w:i/>
          <w:iCs/>
        </w:rPr>
        <w:t>People at the Heart of Care: Adult Social Care Reform White Paper</w:t>
      </w:r>
      <w:r w:rsidRPr="00271E46">
        <w:t>. London: DHSC.</w:t>
      </w:r>
    </w:p>
    <w:p w14:paraId="6D705A48" w14:textId="77777777" w:rsidR="00E26AE6" w:rsidRPr="00CD35A1" w:rsidRDefault="00E26AE6" w:rsidP="00E26AE6"/>
    <w:p w14:paraId="0A445EC4" w14:textId="77777777" w:rsidR="0028638C" w:rsidRPr="00CD35A1" w:rsidRDefault="0028638C" w:rsidP="00763DE6"/>
    <w:sectPr w:rsidR="0028638C" w:rsidRPr="00CD35A1" w:rsidSect="000202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CA40F" w14:textId="77777777" w:rsidR="00CF77F4" w:rsidRDefault="00CF77F4" w:rsidP="00FC7C8D">
      <w:pPr>
        <w:spacing w:before="0" w:after="0" w:line="240" w:lineRule="auto"/>
      </w:pPr>
      <w:r>
        <w:separator/>
      </w:r>
    </w:p>
  </w:endnote>
  <w:endnote w:type="continuationSeparator" w:id="0">
    <w:p w14:paraId="7E9B1892" w14:textId="77777777" w:rsidR="00CF77F4" w:rsidRDefault="00CF77F4" w:rsidP="00FC7C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724107"/>
      <w:docPartObj>
        <w:docPartGallery w:val="Page Numbers (Bottom of Page)"/>
        <w:docPartUnique/>
      </w:docPartObj>
    </w:sdtPr>
    <w:sdtEndPr>
      <w:rPr>
        <w:noProof/>
      </w:rPr>
    </w:sdtEndPr>
    <w:sdtContent>
      <w:p w14:paraId="3302D2BC" w14:textId="77777777" w:rsidR="00D65169" w:rsidRDefault="00020223">
        <w:pPr>
          <w:pStyle w:val="Footer"/>
          <w:jc w:val="right"/>
        </w:pPr>
        <w:r>
          <w:fldChar w:fldCharType="begin"/>
        </w:r>
        <w:r w:rsidR="00D65169">
          <w:instrText xml:space="preserve"> PAGE   \* MERGEFORMAT </w:instrText>
        </w:r>
        <w:r>
          <w:fldChar w:fldCharType="separate"/>
        </w:r>
        <w:r w:rsidR="00771F28">
          <w:rPr>
            <w:noProof/>
          </w:rPr>
          <w:t>3</w:t>
        </w:r>
        <w:r>
          <w:rPr>
            <w:noProof/>
          </w:rPr>
          <w:fldChar w:fldCharType="end"/>
        </w:r>
      </w:p>
    </w:sdtContent>
  </w:sdt>
  <w:p w14:paraId="0E5B57B5" w14:textId="77777777" w:rsidR="00FC7C8D" w:rsidRDefault="00FC7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1FE39" w14:textId="77777777" w:rsidR="00CF77F4" w:rsidRDefault="00CF77F4" w:rsidP="00FC7C8D">
      <w:pPr>
        <w:spacing w:before="0" w:after="0" w:line="240" w:lineRule="auto"/>
      </w:pPr>
      <w:r>
        <w:separator/>
      </w:r>
    </w:p>
  </w:footnote>
  <w:footnote w:type="continuationSeparator" w:id="0">
    <w:p w14:paraId="54069397" w14:textId="77777777" w:rsidR="00CF77F4" w:rsidRDefault="00CF77F4" w:rsidP="00FC7C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4358B"/>
    <w:multiLevelType w:val="multilevel"/>
    <w:tmpl w:val="A4B2D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1739954">
    <w:abstractNumId w:val="1"/>
  </w:num>
  <w:num w:numId="2" w16cid:durableId="1449398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40E"/>
    <w:rsid w:val="00005525"/>
    <w:rsid w:val="00020223"/>
    <w:rsid w:val="000D040E"/>
    <w:rsid w:val="00137DE9"/>
    <w:rsid w:val="001421D2"/>
    <w:rsid w:val="001A4B62"/>
    <w:rsid w:val="001A5F6A"/>
    <w:rsid w:val="00221082"/>
    <w:rsid w:val="0028638C"/>
    <w:rsid w:val="002E79A3"/>
    <w:rsid w:val="003232CF"/>
    <w:rsid w:val="003A0954"/>
    <w:rsid w:val="00406960"/>
    <w:rsid w:val="005A47FC"/>
    <w:rsid w:val="00674C5E"/>
    <w:rsid w:val="006F1DCE"/>
    <w:rsid w:val="00763DE6"/>
    <w:rsid w:val="00771F28"/>
    <w:rsid w:val="007E210A"/>
    <w:rsid w:val="00802E4F"/>
    <w:rsid w:val="008121A2"/>
    <w:rsid w:val="009F1160"/>
    <w:rsid w:val="00B92D61"/>
    <w:rsid w:val="00CD35A1"/>
    <w:rsid w:val="00CF77F4"/>
    <w:rsid w:val="00D65169"/>
    <w:rsid w:val="00DB23DD"/>
    <w:rsid w:val="00E26AE6"/>
    <w:rsid w:val="00EE28A9"/>
    <w:rsid w:val="00F04720"/>
    <w:rsid w:val="00F51380"/>
    <w:rsid w:val="00F729C0"/>
    <w:rsid w:val="00FC7C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3C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954"/>
    <w:pPr>
      <w:spacing w:before="60" w:after="60"/>
    </w:pPr>
    <w:rPr>
      <w:rFonts w:ascii="Arial" w:hAnsi="Arial" w:cs="Times New Roman"/>
      <w:sz w:val="24"/>
      <w:szCs w:val="20"/>
    </w:rPr>
  </w:style>
  <w:style w:type="paragraph" w:styleId="Heading1">
    <w:name w:val="heading 1"/>
    <w:basedOn w:val="Heading2"/>
    <w:next w:val="Normal"/>
    <w:link w:val="Heading1Char"/>
    <w:qFormat/>
    <w:rsid w:val="008121A2"/>
    <w:pPr>
      <w:keepNext w:val="0"/>
      <w:keepLines w:val="0"/>
      <w:spacing w:before="80"/>
      <w:outlineLvl w:val="0"/>
    </w:pPr>
    <w:rPr>
      <w:rFonts w:eastAsia="Calibri" w:cstheme="minorHAnsi"/>
      <w:color w:val="2F5496" w:themeColor="accent5" w:themeShade="BF"/>
      <w:sz w:val="28"/>
      <w:szCs w:val="28"/>
      <w:lang w:val="en-US"/>
    </w:rPr>
  </w:style>
  <w:style w:type="paragraph" w:styleId="Heading2">
    <w:name w:val="heading 2"/>
    <w:basedOn w:val="Normal"/>
    <w:next w:val="Normal"/>
    <w:link w:val="Heading2Char"/>
    <w:uiPriority w:val="9"/>
    <w:unhideWhenUsed/>
    <w:qFormat/>
    <w:rsid w:val="00406960"/>
    <w:pPr>
      <w:keepNext/>
      <w:keepLines/>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autoRedefine/>
    <w:uiPriority w:val="9"/>
    <w:unhideWhenUsed/>
    <w:qFormat/>
    <w:rsid w:val="00005525"/>
    <w:pPr>
      <w:keepNext/>
      <w:keepLines/>
      <w:spacing w:before="40" w:after="0"/>
      <w:outlineLvl w:val="2"/>
    </w:pPr>
    <w:rPr>
      <w:b/>
      <w:kern w:val="2"/>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21A2"/>
    <w:rPr>
      <w:rFonts w:ascii="Times New Roman" w:eastAsia="Calibri" w:hAnsi="Times New Roman" w:cstheme="minorHAnsi"/>
      <w:b/>
      <w:color w:val="2F5496" w:themeColor="accent5" w:themeShade="BF"/>
      <w:sz w:val="28"/>
      <w:szCs w:val="28"/>
      <w:lang w:val="en-US"/>
    </w:rPr>
  </w:style>
  <w:style w:type="character" w:customStyle="1" w:styleId="Heading2Char">
    <w:name w:val="Heading 2 Char"/>
    <w:basedOn w:val="DefaultParagraphFont"/>
    <w:link w:val="Heading2"/>
    <w:uiPriority w:val="9"/>
    <w:rsid w:val="00406960"/>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rsid w:val="00005525"/>
    <w:rPr>
      <w:rFonts w:ascii="Times New Roman" w:hAnsi="Times New Roman" w:cs="Times New Roman"/>
      <w:b/>
      <w:kern w:val="2"/>
      <w:sz w:val="24"/>
      <w:szCs w:val="24"/>
      <w:lang w:eastAsia="en-GB"/>
    </w:rPr>
  </w:style>
  <w:style w:type="paragraph" w:styleId="Header">
    <w:name w:val="header"/>
    <w:basedOn w:val="Normal"/>
    <w:link w:val="HeaderChar"/>
    <w:uiPriority w:val="99"/>
    <w:unhideWhenUsed/>
    <w:rsid w:val="00FC7C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C7C8D"/>
    <w:rPr>
      <w:rFonts w:ascii="Arial" w:hAnsi="Arial" w:cs="Times New Roman"/>
      <w:sz w:val="24"/>
      <w:szCs w:val="20"/>
    </w:rPr>
  </w:style>
  <w:style w:type="paragraph" w:styleId="Footer">
    <w:name w:val="footer"/>
    <w:basedOn w:val="Normal"/>
    <w:link w:val="FooterChar"/>
    <w:uiPriority w:val="99"/>
    <w:unhideWhenUsed/>
    <w:rsid w:val="00FC7C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C7C8D"/>
    <w:rPr>
      <w:rFonts w:ascii="Arial" w:hAnsi="Arial" w:cs="Times New Roman"/>
      <w:sz w:val="24"/>
      <w:szCs w:val="20"/>
    </w:rPr>
  </w:style>
  <w:style w:type="paragraph" w:styleId="BalloonText">
    <w:name w:val="Balloon Text"/>
    <w:basedOn w:val="Normal"/>
    <w:link w:val="BalloonTextChar"/>
    <w:uiPriority w:val="99"/>
    <w:semiHidden/>
    <w:unhideWhenUsed/>
    <w:rsid w:val="00E26AE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6A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9586">
      <w:bodyDiv w:val="1"/>
      <w:marLeft w:val="0"/>
      <w:marRight w:val="0"/>
      <w:marTop w:val="0"/>
      <w:marBottom w:val="0"/>
      <w:divBdr>
        <w:top w:val="none" w:sz="0" w:space="0" w:color="auto"/>
        <w:left w:val="none" w:sz="0" w:space="0" w:color="auto"/>
        <w:bottom w:val="none" w:sz="0" w:space="0" w:color="auto"/>
        <w:right w:val="none" w:sz="0" w:space="0" w:color="auto"/>
      </w:divBdr>
    </w:div>
    <w:div w:id="424806072">
      <w:bodyDiv w:val="1"/>
      <w:marLeft w:val="0"/>
      <w:marRight w:val="0"/>
      <w:marTop w:val="0"/>
      <w:marBottom w:val="0"/>
      <w:divBdr>
        <w:top w:val="none" w:sz="0" w:space="0" w:color="auto"/>
        <w:left w:val="none" w:sz="0" w:space="0" w:color="auto"/>
        <w:bottom w:val="none" w:sz="0" w:space="0" w:color="auto"/>
        <w:right w:val="none" w:sz="0" w:space="0" w:color="auto"/>
      </w:divBdr>
    </w:div>
    <w:div w:id="765492509">
      <w:bodyDiv w:val="1"/>
      <w:marLeft w:val="0"/>
      <w:marRight w:val="0"/>
      <w:marTop w:val="0"/>
      <w:marBottom w:val="0"/>
      <w:divBdr>
        <w:top w:val="none" w:sz="0" w:space="0" w:color="auto"/>
        <w:left w:val="none" w:sz="0" w:space="0" w:color="auto"/>
        <w:bottom w:val="none" w:sz="0" w:space="0" w:color="auto"/>
        <w:right w:val="none" w:sz="0" w:space="0" w:color="auto"/>
      </w:divBdr>
      <w:divsChild>
        <w:div w:id="398134154">
          <w:marLeft w:val="0"/>
          <w:marRight w:val="0"/>
          <w:marTop w:val="0"/>
          <w:marBottom w:val="0"/>
          <w:divBdr>
            <w:top w:val="none" w:sz="0" w:space="0" w:color="auto"/>
            <w:left w:val="none" w:sz="0" w:space="0" w:color="auto"/>
            <w:bottom w:val="none" w:sz="0" w:space="0" w:color="auto"/>
            <w:right w:val="none" w:sz="0" w:space="0" w:color="auto"/>
          </w:divBdr>
        </w:div>
        <w:div w:id="1119227348">
          <w:marLeft w:val="0"/>
          <w:marRight w:val="0"/>
          <w:marTop w:val="0"/>
          <w:marBottom w:val="0"/>
          <w:divBdr>
            <w:top w:val="none" w:sz="0" w:space="0" w:color="auto"/>
            <w:left w:val="none" w:sz="0" w:space="0" w:color="auto"/>
            <w:bottom w:val="none" w:sz="0" w:space="0" w:color="auto"/>
            <w:right w:val="none" w:sz="0" w:space="0" w:color="auto"/>
          </w:divBdr>
        </w:div>
        <w:div w:id="483357365">
          <w:marLeft w:val="0"/>
          <w:marRight w:val="0"/>
          <w:marTop w:val="0"/>
          <w:marBottom w:val="0"/>
          <w:divBdr>
            <w:top w:val="none" w:sz="0" w:space="0" w:color="auto"/>
            <w:left w:val="none" w:sz="0" w:space="0" w:color="auto"/>
            <w:bottom w:val="none" w:sz="0" w:space="0" w:color="auto"/>
            <w:right w:val="none" w:sz="0" w:space="0" w:color="auto"/>
          </w:divBdr>
        </w:div>
        <w:div w:id="1092553216">
          <w:marLeft w:val="0"/>
          <w:marRight w:val="0"/>
          <w:marTop w:val="0"/>
          <w:marBottom w:val="0"/>
          <w:divBdr>
            <w:top w:val="none" w:sz="0" w:space="0" w:color="auto"/>
            <w:left w:val="none" w:sz="0" w:space="0" w:color="auto"/>
            <w:bottom w:val="none" w:sz="0" w:space="0" w:color="auto"/>
            <w:right w:val="none" w:sz="0" w:space="0" w:color="auto"/>
          </w:divBdr>
        </w:div>
        <w:div w:id="855191446">
          <w:marLeft w:val="0"/>
          <w:marRight w:val="0"/>
          <w:marTop w:val="0"/>
          <w:marBottom w:val="0"/>
          <w:divBdr>
            <w:top w:val="none" w:sz="0" w:space="0" w:color="auto"/>
            <w:left w:val="none" w:sz="0" w:space="0" w:color="auto"/>
            <w:bottom w:val="none" w:sz="0" w:space="0" w:color="auto"/>
            <w:right w:val="none" w:sz="0" w:space="0" w:color="auto"/>
          </w:divBdr>
        </w:div>
      </w:divsChild>
    </w:div>
    <w:div w:id="786898481">
      <w:bodyDiv w:val="1"/>
      <w:marLeft w:val="0"/>
      <w:marRight w:val="0"/>
      <w:marTop w:val="0"/>
      <w:marBottom w:val="0"/>
      <w:divBdr>
        <w:top w:val="none" w:sz="0" w:space="0" w:color="auto"/>
        <w:left w:val="none" w:sz="0" w:space="0" w:color="auto"/>
        <w:bottom w:val="none" w:sz="0" w:space="0" w:color="auto"/>
        <w:right w:val="none" w:sz="0" w:space="0" w:color="auto"/>
      </w:divBdr>
    </w:div>
    <w:div w:id="957754900">
      <w:bodyDiv w:val="1"/>
      <w:marLeft w:val="0"/>
      <w:marRight w:val="0"/>
      <w:marTop w:val="0"/>
      <w:marBottom w:val="0"/>
      <w:divBdr>
        <w:top w:val="none" w:sz="0" w:space="0" w:color="auto"/>
        <w:left w:val="none" w:sz="0" w:space="0" w:color="auto"/>
        <w:bottom w:val="none" w:sz="0" w:space="0" w:color="auto"/>
        <w:right w:val="none" w:sz="0" w:space="0" w:color="auto"/>
      </w:divBdr>
    </w:div>
    <w:div w:id="1166895483">
      <w:bodyDiv w:val="1"/>
      <w:marLeft w:val="0"/>
      <w:marRight w:val="0"/>
      <w:marTop w:val="0"/>
      <w:marBottom w:val="0"/>
      <w:divBdr>
        <w:top w:val="none" w:sz="0" w:space="0" w:color="auto"/>
        <w:left w:val="none" w:sz="0" w:space="0" w:color="auto"/>
        <w:bottom w:val="none" w:sz="0" w:space="0" w:color="auto"/>
        <w:right w:val="none" w:sz="0" w:space="0" w:color="auto"/>
      </w:divBdr>
    </w:div>
    <w:div w:id="1336304424">
      <w:bodyDiv w:val="1"/>
      <w:marLeft w:val="0"/>
      <w:marRight w:val="0"/>
      <w:marTop w:val="0"/>
      <w:marBottom w:val="0"/>
      <w:divBdr>
        <w:top w:val="none" w:sz="0" w:space="0" w:color="auto"/>
        <w:left w:val="none" w:sz="0" w:space="0" w:color="auto"/>
        <w:bottom w:val="none" w:sz="0" w:space="0" w:color="auto"/>
        <w:right w:val="none" w:sz="0" w:space="0" w:color="auto"/>
      </w:divBdr>
    </w:div>
    <w:div w:id="1534728005">
      <w:bodyDiv w:val="1"/>
      <w:marLeft w:val="0"/>
      <w:marRight w:val="0"/>
      <w:marTop w:val="0"/>
      <w:marBottom w:val="0"/>
      <w:divBdr>
        <w:top w:val="none" w:sz="0" w:space="0" w:color="auto"/>
        <w:left w:val="none" w:sz="0" w:space="0" w:color="auto"/>
        <w:bottom w:val="none" w:sz="0" w:space="0" w:color="auto"/>
        <w:right w:val="none" w:sz="0" w:space="0" w:color="auto"/>
      </w:divBdr>
    </w:div>
    <w:div w:id="172282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2026-06-21T23:13:00Z</dcterms:created>
  <dcterms:modified xsi:type="dcterms:W3CDTF">2026-06-21T23:14:00Z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392be34c-bb41-4ff9-8802-b222dbdd340c</vt:lpwstr>
  </property>
</Properties>
</file>