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FDEA3" w14:textId="0B5F0428" w:rsidR="00A160C2" w:rsidRDefault="00A160C2" w:rsidP="00A160C2">
      <w:pPr>
        <w:pStyle w:val="Header"/>
        <w:jc w:val="right"/>
        <w:rPr>
          <w:color w:val="auto"/>
        </w:rPr>
      </w:pPr>
    </w:p>
    <w:p w14:paraId="269CEBB5" w14:textId="77777777" w:rsidR="00A160C2" w:rsidRDefault="00A160C2" w:rsidP="00A160C2">
      <w:pPr>
        <w:pStyle w:val="Header"/>
      </w:pPr>
    </w:p>
    <w:p w14:paraId="3CC72243" w14:textId="276BBAF6" w:rsidR="0044301B" w:rsidRPr="0044301B" w:rsidRDefault="00934F9D" w:rsidP="0044301B">
      <w:pPr>
        <w:rPr>
          <w:sz w:val="32"/>
          <w:szCs w:val="30"/>
        </w:rPr>
      </w:pPr>
      <w:r w:rsidRPr="00934F9D">
        <w:rPr>
          <w:noProof/>
          <w:sz w:val="32"/>
          <w:szCs w:val="30"/>
        </w:rPr>
        <w:drawing>
          <wp:inline distT="0" distB="0" distL="0" distR="0" wp14:anchorId="1D50CD7B" wp14:editId="543C468F">
            <wp:extent cx="1814830" cy="720725"/>
            <wp:effectExtent l="0" t="0" r="0" b="3175"/>
            <wp:docPr id="1755730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4830" cy="720725"/>
                    </a:xfrm>
                    <a:prstGeom prst="rect">
                      <a:avLst/>
                    </a:prstGeom>
                    <a:noFill/>
                    <a:ln>
                      <a:noFill/>
                    </a:ln>
                  </pic:spPr>
                </pic:pic>
              </a:graphicData>
            </a:graphic>
          </wp:inline>
        </w:drawing>
      </w:r>
    </w:p>
    <w:p w14:paraId="54620460" w14:textId="77777777" w:rsidR="00A160C2" w:rsidRDefault="00A160C2" w:rsidP="00A160C2"/>
    <w:p w14:paraId="030197BC" w14:textId="77777777" w:rsidR="00934F9D" w:rsidRDefault="00934F9D" w:rsidP="00934F9D">
      <w:pPr>
        <w:pStyle w:val="Default"/>
      </w:pPr>
    </w:p>
    <w:tbl>
      <w:tblPr>
        <w:tblStyle w:val="PlainTable2"/>
        <w:tblW w:w="9712" w:type="dxa"/>
        <w:tblLayout w:type="fixed"/>
        <w:tblLook w:val="0000" w:firstRow="0" w:lastRow="0" w:firstColumn="0" w:lastColumn="0" w:noHBand="0" w:noVBand="0"/>
      </w:tblPr>
      <w:tblGrid>
        <w:gridCol w:w="2428"/>
        <w:gridCol w:w="2428"/>
        <w:gridCol w:w="2428"/>
        <w:gridCol w:w="2428"/>
      </w:tblGrid>
      <w:tr w:rsidR="00934F9D" w14:paraId="3B44442C" w14:textId="77777777" w:rsidTr="0000632B">
        <w:trPr>
          <w:cnfStyle w:val="000000100000" w:firstRow="0" w:lastRow="0" w:firstColumn="0" w:lastColumn="0" w:oddVBand="0" w:evenVBand="0" w:oddHBand="1" w:evenHBand="0" w:firstRowFirstColumn="0" w:firstRowLastColumn="0" w:lastRowFirstColumn="0" w:lastRowLastColumn="0"/>
          <w:trHeight w:val="103"/>
        </w:trPr>
        <w:tc>
          <w:tcPr>
            <w:cnfStyle w:val="000010000000" w:firstRow="0" w:lastRow="0" w:firstColumn="0" w:lastColumn="0" w:oddVBand="1" w:evenVBand="0" w:oddHBand="0" w:evenHBand="0" w:firstRowFirstColumn="0" w:firstRowLastColumn="0" w:lastRowFirstColumn="0" w:lastRowLastColumn="0"/>
            <w:tcW w:w="4856" w:type="dxa"/>
            <w:gridSpan w:val="2"/>
          </w:tcPr>
          <w:p w14:paraId="6F26C7F5" w14:textId="6BE4C741" w:rsidR="00934F9D" w:rsidRDefault="00934F9D">
            <w:pPr>
              <w:pStyle w:val="Default"/>
              <w:rPr>
                <w:sz w:val="22"/>
                <w:szCs w:val="22"/>
              </w:rPr>
            </w:pPr>
            <w:r>
              <w:t xml:space="preserve"> </w:t>
            </w:r>
            <w:r>
              <w:rPr>
                <w:b/>
                <w:bCs/>
                <w:sz w:val="22"/>
                <w:szCs w:val="22"/>
              </w:rPr>
              <w:t xml:space="preserve">Student name: </w:t>
            </w:r>
            <w:r w:rsidR="00B24A86">
              <w:rPr>
                <w:b/>
                <w:bCs/>
                <w:sz w:val="22"/>
                <w:szCs w:val="22"/>
              </w:rPr>
              <w:t xml:space="preserve"> </w:t>
            </w:r>
            <w:r w:rsidR="00727EBA">
              <w:rPr>
                <w:b/>
                <w:bCs/>
                <w:sz w:val="22"/>
                <w:szCs w:val="22"/>
              </w:rPr>
              <w:t>Denisa Holubova</w:t>
            </w:r>
          </w:p>
        </w:tc>
        <w:tc>
          <w:tcPr>
            <w:cnfStyle w:val="000001000000" w:firstRow="0" w:lastRow="0" w:firstColumn="0" w:lastColumn="0" w:oddVBand="0" w:evenVBand="1" w:oddHBand="0" w:evenHBand="0" w:firstRowFirstColumn="0" w:firstRowLastColumn="0" w:lastRowFirstColumn="0" w:lastRowLastColumn="0"/>
            <w:tcW w:w="4856" w:type="dxa"/>
            <w:gridSpan w:val="2"/>
          </w:tcPr>
          <w:p w14:paraId="3DD1F8D8" w14:textId="4E2AEEB0" w:rsidR="00934F9D" w:rsidRDefault="00934F9D">
            <w:pPr>
              <w:pStyle w:val="Default"/>
              <w:rPr>
                <w:sz w:val="22"/>
                <w:szCs w:val="22"/>
              </w:rPr>
            </w:pPr>
            <w:r>
              <w:rPr>
                <w:b/>
                <w:bCs/>
                <w:sz w:val="22"/>
                <w:szCs w:val="22"/>
              </w:rPr>
              <w:t xml:space="preserve">Student ID number: </w:t>
            </w:r>
            <w:r w:rsidR="00727EBA">
              <w:rPr>
                <w:b/>
                <w:bCs/>
                <w:sz w:val="22"/>
                <w:szCs w:val="22"/>
              </w:rPr>
              <w:t>2019203601</w:t>
            </w:r>
          </w:p>
        </w:tc>
      </w:tr>
      <w:tr w:rsidR="00934F9D" w14:paraId="2C12C44C" w14:textId="77777777" w:rsidTr="0000632B">
        <w:trPr>
          <w:trHeight w:val="103"/>
        </w:trPr>
        <w:tc>
          <w:tcPr>
            <w:cnfStyle w:val="000010000000" w:firstRow="0" w:lastRow="0" w:firstColumn="0" w:lastColumn="0" w:oddVBand="1" w:evenVBand="0" w:oddHBand="0" w:evenHBand="0" w:firstRowFirstColumn="0" w:firstRowLastColumn="0" w:lastRowFirstColumn="0" w:lastRowLastColumn="0"/>
            <w:tcW w:w="4856" w:type="dxa"/>
            <w:gridSpan w:val="2"/>
          </w:tcPr>
          <w:p w14:paraId="44F80D52" w14:textId="77777777" w:rsidR="00934F9D" w:rsidRDefault="00934F9D">
            <w:pPr>
              <w:pStyle w:val="Default"/>
              <w:rPr>
                <w:sz w:val="22"/>
                <w:szCs w:val="22"/>
              </w:rPr>
            </w:pPr>
            <w:r>
              <w:rPr>
                <w:b/>
                <w:bCs/>
                <w:sz w:val="22"/>
                <w:szCs w:val="22"/>
              </w:rPr>
              <w:t xml:space="preserve">Programme: </w:t>
            </w:r>
          </w:p>
        </w:tc>
        <w:tc>
          <w:tcPr>
            <w:cnfStyle w:val="000001000000" w:firstRow="0" w:lastRow="0" w:firstColumn="0" w:lastColumn="0" w:oddVBand="0" w:evenVBand="1" w:oddHBand="0" w:evenHBand="0" w:firstRowFirstColumn="0" w:firstRowLastColumn="0" w:lastRowFirstColumn="0" w:lastRowLastColumn="0"/>
            <w:tcW w:w="4856" w:type="dxa"/>
            <w:gridSpan w:val="2"/>
          </w:tcPr>
          <w:p w14:paraId="7B23EB9C" w14:textId="717BA450" w:rsidR="00934F9D" w:rsidRDefault="00EC70AD">
            <w:pPr>
              <w:pStyle w:val="Default"/>
              <w:rPr>
                <w:sz w:val="22"/>
                <w:szCs w:val="22"/>
              </w:rPr>
            </w:pPr>
            <w:r w:rsidRPr="00EC70AD">
              <w:rPr>
                <w:b/>
                <w:bCs/>
                <w:sz w:val="22"/>
                <w:szCs w:val="22"/>
              </w:rPr>
              <w:t>Certificate of Higher Education Skills for the Workplace (Health &amp; Social Care)</w:t>
            </w:r>
          </w:p>
        </w:tc>
      </w:tr>
      <w:tr w:rsidR="00934F9D" w14:paraId="1D354AB9" w14:textId="77777777" w:rsidTr="0000632B">
        <w:trPr>
          <w:cnfStyle w:val="000000100000" w:firstRow="0" w:lastRow="0" w:firstColumn="0" w:lastColumn="0" w:oddVBand="0" w:evenVBand="0" w:oddHBand="1" w:evenHBand="0" w:firstRowFirstColumn="0" w:firstRowLastColumn="0" w:lastRowFirstColumn="0" w:lastRowLastColumn="0"/>
          <w:trHeight w:val="103"/>
        </w:trPr>
        <w:tc>
          <w:tcPr>
            <w:cnfStyle w:val="000010000000" w:firstRow="0" w:lastRow="0" w:firstColumn="0" w:lastColumn="0" w:oddVBand="1" w:evenVBand="0" w:oddHBand="0" w:evenHBand="0" w:firstRowFirstColumn="0" w:firstRowLastColumn="0" w:lastRowFirstColumn="0" w:lastRowLastColumn="0"/>
            <w:tcW w:w="4856" w:type="dxa"/>
            <w:gridSpan w:val="2"/>
          </w:tcPr>
          <w:p w14:paraId="67015E90" w14:textId="77777777" w:rsidR="00934F9D" w:rsidRDefault="00934F9D">
            <w:pPr>
              <w:pStyle w:val="Default"/>
              <w:rPr>
                <w:sz w:val="22"/>
                <w:szCs w:val="22"/>
              </w:rPr>
            </w:pPr>
            <w:r>
              <w:rPr>
                <w:b/>
                <w:bCs/>
                <w:sz w:val="22"/>
                <w:szCs w:val="22"/>
              </w:rPr>
              <w:t xml:space="preserve">Module: </w:t>
            </w:r>
          </w:p>
        </w:tc>
        <w:tc>
          <w:tcPr>
            <w:cnfStyle w:val="000001000000" w:firstRow="0" w:lastRow="0" w:firstColumn="0" w:lastColumn="0" w:oddVBand="0" w:evenVBand="1" w:oddHBand="0" w:evenHBand="0" w:firstRowFirstColumn="0" w:firstRowLastColumn="0" w:lastRowFirstColumn="0" w:lastRowLastColumn="0"/>
            <w:tcW w:w="4856" w:type="dxa"/>
            <w:gridSpan w:val="2"/>
          </w:tcPr>
          <w:p w14:paraId="3A95BB0A" w14:textId="579341E0" w:rsidR="00934F9D" w:rsidRDefault="00EC70AD">
            <w:pPr>
              <w:pStyle w:val="Default"/>
              <w:rPr>
                <w:sz w:val="22"/>
                <w:szCs w:val="22"/>
              </w:rPr>
            </w:pPr>
            <w:r w:rsidRPr="00EC70AD">
              <w:rPr>
                <w:b/>
                <w:bCs/>
                <w:sz w:val="22"/>
                <w:szCs w:val="22"/>
              </w:rPr>
              <w:t>Introduction to Health and Social Care</w:t>
            </w:r>
          </w:p>
        </w:tc>
      </w:tr>
      <w:tr w:rsidR="00934F9D" w14:paraId="00287FF7" w14:textId="77777777" w:rsidTr="0000632B">
        <w:trPr>
          <w:trHeight w:val="358"/>
        </w:trPr>
        <w:tc>
          <w:tcPr>
            <w:cnfStyle w:val="000010000000" w:firstRow="0" w:lastRow="0" w:firstColumn="0" w:lastColumn="0" w:oddVBand="1" w:evenVBand="0" w:oddHBand="0" w:evenHBand="0" w:firstRowFirstColumn="0" w:firstRowLastColumn="0" w:lastRowFirstColumn="0" w:lastRowLastColumn="0"/>
            <w:tcW w:w="2428" w:type="dxa"/>
          </w:tcPr>
          <w:p w14:paraId="208057C0" w14:textId="77777777" w:rsidR="00934F9D" w:rsidRDefault="00934F9D">
            <w:pPr>
              <w:pStyle w:val="Default"/>
              <w:rPr>
                <w:sz w:val="22"/>
                <w:szCs w:val="22"/>
              </w:rPr>
            </w:pPr>
            <w:r>
              <w:rPr>
                <w:b/>
                <w:bCs/>
                <w:sz w:val="22"/>
                <w:szCs w:val="22"/>
              </w:rPr>
              <w:t xml:space="preserve">Module code: </w:t>
            </w:r>
          </w:p>
        </w:tc>
        <w:tc>
          <w:tcPr>
            <w:cnfStyle w:val="000001000000" w:firstRow="0" w:lastRow="0" w:firstColumn="0" w:lastColumn="0" w:oddVBand="0" w:evenVBand="1" w:oddHBand="0" w:evenHBand="0" w:firstRowFirstColumn="0" w:firstRowLastColumn="0" w:lastRowFirstColumn="0" w:lastRowLastColumn="0"/>
            <w:tcW w:w="2428" w:type="dxa"/>
          </w:tcPr>
          <w:p w14:paraId="76B33198" w14:textId="71ADA425" w:rsidR="00934F9D" w:rsidRDefault="005C26B6">
            <w:pPr>
              <w:pStyle w:val="Default"/>
              <w:rPr>
                <w:sz w:val="22"/>
                <w:szCs w:val="22"/>
              </w:rPr>
            </w:pPr>
            <w:r w:rsidRPr="005C26B6">
              <w:rPr>
                <w:b/>
                <w:bCs/>
                <w:sz w:val="22"/>
                <w:szCs w:val="22"/>
              </w:rPr>
              <w:t>LCHS4003</w:t>
            </w:r>
          </w:p>
        </w:tc>
        <w:tc>
          <w:tcPr>
            <w:cnfStyle w:val="000010000000" w:firstRow="0" w:lastRow="0" w:firstColumn="0" w:lastColumn="0" w:oddVBand="1" w:evenVBand="0" w:oddHBand="0" w:evenHBand="0" w:firstRowFirstColumn="0" w:firstRowLastColumn="0" w:lastRowFirstColumn="0" w:lastRowLastColumn="0"/>
            <w:tcW w:w="2428" w:type="dxa"/>
          </w:tcPr>
          <w:p w14:paraId="5382940C" w14:textId="77777777" w:rsidR="00934F9D" w:rsidRDefault="00934F9D">
            <w:pPr>
              <w:pStyle w:val="Default"/>
              <w:rPr>
                <w:sz w:val="22"/>
                <w:szCs w:val="22"/>
              </w:rPr>
            </w:pPr>
            <w:r>
              <w:rPr>
                <w:b/>
                <w:bCs/>
                <w:sz w:val="22"/>
                <w:szCs w:val="22"/>
              </w:rPr>
              <w:t xml:space="preserve">Contribution to Overall Module Assessment (%): </w:t>
            </w:r>
          </w:p>
        </w:tc>
        <w:tc>
          <w:tcPr>
            <w:cnfStyle w:val="000001000000" w:firstRow="0" w:lastRow="0" w:firstColumn="0" w:lastColumn="0" w:oddVBand="0" w:evenVBand="1" w:oddHBand="0" w:evenHBand="0" w:firstRowFirstColumn="0" w:firstRowLastColumn="0" w:lastRowFirstColumn="0" w:lastRowLastColumn="0"/>
            <w:tcW w:w="2428" w:type="dxa"/>
          </w:tcPr>
          <w:p w14:paraId="537665B4" w14:textId="4DFEE7AD" w:rsidR="00934F9D" w:rsidRDefault="00EC70AD">
            <w:pPr>
              <w:pStyle w:val="Default"/>
              <w:rPr>
                <w:sz w:val="22"/>
                <w:szCs w:val="22"/>
              </w:rPr>
            </w:pPr>
            <w:r>
              <w:rPr>
                <w:b/>
                <w:bCs/>
                <w:sz w:val="22"/>
                <w:szCs w:val="22"/>
              </w:rPr>
              <w:t>50</w:t>
            </w:r>
            <w:r w:rsidR="00934F9D">
              <w:rPr>
                <w:b/>
                <w:bCs/>
                <w:sz w:val="22"/>
                <w:szCs w:val="22"/>
              </w:rPr>
              <w:t xml:space="preserve">% </w:t>
            </w:r>
          </w:p>
        </w:tc>
      </w:tr>
      <w:tr w:rsidR="00934F9D" w14:paraId="3427B9C6" w14:textId="77777777" w:rsidTr="0000632B">
        <w:trPr>
          <w:cnfStyle w:val="000000100000" w:firstRow="0" w:lastRow="0" w:firstColumn="0" w:lastColumn="0" w:oddVBand="0" w:evenVBand="0" w:oddHBand="1" w:evenHBand="0" w:firstRowFirstColumn="0" w:firstRowLastColumn="0" w:lastRowFirstColumn="0" w:lastRowLastColumn="0"/>
          <w:trHeight w:val="289"/>
        </w:trPr>
        <w:tc>
          <w:tcPr>
            <w:cnfStyle w:val="000010000000" w:firstRow="0" w:lastRow="0" w:firstColumn="0" w:lastColumn="0" w:oddVBand="1" w:evenVBand="0" w:oddHBand="0" w:evenHBand="0" w:firstRowFirstColumn="0" w:firstRowLastColumn="0" w:lastRowFirstColumn="0" w:lastRowLastColumn="0"/>
            <w:tcW w:w="2428" w:type="dxa"/>
          </w:tcPr>
          <w:p w14:paraId="2CC1C47A" w14:textId="3A08310E" w:rsidR="00934F9D" w:rsidRDefault="005C26B6">
            <w:pPr>
              <w:pStyle w:val="Default"/>
              <w:rPr>
                <w:sz w:val="22"/>
                <w:szCs w:val="22"/>
              </w:rPr>
            </w:pPr>
            <w:r w:rsidRPr="005C26B6">
              <w:rPr>
                <w:b/>
                <w:bCs/>
                <w:sz w:val="22"/>
                <w:szCs w:val="22"/>
              </w:rPr>
              <w:t>Lecturers</w:t>
            </w:r>
            <w:r w:rsidR="00934F9D">
              <w:rPr>
                <w:b/>
                <w:bCs/>
                <w:sz w:val="22"/>
                <w:szCs w:val="22"/>
              </w:rPr>
              <w:t xml:space="preserve">: </w:t>
            </w:r>
          </w:p>
        </w:tc>
        <w:tc>
          <w:tcPr>
            <w:cnfStyle w:val="000001000000" w:firstRow="0" w:lastRow="0" w:firstColumn="0" w:lastColumn="0" w:oddVBand="0" w:evenVBand="1" w:oddHBand="0" w:evenHBand="0" w:firstRowFirstColumn="0" w:firstRowLastColumn="0" w:lastRowFirstColumn="0" w:lastRowLastColumn="0"/>
            <w:tcW w:w="2428" w:type="dxa"/>
          </w:tcPr>
          <w:p w14:paraId="02E91B96" w14:textId="05B17272" w:rsidR="00934F9D" w:rsidRDefault="005C26B6">
            <w:pPr>
              <w:pStyle w:val="Default"/>
              <w:rPr>
                <w:sz w:val="22"/>
                <w:szCs w:val="22"/>
              </w:rPr>
            </w:pPr>
            <w:r w:rsidRPr="005C26B6">
              <w:rPr>
                <w:b/>
                <w:bCs/>
                <w:sz w:val="22"/>
                <w:szCs w:val="22"/>
              </w:rPr>
              <w:t>Muhammad Aliyu (Module Leader)</w:t>
            </w:r>
          </w:p>
        </w:tc>
        <w:tc>
          <w:tcPr>
            <w:cnfStyle w:val="000010000000" w:firstRow="0" w:lastRow="0" w:firstColumn="0" w:lastColumn="0" w:oddVBand="1" w:evenVBand="0" w:oddHBand="0" w:evenHBand="0" w:firstRowFirstColumn="0" w:firstRowLastColumn="0" w:lastRowFirstColumn="0" w:lastRowLastColumn="0"/>
            <w:tcW w:w="2428" w:type="dxa"/>
          </w:tcPr>
          <w:p w14:paraId="43D3F301" w14:textId="77777777" w:rsidR="00934F9D" w:rsidRDefault="00934F9D">
            <w:pPr>
              <w:pStyle w:val="Default"/>
              <w:rPr>
                <w:sz w:val="22"/>
                <w:szCs w:val="22"/>
              </w:rPr>
            </w:pPr>
            <w:r>
              <w:rPr>
                <w:b/>
                <w:bCs/>
                <w:sz w:val="22"/>
                <w:szCs w:val="22"/>
              </w:rPr>
              <w:t xml:space="preserve">Internal Verifier: </w:t>
            </w:r>
          </w:p>
        </w:tc>
        <w:tc>
          <w:tcPr>
            <w:cnfStyle w:val="000001000000" w:firstRow="0" w:lastRow="0" w:firstColumn="0" w:lastColumn="0" w:oddVBand="0" w:evenVBand="1" w:oddHBand="0" w:evenHBand="0" w:firstRowFirstColumn="0" w:firstRowLastColumn="0" w:lastRowFirstColumn="0" w:lastRowLastColumn="0"/>
            <w:tcW w:w="2428" w:type="dxa"/>
          </w:tcPr>
          <w:p w14:paraId="637C5723" w14:textId="49C15650" w:rsidR="00934F9D" w:rsidRDefault="00EC70AD">
            <w:pPr>
              <w:pStyle w:val="Default"/>
              <w:rPr>
                <w:sz w:val="22"/>
                <w:szCs w:val="22"/>
              </w:rPr>
            </w:pPr>
            <w:r w:rsidRPr="00EC70AD">
              <w:rPr>
                <w:b/>
                <w:bCs/>
                <w:sz w:val="22"/>
                <w:szCs w:val="22"/>
              </w:rPr>
              <w:t>Dr Besty Jose</w:t>
            </w:r>
          </w:p>
        </w:tc>
      </w:tr>
      <w:tr w:rsidR="009568EC" w14:paraId="5E173DEE" w14:textId="77777777" w:rsidTr="0000632B">
        <w:trPr>
          <w:trHeight w:val="289"/>
        </w:trPr>
        <w:tc>
          <w:tcPr>
            <w:cnfStyle w:val="000010000000" w:firstRow="0" w:lastRow="0" w:firstColumn="0" w:lastColumn="0" w:oddVBand="1" w:evenVBand="0" w:oddHBand="0" w:evenHBand="0" w:firstRowFirstColumn="0" w:firstRowLastColumn="0" w:lastRowFirstColumn="0" w:lastRowLastColumn="0"/>
            <w:tcW w:w="2428" w:type="dxa"/>
          </w:tcPr>
          <w:p w14:paraId="730EB585" w14:textId="77777777" w:rsidR="009568EC" w:rsidRDefault="009568EC" w:rsidP="009568EC">
            <w:pPr>
              <w:pStyle w:val="Default"/>
              <w:rPr>
                <w:sz w:val="22"/>
                <w:szCs w:val="22"/>
              </w:rPr>
            </w:pPr>
            <w:r>
              <w:rPr>
                <w:b/>
                <w:bCs/>
                <w:sz w:val="22"/>
                <w:szCs w:val="22"/>
              </w:rPr>
              <w:t xml:space="preserve">Assignment Title: </w:t>
            </w:r>
          </w:p>
        </w:tc>
        <w:tc>
          <w:tcPr>
            <w:cnfStyle w:val="000001000000" w:firstRow="0" w:lastRow="0" w:firstColumn="0" w:lastColumn="0" w:oddVBand="0" w:evenVBand="1" w:oddHBand="0" w:evenHBand="0" w:firstRowFirstColumn="0" w:firstRowLastColumn="0" w:lastRowFirstColumn="0" w:lastRowLastColumn="0"/>
            <w:tcW w:w="2428" w:type="dxa"/>
          </w:tcPr>
          <w:p w14:paraId="2DB72051" w14:textId="77777777" w:rsidR="005C26B6" w:rsidRPr="005C26B6" w:rsidRDefault="005C26B6" w:rsidP="005C26B6">
            <w:pPr>
              <w:pStyle w:val="Default"/>
              <w:rPr>
                <w:b/>
                <w:bCs/>
                <w:sz w:val="22"/>
                <w:szCs w:val="22"/>
              </w:rPr>
            </w:pPr>
            <w:r w:rsidRPr="005C26B6">
              <w:rPr>
                <w:b/>
                <w:bCs/>
                <w:sz w:val="22"/>
                <w:szCs w:val="22"/>
              </w:rPr>
              <w:t>Component 2</w:t>
            </w:r>
          </w:p>
          <w:p w14:paraId="1656B24B" w14:textId="655F83CA" w:rsidR="009568EC" w:rsidRDefault="005C26B6" w:rsidP="005C26B6">
            <w:pPr>
              <w:pStyle w:val="Default"/>
              <w:rPr>
                <w:sz w:val="22"/>
                <w:szCs w:val="22"/>
              </w:rPr>
            </w:pPr>
            <w:r w:rsidRPr="005C26B6">
              <w:rPr>
                <w:b/>
                <w:bCs/>
                <w:sz w:val="22"/>
                <w:szCs w:val="22"/>
              </w:rPr>
              <w:t>Written Assignment</w:t>
            </w:r>
          </w:p>
        </w:tc>
        <w:tc>
          <w:tcPr>
            <w:cnfStyle w:val="000010000000" w:firstRow="0" w:lastRow="0" w:firstColumn="0" w:lastColumn="0" w:oddVBand="1" w:evenVBand="0" w:oddHBand="0" w:evenHBand="0" w:firstRowFirstColumn="0" w:firstRowLastColumn="0" w:lastRowFirstColumn="0" w:lastRowLastColumn="0"/>
            <w:tcW w:w="2428" w:type="dxa"/>
          </w:tcPr>
          <w:p w14:paraId="1702AE35" w14:textId="6EE7EC97" w:rsidR="009568EC" w:rsidRPr="009568EC" w:rsidRDefault="009568EC" w:rsidP="009568EC">
            <w:pPr>
              <w:pStyle w:val="Default"/>
              <w:rPr>
                <w:color w:val="auto"/>
                <w:sz w:val="22"/>
                <w:szCs w:val="22"/>
              </w:rPr>
            </w:pPr>
            <w:r w:rsidRPr="009568EC">
              <w:rPr>
                <w:b/>
                <w:bCs/>
                <w:color w:val="auto"/>
                <w:sz w:val="22"/>
                <w:szCs w:val="22"/>
              </w:rPr>
              <w:t xml:space="preserve">Submission deadline: </w:t>
            </w:r>
          </w:p>
        </w:tc>
        <w:tc>
          <w:tcPr>
            <w:cnfStyle w:val="000001000000" w:firstRow="0" w:lastRow="0" w:firstColumn="0" w:lastColumn="0" w:oddVBand="0" w:evenVBand="1" w:oddHBand="0" w:evenHBand="0" w:firstRowFirstColumn="0" w:firstRowLastColumn="0" w:lastRowFirstColumn="0" w:lastRowLastColumn="0"/>
            <w:tcW w:w="2428" w:type="dxa"/>
          </w:tcPr>
          <w:p w14:paraId="5FA528B3" w14:textId="5C4A523B" w:rsidR="009568EC" w:rsidRPr="009568EC" w:rsidRDefault="00EC70AD" w:rsidP="009568EC">
            <w:pPr>
              <w:pStyle w:val="Default"/>
              <w:rPr>
                <w:color w:val="auto"/>
                <w:sz w:val="22"/>
                <w:szCs w:val="22"/>
              </w:rPr>
            </w:pPr>
            <w:r w:rsidRPr="00EC70AD">
              <w:rPr>
                <w:b/>
                <w:bCs/>
                <w:color w:val="auto"/>
                <w:sz w:val="22"/>
                <w:szCs w:val="22"/>
              </w:rPr>
              <w:t>21st August 2026</w:t>
            </w:r>
          </w:p>
        </w:tc>
      </w:tr>
    </w:tbl>
    <w:p w14:paraId="1C3F5755" w14:textId="12DAABD3" w:rsidR="00024CED" w:rsidRPr="00E13862" w:rsidRDefault="00024CED" w:rsidP="00785FC5">
      <w:pPr>
        <w:spacing w:line="259" w:lineRule="auto"/>
        <w:jc w:val="left"/>
      </w:pPr>
    </w:p>
    <w:p w14:paraId="2D91C559" w14:textId="77777777" w:rsidR="00E13862" w:rsidRDefault="00E13862"/>
    <w:p w14:paraId="46B95C90" w14:textId="6A4EDF60" w:rsidR="001834FC" w:rsidRDefault="00564ACD" w:rsidP="00F77B9E">
      <w:pPr>
        <w:spacing w:line="259" w:lineRule="auto"/>
        <w:jc w:val="left"/>
      </w:pPr>
      <w:r>
        <w:br w:type="page"/>
      </w:r>
    </w:p>
    <w:sdt>
      <w:sdtPr>
        <w:rPr>
          <w:rFonts w:ascii="Times New Roman" w:eastAsiaTheme="minorHAnsi" w:hAnsi="Times New Roman" w:cstheme="minorBidi"/>
          <w:color w:val="000000" w:themeColor="text1"/>
          <w:sz w:val="24"/>
          <w:szCs w:val="22"/>
          <w:lang w:val="en-GB"/>
        </w:rPr>
        <w:id w:val="1593201860"/>
        <w:docPartObj>
          <w:docPartGallery w:val="Table of Contents"/>
          <w:docPartUnique/>
        </w:docPartObj>
      </w:sdtPr>
      <w:sdtEndPr>
        <w:rPr>
          <w:rFonts w:ascii="Arial" w:hAnsi="Arial"/>
          <w:b/>
          <w:bCs/>
          <w:sz w:val="22"/>
        </w:rPr>
      </w:sdtEndPr>
      <w:sdtContent>
        <w:p w14:paraId="66A3A8E3" w14:textId="448B4FA6" w:rsidR="008E5585" w:rsidRPr="008E5585" w:rsidRDefault="008E5585" w:rsidP="008E5585">
          <w:pPr>
            <w:pStyle w:val="TOCHeading"/>
            <w:jc w:val="center"/>
            <w:rPr>
              <w:b/>
              <w:bCs/>
            </w:rPr>
          </w:pPr>
          <w:r w:rsidRPr="008E5585">
            <w:rPr>
              <w:b/>
              <w:bCs/>
              <w:lang w:val="en-GB"/>
            </w:rPr>
            <w:t>Table of Contents</w:t>
          </w:r>
        </w:p>
        <w:p w14:paraId="1E20F230" w14:textId="4AE87FB4" w:rsidR="006C6B20" w:rsidRDefault="008E5585">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7382472" w:history="1">
            <w:r w:rsidR="006C6B20" w:rsidRPr="000F47CB">
              <w:rPr>
                <w:rStyle w:val="Hyperlink"/>
                <w:noProof/>
              </w:rPr>
              <w:t>1. Introduction</w:t>
            </w:r>
            <w:r w:rsidR="006C6B20">
              <w:rPr>
                <w:noProof/>
                <w:webHidden/>
              </w:rPr>
              <w:tab/>
            </w:r>
            <w:r w:rsidR="006C6B20">
              <w:rPr>
                <w:noProof/>
                <w:webHidden/>
              </w:rPr>
              <w:fldChar w:fldCharType="begin"/>
            </w:r>
            <w:r w:rsidR="006C6B20">
              <w:rPr>
                <w:noProof/>
                <w:webHidden/>
              </w:rPr>
              <w:instrText xml:space="preserve"> PAGEREF _Toc237382472 \h </w:instrText>
            </w:r>
            <w:r w:rsidR="006C6B20">
              <w:rPr>
                <w:noProof/>
                <w:webHidden/>
              </w:rPr>
            </w:r>
            <w:r w:rsidR="006C6B20">
              <w:rPr>
                <w:noProof/>
                <w:webHidden/>
              </w:rPr>
              <w:fldChar w:fldCharType="separate"/>
            </w:r>
            <w:r w:rsidR="006C6B20">
              <w:rPr>
                <w:noProof/>
                <w:webHidden/>
              </w:rPr>
              <w:t>1</w:t>
            </w:r>
            <w:r w:rsidR="006C6B20">
              <w:rPr>
                <w:noProof/>
                <w:webHidden/>
              </w:rPr>
              <w:fldChar w:fldCharType="end"/>
            </w:r>
          </w:hyperlink>
        </w:p>
        <w:p w14:paraId="70F7DEB8" w14:textId="1B0B31A4" w:rsidR="006C6B20" w:rsidRDefault="006C6B20">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7382473" w:history="1">
            <w:r w:rsidRPr="000F47CB">
              <w:rPr>
                <w:rStyle w:val="Hyperlink"/>
                <w:noProof/>
              </w:rPr>
              <w:t>2. Effective Communication in Mrs Thompson’s Care</w:t>
            </w:r>
            <w:r>
              <w:rPr>
                <w:noProof/>
                <w:webHidden/>
              </w:rPr>
              <w:tab/>
            </w:r>
            <w:r>
              <w:rPr>
                <w:noProof/>
                <w:webHidden/>
              </w:rPr>
              <w:fldChar w:fldCharType="begin"/>
            </w:r>
            <w:r>
              <w:rPr>
                <w:noProof/>
                <w:webHidden/>
              </w:rPr>
              <w:instrText xml:space="preserve"> PAGEREF _Toc237382473 \h </w:instrText>
            </w:r>
            <w:r>
              <w:rPr>
                <w:noProof/>
                <w:webHidden/>
              </w:rPr>
            </w:r>
            <w:r>
              <w:rPr>
                <w:noProof/>
                <w:webHidden/>
              </w:rPr>
              <w:fldChar w:fldCharType="separate"/>
            </w:r>
            <w:r>
              <w:rPr>
                <w:noProof/>
                <w:webHidden/>
              </w:rPr>
              <w:t>2</w:t>
            </w:r>
            <w:r>
              <w:rPr>
                <w:noProof/>
                <w:webHidden/>
              </w:rPr>
              <w:fldChar w:fldCharType="end"/>
            </w:r>
          </w:hyperlink>
        </w:p>
        <w:p w14:paraId="70283D64" w14:textId="0F00246A" w:rsidR="006C6B20" w:rsidRDefault="006C6B20">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7382474" w:history="1">
            <w:r w:rsidRPr="000F47CB">
              <w:rPr>
                <w:rStyle w:val="Hyperlink"/>
                <w:noProof/>
              </w:rPr>
              <w:t>3. Administrative Skills, Record Keeping, and Information Governance</w:t>
            </w:r>
            <w:r>
              <w:rPr>
                <w:noProof/>
                <w:webHidden/>
              </w:rPr>
              <w:tab/>
            </w:r>
            <w:r>
              <w:rPr>
                <w:noProof/>
                <w:webHidden/>
              </w:rPr>
              <w:fldChar w:fldCharType="begin"/>
            </w:r>
            <w:r>
              <w:rPr>
                <w:noProof/>
                <w:webHidden/>
              </w:rPr>
              <w:instrText xml:space="preserve"> PAGEREF _Toc237382474 \h </w:instrText>
            </w:r>
            <w:r>
              <w:rPr>
                <w:noProof/>
                <w:webHidden/>
              </w:rPr>
            </w:r>
            <w:r>
              <w:rPr>
                <w:noProof/>
                <w:webHidden/>
              </w:rPr>
              <w:fldChar w:fldCharType="separate"/>
            </w:r>
            <w:r>
              <w:rPr>
                <w:noProof/>
                <w:webHidden/>
              </w:rPr>
              <w:t>3</w:t>
            </w:r>
            <w:r>
              <w:rPr>
                <w:noProof/>
                <w:webHidden/>
              </w:rPr>
              <w:fldChar w:fldCharType="end"/>
            </w:r>
          </w:hyperlink>
        </w:p>
        <w:p w14:paraId="52C80B9B" w14:textId="72A7A018" w:rsidR="006C6B20" w:rsidRDefault="006C6B20">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7382475" w:history="1">
            <w:r w:rsidRPr="000F47CB">
              <w:rPr>
                <w:rStyle w:val="Hyperlink"/>
                <w:noProof/>
              </w:rPr>
              <w:t>4. Collaborative Multi-Agency Working</w:t>
            </w:r>
            <w:r>
              <w:rPr>
                <w:noProof/>
                <w:webHidden/>
              </w:rPr>
              <w:tab/>
            </w:r>
            <w:r>
              <w:rPr>
                <w:noProof/>
                <w:webHidden/>
              </w:rPr>
              <w:fldChar w:fldCharType="begin"/>
            </w:r>
            <w:r>
              <w:rPr>
                <w:noProof/>
                <w:webHidden/>
              </w:rPr>
              <w:instrText xml:space="preserve"> PAGEREF _Toc237382475 \h </w:instrText>
            </w:r>
            <w:r>
              <w:rPr>
                <w:noProof/>
                <w:webHidden/>
              </w:rPr>
            </w:r>
            <w:r>
              <w:rPr>
                <w:noProof/>
                <w:webHidden/>
              </w:rPr>
              <w:fldChar w:fldCharType="separate"/>
            </w:r>
            <w:r>
              <w:rPr>
                <w:noProof/>
                <w:webHidden/>
              </w:rPr>
              <w:t>4</w:t>
            </w:r>
            <w:r>
              <w:rPr>
                <w:noProof/>
                <w:webHidden/>
              </w:rPr>
              <w:fldChar w:fldCharType="end"/>
            </w:r>
          </w:hyperlink>
        </w:p>
        <w:p w14:paraId="5F7210E6" w14:textId="096DB68F" w:rsidR="006C6B20" w:rsidRDefault="006C6B20">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7382476" w:history="1">
            <w:r w:rsidRPr="000F47CB">
              <w:rPr>
                <w:rStyle w:val="Hyperlink"/>
                <w:noProof/>
              </w:rPr>
              <w:t>5. Conclusion</w:t>
            </w:r>
            <w:r>
              <w:rPr>
                <w:noProof/>
                <w:webHidden/>
              </w:rPr>
              <w:tab/>
            </w:r>
            <w:r>
              <w:rPr>
                <w:noProof/>
                <w:webHidden/>
              </w:rPr>
              <w:fldChar w:fldCharType="begin"/>
            </w:r>
            <w:r>
              <w:rPr>
                <w:noProof/>
                <w:webHidden/>
              </w:rPr>
              <w:instrText xml:space="preserve"> PAGEREF _Toc237382476 \h </w:instrText>
            </w:r>
            <w:r>
              <w:rPr>
                <w:noProof/>
                <w:webHidden/>
              </w:rPr>
            </w:r>
            <w:r>
              <w:rPr>
                <w:noProof/>
                <w:webHidden/>
              </w:rPr>
              <w:fldChar w:fldCharType="separate"/>
            </w:r>
            <w:r>
              <w:rPr>
                <w:noProof/>
                <w:webHidden/>
              </w:rPr>
              <w:t>5</w:t>
            </w:r>
            <w:r>
              <w:rPr>
                <w:noProof/>
                <w:webHidden/>
              </w:rPr>
              <w:fldChar w:fldCharType="end"/>
            </w:r>
          </w:hyperlink>
        </w:p>
        <w:p w14:paraId="35FF2E5B" w14:textId="397A984B" w:rsidR="006C6B20" w:rsidRDefault="006C6B20">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7382477" w:history="1">
            <w:r w:rsidRPr="000F47CB">
              <w:rPr>
                <w:rStyle w:val="Hyperlink"/>
                <w:noProof/>
              </w:rPr>
              <w:t>References</w:t>
            </w:r>
            <w:r>
              <w:rPr>
                <w:noProof/>
                <w:webHidden/>
              </w:rPr>
              <w:tab/>
            </w:r>
            <w:r>
              <w:rPr>
                <w:noProof/>
                <w:webHidden/>
              </w:rPr>
              <w:fldChar w:fldCharType="begin"/>
            </w:r>
            <w:r>
              <w:rPr>
                <w:noProof/>
                <w:webHidden/>
              </w:rPr>
              <w:instrText xml:space="preserve"> PAGEREF _Toc237382477 \h </w:instrText>
            </w:r>
            <w:r>
              <w:rPr>
                <w:noProof/>
                <w:webHidden/>
              </w:rPr>
            </w:r>
            <w:r>
              <w:rPr>
                <w:noProof/>
                <w:webHidden/>
              </w:rPr>
              <w:fldChar w:fldCharType="separate"/>
            </w:r>
            <w:r>
              <w:rPr>
                <w:noProof/>
                <w:webHidden/>
              </w:rPr>
              <w:t>6</w:t>
            </w:r>
            <w:r>
              <w:rPr>
                <w:noProof/>
                <w:webHidden/>
              </w:rPr>
              <w:fldChar w:fldCharType="end"/>
            </w:r>
          </w:hyperlink>
        </w:p>
        <w:p w14:paraId="2F92FDFC" w14:textId="19A23AFE" w:rsidR="008E5585" w:rsidRDefault="008E5585">
          <w:r>
            <w:rPr>
              <w:b/>
              <w:bCs/>
            </w:rPr>
            <w:fldChar w:fldCharType="end"/>
          </w:r>
        </w:p>
      </w:sdtContent>
    </w:sdt>
    <w:p w14:paraId="0BEB37EE" w14:textId="220D8BAB" w:rsidR="001834FC" w:rsidRDefault="001834FC" w:rsidP="00E41823">
      <w:pPr>
        <w:sectPr w:rsidR="001834FC" w:rsidSect="00731705">
          <w:footerReference w:type="default" r:id="rId9"/>
          <w:pgSz w:w="11906" w:h="16838" w:code="9"/>
          <w:pgMar w:top="1440" w:right="1440" w:bottom="1440" w:left="1440" w:header="720" w:footer="720" w:gutter="0"/>
          <w:pgNumType w:fmt="lowerRoman"/>
          <w:cols w:space="720"/>
          <w:docGrid w:linePitch="360"/>
        </w:sectPr>
      </w:pPr>
    </w:p>
    <w:p w14:paraId="43E39E4E" w14:textId="77777777" w:rsidR="007345DE" w:rsidRDefault="007345DE" w:rsidP="007345DE">
      <w:pPr>
        <w:pStyle w:val="Heading1"/>
      </w:pPr>
      <w:bookmarkStart w:id="0" w:name="_Toc237382472"/>
      <w:bookmarkStart w:id="1" w:name="_Toc232149714"/>
      <w:r>
        <w:lastRenderedPageBreak/>
        <w:t>1. Introduction</w:t>
      </w:r>
      <w:bookmarkEnd w:id="0"/>
    </w:p>
    <w:p w14:paraId="1C33149B" w14:textId="4DADBA5D" w:rsidR="009D15EE" w:rsidRPr="009D15EE" w:rsidRDefault="0032234B" w:rsidP="009D15EE">
      <w:r w:rsidRPr="0032234B">
        <w:t>The health and social care system in the United Kingdom is a complex and interconnected system that provides comprehensive and coordinated care to vulnerable people. The need for integration of health and social care, including general practice and NHS community nursing, into adult social care services from local authorities and private domiciliary care agencies continues to be vital in managing complex needs among older people (Ruebain, 2021). Mrs Thompson, living in sheltered housing, aged 84 years, with mild dementia, was recently admitted for treatment of pneumonia. After her discharge, her vulnerability showed itself in missing medications, increased confusion and one case of going outside without proper attire during cold weather. This report critically appraises key aspects of the care provision that relates to Mrs Thompson's situation. This report addresses person-centred communication, regulatory data compliance, and multi-agency collaboration in a structured way, based on statutory legislation, academic frameworks and professional health and social care practice standards</w:t>
      </w:r>
      <w:r w:rsidR="009D15EE" w:rsidRPr="009D15EE">
        <w:t>.</w:t>
      </w:r>
    </w:p>
    <w:p w14:paraId="6EAA505A" w14:textId="77777777" w:rsidR="009D15EE" w:rsidRPr="009D15EE" w:rsidRDefault="009D15EE" w:rsidP="009D15EE"/>
    <w:p w14:paraId="46D21CDE" w14:textId="77777777" w:rsidR="009D15EE" w:rsidRDefault="009D15EE">
      <w:pPr>
        <w:spacing w:line="259" w:lineRule="auto"/>
        <w:jc w:val="left"/>
      </w:pPr>
      <w:r>
        <w:br w:type="page"/>
      </w:r>
    </w:p>
    <w:p w14:paraId="16D988EE" w14:textId="4356AF35" w:rsidR="009D15EE" w:rsidRPr="009D15EE" w:rsidRDefault="009D15EE" w:rsidP="009D15EE">
      <w:pPr>
        <w:pStyle w:val="Heading1"/>
      </w:pPr>
      <w:bookmarkStart w:id="2" w:name="_Toc237382473"/>
      <w:r>
        <w:lastRenderedPageBreak/>
        <w:t>2.</w:t>
      </w:r>
      <w:r w:rsidRPr="009D15EE">
        <w:t xml:space="preserve"> Effective Communication in Mrs Thompson’s Care</w:t>
      </w:r>
      <w:bookmarkEnd w:id="2"/>
    </w:p>
    <w:p w14:paraId="52B08F0A" w14:textId="77777777" w:rsidR="0032234B" w:rsidRDefault="0032234B" w:rsidP="009D15EE">
      <w:r w:rsidRPr="0032234B">
        <w:t xml:space="preserve"> In the healthcare industry, communication is the foundation of quality, person-centred care, directly impacting clinical care, patient safety, and emotional well-being. For Mrs Thompson, her mild dementia and recent confusion means that there is a need for adapted communication strategies to be used, ensuring she is understood but also preserving her dignity. Interventions should be consistent with the Equality Act 2010 that protects people from discrimination on the protected grounds, including age and disability. Section 20 of the Equality Act 2010 places a statutory duty on service providers to make reasonable adjustments. This means that the care staff has to adapt their communication, both verbal and written, to take into consideration the cognitive deficits for Mrs Thompson. The practitioner should refrain from jargon and use short sentences, take time to process, and use non-verbal communication (body language, tone etc.). Additionally, family communication needs to be inclusive whilst also maintaining autonomy, meaning that family members should be informed and involved but not to the extent that it compromises Mrs Thompson's legal capacity to make decisions for herself (Adler et al., 2021). </w:t>
      </w:r>
    </w:p>
    <w:p w14:paraId="35BF2E25" w14:textId="025A064E" w:rsidR="0032234B" w:rsidRDefault="0032234B" w:rsidP="009D15EE">
      <w:r w:rsidRPr="0032234B">
        <w:t>These interactions can be structured in a systematic way using Berlo's SMCR (Source, Message, Channel, Receiver) Model of Communication. The Source (Healthcare practitioner/domiciliary carer) should have high communication skills, awareness of cognitive decline and have an empathetic attitude. The Message should be simple, concise, and not too complicated, with single actionable messages like soft reminders about when to take medicines. The Channel is the medium through which the message is delivered; for Mrs Thompson this would be a mix of direct verbal interaction, the use of simple pictorial medication schedules and sensory cues. Finally, the Receiver (Mrs Thompson or her family) processes the information according to the state she is in. Cognitive fatigue or confusion affects the way in which Mrs Thompson receives the message and the source must constantly observe feedback and switch modes to accommodate that (V. Dominic and Alzheimer, 2026).</w:t>
      </w:r>
    </w:p>
    <w:p w14:paraId="3A8B6855" w14:textId="07E5FB2E" w:rsidR="009D15EE" w:rsidRPr="009D15EE" w:rsidRDefault="007B32CD" w:rsidP="009D15EE">
      <w:r w:rsidRPr="007B32CD">
        <w:t>Using Berlo's model in the context of the Equality Act 2010 ensures that communication is not just a one-way process but is flexible and adaptable to overcome the barriers that dementia poses. Care workers that customize the source's strategy and choose the accessible channels decrease the confusion, anxiety and improve the sense of self-efficacy in the source. Mrs Thompson's rights must be upheld and supported by a network of family members involved through clear and compliant channels, ensuring that key health information is shared across the entire team of carers (Langford, 2026</w:t>
      </w:r>
      <w:r w:rsidR="002E426B" w:rsidRPr="002E426B">
        <w:t>)</w:t>
      </w:r>
      <w:r w:rsidR="009D15EE" w:rsidRPr="009D15EE">
        <w:t>.</w:t>
      </w:r>
    </w:p>
    <w:p w14:paraId="112E69AA" w14:textId="31BC3E1D" w:rsidR="009D15EE" w:rsidRPr="009D15EE" w:rsidRDefault="009D15EE" w:rsidP="009D15EE">
      <w:pPr>
        <w:pStyle w:val="Heading1"/>
      </w:pPr>
      <w:bookmarkStart w:id="3" w:name="_Toc237382474"/>
      <w:r>
        <w:lastRenderedPageBreak/>
        <w:t xml:space="preserve">3. </w:t>
      </w:r>
      <w:r w:rsidRPr="009D15EE">
        <w:t>Administrative Skills, Record Keeping, and Information Governance</w:t>
      </w:r>
      <w:bookmarkEnd w:id="3"/>
    </w:p>
    <w:p w14:paraId="286CDA14" w14:textId="72F6EFAE" w:rsidR="007B32CD" w:rsidRDefault="007B32CD" w:rsidP="009D15EE">
      <w:r w:rsidRPr="007B32CD">
        <w:t xml:space="preserve">In health and social care, good administration and record keeping are essential to protect the interests of the law, ensure professional accountability and helps to ensure continuity of care. In the case of Mrs Thompson, administrative incompetence is itself a risk; when her medication was missed for two days, it was not noticed, and when she went out wandering, the local council had to intervene. Regulatory requirements of the Health and Social Care Act 2008 (Regulated Activities) Regulations 2014, Regulation 17, requires record keeping that is securely maintained, audited and accurate for each service user and a regulatory requirement that is contemporary and accurate (O’neal, 2021). </w:t>
      </w:r>
    </w:p>
    <w:p w14:paraId="1A62D521" w14:textId="0B561E39" w:rsidR="007B32CD" w:rsidRDefault="007B32CD" w:rsidP="009D15EE">
      <w:r w:rsidRPr="007B32CD">
        <w:t>The Data Protection Act 2018</w:t>
      </w:r>
      <w:r w:rsidR="0077500F">
        <w:t xml:space="preserve"> </w:t>
      </w:r>
      <w:r w:rsidRPr="007B32CD">
        <w:t xml:space="preserve">and UK General Data Protection Regulation (UK GDPR) are to be adhered to with respect to record keeping. Mrs Thompson's incident records and care logs are directly relevant to the key principles outlined in the DPA 2018 about the processing of personal data. That her personal and health data is ‘special category data’ in accordance with Article 9 of the UK GDPR, and must be collected and processed in a way that is legal and ethical under the principle of Lawfulness, Fairness and Transparency. Data Minimisation states that care staff should only record what is relevant and necessary in relation to her medication omission and safety incidents and use non-judgemental and non-speculative language. In addition, the principle of Accuracy requires that care logs are accurate and factual, documenting the exact date and time of an event (e.g. when she was discovered outside dressed inappropriately) and a description of what happened (Lawrence Frazier, 2026). </w:t>
      </w:r>
    </w:p>
    <w:p w14:paraId="291D33F9" w14:textId="17AE7247" w:rsidR="009D15EE" w:rsidRPr="009D15EE" w:rsidRDefault="007B32CD" w:rsidP="009D15EE">
      <w:r w:rsidRPr="007B32CD">
        <w:t>Integrity and Confidentiality/Security means that electronic and paper documents are safeguarded from unauthorized access. For domiciliary and sheltered accommodation, care logs must be kept in a secure, password protected electronic system or secure locked physical cabinet. But there are exceptions to confidentiality. Statutory obligations under care and health act provisions (Section 42 of the Care Act 2014) and through local safeguarding policy frameworks, require health care and social care workers to share information when an adult at risk is experiencing, or is likely to be experiencing, abuse or neglect, including where the adult at risk is cognitively unable to look after personal safety or self-neglect. This missed dose and exposure to the outdoors creates a duty for us to share the relevant information with the local council's adult social care team and her GP. By following the Caldicott Principles, the information sharing is justified, necessary, utilises the minimum amount of data and is limited on a need-to-know basis to ensure Mrs Thompson is not further harmed (Adler et al., 2021</w:t>
      </w:r>
      <w:r w:rsidR="00835B45" w:rsidRPr="00835B45">
        <w:t>)</w:t>
      </w:r>
      <w:r w:rsidR="009D15EE" w:rsidRPr="009D15EE">
        <w:t>.</w:t>
      </w:r>
    </w:p>
    <w:p w14:paraId="605F9B1E" w14:textId="77777777" w:rsidR="009D15EE" w:rsidRPr="009D15EE" w:rsidRDefault="009D15EE" w:rsidP="009D15EE"/>
    <w:p w14:paraId="4ECEA890" w14:textId="75BADF21" w:rsidR="009D15EE" w:rsidRPr="009D15EE" w:rsidRDefault="009D15EE" w:rsidP="009D15EE">
      <w:pPr>
        <w:pStyle w:val="Heading1"/>
      </w:pPr>
      <w:bookmarkStart w:id="4" w:name="_Toc237382475"/>
      <w:r>
        <w:t>4.</w:t>
      </w:r>
      <w:r w:rsidRPr="009D15EE">
        <w:t xml:space="preserve"> Collaborative Multi-Agency Working</w:t>
      </w:r>
      <w:bookmarkEnd w:id="4"/>
    </w:p>
    <w:p w14:paraId="4A3A7BB2" w14:textId="77777777" w:rsidR="00DB0F80" w:rsidRDefault="007367A5" w:rsidP="009D15EE">
      <w:r w:rsidRPr="007367A5">
        <w:t xml:space="preserve">Ensuring safe care for service users with complex physical and cognitive needs requires good multi-agency working. The ongoing management is based on a network of co-ordinated care from Mrs Thompson's GP, community nurses, domiciliary care staff, social workers and sheltered house wardens. These professionals each have unique skills: the GP will deal with clinical diagnoses and pharmacotherapy; community nurses will focus on post-pneumonia functional recovery and medical reviews, while domiciliary care staff will provide functional support and eye on immediate behaviour changes whilst social workers at the local authority will address statutory safeguarding issues as outlined in the Care Act 2014 (Nursing and Midwifery Council, 2018). </w:t>
      </w:r>
    </w:p>
    <w:p w14:paraId="108C625E" w14:textId="77777777" w:rsidR="00DB0F80" w:rsidRDefault="007367A5" w:rsidP="009D15EE">
      <w:r w:rsidRPr="007367A5">
        <w:t xml:space="preserve">To foster seamless collaboration, integrated approaches such as Multi-Disciplinary Team (MDT) meetings and shared digital records are essential. The use of standardised communication methods such as the SBAR tool (Situation, Background, Assessment, Recommendation) helps to ensure that key information about Mrs Thompson's missed medication and wandering behaviour is passed on clearly and concisely between social care staff and clinical staff. The Health and Care Act 2022 also supports multi-agency working by introducing Integrated Care Systems (ICSs) in England, which will help to dismantle the historic barriers to integrated working between medical services and local council social care services (National Data Guardian, 2020). </w:t>
      </w:r>
    </w:p>
    <w:p w14:paraId="7C725EFC" w14:textId="7AFC1805" w:rsidR="00A86C66" w:rsidRDefault="007367A5" w:rsidP="00DB0F80">
      <w:r w:rsidRPr="007367A5">
        <w:t>Although the advantages of integration have been demonstrated, multi-agency working that cuts across organizational boundaries is frequently fraught with difficulties such as cultural differences between organizations, communication issues, unclear lines of professional responsibility, and incompatible IT systems. Domiciliary care agencies can have their own scheduling software which does not directly communicate with the NHS primary care electronic databases, which means there may be a delay in reporting on a critical incident. To address these issues, agencies need to put in place clear inter-agency procedures and shared communication lines. The provision of a named key social worker or community nurse (usually a lead keyworker) ensures that there is one point of contact for Mrs Thompson's care plan. Through regular MDT case conferences, joint risk assessments, and shared training, MDT objectives, tolerances for risk, and professional responsibilities are unified. This proactive approach in overcoming inter-organisational friction enables the collaborative team to devise a coordinated care strategy that supports Mrs Thompson's clinical recovery, cognitive support and physical safety effectively (McHale and Noszlopy, 2025</w:t>
      </w:r>
      <w:r w:rsidR="00295593" w:rsidRPr="00295593">
        <w:t>)</w:t>
      </w:r>
      <w:r w:rsidR="009D15EE" w:rsidRPr="009D15EE">
        <w:t>.</w:t>
      </w:r>
      <w:r w:rsidR="00A86C66">
        <w:br w:type="page"/>
      </w:r>
    </w:p>
    <w:p w14:paraId="73D690EF" w14:textId="549B1944" w:rsidR="009D15EE" w:rsidRPr="009D15EE" w:rsidRDefault="00A86C66" w:rsidP="00A86C66">
      <w:pPr>
        <w:pStyle w:val="Heading1"/>
      </w:pPr>
      <w:bookmarkStart w:id="5" w:name="_Toc237382476"/>
      <w:r>
        <w:lastRenderedPageBreak/>
        <w:t xml:space="preserve">5. </w:t>
      </w:r>
      <w:r w:rsidR="009D15EE" w:rsidRPr="009D15EE">
        <w:t>Conclusion</w:t>
      </w:r>
      <w:bookmarkEnd w:id="5"/>
    </w:p>
    <w:p w14:paraId="098303F5" w14:textId="7F9D0837" w:rsidR="009D15EE" w:rsidRPr="009D15EE" w:rsidRDefault="007367A5" w:rsidP="009D15EE">
      <w:r w:rsidRPr="007367A5">
        <w:t>Carrying out the duty of care for people such as Mrs Thompson should be an integrated, legally compliant and person-centred health and social care response. This report has confirmed that clear communication that is tailored to cognitive decline, based on the Equality Act 2010 and Berlo's SMCR model is vital to maintaining service user dignity and ensuring that information is properly shared. Strict administration and Data Protection Act 2018, Care Act 2014 and Caldicott Principles are in place to provide the required structure to monitor care interventions and identify any risk, triggering safeguarding protocols. In addition, the multi-agency challenges are addressed through Integrated Care Systems, Structured SBAR communication and effective inter-professional co-ordination, which ensures that primary medical care, community nursing and daily social care are all part of a whole and are working together as a safety net. These whole approaches reduce the risks of operation, the protection of service users' well-being and high standards of professional practice in Health and social care</w:t>
      </w:r>
      <w:r w:rsidR="009D15EE" w:rsidRPr="009D15EE">
        <w:t>.</w:t>
      </w:r>
    </w:p>
    <w:p w14:paraId="023B8D79" w14:textId="77777777" w:rsidR="009D15EE" w:rsidRPr="00A86C66" w:rsidRDefault="009D15EE" w:rsidP="00A86C66"/>
    <w:p w14:paraId="24C15DE9" w14:textId="77777777" w:rsidR="00A86C66" w:rsidRDefault="00A86C66">
      <w:pPr>
        <w:spacing w:line="259" w:lineRule="auto"/>
        <w:jc w:val="left"/>
        <w:rPr>
          <w:rFonts w:cstheme="majorBidi"/>
          <w:b/>
          <w:sz w:val="32"/>
          <w:szCs w:val="32"/>
        </w:rPr>
      </w:pPr>
      <w:r>
        <w:br w:type="page"/>
      </w:r>
    </w:p>
    <w:p w14:paraId="41AF08AA" w14:textId="78B07690" w:rsidR="009D15EE" w:rsidRPr="009D15EE" w:rsidRDefault="009D15EE" w:rsidP="009D15EE">
      <w:pPr>
        <w:pStyle w:val="Heading1"/>
        <w:rPr>
          <w:rFonts w:eastAsiaTheme="minorHAnsi"/>
        </w:rPr>
      </w:pPr>
      <w:bookmarkStart w:id="6" w:name="_Toc237382477"/>
      <w:r w:rsidRPr="009D15EE">
        <w:rPr>
          <w:rFonts w:eastAsiaTheme="minorHAnsi"/>
        </w:rPr>
        <w:lastRenderedPageBreak/>
        <w:t>References</w:t>
      </w:r>
      <w:bookmarkEnd w:id="6"/>
    </w:p>
    <w:bookmarkEnd w:id="1"/>
    <w:p w14:paraId="603B04E7"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Adler, R.B., Rosenfeld, L.B., Winder, C. and Proctor, R.F. (2021). </w:t>
      </w:r>
      <w:r w:rsidRPr="00F96C98">
        <w:rPr>
          <w:rFonts w:eastAsia="Times New Roman" w:cs="Arial"/>
          <w:i/>
          <w:iCs/>
          <w:color w:val="auto"/>
          <w:lang w:eastAsia="en-GB"/>
        </w:rPr>
        <w:t>Interplay : The process of interpersonal communication</w:t>
      </w:r>
      <w:r w:rsidRPr="00F96C98">
        <w:rPr>
          <w:rFonts w:eastAsia="Times New Roman" w:cs="Arial"/>
          <w:color w:val="auto"/>
          <w:lang w:eastAsia="en-GB"/>
        </w:rPr>
        <w:t>. Don Mills, Ontario: Oup Canada.</w:t>
      </w:r>
    </w:p>
    <w:p w14:paraId="533805E9"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Langford, A.T. (2026). </w:t>
      </w:r>
      <w:r w:rsidRPr="00F96C98">
        <w:rPr>
          <w:rFonts w:eastAsia="Times New Roman" w:cs="Arial"/>
          <w:i/>
          <w:iCs/>
          <w:color w:val="auto"/>
          <w:lang w:eastAsia="en-GB"/>
        </w:rPr>
        <w:t>Data Privacy &amp; Compliance Handbook: A Practical Guide to GDPR, CCPA, ISO 27001, Data Protection, and Secure Data Governance for Security and Cloud Professionals</w:t>
      </w:r>
      <w:r w:rsidRPr="00F96C98">
        <w:rPr>
          <w:rFonts w:eastAsia="Times New Roman" w:cs="Arial"/>
          <w:color w:val="auto"/>
          <w:lang w:eastAsia="en-GB"/>
        </w:rPr>
        <w:t>. Independently Published.</w:t>
      </w:r>
    </w:p>
    <w:p w14:paraId="27478D05"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Lawrence Frazier, E. (2026). </w:t>
      </w:r>
      <w:r w:rsidRPr="00F96C98">
        <w:rPr>
          <w:rFonts w:eastAsia="Times New Roman" w:cs="Arial"/>
          <w:i/>
          <w:iCs/>
          <w:color w:val="auto"/>
          <w:lang w:eastAsia="en-GB"/>
        </w:rPr>
        <w:t>The Affordable Care Act: A National Healthcare Crisis: Monopoly, Power, and the Abandonment of Public Stewardship</w:t>
      </w:r>
      <w:r w:rsidRPr="00F96C98">
        <w:rPr>
          <w:rFonts w:eastAsia="Times New Roman" w:cs="Arial"/>
          <w:color w:val="auto"/>
          <w:lang w:eastAsia="en-GB"/>
        </w:rPr>
        <w:t>. 1st ed. The Power Is Now Publishing.</w:t>
      </w:r>
    </w:p>
    <w:p w14:paraId="7EF9B654"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McHale, J.V. and Noszlopy, L. (2025). Legal regulation of adult social care provision in England. </w:t>
      </w:r>
      <w:r w:rsidRPr="00F96C98">
        <w:rPr>
          <w:rFonts w:eastAsia="Times New Roman" w:cs="Arial"/>
          <w:i/>
          <w:iCs/>
          <w:color w:val="auto"/>
          <w:lang w:eastAsia="en-GB"/>
        </w:rPr>
        <w:t>Adult Social Care Law and Policy</w:t>
      </w:r>
      <w:r w:rsidRPr="00F96C98">
        <w:rPr>
          <w:rFonts w:eastAsia="Times New Roman" w:cs="Arial"/>
          <w:color w:val="auto"/>
          <w:lang w:eastAsia="en-GB"/>
        </w:rPr>
        <w:t>, 1(1), pp.62–115. doi:10.51952/9781529229882.ch003.</w:t>
      </w:r>
    </w:p>
    <w:p w14:paraId="4CD4B996"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National Data Guardian (2020). The eight Caldicott Principles. In: </w:t>
      </w:r>
      <w:r w:rsidRPr="00F96C98">
        <w:rPr>
          <w:rFonts w:eastAsia="Times New Roman" w:cs="Arial"/>
          <w:i/>
          <w:iCs/>
          <w:color w:val="auto"/>
          <w:lang w:eastAsia="en-GB"/>
        </w:rPr>
        <w:t>GOV.UK</w:t>
      </w:r>
      <w:r w:rsidRPr="00F96C98">
        <w:rPr>
          <w:rFonts w:eastAsia="Times New Roman" w:cs="Arial"/>
          <w:color w:val="auto"/>
          <w:lang w:eastAsia="en-GB"/>
        </w:rPr>
        <w:t>. [online] National Data Guardian, pp.1–2. Available at: https://assets.publishing.service.gov.uk/media/5fcf9b92d3bf7f5d0bb8bb13/Eight_Caldicott_Principles_08.12.20.pdf [Accessed 11 Aug. 2026].</w:t>
      </w:r>
    </w:p>
    <w:p w14:paraId="17E0A01D"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Nursing and Midwifery Council (2018). The code professional standards of practice and behaviour for nurses and midwives nursing and Midwifery Council. In: </w:t>
      </w:r>
      <w:r w:rsidRPr="00F96C98">
        <w:rPr>
          <w:rFonts w:eastAsia="Times New Roman" w:cs="Arial"/>
          <w:i/>
          <w:iCs/>
          <w:color w:val="auto"/>
          <w:lang w:eastAsia="en-GB"/>
        </w:rPr>
        <w:t>Nursing and Midwifery Council</w:t>
      </w:r>
      <w:r w:rsidRPr="00F96C98">
        <w:rPr>
          <w:rFonts w:eastAsia="Times New Roman" w:cs="Arial"/>
          <w:color w:val="auto"/>
          <w:lang w:eastAsia="en-GB"/>
        </w:rPr>
        <w:t>. [online] London: Nursing and Midwifery Council. Available at: https://www.nmc.org.uk/globalassets/sitedocuments/nmc-publications/nmc-code.pdf [Accessed 11 Aug. 2026].</w:t>
      </w:r>
    </w:p>
    <w:p w14:paraId="1F6B2C3D"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O’neal, D. (2021). </w:t>
      </w:r>
      <w:r w:rsidRPr="00F96C98">
        <w:rPr>
          <w:rFonts w:eastAsia="Times New Roman" w:cs="Arial"/>
          <w:i/>
          <w:iCs/>
          <w:color w:val="auto"/>
          <w:lang w:eastAsia="en-GB"/>
        </w:rPr>
        <w:t>The Lack of Care Act 2014: Service users’ perspectives of a failing adult social care system</w:t>
      </w:r>
      <w:r w:rsidRPr="00F96C98">
        <w:rPr>
          <w:rFonts w:eastAsia="Times New Roman" w:cs="Arial"/>
          <w:color w:val="auto"/>
          <w:lang w:eastAsia="en-GB"/>
        </w:rPr>
        <w:t>. Place Of Publication Not Identified: Publisher Not Identified], Great Britain.</w:t>
      </w:r>
    </w:p>
    <w:p w14:paraId="6D8CE05F"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Ruebain, D. (2021). </w:t>
      </w:r>
      <w:r w:rsidRPr="00F96C98">
        <w:rPr>
          <w:rFonts w:eastAsia="Times New Roman" w:cs="Arial"/>
          <w:i/>
          <w:iCs/>
          <w:color w:val="auto"/>
          <w:lang w:eastAsia="en-GB"/>
        </w:rPr>
        <w:t>Blackstone’s Guide to the Equality Act 2010 (Blackstone’s Guides)</w:t>
      </w:r>
      <w:r w:rsidRPr="00F96C98">
        <w:rPr>
          <w:rFonts w:eastAsia="Times New Roman" w:cs="Arial"/>
          <w:color w:val="auto"/>
          <w:lang w:eastAsia="en-GB"/>
        </w:rPr>
        <w:t>. 4th ed. OUP Oxford.</w:t>
      </w:r>
    </w:p>
    <w:p w14:paraId="50888FE7" w14:textId="77777777" w:rsidR="00D82E3E" w:rsidRPr="00F96C98" w:rsidRDefault="00D82E3E" w:rsidP="00D82E3E">
      <w:pPr>
        <w:spacing w:after="240"/>
        <w:rPr>
          <w:rFonts w:eastAsia="Times New Roman" w:cs="Arial"/>
          <w:color w:val="auto"/>
          <w:lang w:eastAsia="en-GB"/>
        </w:rPr>
      </w:pPr>
      <w:r w:rsidRPr="00F96C98">
        <w:rPr>
          <w:rFonts w:eastAsia="Times New Roman" w:cs="Arial"/>
          <w:color w:val="auto"/>
          <w:lang w:eastAsia="en-GB"/>
        </w:rPr>
        <w:t xml:space="preserve">V. Dominic , B. and Alzheimer, A. (2026). </w:t>
      </w:r>
      <w:r w:rsidRPr="00F96C98">
        <w:rPr>
          <w:rFonts w:eastAsia="Times New Roman" w:cs="Arial"/>
          <w:i/>
          <w:iCs/>
          <w:color w:val="auto"/>
          <w:lang w:eastAsia="en-GB"/>
        </w:rPr>
        <w:t>DEMENTIA FOR CARETAKERS (3 IN 1): The Essential Caregiver’s Manual for Alzheimer’s and Memory Care: Effective Communication Strategies, Daily Activity Planning, and Burnout Prevention</w:t>
      </w:r>
      <w:r w:rsidRPr="00F96C98">
        <w:rPr>
          <w:rFonts w:eastAsia="Times New Roman" w:cs="Arial"/>
          <w:color w:val="auto"/>
          <w:lang w:eastAsia="en-GB"/>
        </w:rPr>
        <w:t>. Grapevine.</w:t>
      </w:r>
    </w:p>
    <w:p w14:paraId="0FD0F3B8" w14:textId="19298F67" w:rsidR="000F02BF" w:rsidRPr="000F02BF" w:rsidRDefault="000F02BF" w:rsidP="00A96E2B"/>
    <w:sectPr w:rsidR="000F02BF"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043D1" w14:textId="77777777" w:rsidR="005A3358" w:rsidRDefault="005A3358" w:rsidP="001834FC">
      <w:pPr>
        <w:spacing w:after="0" w:line="240" w:lineRule="auto"/>
      </w:pPr>
      <w:r>
        <w:separator/>
      </w:r>
    </w:p>
  </w:endnote>
  <w:endnote w:type="continuationSeparator" w:id="0">
    <w:p w14:paraId="00119012" w14:textId="77777777" w:rsidR="005A3358" w:rsidRDefault="005A335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D425F" w14:textId="77777777" w:rsidR="005A3358" w:rsidRDefault="005A3358" w:rsidP="001834FC">
      <w:pPr>
        <w:spacing w:after="0" w:line="240" w:lineRule="auto"/>
      </w:pPr>
      <w:r>
        <w:separator/>
      </w:r>
    </w:p>
  </w:footnote>
  <w:footnote w:type="continuationSeparator" w:id="0">
    <w:p w14:paraId="58D3A867" w14:textId="77777777" w:rsidR="005A3358" w:rsidRDefault="005A3358"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E8671D8"/>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313514D"/>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C4360E98"/>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5315F3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11872C6F"/>
    <w:multiLevelType w:val="multilevel"/>
    <w:tmpl w:val="915AD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D17189"/>
    <w:multiLevelType w:val="hybridMultilevel"/>
    <w:tmpl w:val="D93ED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E7B0E"/>
    <w:multiLevelType w:val="hybridMultilevel"/>
    <w:tmpl w:val="30184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0D5EB8"/>
    <w:multiLevelType w:val="hybridMultilevel"/>
    <w:tmpl w:val="CDB4EE88"/>
    <w:lvl w:ilvl="0" w:tplc="FFFFFFFF">
      <w:start w:val="1"/>
      <w:numFmt w:val="decimal"/>
      <w:lvlText w:val="%1."/>
      <w:lvlJc w:val="left"/>
    </w:lvl>
    <w:lvl w:ilvl="1" w:tplc="08090001">
      <w:start w:val="1"/>
      <w:numFmt w:val="bullet"/>
      <w:lvlText w:val=""/>
      <w:lvlJc w:val="left"/>
      <w:pPr>
        <w:ind w:left="360" w:hanging="360"/>
      </w:pPr>
      <w:rPr>
        <w:rFonts w:ascii="Symbol" w:hAnsi="Symbol" w:hint="default"/>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63311EF8"/>
    <w:multiLevelType w:val="hybridMultilevel"/>
    <w:tmpl w:val="AEB269A0"/>
    <w:lvl w:ilvl="0" w:tplc="FFFFFFFF">
      <w:start w:val="1"/>
      <w:numFmt w:val="decimal"/>
      <w:lvlText w:val="%1."/>
      <w:lvlJc w:val="left"/>
    </w:lvl>
    <w:lvl w:ilvl="1" w:tplc="08090001">
      <w:start w:val="1"/>
      <w:numFmt w:val="bullet"/>
      <w:lvlText w:val=""/>
      <w:lvlJc w:val="left"/>
      <w:pPr>
        <w:ind w:left="360" w:hanging="360"/>
      </w:pPr>
      <w:rPr>
        <w:rFonts w:ascii="Symbol" w:hAnsi="Symbol" w:hint="default"/>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6B0CB54E"/>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6CBD674C"/>
    <w:multiLevelType w:val="hybridMultilevel"/>
    <w:tmpl w:val="4ECC5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073317">
    <w:abstractNumId w:val="6"/>
  </w:num>
  <w:num w:numId="2" w16cid:durableId="513350851">
    <w:abstractNumId w:val="5"/>
  </w:num>
  <w:num w:numId="3" w16cid:durableId="1899241162">
    <w:abstractNumId w:val="4"/>
  </w:num>
  <w:num w:numId="4" w16cid:durableId="2008435345">
    <w:abstractNumId w:val="10"/>
  </w:num>
  <w:num w:numId="5" w16cid:durableId="1168053770">
    <w:abstractNumId w:val="2"/>
  </w:num>
  <w:num w:numId="6" w16cid:durableId="1054891227">
    <w:abstractNumId w:val="1"/>
  </w:num>
  <w:num w:numId="7" w16cid:durableId="2064283354">
    <w:abstractNumId w:val="0"/>
  </w:num>
  <w:num w:numId="8" w16cid:durableId="780759339">
    <w:abstractNumId w:val="3"/>
  </w:num>
  <w:num w:numId="9" w16cid:durableId="288361494">
    <w:abstractNumId w:val="7"/>
  </w:num>
  <w:num w:numId="10" w16cid:durableId="1402559996">
    <w:abstractNumId w:val="8"/>
  </w:num>
  <w:num w:numId="11" w16cid:durableId="11526754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0632B"/>
    <w:rsid w:val="00022BBC"/>
    <w:rsid w:val="00024CED"/>
    <w:rsid w:val="000261C6"/>
    <w:rsid w:val="00052DE5"/>
    <w:rsid w:val="0008287D"/>
    <w:rsid w:val="000D652F"/>
    <w:rsid w:val="000E047C"/>
    <w:rsid w:val="000F02BF"/>
    <w:rsid w:val="000F584D"/>
    <w:rsid w:val="0012631F"/>
    <w:rsid w:val="001347D5"/>
    <w:rsid w:val="001538B4"/>
    <w:rsid w:val="00155F47"/>
    <w:rsid w:val="0017697A"/>
    <w:rsid w:val="001834FC"/>
    <w:rsid w:val="001873FA"/>
    <w:rsid w:val="001B4CAF"/>
    <w:rsid w:val="001D16F6"/>
    <w:rsid w:val="001E07C4"/>
    <w:rsid w:val="001E2E1D"/>
    <w:rsid w:val="002010E2"/>
    <w:rsid w:val="00203ED6"/>
    <w:rsid w:val="0022399E"/>
    <w:rsid w:val="00252195"/>
    <w:rsid w:val="002627E1"/>
    <w:rsid w:val="002656B8"/>
    <w:rsid w:val="00266482"/>
    <w:rsid w:val="00295593"/>
    <w:rsid w:val="002A03BF"/>
    <w:rsid w:val="002B2EE2"/>
    <w:rsid w:val="002B6D6C"/>
    <w:rsid w:val="002E426B"/>
    <w:rsid w:val="002F0F67"/>
    <w:rsid w:val="002F4B55"/>
    <w:rsid w:val="002F6387"/>
    <w:rsid w:val="002F6389"/>
    <w:rsid w:val="00315CEE"/>
    <w:rsid w:val="0032234B"/>
    <w:rsid w:val="00361DDC"/>
    <w:rsid w:val="00363FD4"/>
    <w:rsid w:val="00365428"/>
    <w:rsid w:val="00377269"/>
    <w:rsid w:val="00386A34"/>
    <w:rsid w:val="00395990"/>
    <w:rsid w:val="003E63AA"/>
    <w:rsid w:val="003F2156"/>
    <w:rsid w:val="003F69E1"/>
    <w:rsid w:val="004065F0"/>
    <w:rsid w:val="004270D5"/>
    <w:rsid w:val="00436177"/>
    <w:rsid w:val="0044301B"/>
    <w:rsid w:val="00445BDA"/>
    <w:rsid w:val="00467D45"/>
    <w:rsid w:val="00475E4A"/>
    <w:rsid w:val="004F4984"/>
    <w:rsid w:val="004F4E84"/>
    <w:rsid w:val="005058E0"/>
    <w:rsid w:val="005441C5"/>
    <w:rsid w:val="0055376B"/>
    <w:rsid w:val="00564ACD"/>
    <w:rsid w:val="005674A2"/>
    <w:rsid w:val="005915AB"/>
    <w:rsid w:val="005A3358"/>
    <w:rsid w:val="005B5615"/>
    <w:rsid w:val="005C26B6"/>
    <w:rsid w:val="005D1A56"/>
    <w:rsid w:val="005D7C64"/>
    <w:rsid w:val="005E27FD"/>
    <w:rsid w:val="005E2990"/>
    <w:rsid w:val="005E2FD6"/>
    <w:rsid w:val="005E6BBC"/>
    <w:rsid w:val="005F4E4B"/>
    <w:rsid w:val="00615946"/>
    <w:rsid w:val="00621999"/>
    <w:rsid w:val="00621F8C"/>
    <w:rsid w:val="00681DC3"/>
    <w:rsid w:val="006B5FBC"/>
    <w:rsid w:val="006C6B20"/>
    <w:rsid w:val="006D09E2"/>
    <w:rsid w:val="006F3E7B"/>
    <w:rsid w:val="006F47FF"/>
    <w:rsid w:val="00715482"/>
    <w:rsid w:val="00727EBA"/>
    <w:rsid w:val="00731304"/>
    <w:rsid w:val="00731705"/>
    <w:rsid w:val="007345DE"/>
    <w:rsid w:val="007367A5"/>
    <w:rsid w:val="0073768F"/>
    <w:rsid w:val="0075018F"/>
    <w:rsid w:val="00757FF8"/>
    <w:rsid w:val="00761A7D"/>
    <w:rsid w:val="0077500F"/>
    <w:rsid w:val="00785FC5"/>
    <w:rsid w:val="00791A2D"/>
    <w:rsid w:val="007B32CD"/>
    <w:rsid w:val="007D2351"/>
    <w:rsid w:val="007F1DFD"/>
    <w:rsid w:val="007F5B1A"/>
    <w:rsid w:val="008057AE"/>
    <w:rsid w:val="00812F54"/>
    <w:rsid w:val="00814852"/>
    <w:rsid w:val="00816CE5"/>
    <w:rsid w:val="00822A5E"/>
    <w:rsid w:val="00835B45"/>
    <w:rsid w:val="00843C66"/>
    <w:rsid w:val="008748DA"/>
    <w:rsid w:val="008912CD"/>
    <w:rsid w:val="0089798B"/>
    <w:rsid w:val="008A0864"/>
    <w:rsid w:val="008B235E"/>
    <w:rsid w:val="008B5B64"/>
    <w:rsid w:val="008C0DCE"/>
    <w:rsid w:val="008D6958"/>
    <w:rsid w:val="008E5585"/>
    <w:rsid w:val="008E5C2A"/>
    <w:rsid w:val="008E7F22"/>
    <w:rsid w:val="008F1AEC"/>
    <w:rsid w:val="009052FF"/>
    <w:rsid w:val="00913C8F"/>
    <w:rsid w:val="009179F2"/>
    <w:rsid w:val="00920DA7"/>
    <w:rsid w:val="00934712"/>
    <w:rsid w:val="00934F9D"/>
    <w:rsid w:val="00943756"/>
    <w:rsid w:val="0094498E"/>
    <w:rsid w:val="009568EC"/>
    <w:rsid w:val="00961BDA"/>
    <w:rsid w:val="00975554"/>
    <w:rsid w:val="009A260A"/>
    <w:rsid w:val="009B29BB"/>
    <w:rsid w:val="009C5CA3"/>
    <w:rsid w:val="009D11F1"/>
    <w:rsid w:val="009D15EE"/>
    <w:rsid w:val="009D167E"/>
    <w:rsid w:val="009E427B"/>
    <w:rsid w:val="009E5215"/>
    <w:rsid w:val="009E5305"/>
    <w:rsid w:val="009F6500"/>
    <w:rsid w:val="00A14C96"/>
    <w:rsid w:val="00A160C2"/>
    <w:rsid w:val="00A239F6"/>
    <w:rsid w:val="00A60069"/>
    <w:rsid w:val="00A6579E"/>
    <w:rsid w:val="00A728D5"/>
    <w:rsid w:val="00A86C66"/>
    <w:rsid w:val="00A914B2"/>
    <w:rsid w:val="00A95A0E"/>
    <w:rsid w:val="00A96E2B"/>
    <w:rsid w:val="00AB12D0"/>
    <w:rsid w:val="00AB4B3F"/>
    <w:rsid w:val="00AB4BC9"/>
    <w:rsid w:val="00AB64F1"/>
    <w:rsid w:val="00AF7433"/>
    <w:rsid w:val="00B24A86"/>
    <w:rsid w:val="00B86B50"/>
    <w:rsid w:val="00BB6D54"/>
    <w:rsid w:val="00BD12C6"/>
    <w:rsid w:val="00BE6BE0"/>
    <w:rsid w:val="00C66421"/>
    <w:rsid w:val="00C6787C"/>
    <w:rsid w:val="00C764ED"/>
    <w:rsid w:val="00CB7F87"/>
    <w:rsid w:val="00CC03CC"/>
    <w:rsid w:val="00CC2532"/>
    <w:rsid w:val="00CE26EB"/>
    <w:rsid w:val="00CE4695"/>
    <w:rsid w:val="00D34A06"/>
    <w:rsid w:val="00D5220C"/>
    <w:rsid w:val="00D72D36"/>
    <w:rsid w:val="00D81F50"/>
    <w:rsid w:val="00D82E3E"/>
    <w:rsid w:val="00D85501"/>
    <w:rsid w:val="00D90744"/>
    <w:rsid w:val="00D96B5B"/>
    <w:rsid w:val="00DA03CE"/>
    <w:rsid w:val="00DB0F80"/>
    <w:rsid w:val="00DB2A56"/>
    <w:rsid w:val="00DB463C"/>
    <w:rsid w:val="00DE1A26"/>
    <w:rsid w:val="00DE5CE2"/>
    <w:rsid w:val="00DE747D"/>
    <w:rsid w:val="00E13862"/>
    <w:rsid w:val="00E216A7"/>
    <w:rsid w:val="00E33805"/>
    <w:rsid w:val="00E41823"/>
    <w:rsid w:val="00E422E7"/>
    <w:rsid w:val="00E4765B"/>
    <w:rsid w:val="00E4784E"/>
    <w:rsid w:val="00E702E8"/>
    <w:rsid w:val="00E729DB"/>
    <w:rsid w:val="00E74640"/>
    <w:rsid w:val="00E847CC"/>
    <w:rsid w:val="00EB3879"/>
    <w:rsid w:val="00EB7536"/>
    <w:rsid w:val="00EB7A2D"/>
    <w:rsid w:val="00EC0ABB"/>
    <w:rsid w:val="00EC16C3"/>
    <w:rsid w:val="00EC70AD"/>
    <w:rsid w:val="00ED3363"/>
    <w:rsid w:val="00ED62E8"/>
    <w:rsid w:val="00EF659E"/>
    <w:rsid w:val="00F164EA"/>
    <w:rsid w:val="00F47821"/>
    <w:rsid w:val="00F77B9E"/>
    <w:rsid w:val="00F852CE"/>
    <w:rsid w:val="00F87DFB"/>
    <w:rsid w:val="00F96C98"/>
    <w:rsid w:val="00F976EC"/>
    <w:rsid w:val="00FE00E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CEE"/>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315CE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15CEE"/>
    <w:pPr>
      <w:keepNext/>
      <w:keepLines/>
      <w:spacing w:before="40" w:after="0"/>
      <w:outlineLvl w:val="1"/>
    </w:pPr>
    <w:rPr>
      <w:rFonts w:eastAsiaTheme="majorEastAsia" w:cstheme="majorBidi"/>
      <w:b/>
      <w:sz w:val="28"/>
      <w:szCs w:val="26"/>
      <w:lang w:val="en-US"/>
    </w:rPr>
  </w:style>
  <w:style w:type="paragraph" w:styleId="Heading3">
    <w:name w:val="heading 3"/>
    <w:basedOn w:val="Normal"/>
    <w:next w:val="Normal"/>
    <w:link w:val="Heading3Char"/>
    <w:uiPriority w:val="9"/>
    <w:semiHidden/>
    <w:unhideWhenUsed/>
    <w:qFormat/>
    <w:rsid w:val="0062199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5CEE"/>
    <w:rPr>
      <w:rFonts w:ascii="Arial" w:eastAsiaTheme="majorEastAsia" w:hAnsi="Arial" w:cstheme="majorBidi"/>
      <w:b/>
      <w:color w:val="000000" w:themeColor="text1"/>
      <w:sz w:val="28"/>
      <w:szCs w:val="26"/>
    </w:rPr>
  </w:style>
  <w:style w:type="character" w:customStyle="1" w:styleId="Heading1Char">
    <w:name w:val="Heading 1 Char"/>
    <w:basedOn w:val="DefaultParagraphFont"/>
    <w:link w:val="Heading1"/>
    <w:uiPriority w:val="9"/>
    <w:rsid w:val="00315CEE"/>
    <w:rPr>
      <w:rFonts w:ascii="Arial" w:eastAsiaTheme="majorEastAsia" w:hAnsi="Arial"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59"/>
    <w:rsid w:val="00A160C2"/>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F6387"/>
    <w:pPr>
      <w:spacing w:before="100" w:beforeAutospacing="1" w:after="100" w:afterAutospacing="1" w:line="240" w:lineRule="auto"/>
      <w:jc w:val="left"/>
    </w:pPr>
    <w:rPr>
      <w:rFonts w:eastAsia="Times New Roman" w:cs="Times New Roman"/>
      <w:color w:val="auto"/>
      <w:szCs w:val="24"/>
      <w:lang w:eastAsia="en-GB"/>
    </w:rPr>
  </w:style>
  <w:style w:type="paragraph" w:styleId="ListParagraph">
    <w:name w:val="List Paragraph"/>
    <w:basedOn w:val="Normal"/>
    <w:uiPriority w:val="34"/>
    <w:qFormat/>
    <w:rsid w:val="00E729DB"/>
    <w:pPr>
      <w:ind w:left="720"/>
      <w:contextualSpacing/>
    </w:pPr>
  </w:style>
  <w:style w:type="character" w:customStyle="1" w:styleId="Heading3Char">
    <w:name w:val="Heading 3 Char"/>
    <w:basedOn w:val="DefaultParagraphFont"/>
    <w:link w:val="Heading3"/>
    <w:uiPriority w:val="9"/>
    <w:semiHidden/>
    <w:rsid w:val="00621999"/>
    <w:rPr>
      <w:rFonts w:asciiTheme="majorHAnsi" w:eastAsiaTheme="majorEastAsia" w:hAnsiTheme="majorHAnsi" w:cstheme="majorBidi"/>
      <w:color w:val="1F3763" w:themeColor="accent1" w:themeShade="7F"/>
      <w:sz w:val="24"/>
      <w:szCs w:val="24"/>
      <w:lang w:val="en-GB"/>
    </w:rPr>
  </w:style>
  <w:style w:type="paragraph" w:customStyle="1" w:styleId="Default">
    <w:name w:val="Default"/>
    <w:rsid w:val="00934F9D"/>
    <w:pPr>
      <w:autoSpaceDE w:val="0"/>
      <w:autoSpaceDN w:val="0"/>
      <w:adjustRightInd w:val="0"/>
      <w:spacing w:after="0" w:line="240" w:lineRule="auto"/>
    </w:pPr>
    <w:rPr>
      <w:rFonts w:ascii="Arial" w:hAnsi="Arial" w:cs="Arial"/>
      <w:color w:val="000000"/>
      <w:sz w:val="24"/>
      <w:szCs w:val="24"/>
      <w:lang w:val="en-GB"/>
    </w:rPr>
  </w:style>
  <w:style w:type="table" w:styleId="PlainTable2">
    <w:name w:val="Plain Table 2"/>
    <w:basedOn w:val="TableNormal"/>
    <w:uiPriority w:val="42"/>
    <w:rsid w:val="0000632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2043</Words>
  <Characters>11650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2026-08-17T22:55:00Z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d23e16f6-b90a-4861-8835-52bf3eaf9992</vt:lpwstr>
  </property>
</Properties>
</file>