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EDF91" w14:textId="673E8BCD" w:rsidR="00B7664E" w:rsidRDefault="00B7664E" w:rsidP="00B7664E">
      <w:pPr>
        <w:jc w:val="center"/>
      </w:pPr>
    </w:p>
    <w:p w14:paraId="02288A2D" w14:textId="77777777" w:rsidR="00002B20" w:rsidRDefault="00002B20" w:rsidP="00002B20">
      <w:pPr>
        <w:jc w:val="center"/>
      </w:pPr>
      <w:r>
        <w:rPr>
          <w:noProof/>
        </w:rPr>
        <w:drawing>
          <wp:inline distT="0" distB="0" distL="0" distR="0" wp14:anchorId="1D2CB292" wp14:editId="2D03C718">
            <wp:extent cx="3381375" cy="1352550"/>
            <wp:effectExtent l="0" t="0" r="9525" b="0"/>
            <wp:docPr id="2113209476"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2113209476" name="image1.png" descr="A close-up of a sign&#10;&#10;AI-generated content may be incorrect."/>
                    <pic:cNvPicPr/>
                  </pic:nvPicPr>
                  <pic:blipFill>
                    <a:blip r:embed="rId8"/>
                    <a:srcRect/>
                    <a:stretch>
                      <a:fillRect/>
                    </a:stretch>
                  </pic:blipFill>
                  <pic:spPr>
                    <a:xfrm>
                      <a:off x="0" y="0"/>
                      <a:ext cx="3381375" cy="1352550"/>
                    </a:xfrm>
                    <a:prstGeom prst="rect">
                      <a:avLst/>
                    </a:prstGeom>
                    <a:ln/>
                  </pic:spPr>
                </pic:pic>
              </a:graphicData>
            </a:graphic>
          </wp:inline>
        </w:drawing>
      </w:r>
    </w:p>
    <w:p w14:paraId="58E50861" w14:textId="6E3C431F" w:rsidR="00002B20" w:rsidRPr="00002B20" w:rsidRDefault="00002B20" w:rsidP="00002B20">
      <w:pPr>
        <w:pStyle w:val="ListParagraph"/>
        <w:numPr>
          <w:ilvl w:val="0"/>
          <w:numId w:val="6"/>
        </w:numPr>
        <w:rPr>
          <w:rFonts w:ascii="Times New Roman" w:hAnsi="Times New Roman" w:cs="Times New Roman"/>
          <w:b/>
          <w:sz w:val="28"/>
          <w:szCs w:val="28"/>
        </w:rPr>
      </w:pPr>
      <w:r w:rsidRPr="00002B20">
        <w:rPr>
          <w:rFonts w:ascii="Times New Roman" w:hAnsi="Times New Roman" w:cs="Times New Roman"/>
          <w:b/>
          <w:sz w:val="28"/>
          <w:szCs w:val="28"/>
        </w:rPr>
        <w:t>Student Name:</w:t>
      </w:r>
      <w:r>
        <w:rPr>
          <w:rFonts w:ascii="Times New Roman" w:hAnsi="Times New Roman" w:cs="Times New Roman"/>
          <w:b/>
          <w:sz w:val="28"/>
          <w:szCs w:val="28"/>
        </w:rPr>
        <w:t xml:space="preserve"> MAHIPALSINH RANVIRSINH GOHIL</w:t>
      </w:r>
    </w:p>
    <w:p w14:paraId="657F532B" w14:textId="70AFA008" w:rsidR="00002B20" w:rsidRPr="00002B20" w:rsidRDefault="00002B20" w:rsidP="00002B20">
      <w:pPr>
        <w:pStyle w:val="ListParagraph"/>
        <w:numPr>
          <w:ilvl w:val="0"/>
          <w:numId w:val="6"/>
        </w:numPr>
        <w:rPr>
          <w:rFonts w:ascii="Times New Roman" w:hAnsi="Times New Roman" w:cs="Times New Roman"/>
          <w:b/>
          <w:sz w:val="28"/>
          <w:szCs w:val="28"/>
        </w:rPr>
      </w:pPr>
      <w:r w:rsidRPr="00002B20">
        <w:rPr>
          <w:rFonts w:ascii="Times New Roman" w:hAnsi="Times New Roman" w:cs="Times New Roman"/>
          <w:b/>
          <w:sz w:val="28"/>
          <w:szCs w:val="28"/>
        </w:rPr>
        <w:t>Student ID:</w:t>
      </w:r>
      <w:r>
        <w:rPr>
          <w:rFonts w:ascii="Times New Roman" w:hAnsi="Times New Roman" w:cs="Times New Roman"/>
          <w:b/>
          <w:sz w:val="28"/>
          <w:szCs w:val="28"/>
        </w:rPr>
        <w:t xml:space="preserve"> 2510635</w:t>
      </w:r>
    </w:p>
    <w:p w14:paraId="60A681F8" w14:textId="69F8C05C" w:rsidR="00002B20" w:rsidRPr="00002B20" w:rsidRDefault="00002B20" w:rsidP="00002B20">
      <w:pPr>
        <w:pStyle w:val="ListParagraph"/>
        <w:numPr>
          <w:ilvl w:val="0"/>
          <w:numId w:val="6"/>
        </w:numPr>
        <w:rPr>
          <w:rFonts w:ascii="Times New Roman" w:hAnsi="Times New Roman" w:cs="Times New Roman"/>
          <w:b/>
          <w:sz w:val="28"/>
          <w:szCs w:val="28"/>
        </w:rPr>
      </w:pPr>
      <w:r w:rsidRPr="00002B20">
        <w:rPr>
          <w:rFonts w:ascii="Times New Roman" w:hAnsi="Times New Roman" w:cs="Times New Roman"/>
          <w:b/>
          <w:sz w:val="28"/>
          <w:szCs w:val="28"/>
        </w:rPr>
        <w:t xml:space="preserve">Module Name: </w:t>
      </w:r>
      <w:r>
        <w:rPr>
          <w:rFonts w:ascii="Times New Roman" w:hAnsi="Times New Roman" w:cs="Times New Roman"/>
          <w:b/>
          <w:sz w:val="28"/>
          <w:szCs w:val="28"/>
        </w:rPr>
        <w:t>HUMAN CAPITAL</w:t>
      </w:r>
      <w:r w:rsidRPr="00002B20">
        <w:rPr>
          <w:rFonts w:ascii="Times New Roman" w:hAnsi="Times New Roman" w:cs="Times New Roman"/>
          <w:b/>
          <w:sz w:val="28"/>
          <w:szCs w:val="28"/>
        </w:rPr>
        <w:t xml:space="preserve"> M</w:t>
      </w:r>
      <w:r>
        <w:rPr>
          <w:rFonts w:ascii="Times New Roman" w:hAnsi="Times New Roman" w:cs="Times New Roman"/>
          <w:b/>
          <w:sz w:val="28"/>
          <w:szCs w:val="28"/>
        </w:rPr>
        <w:t>ANAGEMENT</w:t>
      </w:r>
    </w:p>
    <w:p w14:paraId="6ED4EFC4" w14:textId="7D91BDAC" w:rsidR="00002B20" w:rsidRPr="00002B20" w:rsidRDefault="00002B20" w:rsidP="00002B20">
      <w:pPr>
        <w:pStyle w:val="ListParagraph"/>
        <w:numPr>
          <w:ilvl w:val="0"/>
          <w:numId w:val="6"/>
        </w:numPr>
        <w:rPr>
          <w:rFonts w:ascii="Times New Roman" w:hAnsi="Times New Roman" w:cs="Times New Roman"/>
          <w:b/>
          <w:sz w:val="28"/>
          <w:szCs w:val="28"/>
        </w:rPr>
      </w:pPr>
      <w:r w:rsidRPr="00002B20">
        <w:rPr>
          <w:rFonts w:ascii="Times New Roman" w:hAnsi="Times New Roman" w:cs="Times New Roman"/>
          <w:b/>
          <w:sz w:val="28"/>
          <w:szCs w:val="28"/>
        </w:rPr>
        <w:t xml:space="preserve">Module Code: </w:t>
      </w:r>
      <w:r>
        <w:rPr>
          <w:rFonts w:ascii="Times New Roman" w:hAnsi="Times New Roman" w:cs="Times New Roman"/>
          <w:b/>
          <w:sz w:val="28"/>
          <w:szCs w:val="28"/>
        </w:rPr>
        <w:t>LCMB7023</w:t>
      </w:r>
    </w:p>
    <w:p w14:paraId="79FF28E3" w14:textId="21788642" w:rsidR="00002B20" w:rsidRPr="00002B20" w:rsidRDefault="00002B20" w:rsidP="00002B20">
      <w:pPr>
        <w:pStyle w:val="ListParagraph"/>
        <w:numPr>
          <w:ilvl w:val="0"/>
          <w:numId w:val="6"/>
        </w:numPr>
        <w:rPr>
          <w:rFonts w:ascii="Times New Roman" w:hAnsi="Times New Roman" w:cs="Times New Roman"/>
          <w:b/>
          <w:sz w:val="28"/>
          <w:szCs w:val="28"/>
        </w:rPr>
      </w:pPr>
      <w:r w:rsidRPr="00002B20">
        <w:rPr>
          <w:rFonts w:ascii="Times New Roman" w:hAnsi="Times New Roman" w:cs="Times New Roman"/>
          <w:b/>
          <w:sz w:val="28"/>
          <w:szCs w:val="28"/>
        </w:rPr>
        <w:t>Lecturer’s Name:</w:t>
      </w:r>
      <w:r>
        <w:rPr>
          <w:rFonts w:ascii="Times New Roman" w:hAnsi="Times New Roman" w:cs="Times New Roman"/>
          <w:b/>
          <w:sz w:val="28"/>
          <w:szCs w:val="28"/>
        </w:rPr>
        <w:t xml:space="preserve"> DR. GLADIUS DAVID KULOTHUNGAN</w:t>
      </w:r>
    </w:p>
    <w:p w14:paraId="4CD081E1" w14:textId="429ACCC9" w:rsidR="00002B20" w:rsidRPr="00002B20" w:rsidRDefault="00002B20" w:rsidP="00002B20">
      <w:pPr>
        <w:pStyle w:val="ListParagraph"/>
        <w:numPr>
          <w:ilvl w:val="0"/>
          <w:numId w:val="6"/>
        </w:numPr>
        <w:rPr>
          <w:rFonts w:ascii="Times New Roman" w:hAnsi="Times New Roman" w:cs="Times New Roman"/>
          <w:b/>
          <w:sz w:val="28"/>
          <w:szCs w:val="28"/>
        </w:rPr>
      </w:pPr>
      <w:r w:rsidRPr="00002B20">
        <w:rPr>
          <w:rFonts w:ascii="Times New Roman" w:hAnsi="Times New Roman" w:cs="Times New Roman"/>
          <w:b/>
          <w:sz w:val="28"/>
          <w:szCs w:val="28"/>
        </w:rPr>
        <w:t>Work Count:</w:t>
      </w:r>
      <w:r>
        <w:rPr>
          <w:rFonts w:ascii="Times New Roman" w:hAnsi="Times New Roman" w:cs="Times New Roman"/>
          <w:b/>
          <w:sz w:val="28"/>
          <w:szCs w:val="28"/>
        </w:rPr>
        <w:t xml:space="preserve"> 3222</w:t>
      </w:r>
    </w:p>
    <w:p w14:paraId="5C30FB06" w14:textId="7613607D" w:rsidR="00A078DC" w:rsidRPr="00B7664E" w:rsidRDefault="00002B20" w:rsidP="00002B20">
      <w:pPr>
        <w:pStyle w:val="ListParagraph"/>
        <w:numPr>
          <w:ilvl w:val="0"/>
          <w:numId w:val="6"/>
        </w:numPr>
      </w:pPr>
      <w:r w:rsidRPr="00002B20">
        <w:rPr>
          <w:rFonts w:ascii="Times New Roman" w:hAnsi="Times New Roman" w:cs="Times New Roman"/>
          <w:b/>
          <w:sz w:val="28"/>
          <w:szCs w:val="28"/>
        </w:rPr>
        <w:t>Term 1</w:t>
      </w:r>
      <w:r w:rsidR="00B7664E">
        <w:br w:type="page"/>
      </w:r>
    </w:p>
    <w:p w14:paraId="5E1AECB2" w14:textId="77777777" w:rsidR="00E1716F" w:rsidRPr="00A078DC" w:rsidRDefault="00D47DDE" w:rsidP="004C49DA">
      <w:pPr>
        <w:spacing w:line="360" w:lineRule="auto"/>
        <w:jc w:val="both"/>
        <w:rPr>
          <w:rFonts w:ascii="Arial" w:hAnsi="Arial" w:cs="Arial"/>
          <w:sz w:val="24"/>
          <w:szCs w:val="24"/>
        </w:rPr>
      </w:pPr>
      <w:r w:rsidRPr="00A078DC">
        <w:rPr>
          <w:rFonts w:ascii="Arial" w:hAnsi="Arial" w:cs="Arial"/>
          <w:b/>
          <w:sz w:val="24"/>
          <w:szCs w:val="24"/>
        </w:rPr>
        <w:lastRenderedPageBreak/>
        <w:t>Executive Summary</w:t>
      </w:r>
    </w:p>
    <w:p w14:paraId="49F7487F" w14:textId="77777777" w:rsidR="00EF20EE" w:rsidRPr="00A078DC" w:rsidRDefault="00EF20EE" w:rsidP="004C49DA">
      <w:pPr>
        <w:spacing w:after="0" w:line="360" w:lineRule="auto"/>
        <w:jc w:val="both"/>
        <w:rPr>
          <w:rFonts w:ascii="Arial" w:eastAsia="Times New Roman" w:hAnsi="Arial" w:cs="Arial"/>
          <w:sz w:val="24"/>
          <w:szCs w:val="24"/>
          <w:lang w:val="en-IN" w:eastAsia="en-IN"/>
        </w:rPr>
      </w:pPr>
      <w:r w:rsidRPr="00EF20EE">
        <w:rPr>
          <w:rFonts w:ascii="Arial" w:eastAsia="Times New Roman" w:hAnsi="Arial" w:cs="Arial"/>
          <w:sz w:val="24"/>
          <w:szCs w:val="24"/>
          <w:lang w:val="en-IN" w:eastAsia="en-IN"/>
        </w:rPr>
        <w:t>It examines how technical, demographic, and geopolitical factors are changing global and national labour markets and HRM and IHRM initiatives. AI, automation, and digital platforms create and eliminate jobs. HR executives must focus up</w:t>
      </w:r>
      <w:r w:rsidR="003F1CD5" w:rsidRPr="00A078DC">
        <w:rPr>
          <w:rFonts w:ascii="Arial" w:eastAsia="Times New Roman" w:hAnsi="Arial" w:cs="Arial"/>
          <w:sz w:val="24"/>
          <w:szCs w:val="24"/>
          <w:lang w:val="en-IN" w:eastAsia="en-IN"/>
        </w:rPr>
        <w:t>-</w:t>
      </w:r>
      <w:r w:rsidRPr="00EF20EE">
        <w:rPr>
          <w:rFonts w:ascii="Arial" w:eastAsia="Times New Roman" w:hAnsi="Arial" w:cs="Arial"/>
          <w:sz w:val="24"/>
          <w:szCs w:val="24"/>
          <w:lang w:val="en-IN" w:eastAsia="en-IN"/>
        </w:rPr>
        <w:t>skilling, data-driven workforce planning, and ethical AI in recruitment and learning platforms to change. Multigenerational, inclusive, flexible management is needed for migrants, elderly populations, and workforce diversity. Geopolitical tensions, protectionism, and global health crises have disrupted talent mobility and supply chains, prompting HR professionals to strengthen crisis management, complian</w:t>
      </w:r>
      <w:r w:rsidRPr="00A078DC">
        <w:rPr>
          <w:rFonts w:ascii="Arial" w:eastAsia="Times New Roman" w:hAnsi="Arial" w:cs="Arial"/>
          <w:sz w:val="24"/>
          <w:szCs w:val="24"/>
          <w:lang w:val="en-IN" w:eastAsia="en-IN"/>
        </w:rPr>
        <w:t xml:space="preserve">ce, and remote-work standards. </w:t>
      </w:r>
    </w:p>
    <w:p w14:paraId="2EA51631" w14:textId="42CE7AED" w:rsidR="00EF20EE" w:rsidRPr="00A078DC" w:rsidRDefault="00EF20EE" w:rsidP="004C49DA">
      <w:pPr>
        <w:spacing w:after="0" w:line="360" w:lineRule="auto"/>
        <w:jc w:val="both"/>
        <w:rPr>
          <w:rFonts w:ascii="Arial" w:eastAsia="Times New Roman" w:hAnsi="Arial" w:cs="Arial"/>
          <w:sz w:val="24"/>
          <w:szCs w:val="24"/>
          <w:lang w:val="en-IN" w:eastAsia="en-IN"/>
        </w:rPr>
      </w:pPr>
      <w:r w:rsidRPr="00A078DC">
        <w:rPr>
          <w:rFonts w:ascii="Arial" w:eastAsia="Times New Roman" w:hAnsi="Arial" w:cs="Arial"/>
          <w:sz w:val="24"/>
          <w:szCs w:val="24"/>
          <w:lang w:val="en-IN" w:eastAsia="en-IN"/>
        </w:rPr>
        <w:t>The r</w:t>
      </w:r>
      <w:r w:rsidRPr="00EF20EE">
        <w:rPr>
          <w:rFonts w:ascii="Arial" w:eastAsia="Times New Roman" w:hAnsi="Arial" w:cs="Arial"/>
          <w:sz w:val="24"/>
          <w:szCs w:val="24"/>
          <w:lang w:val="en-IN" w:eastAsia="en-IN"/>
        </w:rPr>
        <w:t>eport covers data visualisation, digital adaptability, communication, cross-cultural leadership, and personal professional progress.</w:t>
      </w:r>
    </w:p>
    <w:p w14:paraId="0E51186A" w14:textId="77777777" w:rsidR="003F1CD5" w:rsidRPr="00A078DC" w:rsidRDefault="003F1CD5" w:rsidP="004C49DA">
      <w:pPr>
        <w:spacing w:line="360" w:lineRule="auto"/>
        <w:rPr>
          <w:rFonts w:ascii="Arial" w:eastAsiaTheme="majorEastAsia" w:hAnsi="Arial" w:cs="Arial"/>
          <w:b/>
          <w:sz w:val="24"/>
          <w:szCs w:val="24"/>
        </w:rPr>
      </w:pPr>
      <w:r w:rsidRPr="00A078DC">
        <w:rPr>
          <w:rFonts w:ascii="Arial" w:hAnsi="Arial" w:cs="Arial"/>
          <w:b/>
          <w:sz w:val="24"/>
          <w:szCs w:val="24"/>
        </w:rPr>
        <w:br w:type="page"/>
      </w:r>
    </w:p>
    <w:sdt>
      <w:sdtPr>
        <w:rPr>
          <w:rFonts w:asciiTheme="minorHAnsi" w:eastAsiaTheme="minorHAnsi" w:hAnsiTheme="minorHAnsi" w:cstheme="minorBidi"/>
          <w:color w:val="auto"/>
          <w:sz w:val="22"/>
          <w:szCs w:val="22"/>
          <w:lang w:val="en-GB"/>
        </w:rPr>
        <w:id w:val="-887566450"/>
        <w:docPartObj>
          <w:docPartGallery w:val="Table of Contents"/>
          <w:docPartUnique/>
        </w:docPartObj>
      </w:sdtPr>
      <w:sdtEndPr>
        <w:rPr>
          <w:b/>
          <w:bCs/>
          <w:noProof/>
        </w:rPr>
      </w:sdtEndPr>
      <w:sdtContent>
        <w:p w14:paraId="58226057" w14:textId="77777777" w:rsidR="00A078DC" w:rsidRPr="00A078DC" w:rsidRDefault="00A078DC" w:rsidP="00A078DC">
          <w:pPr>
            <w:pStyle w:val="TOCHeading"/>
            <w:spacing w:line="360" w:lineRule="auto"/>
            <w:jc w:val="both"/>
            <w:rPr>
              <w:rFonts w:ascii="Arial" w:hAnsi="Arial" w:cs="Arial"/>
              <w:b/>
              <w:color w:val="auto"/>
              <w:sz w:val="22"/>
              <w:szCs w:val="22"/>
            </w:rPr>
          </w:pPr>
          <w:r w:rsidRPr="00A078DC">
            <w:rPr>
              <w:rFonts w:ascii="Arial" w:hAnsi="Arial" w:cs="Arial"/>
              <w:b/>
              <w:color w:val="auto"/>
              <w:sz w:val="22"/>
              <w:szCs w:val="22"/>
            </w:rPr>
            <w:t>Table of Contents</w:t>
          </w:r>
        </w:p>
        <w:p w14:paraId="39D6CE89" w14:textId="77777777" w:rsidR="00A078DC" w:rsidRPr="00A078DC" w:rsidRDefault="00A078DC" w:rsidP="00A078DC">
          <w:pPr>
            <w:pStyle w:val="TOC1"/>
            <w:tabs>
              <w:tab w:val="right" w:leader="dot" w:pos="9016"/>
            </w:tabs>
            <w:spacing w:line="360" w:lineRule="auto"/>
            <w:jc w:val="both"/>
            <w:rPr>
              <w:rFonts w:ascii="Arial" w:hAnsi="Arial" w:cs="Arial"/>
              <w:noProof/>
            </w:rPr>
          </w:pPr>
          <w:r w:rsidRPr="00A078DC">
            <w:rPr>
              <w:rFonts w:ascii="Arial" w:hAnsi="Arial" w:cs="Arial"/>
            </w:rPr>
            <w:fldChar w:fldCharType="begin"/>
          </w:r>
          <w:r w:rsidRPr="00A078DC">
            <w:rPr>
              <w:rFonts w:ascii="Arial" w:hAnsi="Arial" w:cs="Arial"/>
            </w:rPr>
            <w:instrText xml:space="preserve"> TOC \o "1-3" \h \z \u </w:instrText>
          </w:r>
          <w:r w:rsidRPr="00A078DC">
            <w:rPr>
              <w:rFonts w:ascii="Arial" w:hAnsi="Arial" w:cs="Arial"/>
            </w:rPr>
            <w:fldChar w:fldCharType="separate"/>
          </w:r>
          <w:hyperlink w:anchor="_Toc213409993" w:history="1">
            <w:r w:rsidRPr="00A078DC">
              <w:rPr>
                <w:rStyle w:val="Hyperlink"/>
                <w:rFonts w:ascii="Arial" w:hAnsi="Arial" w:cs="Arial"/>
                <w:noProof/>
                <w:color w:val="auto"/>
              </w:rPr>
              <w:t>Introduction</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_Toc213409993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3</w:t>
            </w:r>
            <w:r w:rsidRPr="00A078DC">
              <w:rPr>
                <w:rFonts w:ascii="Arial" w:hAnsi="Arial" w:cs="Arial"/>
                <w:noProof/>
                <w:webHidden/>
              </w:rPr>
              <w:fldChar w:fldCharType="end"/>
            </w:r>
          </w:hyperlink>
        </w:p>
        <w:p w14:paraId="00BE2AF3" w14:textId="77777777" w:rsidR="00A078DC" w:rsidRPr="00A078DC" w:rsidRDefault="00A078DC" w:rsidP="00A078DC">
          <w:pPr>
            <w:pStyle w:val="TOC1"/>
            <w:tabs>
              <w:tab w:val="right" w:leader="dot" w:pos="9016"/>
            </w:tabs>
            <w:spacing w:line="360" w:lineRule="auto"/>
            <w:jc w:val="both"/>
            <w:rPr>
              <w:rFonts w:ascii="Arial" w:hAnsi="Arial" w:cs="Arial"/>
              <w:noProof/>
            </w:rPr>
          </w:pPr>
          <w:hyperlink w:anchor="_Toc213409994" w:history="1">
            <w:r w:rsidRPr="00A078DC">
              <w:rPr>
                <w:rStyle w:val="Hyperlink"/>
                <w:rFonts w:ascii="Arial" w:hAnsi="Arial" w:cs="Arial"/>
                <w:noProof/>
                <w:color w:val="auto"/>
              </w:rPr>
              <w:t>1.0 Question 1: Technology &amp; Labour Markets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_Toc213409994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4</w:t>
            </w:r>
            <w:r w:rsidRPr="00A078DC">
              <w:rPr>
                <w:rFonts w:ascii="Arial" w:hAnsi="Arial" w:cs="Arial"/>
                <w:noProof/>
                <w:webHidden/>
              </w:rPr>
              <w:fldChar w:fldCharType="end"/>
            </w:r>
          </w:hyperlink>
        </w:p>
        <w:p w14:paraId="1A826334" w14:textId="77777777" w:rsidR="00A078DC" w:rsidRPr="00A078DC" w:rsidRDefault="00A078DC" w:rsidP="00A078DC">
          <w:pPr>
            <w:pStyle w:val="TOC2"/>
            <w:tabs>
              <w:tab w:val="right" w:leader="dot" w:pos="9016"/>
            </w:tabs>
            <w:spacing w:line="360" w:lineRule="auto"/>
            <w:jc w:val="both"/>
            <w:rPr>
              <w:rFonts w:ascii="Arial" w:hAnsi="Arial" w:cs="Arial"/>
              <w:noProof/>
            </w:rPr>
          </w:pPr>
          <w:hyperlink w:anchor="_Toc213409995" w:history="1">
            <w:r w:rsidRPr="00A078DC">
              <w:rPr>
                <w:rStyle w:val="Hyperlink"/>
                <w:rFonts w:ascii="Arial" w:hAnsi="Arial" w:cs="Arial"/>
                <w:noProof/>
                <w:color w:val="auto"/>
              </w:rPr>
              <w:t>1.1 Cause-and-effect relationship between technology and HR strategy</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_Toc213409995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4</w:t>
            </w:r>
            <w:r w:rsidRPr="00A078DC">
              <w:rPr>
                <w:rFonts w:ascii="Arial" w:hAnsi="Arial" w:cs="Arial"/>
                <w:noProof/>
                <w:webHidden/>
              </w:rPr>
              <w:fldChar w:fldCharType="end"/>
            </w:r>
          </w:hyperlink>
        </w:p>
        <w:p w14:paraId="17247AD7"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09996" w:history="1">
            <w:r w:rsidRPr="00A078DC">
              <w:rPr>
                <w:rStyle w:val="Hyperlink"/>
                <w:rFonts w:ascii="Arial" w:hAnsi="Arial" w:cs="Arial"/>
                <w:noProof/>
                <w:color w:val="auto"/>
              </w:rPr>
              <w:t>1.1.1 The Reshaping of Labour Markets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_Toc213409996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4</w:t>
            </w:r>
            <w:r w:rsidRPr="00A078DC">
              <w:rPr>
                <w:rFonts w:ascii="Arial" w:hAnsi="Arial" w:cs="Arial"/>
                <w:noProof/>
                <w:webHidden/>
              </w:rPr>
              <w:fldChar w:fldCharType="end"/>
            </w:r>
          </w:hyperlink>
        </w:p>
        <w:p w14:paraId="6D894AE1"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09997" w:history="1">
            <w:r w:rsidRPr="00A078DC">
              <w:rPr>
                <w:rStyle w:val="Hyperlink"/>
                <w:rFonts w:ascii="Arial" w:hAnsi="Arial" w:cs="Arial"/>
                <w:noProof/>
                <w:color w:val="auto"/>
              </w:rPr>
              <w:t>1.1.2 Implications for HRM/IHRM Strategies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_Toc213409997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5</w:t>
            </w:r>
            <w:r w:rsidRPr="00A078DC">
              <w:rPr>
                <w:rFonts w:ascii="Arial" w:hAnsi="Arial" w:cs="Arial"/>
                <w:noProof/>
                <w:webHidden/>
              </w:rPr>
              <w:fldChar w:fldCharType="end"/>
            </w:r>
          </w:hyperlink>
        </w:p>
        <w:p w14:paraId="470A87D8" w14:textId="77777777" w:rsidR="00A078DC" w:rsidRPr="00A078DC" w:rsidRDefault="00A078DC" w:rsidP="00A078DC">
          <w:pPr>
            <w:pStyle w:val="TOC1"/>
            <w:tabs>
              <w:tab w:val="right" w:leader="dot" w:pos="9016"/>
            </w:tabs>
            <w:spacing w:line="360" w:lineRule="auto"/>
            <w:jc w:val="both"/>
            <w:rPr>
              <w:rFonts w:ascii="Arial" w:hAnsi="Arial" w:cs="Arial"/>
              <w:noProof/>
            </w:rPr>
          </w:pPr>
          <w:hyperlink w:anchor="_Toc213409998" w:history="1">
            <w:r w:rsidRPr="00A078DC">
              <w:rPr>
                <w:rStyle w:val="Hyperlink"/>
                <w:rFonts w:ascii="Arial" w:hAnsi="Arial" w:cs="Arial"/>
                <w:noProof/>
                <w:color w:val="auto"/>
              </w:rPr>
              <w:t>2.0 Question 2: Demographic &amp; Geopolitical Factors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_Toc213409998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7</w:t>
            </w:r>
            <w:r w:rsidRPr="00A078DC">
              <w:rPr>
                <w:rFonts w:ascii="Arial" w:hAnsi="Arial" w:cs="Arial"/>
                <w:noProof/>
                <w:webHidden/>
              </w:rPr>
              <w:fldChar w:fldCharType="end"/>
            </w:r>
          </w:hyperlink>
        </w:p>
        <w:p w14:paraId="7A0A537D" w14:textId="77777777" w:rsidR="00A078DC" w:rsidRPr="00A078DC" w:rsidRDefault="00A078DC" w:rsidP="00A078DC">
          <w:pPr>
            <w:pStyle w:val="TOC2"/>
            <w:tabs>
              <w:tab w:val="right" w:leader="dot" w:pos="9016"/>
            </w:tabs>
            <w:spacing w:line="360" w:lineRule="auto"/>
            <w:jc w:val="both"/>
            <w:rPr>
              <w:rFonts w:ascii="Arial" w:hAnsi="Arial" w:cs="Arial"/>
              <w:noProof/>
            </w:rPr>
          </w:pPr>
          <w:hyperlink w:anchor="_Toc213409999" w:history="1">
            <w:r w:rsidRPr="00A078DC">
              <w:rPr>
                <w:rStyle w:val="Hyperlink"/>
                <w:rFonts w:ascii="Arial" w:hAnsi="Arial" w:cs="Arial"/>
                <w:noProof/>
                <w:color w:val="auto"/>
              </w:rPr>
              <w:t>2.1 Key macro-environmental factors and analysing the specific challenges they pose for HR</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_Toc213409999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7</w:t>
            </w:r>
            <w:r w:rsidRPr="00A078DC">
              <w:rPr>
                <w:rFonts w:ascii="Arial" w:hAnsi="Arial" w:cs="Arial"/>
                <w:noProof/>
                <w:webHidden/>
              </w:rPr>
              <w:fldChar w:fldCharType="end"/>
            </w:r>
          </w:hyperlink>
        </w:p>
        <w:p w14:paraId="7931E36F"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00" w:history="1">
            <w:r w:rsidRPr="00A078DC">
              <w:rPr>
                <w:rStyle w:val="Hyperlink"/>
                <w:rFonts w:ascii="Arial" w:hAnsi="Arial" w:cs="Arial"/>
                <w:noProof/>
                <w:color w:val="auto"/>
              </w:rPr>
              <w:t>2.1.1 Key Demographic Factors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_Toc213410000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7</w:t>
            </w:r>
            <w:r w:rsidRPr="00A078DC">
              <w:rPr>
                <w:rFonts w:ascii="Arial" w:hAnsi="Arial" w:cs="Arial"/>
                <w:noProof/>
                <w:webHidden/>
              </w:rPr>
              <w:fldChar w:fldCharType="end"/>
            </w:r>
          </w:hyperlink>
        </w:p>
        <w:p w14:paraId="09EF1170"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01" w:history="1">
            <w:r w:rsidRPr="00A078DC">
              <w:rPr>
                <w:rStyle w:val="Hyperlink"/>
                <w:rFonts w:ascii="Arial" w:hAnsi="Arial" w:cs="Arial"/>
                <w:noProof/>
                <w:color w:val="auto"/>
              </w:rPr>
              <w:t>2.1.2 Key Geopolitical Factors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_Toc213410001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8</w:t>
            </w:r>
            <w:r w:rsidRPr="00A078DC">
              <w:rPr>
                <w:rFonts w:ascii="Arial" w:hAnsi="Arial" w:cs="Arial"/>
                <w:noProof/>
                <w:webHidden/>
              </w:rPr>
              <w:fldChar w:fldCharType="end"/>
            </w:r>
          </w:hyperlink>
        </w:p>
        <w:p w14:paraId="337CAFC2"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02" w:history="1">
            <w:r w:rsidRPr="00A078DC">
              <w:rPr>
                <w:rStyle w:val="Hyperlink"/>
                <w:rFonts w:ascii="Arial" w:hAnsi="Arial" w:cs="Arial"/>
                <w:noProof/>
                <w:color w:val="auto"/>
              </w:rPr>
              <w:t>2.1.3 Challenges for HR Professionals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_Toc213410002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9</w:t>
            </w:r>
            <w:r w:rsidRPr="00A078DC">
              <w:rPr>
                <w:rFonts w:ascii="Arial" w:hAnsi="Arial" w:cs="Arial"/>
                <w:noProof/>
                <w:webHidden/>
              </w:rPr>
              <w:fldChar w:fldCharType="end"/>
            </w:r>
          </w:hyperlink>
        </w:p>
        <w:p w14:paraId="516F768C" w14:textId="77777777" w:rsidR="00A078DC" w:rsidRPr="00A078DC" w:rsidRDefault="00A078DC" w:rsidP="00A078DC">
          <w:pPr>
            <w:pStyle w:val="TOC1"/>
            <w:tabs>
              <w:tab w:val="right" w:leader="dot" w:pos="9016"/>
            </w:tabs>
            <w:spacing w:line="360" w:lineRule="auto"/>
            <w:jc w:val="both"/>
            <w:rPr>
              <w:rFonts w:ascii="Arial" w:hAnsi="Arial" w:cs="Arial"/>
              <w:noProof/>
            </w:rPr>
          </w:pPr>
          <w:hyperlink w:anchor="_Toc213410003" w:history="1">
            <w:r w:rsidRPr="00A078DC">
              <w:rPr>
                <w:rStyle w:val="Hyperlink"/>
                <w:rFonts w:ascii="Arial" w:hAnsi="Arial" w:cs="Arial"/>
                <w:noProof/>
                <w:color w:val="auto"/>
              </w:rPr>
              <w:t>3.0 Question 3: Skills Gaps &amp; Strategic HRM</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_Toc213410003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10</w:t>
            </w:r>
            <w:r w:rsidRPr="00A078DC">
              <w:rPr>
                <w:rFonts w:ascii="Arial" w:hAnsi="Arial" w:cs="Arial"/>
                <w:noProof/>
                <w:webHidden/>
              </w:rPr>
              <w:fldChar w:fldCharType="end"/>
            </w:r>
          </w:hyperlink>
        </w:p>
        <w:p w14:paraId="3C23C73B" w14:textId="77777777" w:rsidR="00A078DC" w:rsidRPr="00A078DC" w:rsidRDefault="00A078DC" w:rsidP="00A078DC">
          <w:pPr>
            <w:pStyle w:val="TOC2"/>
            <w:tabs>
              <w:tab w:val="right" w:leader="dot" w:pos="9016"/>
            </w:tabs>
            <w:spacing w:line="360" w:lineRule="auto"/>
            <w:jc w:val="both"/>
            <w:rPr>
              <w:rFonts w:ascii="Arial" w:hAnsi="Arial" w:cs="Arial"/>
              <w:noProof/>
            </w:rPr>
          </w:pPr>
          <w:hyperlink w:anchor="_Toc213410004" w:history="1">
            <w:r w:rsidRPr="00A078DC">
              <w:rPr>
                <w:rStyle w:val="Hyperlink"/>
                <w:rFonts w:ascii="Arial" w:hAnsi="Arial" w:cs="Arial"/>
                <w:noProof/>
                <w:color w:val="auto"/>
              </w:rPr>
              <w:t>3.1 Strategic solutions driven by HRM</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_Toc213410004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10</w:t>
            </w:r>
            <w:r w:rsidRPr="00A078DC">
              <w:rPr>
                <w:rFonts w:ascii="Arial" w:hAnsi="Arial" w:cs="Arial"/>
                <w:noProof/>
                <w:webHidden/>
              </w:rPr>
              <w:fldChar w:fldCharType="end"/>
            </w:r>
          </w:hyperlink>
        </w:p>
        <w:p w14:paraId="439EEB44"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05" w:history="1">
            <w:r w:rsidRPr="00A078DC">
              <w:rPr>
                <w:rStyle w:val="Hyperlink"/>
                <w:rFonts w:ascii="Arial" w:hAnsi="Arial" w:cs="Arial"/>
                <w:noProof/>
                <w:color w:val="auto"/>
              </w:rPr>
              <w:t>3.1.1 Understanding the Causes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_Toc213410005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10</w:t>
            </w:r>
            <w:r w:rsidRPr="00A078DC">
              <w:rPr>
                <w:rFonts w:ascii="Arial" w:hAnsi="Arial" w:cs="Arial"/>
                <w:noProof/>
                <w:webHidden/>
              </w:rPr>
              <w:fldChar w:fldCharType="end"/>
            </w:r>
          </w:hyperlink>
        </w:p>
        <w:p w14:paraId="42B45875"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06" w:history="1">
            <w:r w:rsidRPr="00A078DC">
              <w:rPr>
                <w:rStyle w:val="Hyperlink"/>
                <w:rFonts w:ascii="Arial" w:hAnsi="Arial" w:cs="Arial"/>
                <w:noProof/>
                <w:color w:val="auto"/>
              </w:rPr>
              <w:t>3.1.2 Strategic HRM Approaches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_Toc213410006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10</w:t>
            </w:r>
            <w:r w:rsidRPr="00A078DC">
              <w:rPr>
                <w:rFonts w:ascii="Arial" w:hAnsi="Arial" w:cs="Arial"/>
                <w:noProof/>
                <w:webHidden/>
              </w:rPr>
              <w:fldChar w:fldCharType="end"/>
            </w:r>
          </w:hyperlink>
        </w:p>
        <w:p w14:paraId="1BB268A8"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07" w:history="1">
            <w:r w:rsidRPr="00A078DC">
              <w:rPr>
                <w:rStyle w:val="Hyperlink"/>
                <w:rFonts w:ascii="Arial" w:hAnsi="Arial" w:cs="Arial"/>
                <w:noProof/>
                <w:color w:val="auto"/>
              </w:rPr>
              <w:t>3.1.3 Sector-Specific Examples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_Toc213410007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11</w:t>
            </w:r>
            <w:r w:rsidRPr="00A078DC">
              <w:rPr>
                <w:rFonts w:ascii="Arial" w:hAnsi="Arial" w:cs="Arial"/>
                <w:noProof/>
                <w:webHidden/>
              </w:rPr>
              <w:fldChar w:fldCharType="end"/>
            </w:r>
          </w:hyperlink>
        </w:p>
        <w:p w14:paraId="2665BAF1" w14:textId="77777777" w:rsidR="00A078DC" w:rsidRPr="00A078DC" w:rsidRDefault="00A078DC" w:rsidP="00A078DC">
          <w:pPr>
            <w:pStyle w:val="TOC1"/>
            <w:tabs>
              <w:tab w:val="right" w:leader="dot" w:pos="9016"/>
            </w:tabs>
            <w:spacing w:line="360" w:lineRule="auto"/>
            <w:jc w:val="both"/>
            <w:rPr>
              <w:rFonts w:ascii="Arial" w:hAnsi="Arial" w:cs="Arial"/>
              <w:noProof/>
            </w:rPr>
          </w:pPr>
          <w:hyperlink w:anchor="_Toc213410008" w:history="1">
            <w:r w:rsidRPr="00A078DC">
              <w:rPr>
                <w:rStyle w:val="Hyperlink"/>
                <w:rFonts w:ascii="Arial" w:hAnsi="Arial" w:cs="Arial"/>
                <w:noProof/>
                <w:color w:val="auto"/>
              </w:rPr>
              <w:t>4.0 Question 4: Reflective Report on Capabilities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_Toc213410008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13</w:t>
            </w:r>
            <w:r w:rsidRPr="00A078DC">
              <w:rPr>
                <w:rFonts w:ascii="Arial" w:hAnsi="Arial" w:cs="Arial"/>
                <w:noProof/>
                <w:webHidden/>
              </w:rPr>
              <w:fldChar w:fldCharType="end"/>
            </w:r>
          </w:hyperlink>
        </w:p>
        <w:p w14:paraId="27C17516" w14:textId="77777777" w:rsidR="00A078DC" w:rsidRPr="00A078DC" w:rsidRDefault="00A078DC" w:rsidP="00A078DC">
          <w:pPr>
            <w:pStyle w:val="TOC2"/>
            <w:tabs>
              <w:tab w:val="right" w:leader="dot" w:pos="9016"/>
            </w:tabs>
            <w:spacing w:line="360" w:lineRule="auto"/>
            <w:jc w:val="both"/>
            <w:rPr>
              <w:rFonts w:ascii="Arial" w:hAnsi="Arial" w:cs="Arial"/>
              <w:noProof/>
            </w:rPr>
          </w:pPr>
          <w:hyperlink w:anchor="_Toc213410009" w:history="1">
            <w:r w:rsidRPr="00A078DC">
              <w:rPr>
                <w:rStyle w:val="Hyperlink"/>
                <w:rFonts w:ascii="Arial" w:hAnsi="Arial" w:cs="Arial"/>
                <w:noProof/>
                <w:color w:val="auto"/>
              </w:rPr>
              <w:t>4.1 Self-assessment and a proactive plan for development</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_Toc213410009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13</w:t>
            </w:r>
            <w:r w:rsidRPr="00A078DC">
              <w:rPr>
                <w:rFonts w:ascii="Arial" w:hAnsi="Arial" w:cs="Arial"/>
                <w:noProof/>
                <w:webHidden/>
              </w:rPr>
              <w:fldChar w:fldCharType="end"/>
            </w:r>
          </w:hyperlink>
        </w:p>
        <w:p w14:paraId="43B5960C"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10" w:history="1">
            <w:r w:rsidRPr="00A078DC">
              <w:rPr>
                <w:rStyle w:val="Hyperlink"/>
                <w:rFonts w:ascii="Arial" w:hAnsi="Arial" w:cs="Arial"/>
                <w:noProof/>
                <w:color w:val="auto"/>
              </w:rPr>
              <w:t>4.1.1 Introduction</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_Toc213410010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13</w:t>
            </w:r>
            <w:r w:rsidRPr="00A078DC">
              <w:rPr>
                <w:rFonts w:ascii="Arial" w:hAnsi="Arial" w:cs="Arial"/>
                <w:noProof/>
                <w:webHidden/>
              </w:rPr>
              <w:fldChar w:fldCharType="end"/>
            </w:r>
          </w:hyperlink>
        </w:p>
        <w:p w14:paraId="284A2806"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11" w:history="1">
            <w:r w:rsidRPr="00A078DC">
              <w:rPr>
                <w:rStyle w:val="Hyperlink"/>
                <w:rFonts w:ascii="Arial" w:hAnsi="Arial" w:cs="Arial"/>
                <w:noProof/>
                <w:color w:val="auto"/>
              </w:rPr>
              <w:t>4.1.2 Self-Assessment</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_Toc213410011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13</w:t>
            </w:r>
            <w:r w:rsidRPr="00A078DC">
              <w:rPr>
                <w:rFonts w:ascii="Arial" w:hAnsi="Arial" w:cs="Arial"/>
                <w:noProof/>
                <w:webHidden/>
              </w:rPr>
              <w:fldChar w:fldCharType="end"/>
            </w:r>
          </w:hyperlink>
        </w:p>
        <w:p w14:paraId="3FEE239B" w14:textId="77777777" w:rsidR="00A078DC" w:rsidRPr="00A078DC" w:rsidRDefault="00A078DC" w:rsidP="00A078DC">
          <w:pPr>
            <w:pStyle w:val="TOC3"/>
            <w:tabs>
              <w:tab w:val="right" w:leader="dot" w:pos="9016"/>
            </w:tabs>
            <w:spacing w:line="360" w:lineRule="auto"/>
            <w:jc w:val="both"/>
            <w:rPr>
              <w:rFonts w:ascii="Arial" w:hAnsi="Arial" w:cs="Arial"/>
              <w:noProof/>
            </w:rPr>
          </w:pPr>
          <w:hyperlink w:anchor="_Toc213410012" w:history="1">
            <w:r w:rsidRPr="00A078DC">
              <w:rPr>
                <w:rStyle w:val="Hyperlink"/>
                <w:rFonts w:ascii="Arial" w:hAnsi="Arial" w:cs="Arial"/>
                <w:noProof/>
                <w:color w:val="auto"/>
              </w:rPr>
              <w:t>4.1.3 Development Plan</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_Toc213410012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16</w:t>
            </w:r>
            <w:r w:rsidRPr="00A078DC">
              <w:rPr>
                <w:rFonts w:ascii="Arial" w:hAnsi="Arial" w:cs="Arial"/>
                <w:noProof/>
                <w:webHidden/>
              </w:rPr>
              <w:fldChar w:fldCharType="end"/>
            </w:r>
          </w:hyperlink>
        </w:p>
        <w:p w14:paraId="2DD8B858" w14:textId="77777777" w:rsidR="00A078DC" w:rsidRPr="00A078DC" w:rsidRDefault="00A078DC" w:rsidP="00A078DC">
          <w:pPr>
            <w:pStyle w:val="TOC1"/>
            <w:tabs>
              <w:tab w:val="right" w:leader="dot" w:pos="9016"/>
            </w:tabs>
            <w:spacing w:line="360" w:lineRule="auto"/>
            <w:jc w:val="both"/>
            <w:rPr>
              <w:rFonts w:ascii="Arial" w:hAnsi="Arial" w:cs="Arial"/>
              <w:noProof/>
            </w:rPr>
          </w:pPr>
          <w:hyperlink w:anchor="_Toc213410013" w:history="1">
            <w:r w:rsidRPr="00A078DC">
              <w:rPr>
                <w:rStyle w:val="Hyperlink"/>
                <w:rFonts w:ascii="Arial" w:hAnsi="Arial" w:cs="Arial"/>
                <w:noProof/>
                <w:color w:val="auto"/>
              </w:rPr>
              <w:t>Conclusion</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_Toc213410013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18</w:t>
            </w:r>
            <w:r w:rsidRPr="00A078DC">
              <w:rPr>
                <w:rFonts w:ascii="Arial" w:hAnsi="Arial" w:cs="Arial"/>
                <w:noProof/>
                <w:webHidden/>
              </w:rPr>
              <w:fldChar w:fldCharType="end"/>
            </w:r>
          </w:hyperlink>
        </w:p>
        <w:p w14:paraId="6E24C2EF" w14:textId="77777777" w:rsidR="00A078DC" w:rsidRPr="00A078DC" w:rsidRDefault="00A078DC" w:rsidP="00A078DC">
          <w:pPr>
            <w:pStyle w:val="TOC1"/>
            <w:tabs>
              <w:tab w:val="right" w:leader="dot" w:pos="9016"/>
            </w:tabs>
            <w:spacing w:line="360" w:lineRule="auto"/>
            <w:jc w:val="both"/>
            <w:rPr>
              <w:rFonts w:ascii="Arial" w:hAnsi="Arial" w:cs="Arial"/>
              <w:noProof/>
            </w:rPr>
          </w:pPr>
          <w:hyperlink w:anchor="_Toc213410014" w:history="1">
            <w:r w:rsidRPr="00A078DC">
              <w:rPr>
                <w:rStyle w:val="Hyperlink"/>
                <w:rFonts w:ascii="Arial" w:hAnsi="Arial" w:cs="Arial"/>
                <w:noProof/>
                <w:color w:val="auto"/>
              </w:rPr>
              <w:t>References</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_Toc213410014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19</w:t>
            </w:r>
            <w:r w:rsidRPr="00A078DC">
              <w:rPr>
                <w:rFonts w:ascii="Arial" w:hAnsi="Arial" w:cs="Arial"/>
                <w:noProof/>
                <w:webHidden/>
              </w:rPr>
              <w:fldChar w:fldCharType="end"/>
            </w:r>
          </w:hyperlink>
        </w:p>
        <w:p w14:paraId="13574928" w14:textId="77777777" w:rsidR="00A078DC" w:rsidRPr="00A078DC" w:rsidRDefault="00A078DC" w:rsidP="00A078DC">
          <w:pPr>
            <w:pStyle w:val="TOC1"/>
            <w:tabs>
              <w:tab w:val="right" w:leader="dot" w:pos="9016"/>
            </w:tabs>
            <w:spacing w:line="360" w:lineRule="auto"/>
            <w:jc w:val="both"/>
            <w:rPr>
              <w:rFonts w:ascii="Arial" w:hAnsi="Arial" w:cs="Arial"/>
              <w:noProof/>
            </w:rPr>
          </w:pPr>
          <w:hyperlink w:anchor="_Toc213410015" w:history="1">
            <w:r w:rsidRPr="00A078DC">
              <w:rPr>
                <w:rStyle w:val="Hyperlink"/>
                <w:rFonts w:ascii="Arial" w:hAnsi="Arial" w:cs="Arial"/>
                <w:noProof/>
                <w:color w:val="auto"/>
              </w:rPr>
              <w:t>Appendix</w:t>
            </w:r>
            <w:r w:rsidRPr="00A078DC">
              <w:rPr>
                <w:rFonts w:ascii="Arial" w:hAnsi="Arial" w:cs="Arial"/>
                <w:noProof/>
                <w:webHidden/>
              </w:rPr>
              <w:tab/>
            </w:r>
            <w:r w:rsidRPr="00A078DC">
              <w:rPr>
                <w:rFonts w:ascii="Arial" w:hAnsi="Arial" w:cs="Arial"/>
                <w:noProof/>
                <w:webHidden/>
              </w:rPr>
              <w:fldChar w:fldCharType="begin"/>
            </w:r>
            <w:r w:rsidRPr="00A078DC">
              <w:rPr>
                <w:rFonts w:ascii="Arial" w:hAnsi="Arial" w:cs="Arial"/>
                <w:noProof/>
                <w:webHidden/>
              </w:rPr>
              <w:instrText xml:space="preserve"> PAGEREF _Toc213410015 \h </w:instrText>
            </w:r>
            <w:r w:rsidRPr="00A078DC">
              <w:rPr>
                <w:rFonts w:ascii="Arial" w:hAnsi="Arial" w:cs="Arial"/>
                <w:noProof/>
                <w:webHidden/>
              </w:rPr>
            </w:r>
            <w:r w:rsidRPr="00A078DC">
              <w:rPr>
                <w:rFonts w:ascii="Arial" w:hAnsi="Arial" w:cs="Arial"/>
                <w:noProof/>
                <w:webHidden/>
              </w:rPr>
              <w:fldChar w:fldCharType="separate"/>
            </w:r>
            <w:r w:rsidRPr="00A078DC">
              <w:rPr>
                <w:rFonts w:ascii="Arial" w:hAnsi="Arial" w:cs="Arial"/>
                <w:noProof/>
                <w:webHidden/>
              </w:rPr>
              <w:t>21</w:t>
            </w:r>
            <w:r w:rsidRPr="00A078DC">
              <w:rPr>
                <w:rFonts w:ascii="Arial" w:hAnsi="Arial" w:cs="Arial"/>
                <w:noProof/>
                <w:webHidden/>
              </w:rPr>
              <w:fldChar w:fldCharType="end"/>
            </w:r>
          </w:hyperlink>
        </w:p>
        <w:p w14:paraId="169E409A" w14:textId="77777777" w:rsidR="00A078DC" w:rsidRPr="00A078DC" w:rsidRDefault="00A078DC" w:rsidP="00A078DC">
          <w:pPr>
            <w:spacing w:line="360" w:lineRule="auto"/>
            <w:jc w:val="both"/>
          </w:pPr>
          <w:r w:rsidRPr="00A078DC">
            <w:rPr>
              <w:rFonts w:ascii="Arial" w:hAnsi="Arial" w:cs="Arial"/>
              <w:bCs/>
              <w:noProof/>
            </w:rPr>
            <w:fldChar w:fldCharType="end"/>
          </w:r>
        </w:p>
      </w:sdtContent>
    </w:sdt>
    <w:p w14:paraId="502108D8" w14:textId="77777777" w:rsidR="003F1CD5" w:rsidRPr="00A078DC" w:rsidRDefault="003F1CD5" w:rsidP="004C49DA">
      <w:pPr>
        <w:spacing w:line="360" w:lineRule="auto"/>
        <w:rPr>
          <w:rFonts w:ascii="Arial" w:eastAsiaTheme="majorEastAsia" w:hAnsi="Arial" w:cs="Arial"/>
          <w:b/>
          <w:sz w:val="24"/>
          <w:szCs w:val="24"/>
        </w:rPr>
      </w:pPr>
      <w:r w:rsidRPr="00A078DC">
        <w:rPr>
          <w:rFonts w:ascii="Arial" w:hAnsi="Arial" w:cs="Arial"/>
          <w:b/>
          <w:sz w:val="24"/>
          <w:szCs w:val="24"/>
        </w:rPr>
        <w:br w:type="page"/>
      </w:r>
    </w:p>
    <w:p w14:paraId="1E5D2974" w14:textId="77777777" w:rsidR="00D47DDE" w:rsidRPr="00A078DC" w:rsidRDefault="00D47DDE" w:rsidP="004C49DA">
      <w:pPr>
        <w:pStyle w:val="Heading1"/>
        <w:spacing w:line="360" w:lineRule="auto"/>
        <w:jc w:val="both"/>
        <w:rPr>
          <w:rFonts w:ascii="Arial" w:hAnsi="Arial" w:cs="Arial"/>
          <w:b/>
          <w:color w:val="auto"/>
          <w:sz w:val="24"/>
          <w:szCs w:val="24"/>
        </w:rPr>
      </w:pPr>
      <w:bookmarkStart w:id="0" w:name="_Toc213409993"/>
      <w:r w:rsidRPr="00A078DC">
        <w:rPr>
          <w:rFonts w:ascii="Arial" w:hAnsi="Arial" w:cs="Arial"/>
          <w:b/>
          <w:color w:val="auto"/>
          <w:sz w:val="24"/>
          <w:szCs w:val="24"/>
        </w:rPr>
        <w:lastRenderedPageBreak/>
        <w:t>I</w:t>
      </w:r>
      <w:r w:rsidR="00F65930" w:rsidRPr="00A078DC">
        <w:rPr>
          <w:rFonts w:ascii="Arial" w:hAnsi="Arial" w:cs="Arial"/>
          <w:b/>
          <w:color w:val="auto"/>
          <w:sz w:val="24"/>
          <w:szCs w:val="24"/>
        </w:rPr>
        <w:t>ntroduction</w:t>
      </w:r>
      <w:bookmarkEnd w:id="0"/>
    </w:p>
    <w:p w14:paraId="770BF897" w14:textId="77777777" w:rsidR="001061D8" w:rsidRPr="00A078DC" w:rsidRDefault="00776BB1" w:rsidP="004C49DA">
      <w:pPr>
        <w:spacing w:line="360" w:lineRule="auto"/>
        <w:jc w:val="both"/>
        <w:rPr>
          <w:rFonts w:ascii="Arial" w:hAnsi="Arial" w:cs="Arial"/>
          <w:b/>
          <w:sz w:val="24"/>
          <w:szCs w:val="24"/>
        </w:rPr>
      </w:pPr>
      <w:r w:rsidRPr="00A078DC">
        <w:rPr>
          <w:rFonts w:ascii="Arial" w:hAnsi="Arial" w:cs="Arial"/>
          <w:b/>
          <w:sz w:val="24"/>
          <w:szCs w:val="24"/>
        </w:rPr>
        <w:t>Context of the Report</w:t>
      </w:r>
    </w:p>
    <w:p w14:paraId="214CB490" w14:textId="77777777" w:rsidR="001061D8" w:rsidRPr="00A078DC" w:rsidRDefault="001061D8" w:rsidP="004C49DA">
      <w:pPr>
        <w:spacing w:line="360" w:lineRule="auto"/>
        <w:jc w:val="both"/>
        <w:rPr>
          <w:rFonts w:ascii="Arial" w:hAnsi="Arial" w:cs="Arial"/>
          <w:b/>
          <w:sz w:val="24"/>
          <w:szCs w:val="24"/>
        </w:rPr>
      </w:pPr>
      <w:r w:rsidRPr="001061D8">
        <w:rPr>
          <w:rFonts w:ascii="Arial" w:eastAsia="Times New Roman" w:hAnsi="Arial" w:cs="Arial"/>
          <w:sz w:val="24"/>
          <w:szCs w:val="24"/>
          <w:lang w:val="en-IN" w:eastAsia="en-IN"/>
        </w:rPr>
        <w:t>This study analyses how technology, demographics, and geopolitics affect global employment markets. An evidence-based analysis of how these dynamics affect HRM and IHRM strategies helps manage workforce transformation and reflect on personal preparation for global success.</w:t>
      </w:r>
    </w:p>
    <w:p w14:paraId="16B7CDF5" w14:textId="77777777" w:rsidR="001061D8" w:rsidRPr="00A078DC" w:rsidRDefault="00776BB1" w:rsidP="004C49DA">
      <w:pPr>
        <w:spacing w:line="360" w:lineRule="auto"/>
        <w:jc w:val="both"/>
        <w:rPr>
          <w:rFonts w:ascii="Arial" w:hAnsi="Arial" w:cs="Arial"/>
          <w:b/>
          <w:sz w:val="24"/>
          <w:szCs w:val="24"/>
        </w:rPr>
      </w:pPr>
      <w:r w:rsidRPr="00A078DC">
        <w:rPr>
          <w:rFonts w:ascii="Arial" w:hAnsi="Arial" w:cs="Arial"/>
          <w:b/>
          <w:sz w:val="24"/>
          <w:szCs w:val="24"/>
        </w:rPr>
        <w:t>Global forces on labour markets and HRM</w:t>
      </w:r>
    </w:p>
    <w:p w14:paraId="2464FB16" w14:textId="77777777" w:rsidR="001061D8" w:rsidRPr="00A078DC" w:rsidRDefault="001061D8" w:rsidP="004C49DA">
      <w:pPr>
        <w:spacing w:line="360" w:lineRule="auto"/>
        <w:jc w:val="both"/>
        <w:rPr>
          <w:rFonts w:ascii="Arial" w:hAnsi="Arial" w:cs="Arial"/>
          <w:b/>
          <w:sz w:val="24"/>
          <w:szCs w:val="24"/>
        </w:rPr>
      </w:pPr>
      <w:r w:rsidRPr="001061D8">
        <w:rPr>
          <w:rFonts w:ascii="Arial" w:eastAsia="Times New Roman" w:hAnsi="Arial" w:cs="Arial"/>
          <w:sz w:val="24"/>
          <w:szCs w:val="24"/>
          <w:lang w:val="en-IN" w:eastAsia="en-IN"/>
        </w:rPr>
        <w:t>International trade, migration, and globalisation have transformed workforce mobility and variety. In integrated labour markets, talent surpluses offset shortages. Thus, HRM must adopt global cultural integration frameworks, international labour norms, and remote, multicultural team management.</w:t>
      </w:r>
    </w:p>
    <w:p w14:paraId="51012E9E" w14:textId="77777777" w:rsidR="001061D8" w:rsidRPr="00A078DC" w:rsidRDefault="00776BB1" w:rsidP="004C49DA">
      <w:pPr>
        <w:spacing w:line="360" w:lineRule="auto"/>
        <w:jc w:val="both"/>
        <w:rPr>
          <w:rFonts w:ascii="Arial" w:hAnsi="Arial" w:cs="Arial"/>
          <w:b/>
          <w:sz w:val="24"/>
          <w:szCs w:val="24"/>
        </w:rPr>
      </w:pPr>
      <w:r w:rsidRPr="00A078DC">
        <w:rPr>
          <w:rFonts w:ascii="Arial" w:hAnsi="Arial" w:cs="Arial"/>
          <w:b/>
          <w:sz w:val="24"/>
          <w:szCs w:val="24"/>
        </w:rPr>
        <w:t>Technological forces on labour markets and HRM</w:t>
      </w:r>
    </w:p>
    <w:p w14:paraId="35664302" w14:textId="77777777" w:rsidR="003F1CD5" w:rsidRPr="00A078DC" w:rsidRDefault="001061D8" w:rsidP="004C49DA">
      <w:pPr>
        <w:spacing w:line="360" w:lineRule="auto"/>
        <w:jc w:val="both"/>
        <w:rPr>
          <w:rFonts w:ascii="Arial" w:eastAsia="Times New Roman" w:hAnsi="Arial" w:cs="Arial"/>
          <w:sz w:val="24"/>
          <w:szCs w:val="24"/>
          <w:lang w:val="en-IN" w:eastAsia="en-IN"/>
        </w:rPr>
      </w:pPr>
      <w:r w:rsidRPr="001061D8">
        <w:rPr>
          <w:rFonts w:ascii="Arial" w:eastAsia="Times New Roman" w:hAnsi="Arial" w:cs="Arial"/>
          <w:sz w:val="24"/>
          <w:szCs w:val="24"/>
          <w:lang w:val="en-IN" w:eastAsia="en-IN"/>
        </w:rPr>
        <w:t>AI, automation, and digital platforms alter work. Automation replaces routine occupations, requiring digital, analytical, and creative skills. In technology-driven workplaces, HRM and IHRM strategies emphasise digital transformation, continuous learning, and data-driven talent management to keep workers agile.</w:t>
      </w:r>
    </w:p>
    <w:p w14:paraId="2F2574E0" w14:textId="77777777" w:rsidR="003F1CD5" w:rsidRPr="00A078DC" w:rsidRDefault="003F1CD5" w:rsidP="004C49DA">
      <w:pPr>
        <w:spacing w:line="360" w:lineRule="auto"/>
        <w:rPr>
          <w:rFonts w:ascii="Arial" w:eastAsiaTheme="majorEastAsia" w:hAnsi="Arial" w:cs="Arial"/>
          <w:b/>
          <w:sz w:val="24"/>
          <w:szCs w:val="24"/>
        </w:rPr>
      </w:pPr>
      <w:r w:rsidRPr="00A078DC">
        <w:rPr>
          <w:rFonts w:ascii="Arial" w:hAnsi="Arial" w:cs="Arial"/>
          <w:b/>
          <w:sz w:val="24"/>
          <w:szCs w:val="24"/>
        </w:rPr>
        <w:br w:type="page"/>
      </w:r>
    </w:p>
    <w:p w14:paraId="4B018459" w14:textId="77777777" w:rsidR="00D47DDE" w:rsidRPr="00A078DC" w:rsidRDefault="00776BB1" w:rsidP="004C49DA">
      <w:pPr>
        <w:pStyle w:val="Heading1"/>
        <w:spacing w:line="360" w:lineRule="auto"/>
        <w:jc w:val="both"/>
        <w:rPr>
          <w:rFonts w:ascii="Arial" w:hAnsi="Arial" w:cs="Arial"/>
          <w:b/>
          <w:color w:val="auto"/>
          <w:sz w:val="24"/>
          <w:szCs w:val="24"/>
        </w:rPr>
      </w:pPr>
      <w:bookmarkStart w:id="1" w:name="_Toc213409994"/>
      <w:r w:rsidRPr="00A078DC">
        <w:rPr>
          <w:rFonts w:ascii="Arial" w:hAnsi="Arial" w:cs="Arial"/>
          <w:b/>
          <w:color w:val="auto"/>
          <w:sz w:val="24"/>
          <w:szCs w:val="24"/>
        </w:rPr>
        <w:lastRenderedPageBreak/>
        <w:t xml:space="preserve">1.0 </w:t>
      </w:r>
      <w:r w:rsidR="00D47DDE" w:rsidRPr="00A078DC">
        <w:rPr>
          <w:rFonts w:ascii="Arial" w:hAnsi="Arial" w:cs="Arial"/>
          <w:b/>
          <w:color w:val="auto"/>
          <w:sz w:val="24"/>
          <w:szCs w:val="24"/>
        </w:rPr>
        <w:t>Question 1: Technology &amp; Labour Markets</w:t>
      </w:r>
      <w:bookmarkEnd w:id="1"/>
      <w:r w:rsidR="00D47DDE" w:rsidRPr="00A078DC">
        <w:rPr>
          <w:rFonts w:ascii="Arial" w:hAnsi="Arial" w:cs="Arial"/>
          <w:b/>
          <w:color w:val="auto"/>
          <w:sz w:val="24"/>
          <w:szCs w:val="24"/>
        </w:rPr>
        <w:t xml:space="preserve"> </w:t>
      </w:r>
    </w:p>
    <w:p w14:paraId="143F3568" w14:textId="77777777" w:rsidR="00D47DDE" w:rsidRPr="00A078DC" w:rsidRDefault="00776BB1" w:rsidP="004C49DA">
      <w:pPr>
        <w:pStyle w:val="Heading2"/>
        <w:spacing w:line="360" w:lineRule="auto"/>
        <w:jc w:val="both"/>
        <w:rPr>
          <w:rFonts w:ascii="Arial" w:hAnsi="Arial" w:cs="Arial"/>
          <w:b/>
          <w:color w:val="auto"/>
          <w:sz w:val="24"/>
          <w:szCs w:val="24"/>
        </w:rPr>
      </w:pPr>
      <w:bookmarkStart w:id="2" w:name="_Toc213409995"/>
      <w:r w:rsidRPr="00A078DC">
        <w:rPr>
          <w:rFonts w:ascii="Arial" w:hAnsi="Arial" w:cs="Arial"/>
          <w:b/>
          <w:color w:val="auto"/>
          <w:sz w:val="24"/>
          <w:szCs w:val="24"/>
        </w:rPr>
        <w:t xml:space="preserve">1.1 </w:t>
      </w:r>
      <w:r w:rsidR="00D47DDE" w:rsidRPr="00A078DC">
        <w:rPr>
          <w:rFonts w:ascii="Arial" w:hAnsi="Arial" w:cs="Arial"/>
          <w:b/>
          <w:color w:val="auto"/>
          <w:sz w:val="24"/>
          <w:szCs w:val="24"/>
        </w:rPr>
        <w:t>Cause-and-effect relationship between technology and HR strategy</w:t>
      </w:r>
      <w:bookmarkEnd w:id="2"/>
    </w:p>
    <w:p w14:paraId="57F09FE9" w14:textId="77777777" w:rsidR="00D47DDE" w:rsidRPr="00A078DC" w:rsidRDefault="00776BB1" w:rsidP="004C49DA">
      <w:pPr>
        <w:pStyle w:val="Heading3"/>
        <w:spacing w:line="360" w:lineRule="auto"/>
        <w:jc w:val="both"/>
        <w:rPr>
          <w:rFonts w:ascii="Arial" w:hAnsi="Arial" w:cs="Arial"/>
          <w:b/>
          <w:color w:val="auto"/>
        </w:rPr>
      </w:pPr>
      <w:bookmarkStart w:id="3" w:name="_Toc213409996"/>
      <w:r w:rsidRPr="00A078DC">
        <w:rPr>
          <w:rFonts w:ascii="Arial" w:hAnsi="Arial" w:cs="Arial"/>
          <w:b/>
          <w:color w:val="auto"/>
        </w:rPr>
        <w:t xml:space="preserve">1.1.1 </w:t>
      </w:r>
      <w:r w:rsidR="00D47DDE" w:rsidRPr="00A078DC">
        <w:rPr>
          <w:rFonts w:ascii="Arial" w:hAnsi="Arial" w:cs="Arial"/>
          <w:b/>
          <w:color w:val="auto"/>
        </w:rPr>
        <w:t>The Reshaping of Labour Markets</w:t>
      </w:r>
      <w:bookmarkEnd w:id="3"/>
    </w:p>
    <w:p w14:paraId="45339246" w14:textId="064EAF91" w:rsidR="001061D8" w:rsidRPr="00A078DC" w:rsidRDefault="001061D8" w:rsidP="004C49DA">
      <w:pPr>
        <w:spacing w:line="360" w:lineRule="auto"/>
        <w:jc w:val="both"/>
        <w:rPr>
          <w:rFonts w:ascii="Arial" w:hAnsi="Arial" w:cs="Arial"/>
          <w:sz w:val="24"/>
          <w:szCs w:val="24"/>
        </w:rPr>
      </w:pPr>
      <w:r w:rsidRPr="00A078DC">
        <w:rPr>
          <w:rStyle w:val="Emphasis"/>
          <w:rFonts w:ascii="Arial" w:hAnsi="Arial" w:cs="Arial"/>
          <w:b/>
          <w:i w:val="0"/>
          <w:sz w:val="24"/>
          <w:szCs w:val="24"/>
        </w:rPr>
        <w:t>Automation &amp; AI:</w:t>
      </w:r>
      <w:r w:rsidRPr="00A078DC">
        <w:rPr>
          <w:rStyle w:val="Emphasis"/>
          <w:rFonts w:ascii="Arial" w:hAnsi="Arial" w:cs="Arial"/>
          <w:i w:val="0"/>
          <w:sz w:val="24"/>
          <w:szCs w:val="24"/>
        </w:rPr>
        <w:t xml:space="preserve"> </w:t>
      </w:r>
      <w:r w:rsidRPr="00A078DC">
        <w:rPr>
          <w:rFonts w:ascii="Arial" w:eastAsia="Times New Roman" w:hAnsi="Arial" w:cs="Arial"/>
          <w:sz w:val="24"/>
          <w:szCs w:val="24"/>
          <w:lang w:val="en-IN" w:eastAsia="en-IN"/>
        </w:rPr>
        <w:t xml:space="preserve">Job replacement and creation are accelerated by </w:t>
      </w:r>
      <w:r w:rsidR="00632B17" w:rsidRPr="00A078DC">
        <w:rPr>
          <w:rFonts w:ascii="Arial" w:eastAsia="Times New Roman" w:hAnsi="Arial" w:cs="Arial"/>
          <w:sz w:val="24"/>
          <w:szCs w:val="24"/>
          <w:lang w:val="en-IN" w:eastAsia="en-IN"/>
        </w:rPr>
        <w:t xml:space="preserve">automation and AI. By 2030, </w:t>
      </w:r>
      <w:r w:rsidRPr="00A078DC">
        <w:rPr>
          <w:rFonts w:ascii="Arial" w:eastAsia="Times New Roman" w:hAnsi="Arial" w:cs="Arial"/>
          <w:sz w:val="24"/>
          <w:szCs w:val="24"/>
          <w:lang w:val="en-IN" w:eastAsia="en-IN"/>
        </w:rPr>
        <w:t>92 million job losses and 78 million gains, resulting in a net increase but substantial disruption. At high risk of automation are around 19 million jobs—12.6% of current jobs—according to a US research</w:t>
      </w:r>
      <w:r w:rsidR="00E44E64" w:rsidRPr="00A078DC">
        <w:rPr>
          <w:rFonts w:ascii="Arial" w:eastAsia="Times New Roman" w:hAnsi="Arial" w:cs="Arial"/>
          <w:sz w:val="24"/>
          <w:szCs w:val="24"/>
          <w:lang w:val="en-IN" w:eastAsia="en-IN"/>
        </w:rPr>
        <w:t xml:space="preserve"> </w:t>
      </w:r>
      <w:r w:rsidR="00E44E64" w:rsidRPr="00A078DC">
        <w:rPr>
          <w:rFonts w:ascii="Arial" w:hAnsi="Arial" w:cs="Arial"/>
          <w:sz w:val="24"/>
          <w:szCs w:val="24"/>
        </w:rPr>
        <w:t>(World Economic Forum, 2025</w:t>
      </w:r>
      <w:r w:rsidRPr="00A078DC">
        <w:rPr>
          <w:rFonts w:ascii="Arial" w:eastAsia="Times New Roman" w:hAnsi="Arial" w:cs="Arial"/>
          <w:sz w:val="24"/>
          <w:szCs w:val="24"/>
          <w:lang w:val="en-IN" w:eastAsia="en-IN"/>
        </w:rPr>
        <w:t xml:space="preserve"> </w:t>
      </w:r>
    </w:p>
    <w:p w14:paraId="667F5F18" w14:textId="13B1FC82" w:rsidR="001061D8" w:rsidRPr="00A078DC" w:rsidRDefault="001061D8" w:rsidP="004C49DA">
      <w:pPr>
        <w:spacing w:line="360" w:lineRule="auto"/>
        <w:jc w:val="both"/>
        <w:rPr>
          <w:rFonts w:ascii="Arial" w:eastAsia="Times New Roman" w:hAnsi="Arial" w:cs="Arial"/>
          <w:sz w:val="24"/>
          <w:szCs w:val="24"/>
          <w:lang w:val="en-IN" w:eastAsia="en-IN"/>
        </w:rPr>
      </w:pPr>
      <w:r w:rsidRPr="00A078DC">
        <w:rPr>
          <w:rStyle w:val="Emphasis"/>
          <w:rFonts w:ascii="Arial" w:hAnsi="Arial" w:cs="Arial"/>
          <w:b/>
          <w:i w:val="0"/>
          <w:sz w:val="24"/>
          <w:szCs w:val="24"/>
        </w:rPr>
        <w:t>The Gig Economy &amp; Digital Platforms:</w:t>
      </w:r>
      <w:r w:rsidRPr="00A078DC">
        <w:rPr>
          <w:rStyle w:val="Emphasis"/>
          <w:rFonts w:ascii="Arial" w:hAnsi="Arial" w:cs="Arial"/>
          <w:i w:val="0"/>
          <w:sz w:val="24"/>
          <w:szCs w:val="24"/>
        </w:rPr>
        <w:t xml:space="preserve"> </w:t>
      </w:r>
      <w:r w:rsidRPr="00A078DC">
        <w:rPr>
          <w:rFonts w:ascii="Arial" w:eastAsia="Times New Roman" w:hAnsi="Arial" w:cs="Arial"/>
          <w:sz w:val="24"/>
          <w:szCs w:val="24"/>
          <w:lang w:val="en-IN" w:eastAsia="en-IN"/>
        </w:rPr>
        <w:t xml:space="preserve">Jobs are shifting due to digital platforms and gig economy. Digital labour platforms are changing millions of occupations, from ride-hailing and delivery to freelance digital labour, according to the ILO/WEF. </w:t>
      </w:r>
      <w:r w:rsidR="00632B17" w:rsidRPr="00A078DC">
        <w:rPr>
          <w:rFonts w:ascii="Arial" w:eastAsia="Times New Roman" w:hAnsi="Arial" w:cs="Arial"/>
          <w:sz w:val="24"/>
          <w:szCs w:val="24"/>
          <w:lang w:val="en-IN" w:eastAsia="en-IN"/>
        </w:rPr>
        <w:t>It is</w:t>
      </w:r>
      <w:r w:rsidRPr="00A078DC">
        <w:rPr>
          <w:rFonts w:ascii="Arial" w:eastAsia="Times New Roman" w:hAnsi="Arial" w:cs="Arial"/>
          <w:sz w:val="24"/>
          <w:szCs w:val="24"/>
          <w:lang w:val="en-IN" w:eastAsia="en-IN"/>
        </w:rPr>
        <w:t xml:space="preserve"> estimated </w:t>
      </w:r>
      <w:r w:rsidR="00632B17" w:rsidRPr="00A078DC">
        <w:rPr>
          <w:rFonts w:ascii="Arial" w:eastAsia="Times New Roman" w:hAnsi="Arial" w:cs="Arial"/>
          <w:sz w:val="24"/>
          <w:szCs w:val="24"/>
          <w:lang w:val="en-IN" w:eastAsia="en-IN"/>
        </w:rPr>
        <w:t xml:space="preserve">that </w:t>
      </w:r>
      <w:r w:rsidRPr="00A078DC">
        <w:rPr>
          <w:rFonts w:ascii="Arial" w:eastAsia="Times New Roman" w:hAnsi="Arial" w:cs="Arial"/>
          <w:sz w:val="24"/>
          <w:szCs w:val="24"/>
          <w:lang w:val="en-IN" w:eastAsia="en-IN"/>
        </w:rPr>
        <w:t xml:space="preserve">the global gig economy at $556.7 billion in 2024 and $2.1 trillion by 2033. </w:t>
      </w:r>
    </w:p>
    <w:p w14:paraId="3F70097D" w14:textId="77777777" w:rsidR="00632B17" w:rsidRPr="00A078DC" w:rsidRDefault="00632B17" w:rsidP="004C49DA">
      <w:pPr>
        <w:spacing w:line="360" w:lineRule="auto"/>
        <w:jc w:val="both"/>
        <w:rPr>
          <w:rFonts w:ascii="Arial" w:eastAsia="Times New Roman" w:hAnsi="Arial" w:cs="Arial"/>
          <w:b/>
          <w:sz w:val="24"/>
          <w:szCs w:val="24"/>
          <w:lang w:val="en-IN" w:eastAsia="en-IN"/>
        </w:rPr>
      </w:pPr>
      <w:r w:rsidRPr="00A078DC">
        <w:rPr>
          <w:b/>
          <w:noProof/>
          <w:lang w:val="en-IN" w:eastAsia="en-IN"/>
        </w:rPr>
        <w:drawing>
          <wp:inline distT="0" distB="0" distL="0" distR="0" wp14:anchorId="7E1809D0" wp14:editId="7B3D69DF">
            <wp:extent cx="5271770" cy="3412772"/>
            <wp:effectExtent l="0" t="0" r="5080" b="0"/>
            <wp:docPr id="1" name="Picture 1" descr="The Gig Economy in 2025: Trends, Opportunities, and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he Gig Economy in 2025: Trends, Opportunities, and Challenges"/>
                    <pic:cNvPicPr>
                      <a:picLocks noChangeAspect="1" noChangeArrowheads="1"/>
                    </pic:cNvPicPr>
                  </pic:nvPicPr>
                  <pic:blipFill rotWithShape="1">
                    <a:blip r:embed="rId9">
                      <a:extLst>
                        <a:ext uri="{28A0092B-C50C-407E-A947-70E740481C1C}">
                          <a14:useLocalDpi xmlns:a14="http://schemas.microsoft.com/office/drawing/2010/main" val="0"/>
                        </a:ext>
                      </a:extLst>
                    </a:blip>
                    <a:srcRect l="5054" t="2993" r="2937" b="7662"/>
                    <a:stretch/>
                  </pic:blipFill>
                  <pic:spPr bwMode="auto">
                    <a:xfrm>
                      <a:off x="0" y="0"/>
                      <a:ext cx="5273558" cy="3413929"/>
                    </a:xfrm>
                    <a:prstGeom prst="rect">
                      <a:avLst/>
                    </a:prstGeom>
                    <a:noFill/>
                    <a:ln>
                      <a:noFill/>
                    </a:ln>
                    <a:extLst>
                      <a:ext uri="{53640926-AAD7-44D8-BBD7-CCE9431645EC}">
                        <a14:shadowObscured xmlns:a14="http://schemas.microsoft.com/office/drawing/2010/main"/>
                      </a:ext>
                    </a:extLst>
                  </pic:spPr>
                </pic:pic>
              </a:graphicData>
            </a:graphic>
          </wp:inline>
        </w:drawing>
      </w:r>
    </w:p>
    <w:p w14:paraId="4828DE38" w14:textId="77777777" w:rsidR="00632B17" w:rsidRPr="00A078DC" w:rsidRDefault="00632B17" w:rsidP="00632B17">
      <w:pPr>
        <w:spacing w:line="360" w:lineRule="auto"/>
        <w:jc w:val="center"/>
        <w:rPr>
          <w:rFonts w:ascii="Arial" w:eastAsia="Times New Roman" w:hAnsi="Arial" w:cs="Arial"/>
          <w:b/>
          <w:sz w:val="24"/>
          <w:szCs w:val="24"/>
          <w:lang w:val="en-IN" w:eastAsia="en-IN"/>
        </w:rPr>
      </w:pPr>
      <w:r w:rsidRPr="00A078DC">
        <w:rPr>
          <w:rFonts w:ascii="Arial" w:eastAsia="Times New Roman" w:hAnsi="Arial" w:cs="Arial"/>
          <w:b/>
          <w:sz w:val="24"/>
          <w:szCs w:val="24"/>
          <w:lang w:val="en-IN" w:eastAsia="en-IN"/>
        </w:rPr>
        <w:t>Fig 1: Projection of Gig Workers</w:t>
      </w:r>
    </w:p>
    <w:p w14:paraId="62E1F411" w14:textId="77777777" w:rsidR="00632B17" w:rsidRPr="00A078DC" w:rsidRDefault="00632B17" w:rsidP="00632B17">
      <w:pPr>
        <w:spacing w:line="360" w:lineRule="auto"/>
        <w:jc w:val="center"/>
        <w:rPr>
          <w:rFonts w:ascii="Arial" w:eastAsia="Times New Roman" w:hAnsi="Arial" w:cs="Arial"/>
          <w:sz w:val="24"/>
          <w:szCs w:val="24"/>
          <w:lang w:val="en-IN" w:eastAsia="en-IN"/>
        </w:rPr>
      </w:pPr>
      <w:r w:rsidRPr="00A078DC">
        <w:rPr>
          <w:rFonts w:ascii="Arial" w:eastAsia="Times New Roman" w:hAnsi="Arial" w:cs="Arial"/>
          <w:b/>
          <w:sz w:val="24"/>
          <w:szCs w:val="24"/>
          <w:lang w:val="en-IN" w:eastAsia="en-IN"/>
        </w:rPr>
        <w:t xml:space="preserve">Source: </w:t>
      </w:r>
      <w:r w:rsidRPr="00A078DC">
        <w:rPr>
          <w:rFonts w:ascii="Arial" w:eastAsia="Times New Roman" w:hAnsi="Arial" w:cs="Arial"/>
          <w:sz w:val="24"/>
          <w:szCs w:val="24"/>
          <w:lang w:val="en-IN" w:eastAsia="en-IN"/>
        </w:rPr>
        <w:t>(Jadhav and Bajj, 2025)</w:t>
      </w:r>
    </w:p>
    <w:p w14:paraId="115D1555" w14:textId="77777777" w:rsidR="00E44E64" w:rsidRPr="00A078DC" w:rsidRDefault="001061D8" w:rsidP="004C49DA">
      <w:pPr>
        <w:spacing w:line="360" w:lineRule="auto"/>
        <w:jc w:val="both"/>
        <w:rPr>
          <w:rFonts w:ascii="Arial" w:hAnsi="Arial" w:cs="Arial"/>
          <w:sz w:val="24"/>
          <w:szCs w:val="24"/>
        </w:rPr>
      </w:pPr>
      <w:r w:rsidRPr="00A078DC">
        <w:rPr>
          <w:rStyle w:val="Emphasis"/>
          <w:rFonts w:ascii="Arial" w:hAnsi="Arial" w:cs="Arial"/>
          <w:b/>
          <w:i w:val="0"/>
          <w:sz w:val="24"/>
          <w:szCs w:val="24"/>
        </w:rPr>
        <w:t>Skills Churn:</w:t>
      </w:r>
      <w:r w:rsidRPr="00A078DC">
        <w:rPr>
          <w:rStyle w:val="Emphasis"/>
          <w:rFonts w:ascii="Arial" w:hAnsi="Arial" w:cs="Arial"/>
          <w:i w:val="0"/>
          <w:sz w:val="24"/>
          <w:szCs w:val="24"/>
        </w:rPr>
        <w:t xml:space="preserve"> </w:t>
      </w:r>
      <w:r w:rsidR="0064564E" w:rsidRPr="00A078DC">
        <w:rPr>
          <w:rFonts w:ascii="Arial" w:eastAsia="Times New Roman" w:hAnsi="Arial" w:cs="Arial"/>
          <w:sz w:val="24"/>
          <w:szCs w:val="24"/>
          <w:lang w:val="en-IN" w:eastAsia="en-IN"/>
        </w:rPr>
        <w:t xml:space="preserve">Skills half-life accelerating, STEM and digital literacy demand growing. Technology shortens skills. 39% of core work skills will change by 2030. Tech skills, analytical thinking, resilience, creativity, and lifelong learning are valued by employers. HRM must now provide ongoing L&amp;D with technologies that monitor skill </w:t>
      </w:r>
      <w:r w:rsidR="0064564E" w:rsidRPr="00A078DC">
        <w:rPr>
          <w:rFonts w:ascii="Arial" w:eastAsia="Times New Roman" w:hAnsi="Arial" w:cs="Arial"/>
          <w:sz w:val="24"/>
          <w:szCs w:val="24"/>
          <w:lang w:val="en-IN" w:eastAsia="en-IN"/>
        </w:rPr>
        <w:lastRenderedPageBreak/>
        <w:t>obsolescence, forecast future skill needs, and give micro-learning, digital credentials, and fast upskilling</w:t>
      </w:r>
      <w:r w:rsidR="00E44E64" w:rsidRPr="00A078DC">
        <w:rPr>
          <w:rFonts w:ascii="Arial" w:eastAsia="Times New Roman" w:hAnsi="Arial" w:cs="Arial"/>
          <w:sz w:val="24"/>
          <w:szCs w:val="24"/>
          <w:lang w:val="en-IN" w:eastAsia="en-IN"/>
        </w:rPr>
        <w:t xml:space="preserve"> </w:t>
      </w:r>
      <w:r w:rsidR="00E44E64" w:rsidRPr="00A078DC">
        <w:rPr>
          <w:rFonts w:ascii="Arial" w:hAnsi="Arial" w:cs="Arial"/>
          <w:sz w:val="24"/>
          <w:szCs w:val="24"/>
        </w:rPr>
        <w:t>(Brynjolfsson and McAfee, 2014)</w:t>
      </w:r>
    </w:p>
    <w:p w14:paraId="3B081999" w14:textId="77777777" w:rsidR="00D47DDE" w:rsidRPr="00A078DC" w:rsidRDefault="00776BB1" w:rsidP="004C49DA">
      <w:pPr>
        <w:pStyle w:val="Heading3"/>
        <w:spacing w:line="360" w:lineRule="auto"/>
        <w:jc w:val="both"/>
        <w:rPr>
          <w:rFonts w:ascii="Arial" w:hAnsi="Arial" w:cs="Arial"/>
          <w:b/>
          <w:color w:val="auto"/>
        </w:rPr>
      </w:pPr>
      <w:bookmarkStart w:id="4" w:name="_Toc213409997"/>
      <w:r w:rsidRPr="00A078DC">
        <w:rPr>
          <w:rFonts w:ascii="Arial" w:hAnsi="Arial" w:cs="Arial"/>
          <w:b/>
          <w:color w:val="auto"/>
        </w:rPr>
        <w:t xml:space="preserve">1.1.2 </w:t>
      </w:r>
      <w:r w:rsidR="00D47DDE" w:rsidRPr="00A078DC">
        <w:rPr>
          <w:rFonts w:ascii="Arial" w:hAnsi="Arial" w:cs="Arial"/>
          <w:b/>
          <w:color w:val="auto"/>
        </w:rPr>
        <w:t>Implications for HRM/IHRM Strategies</w:t>
      </w:r>
      <w:bookmarkEnd w:id="4"/>
    </w:p>
    <w:p w14:paraId="40CAD381" w14:textId="77777777" w:rsidR="0064564E" w:rsidRPr="00A078DC" w:rsidRDefault="0064564E" w:rsidP="004C49DA">
      <w:pPr>
        <w:spacing w:before="100" w:beforeAutospacing="1" w:after="100" w:afterAutospacing="1"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Talent Acquisition</w:t>
      </w:r>
    </w:p>
    <w:p w14:paraId="4020DC4C" w14:textId="77777777" w:rsidR="0064564E" w:rsidRPr="0064564E" w:rsidRDefault="0064564E" w:rsidP="004C49DA">
      <w:pPr>
        <w:spacing w:after="0" w:line="360" w:lineRule="auto"/>
        <w:jc w:val="both"/>
        <w:rPr>
          <w:rFonts w:ascii="Arial" w:eastAsia="Times New Roman" w:hAnsi="Arial" w:cs="Arial"/>
          <w:sz w:val="24"/>
          <w:szCs w:val="24"/>
          <w:lang w:val="en-IN" w:eastAsia="en-IN"/>
        </w:rPr>
      </w:pPr>
      <w:r w:rsidRPr="0064564E">
        <w:rPr>
          <w:rFonts w:ascii="Arial" w:eastAsia="Times New Roman" w:hAnsi="Arial" w:cs="Arial"/>
          <w:sz w:val="24"/>
          <w:szCs w:val="24"/>
          <w:lang w:val="en-IN" w:eastAsia="en-IN"/>
        </w:rPr>
        <w:t xml:space="preserve">By 2025, 87% of organisations will use AI-driven recruitment, saving 67% of hiring executives time. AI-powered solutions cut costs 30% and hire 50% faster. HR and IHRM must bring flexibility, learning agility, and digital readiness to talent acquisition frameworks beyond sourcing faster. </w:t>
      </w:r>
    </w:p>
    <w:p w14:paraId="47B020AF" w14:textId="77777777" w:rsidR="0064564E" w:rsidRPr="00A078DC" w:rsidRDefault="0064564E" w:rsidP="004C49DA">
      <w:pPr>
        <w:spacing w:before="100" w:beforeAutospacing="1" w:after="100" w:afterAutospacing="1"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Learning &amp; Development (L&amp;D)</w:t>
      </w:r>
    </w:p>
    <w:p w14:paraId="4AE2A194" w14:textId="2E30CEDC" w:rsidR="0064564E" w:rsidRPr="0064564E" w:rsidRDefault="0064564E" w:rsidP="004C49DA">
      <w:pPr>
        <w:spacing w:line="360" w:lineRule="auto"/>
        <w:jc w:val="both"/>
        <w:rPr>
          <w:rFonts w:ascii="Arial" w:hAnsi="Arial" w:cs="Arial"/>
          <w:sz w:val="24"/>
          <w:szCs w:val="24"/>
        </w:rPr>
      </w:pPr>
      <w:r w:rsidRPr="0064564E">
        <w:rPr>
          <w:rFonts w:ascii="Arial" w:eastAsia="Times New Roman" w:hAnsi="Arial" w:cs="Arial"/>
          <w:sz w:val="24"/>
          <w:szCs w:val="24"/>
          <w:lang w:val="en-IN" w:eastAsia="en-IN"/>
        </w:rPr>
        <w:t>Video-based micro-learning modules were used in 85% of 2025 training programs. We expect the $312.7 million digital badges and micro-credential sector to rise after 2025. AI helps learning systems adapt to user needs</w:t>
      </w:r>
      <w:r w:rsidR="00E44E64" w:rsidRPr="00A078DC">
        <w:rPr>
          <w:rFonts w:ascii="Arial" w:eastAsia="Times New Roman" w:hAnsi="Arial" w:cs="Arial"/>
          <w:sz w:val="24"/>
          <w:szCs w:val="24"/>
          <w:lang w:val="en-IN" w:eastAsia="en-IN"/>
        </w:rPr>
        <w:t xml:space="preserve"> </w:t>
      </w:r>
      <w:r w:rsidR="00E44E64" w:rsidRPr="00A078DC">
        <w:rPr>
          <w:rFonts w:ascii="Arial" w:hAnsi="Arial" w:cs="Arial"/>
          <w:sz w:val="24"/>
          <w:szCs w:val="24"/>
        </w:rPr>
        <w:t>(CIPD, 2024)</w:t>
      </w:r>
      <w:r w:rsidRPr="0064564E">
        <w:rPr>
          <w:rFonts w:ascii="Arial" w:eastAsia="Times New Roman" w:hAnsi="Arial" w:cs="Arial"/>
          <w:sz w:val="24"/>
          <w:szCs w:val="24"/>
          <w:lang w:val="en-IN" w:eastAsia="en-IN"/>
        </w:rPr>
        <w:t>. Create HRM/IHRM learning ecosystems for fast skill renewal, personalised content, and global dissemination..</w:t>
      </w:r>
    </w:p>
    <w:p w14:paraId="735D99F5" w14:textId="5AB74BEA" w:rsidR="0064564E" w:rsidRPr="00A078DC" w:rsidRDefault="0064564E" w:rsidP="004C49DA">
      <w:pPr>
        <w:spacing w:before="100" w:beforeAutospacing="1" w:after="100" w:afterAutospacing="1"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Str</w:t>
      </w:r>
      <w:r w:rsidR="00337151">
        <w:rPr>
          <w:rFonts w:ascii="Arial" w:eastAsia="Times New Roman" w:hAnsi="Arial" w:cs="Arial"/>
          <w:b/>
          <w:bCs/>
          <w:sz w:val="24"/>
          <w:szCs w:val="24"/>
          <w:lang w:val="en-IN" w:eastAsia="en-IN"/>
        </w:rPr>
        <w:t>a</w:t>
      </w:r>
      <w:r w:rsidRPr="00A078DC">
        <w:rPr>
          <w:rFonts w:ascii="Arial" w:eastAsia="Times New Roman" w:hAnsi="Arial" w:cs="Arial"/>
          <w:b/>
          <w:bCs/>
          <w:sz w:val="24"/>
          <w:szCs w:val="24"/>
          <w:lang w:val="en-IN" w:eastAsia="en-IN"/>
        </w:rPr>
        <w:t>tegic HR Planning</w:t>
      </w:r>
    </w:p>
    <w:p w14:paraId="68E83B1F" w14:textId="217C9A47" w:rsidR="0064564E" w:rsidRPr="0064564E" w:rsidRDefault="0064564E" w:rsidP="004C49DA">
      <w:pPr>
        <w:spacing w:after="0" w:line="360" w:lineRule="auto"/>
        <w:jc w:val="both"/>
        <w:rPr>
          <w:rFonts w:ascii="Arial" w:eastAsia="Times New Roman" w:hAnsi="Arial" w:cs="Arial"/>
          <w:sz w:val="24"/>
          <w:szCs w:val="24"/>
          <w:lang w:val="en-IN" w:eastAsia="en-IN"/>
        </w:rPr>
      </w:pPr>
      <w:r w:rsidRPr="0064564E">
        <w:rPr>
          <w:rFonts w:ascii="Arial" w:eastAsia="Times New Roman" w:hAnsi="Arial" w:cs="Arial"/>
          <w:sz w:val="24"/>
          <w:szCs w:val="24"/>
          <w:lang w:val="en-IN" w:eastAsia="en-IN"/>
        </w:rPr>
        <w:t xml:space="preserve">Strategic HR planning must integrate full-time, part-time, gig, freelance, and remote global talent. HR must predict position changes when and how as automation and AI shorten skill lifecycles. Reports predict generative AI may reach 37% of workers in 2–5 years. We need skill-flow mapping, workforce composition change scenario modelling, and gig/contract talent model integration with internal workforce pipelines. </w:t>
      </w:r>
    </w:p>
    <w:p w14:paraId="3030FC7D" w14:textId="77777777" w:rsidR="0064564E" w:rsidRPr="00A078DC" w:rsidRDefault="0064564E" w:rsidP="004C49DA">
      <w:pPr>
        <w:spacing w:before="100" w:beforeAutospacing="1" w:after="100" w:afterAutospacing="1"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HRM Specifics</w:t>
      </w:r>
    </w:p>
    <w:p w14:paraId="62531449" w14:textId="77777777" w:rsidR="0064564E" w:rsidRPr="0064564E" w:rsidRDefault="0064564E" w:rsidP="004C49DA">
      <w:pPr>
        <w:spacing w:line="360" w:lineRule="auto"/>
        <w:jc w:val="both"/>
        <w:rPr>
          <w:rFonts w:ascii="Arial" w:eastAsia="Times New Roman" w:hAnsi="Arial" w:cs="Arial"/>
          <w:sz w:val="24"/>
          <w:szCs w:val="24"/>
          <w:lang w:val="en-IN" w:eastAsia="en-IN"/>
        </w:rPr>
      </w:pPr>
      <w:r w:rsidRPr="0064564E">
        <w:rPr>
          <w:rFonts w:ascii="Arial" w:eastAsia="Times New Roman" w:hAnsi="Arial" w:cs="Arial"/>
          <w:sz w:val="24"/>
          <w:szCs w:val="24"/>
          <w:lang w:val="en-IN" w:eastAsia="en-IN"/>
        </w:rPr>
        <w:t xml:space="preserve">Remote and digital-platform-enabled workers need global hire, onboarding, engagement, performance, and mobility policies from IHRM. GDPR concerns worldwide employee data processing, but gig-work laws vary by jurisdiction (classification, rights, </w:t>
      </w:r>
      <w:r w:rsidR="00E44E64" w:rsidRPr="00A078DC">
        <w:rPr>
          <w:rFonts w:ascii="Arial" w:eastAsia="Times New Roman" w:hAnsi="Arial" w:cs="Arial"/>
          <w:sz w:val="24"/>
          <w:szCs w:val="24"/>
          <w:lang w:val="en-IN" w:eastAsia="en-IN"/>
        </w:rPr>
        <w:t>and rewards</w:t>
      </w:r>
      <w:r w:rsidRPr="0064564E">
        <w:rPr>
          <w:rFonts w:ascii="Arial" w:eastAsia="Times New Roman" w:hAnsi="Arial" w:cs="Arial"/>
          <w:sz w:val="24"/>
          <w:szCs w:val="24"/>
          <w:lang w:val="en-IN" w:eastAsia="en-IN"/>
        </w:rPr>
        <w:t>). IHRM must ensure global employment laws, cross-border compliance, and gig-worker pool fairness on digital platforms. HR strategy must address global remote workforce management, local-law compliance, digital-platform governance, and cross-cultural team management</w:t>
      </w:r>
      <w:r w:rsidR="00E44E64" w:rsidRPr="00A078DC">
        <w:rPr>
          <w:rFonts w:ascii="Arial" w:eastAsia="Times New Roman" w:hAnsi="Arial" w:cs="Arial"/>
          <w:sz w:val="24"/>
          <w:szCs w:val="24"/>
          <w:lang w:val="en-IN" w:eastAsia="en-IN"/>
        </w:rPr>
        <w:t xml:space="preserve"> </w:t>
      </w:r>
      <w:r w:rsidR="00E44E64" w:rsidRPr="00A078DC">
        <w:rPr>
          <w:rFonts w:ascii="Arial" w:hAnsi="Arial" w:cs="Arial"/>
          <w:sz w:val="24"/>
          <w:szCs w:val="24"/>
        </w:rPr>
        <w:t>(SHRM, 2025)</w:t>
      </w:r>
      <w:r w:rsidRPr="0064564E">
        <w:rPr>
          <w:rFonts w:ascii="Arial" w:eastAsia="Times New Roman" w:hAnsi="Arial" w:cs="Arial"/>
          <w:sz w:val="24"/>
          <w:szCs w:val="24"/>
          <w:lang w:val="en-IN" w:eastAsia="en-IN"/>
        </w:rPr>
        <w:t>.</w:t>
      </w:r>
    </w:p>
    <w:p w14:paraId="71D05909" w14:textId="44374CCA" w:rsidR="00D47DDE" w:rsidRPr="00A078DC" w:rsidRDefault="003F1CD5" w:rsidP="00025D4D">
      <w:pPr>
        <w:spacing w:line="360" w:lineRule="auto"/>
        <w:rPr>
          <w:rFonts w:ascii="Arial" w:hAnsi="Arial" w:cs="Arial"/>
          <w:b/>
          <w:sz w:val="24"/>
          <w:szCs w:val="24"/>
        </w:rPr>
      </w:pPr>
      <w:r w:rsidRPr="00A078DC">
        <w:rPr>
          <w:rFonts w:ascii="Arial" w:hAnsi="Arial" w:cs="Arial"/>
          <w:b/>
          <w:sz w:val="24"/>
          <w:szCs w:val="24"/>
        </w:rPr>
        <w:br w:type="page"/>
      </w:r>
      <w:bookmarkStart w:id="5" w:name="_Toc213409998"/>
      <w:r w:rsidR="00776BB1" w:rsidRPr="00A078DC">
        <w:rPr>
          <w:rFonts w:ascii="Arial" w:hAnsi="Arial" w:cs="Arial"/>
          <w:b/>
          <w:sz w:val="24"/>
          <w:szCs w:val="24"/>
        </w:rPr>
        <w:lastRenderedPageBreak/>
        <w:t>2.0 Question 2: Demographic &amp;</w:t>
      </w:r>
      <w:r w:rsidR="00D47DDE" w:rsidRPr="00A078DC">
        <w:rPr>
          <w:rFonts w:ascii="Arial" w:hAnsi="Arial" w:cs="Arial"/>
          <w:b/>
          <w:sz w:val="24"/>
          <w:szCs w:val="24"/>
        </w:rPr>
        <w:t xml:space="preserve"> Geopolitical Factors</w:t>
      </w:r>
      <w:bookmarkEnd w:id="5"/>
    </w:p>
    <w:p w14:paraId="60F4AEC5" w14:textId="77777777" w:rsidR="00D47DDE" w:rsidRPr="00A078DC" w:rsidRDefault="00776BB1" w:rsidP="004C49DA">
      <w:pPr>
        <w:pStyle w:val="Heading2"/>
        <w:spacing w:line="360" w:lineRule="auto"/>
        <w:jc w:val="both"/>
        <w:rPr>
          <w:rFonts w:ascii="Arial" w:hAnsi="Arial" w:cs="Arial"/>
          <w:b/>
          <w:color w:val="auto"/>
          <w:sz w:val="24"/>
          <w:szCs w:val="24"/>
        </w:rPr>
      </w:pPr>
      <w:bookmarkStart w:id="6" w:name="_Toc213409999"/>
      <w:r w:rsidRPr="00A078DC">
        <w:rPr>
          <w:rFonts w:ascii="Arial" w:hAnsi="Arial" w:cs="Arial"/>
          <w:b/>
          <w:color w:val="auto"/>
          <w:sz w:val="24"/>
          <w:szCs w:val="24"/>
        </w:rPr>
        <w:t xml:space="preserve">2.1 </w:t>
      </w:r>
      <w:r w:rsidR="00D47DDE" w:rsidRPr="00A078DC">
        <w:rPr>
          <w:rFonts w:ascii="Arial" w:hAnsi="Arial" w:cs="Arial"/>
          <w:b/>
          <w:color w:val="auto"/>
          <w:sz w:val="24"/>
          <w:szCs w:val="24"/>
        </w:rPr>
        <w:t>Key macro-environmental factors and analysing the specific challenges they pose for HR</w:t>
      </w:r>
      <w:bookmarkEnd w:id="6"/>
    </w:p>
    <w:p w14:paraId="25E1A930" w14:textId="77777777" w:rsidR="00D47DDE" w:rsidRPr="00A078DC" w:rsidRDefault="00776BB1" w:rsidP="004C49DA">
      <w:pPr>
        <w:pStyle w:val="Heading3"/>
        <w:spacing w:line="360" w:lineRule="auto"/>
        <w:jc w:val="both"/>
        <w:rPr>
          <w:rFonts w:ascii="Arial" w:hAnsi="Arial" w:cs="Arial"/>
          <w:b/>
          <w:color w:val="auto"/>
        </w:rPr>
      </w:pPr>
      <w:bookmarkStart w:id="7" w:name="_Toc213410000"/>
      <w:r w:rsidRPr="00A078DC">
        <w:rPr>
          <w:rFonts w:ascii="Arial" w:hAnsi="Arial" w:cs="Arial"/>
          <w:b/>
          <w:color w:val="auto"/>
        </w:rPr>
        <w:t xml:space="preserve">2.1.1 </w:t>
      </w:r>
      <w:r w:rsidR="00D47DDE" w:rsidRPr="00A078DC">
        <w:rPr>
          <w:rFonts w:ascii="Arial" w:hAnsi="Arial" w:cs="Arial"/>
          <w:b/>
          <w:color w:val="auto"/>
        </w:rPr>
        <w:t>Key Demographic Factors</w:t>
      </w:r>
      <w:bookmarkEnd w:id="7"/>
    </w:p>
    <w:p w14:paraId="5D24664F" w14:textId="77777777" w:rsidR="0064564E" w:rsidRPr="00A078DC" w:rsidRDefault="0064564E" w:rsidP="004C49DA">
      <w:pPr>
        <w:spacing w:before="100" w:beforeAutospacing="1" w:after="100" w:afterAutospacing="1"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 xml:space="preserve">Ageing Populations </w:t>
      </w:r>
    </w:p>
    <w:p w14:paraId="5875D6AA" w14:textId="1889C7AA" w:rsidR="0064564E" w:rsidRPr="0064564E" w:rsidRDefault="0064564E" w:rsidP="004C49DA">
      <w:pPr>
        <w:pStyle w:val="NormalWeb"/>
        <w:spacing w:line="360" w:lineRule="auto"/>
        <w:jc w:val="both"/>
        <w:rPr>
          <w:rFonts w:ascii="Arial" w:hAnsi="Arial" w:cs="Arial"/>
        </w:rPr>
      </w:pPr>
      <w:r w:rsidRPr="0064564E">
        <w:rPr>
          <w:rFonts w:ascii="Arial" w:hAnsi="Arial" w:cs="Arial"/>
        </w:rPr>
        <w:t xml:space="preserve">Many advanced economies are under demographic pressure as </w:t>
      </w:r>
      <w:r w:rsidR="004C49DA" w:rsidRPr="00A078DC">
        <w:rPr>
          <w:rFonts w:ascii="Arial" w:hAnsi="Arial" w:cs="Arial"/>
        </w:rPr>
        <w:t>population’s</w:t>
      </w:r>
      <w:r w:rsidRPr="0064564E">
        <w:rPr>
          <w:rFonts w:ascii="Arial" w:hAnsi="Arial" w:cs="Arial"/>
        </w:rPr>
        <w:t xml:space="preserve"> age and working-age cohorts shrink. The OECD predicts its member states' old-age dependence ratio (65+ people to working-age population) to climb from 31% in 2023 to 52% in 2060. </w:t>
      </w:r>
      <w:r w:rsidR="004C49DA" w:rsidRPr="00A078DC">
        <w:rPr>
          <w:rFonts w:ascii="Arial" w:hAnsi="Arial" w:cs="Arial"/>
        </w:rPr>
        <w:t xml:space="preserve">It is stated </w:t>
      </w:r>
      <w:r w:rsidRPr="0064564E">
        <w:rPr>
          <w:rFonts w:ascii="Arial" w:hAnsi="Arial" w:cs="Arial"/>
        </w:rPr>
        <w:t xml:space="preserve">that Europe's working-age population has declined since 2014, resulting in fewer new entrants and </w:t>
      </w:r>
      <w:r w:rsidR="00632B17" w:rsidRPr="00A078DC">
        <w:rPr>
          <w:rFonts w:ascii="Arial" w:hAnsi="Arial" w:cs="Arial"/>
        </w:rPr>
        <w:t>older</w:t>
      </w:r>
      <w:r w:rsidRPr="0064564E">
        <w:rPr>
          <w:rFonts w:ascii="Arial" w:hAnsi="Arial" w:cs="Arial"/>
        </w:rPr>
        <w:t xml:space="preserve"> workers staying active. </w:t>
      </w:r>
    </w:p>
    <w:p w14:paraId="3BB91C2A" w14:textId="77777777" w:rsidR="0064564E" w:rsidRPr="00A078DC" w:rsidRDefault="0064564E" w:rsidP="004C49DA">
      <w:pPr>
        <w:spacing w:before="100" w:beforeAutospacing="1" w:after="100" w:afterAutospacing="1"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Changing Migration Pattern</w:t>
      </w:r>
    </w:p>
    <w:p w14:paraId="477A3A05" w14:textId="78BD75E8" w:rsidR="0064564E" w:rsidRPr="0064564E" w:rsidRDefault="0064564E" w:rsidP="004C49DA">
      <w:pPr>
        <w:spacing w:line="360" w:lineRule="auto"/>
        <w:jc w:val="both"/>
        <w:rPr>
          <w:rFonts w:ascii="Arial" w:hAnsi="Arial" w:cs="Arial"/>
          <w:sz w:val="24"/>
          <w:szCs w:val="24"/>
        </w:rPr>
      </w:pPr>
      <w:r w:rsidRPr="0064564E">
        <w:rPr>
          <w:rFonts w:ascii="Arial" w:eastAsia="Times New Roman" w:hAnsi="Arial" w:cs="Arial"/>
          <w:sz w:val="24"/>
          <w:szCs w:val="24"/>
          <w:lang w:val="en-IN" w:eastAsia="en-IN"/>
        </w:rPr>
        <w:t>Immigration helps labour markets overcome population decline and skills gaps. The 2025 OECD International Migration Outlook shows that migration flows remained high in 2024 and 2025 and that immigrant employment rates in many OECD countries are at historic highs</w:t>
      </w:r>
      <w:r w:rsidR="004C49DA" w:rsidRPr="00A078DC">
        <w:rPr>
          <w:rFonts w:ascii="Arial" w:eastAsia="Times New Roman" w:hAnsi="Arial" w:cs="Arial"/>
          <w:sz w:val="24"/>
          <w:szCs w:val="24"/>
          <w:lang w:val="en-IN" w:eastAsia="en-IN"/>
        </w:rPr>
        <w:t xml:space="preserve"> </w:t>
      </w:r>
      <w:r w:rsidR="004C49DA" w:rsidRPr="00A078DC">
        <w:rPr>
          <w:rFonts w:ascii="Arial" w:hAnsi="Arial" w:cs="Arial"/>
          <w:sz w:val="24"/>
          <w:szCs w:val="24"/>
        </w:rPr>
        <w:t>(Dowling et al., 2017)</w:t>
      </w:r>
      <w:r w:rsidRPr="0064564E">
        <w:rPr>
          <w:rFonts w:ascii="Arial" w:eastAsia="Times New Roman" w:hAnsi="Arial" w:cs="Arial"/>
          <w:sz w:val="24"/>
          <w:szCs w:val="24"/>
          <w:lang w:val="en-IN" w:eastAsia="en-IN"/>
        </w:rPr>
        <w:t xml:space="preserve">. To quickly fill shortages, international recruiting involves immigration constraints, credential recognition, cultural integration, migrant talent retention, and national origin justice and equity. </w:t>
      </w:r>
    </w:p>
    <w:p w14:paraId="3710A596" w14:textId="77777777" w:rsidR="0064564E" w:rsidRPr="00A078DC" w:rsidRDefault="0064564E" w:rsidP="004C49DA">
      <w:pPr>
        <w:spacing w:before="100" w:beforeAutospacing="1" w:after="100" w:afterAutospacing="1"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Increasing Workforce Diversity</w:t>
      </w:r>
      <w:r w:rsidRPr="00A078DC">
        <w:rPr>
          <w:rFonts w:ascii="Arial" w:eastAsia="Times New Roman" w:hAnsi="Arial" w:cs="Arial"/>
          <w:sz w:val="24"/>
          <w:szCs w:val="24"/>
          <w:lang w:val="en-IN" w:eastAsia="en-IN"/>
        </w:rPr>
        <w:t xml:space="preserve"> </w:t>
      </w:r>
    </w:p>
    <w:p w14:paraId="14AD482E" w14:textId="17614B7B" w:rsidR="0064564E" w:rsidRPr="0064564E" w:rsidRDefault="0064564E" w:rsidP="004C49DA">
      <w:pPr>
        <w:spacing w:after="0" w:line="360" w:lineRule="auto"/>
        <w:jc w:val="both"/>
        <w:rPr>
          <w:rFonts w:ascii="Arial" w:eastAsia="Times New Roman" w:hAnsi="Arial" w:cs="Arial"/>
          <w:sz w:val="24"/>
          <w:szCs w:val="24"/>
          <w:lang w:val="en-IN" w:eastAsia="en-IN"/>
        </w:rPr>
      </w:pPr>
      <w:r w:rsidRPr="0064564E">
        <w:rPr>
          <w:rFonts w:ascii="Arial" w:eastAsia="Times New Roman" w:hAnsi="Arial" w:cs="Arial"/>
          <w:sz w:val="24"/>
          <w:szCs w:val="24"/>
          <w:lang w:val="en-IN" w:eastAsia="en-IN"/>
        </w:rPr>
        <w:t xml:space="preserve">As global and mobile labour markets grow, worker diversity increases in nationality, age, gender, culture, employment type, and arrangement. Diverse teams can innovate, but they need advanced HRM practises for inclusion, communication, and cross-cultural collaboration. Ageing workforces, migration, and gig work require HR policies that promote multi-cultural teams, flexible work, language and cultural training, and inclusive leadership. </w:t>
      </w:r>
    </w:p>
    <w:p w14:paraId="56B6DAA3" w14:textId="77777777" w:rsidR="00D47DDE" w:rsidRPr="00A078DC" w:rsidRDefault="00776BB1" w:rsidP="004C49DA">
      <w:pPr>
        <w:pStyle w:val="Heading3"/>
        <w:spacing w:line="360" w:lineRule="auto"/>
        <w:jc w:val="both"/>
        <w:rPr>
          <w:rFonts w:ascii="Arial" w:hAnsi="Arial" w:cs="Arial"/>
          <w:b/>
          <w:color w:val="auto"/>
        </w:rPr>
      </w:pPr>
      <w:bookmarkStart w:id="8" w:name="_Toc213410001"/>
      <w:r w:rsidRPr="00A078DC">
        <w:rPr>
          <w:rFonts w:ascii="Arial" w:hAnsi="Arial" w:cs="Arial"/>
          <w:b/>
          <w:color w:val="auto"/>
        </w:rPr>
        <w:t xml:space="preserve">2.1.2 </w:t>
      </w:r>
      <w:r w:rsidR="00D47DDE" w:rsidRPr="00A078DC">
        <w:rPr>
          <w:rFonts w:ascii="Arial" w:hAnsi="Arial" w:cs="Arial"/>
          <w:b/>
          <w:color w:val="auto"/>
        </w:rPr>
        <w:t>Key Geopolitical Factors</w:t>
      </w:r>
      <w:bookmarkEnd w:id="8"/>
    </w:p>
    <w:p w14:paraId="3FEE7575" w14:textId="77777777" w:rsidR="006C5E5B" w:rsidRPr="00A078DC" w:rsidRDefault="006C5E5B" w:rsidP="004C49DA">
      <w:pPr>
        <w:pStyle w:val="NormalWeb"/>
        <w:spacing w:line="360" w:lineRule="auto"/>
        <w:jc w:val="both"/>
        <w:rPr>
          <w:rFonts w:ascii="Arial" w:hAnsi="Arial" w:cs="Arial"/>
        </w:rPr>
      </w:pPr>
      <w:r w:rsidRPr="00A078DC">
        <w:rPr>
          <w:rStyle w:val="Strong"/>
          <w:rFonts w:ascii="Arial" w:eastAsiaTheme="majorEastAsia" w:hAnsi="Arial" w:cs="Arial"/>
        </w:rPr>
        <w:t>Trade Wars &amp; Protectionism</w:t>
      </w:r>
    </w:p>
    <w:p w14:paraId="3A1CE5F7" w14:textId="77777777" w:rsidR="006C5E5B" w:rsidRPr="00A078DC" w:rsidRDefault="006C5E5B" w:rsidP="004F5262">
      <w:pPr>
        <w:spacing w:line="360" w:lineRule="auto"/>
        <w:jc w:val="both"/>
        <w:rPr>
          <w:rFonts w:ascii="Arial" w:hAnsi="Arial" w:cs="Arial"/>
          <w:lang w:val="en-IN"/>
        </w:rPr>
      </w:pPr>
      <w:r w:rsidRPr="006C5E5B">
        <w:rPr>
          <w:rFonts w:ascii="Arial" w:eastAsia="Times New Roman" w:hAnsi="Arial" w:cs="Arial"/>
          <w:lang w:val="en-IN" w:eastAsia="en-IN"/>
        </w:rPr>
        <w:t xml:space="preserve">US-China tech disputes and EU carbon border policies impact supply chains. World Trade Organisation anticipates global commercial trade will rise 2.6% in 2025, below pre-pandemic </w:t>
      </w:r>
      <w:r w:rsidRPr="006C5E5B">
        <w:rPr>
          <w:rFonts w:ascii="Arial" w:eastAsia="Times New Roman" w:hAnsi="Arial" w:cs="Arial"/>
          <w:lang w:val="en-IN" w:eastAsia="en-IN"/>
        </w:rPr>
        <w:lastRenderedPageBreak/>
        <w:t xml:space="preserve">levels, due to protectionist measures. </w:t>
      </w:r>
      <w:r w:rsidR="004F5262" w:rsidRPr="00A078DC">
        <w:rPr>
          <w:rFonts w:ascii="Arial" w:hAnsi="Arial" w:cs="Arial"/>
        </w:rPr>
        <w:t xml:space="preserve">The below graph illustrates Asia will lead global merchandise trade volume increase through 2026, with North America and Europe contributing marginally </w:t>
      </w:r>
      <w:r w:rsidR="004C49DA" w:rsidRPr="00A078DC">
        <w:rPr>
          <w:rFonts w:ascii="Arial" w:hAnsi="Arial" w:cs="Arial"/>
        </w:rPr>
        <w:t>(PwC, 2025)</w:t>
      </w:r>
      <w:r w:rsidRPr="006C5E5B">
        <w:rPr>
          <w:rFonts w:ascii="Arial" w:eastAsia="Times New Roman" w:hAnsi="Arial" w:cs="Arial"/>
          <w:lang w:val="en-IN" w:eastAsia="en-IN"/>
        </w:rPr>
        <w:t>.</w:t>
      </w:r>
    </w:p>
    <w:p w14:paraId="01AF141E" w14:textId="77777777" w:rsidR="00632B17" w:rsidRPr="00A078DC" w:rsidRDefault="00632B17" w:rsidP="004C49DA">
      <w:pPr>
        <w:pStyle w:val="NormalWeb"/>
        <w:spacing w:line="360" w:lineRule="auto"/>
        <w:jc w:val="both"/>
        <w:rPr>
          <w:rFonts w:ascii="Arial" w:hAnsi="Arial" w:cs="Arial"/>
          <w:b/>
        </w:rPr>
      </w:pPr>
      <w:r w:rsidRPr="00A078DC">
        <w:rPr>
          <w:b/>
          <w:noProof/>
        </w:rPr>
        <w:drawing>
          <wp:inline distT="0" distB="0" distL="0" distR="0" wp14:anchorId="7E137862" wp14:editId="4BFE48DA">
            <wp:extent cx="5730875" cy="2705100"/>
            <wp:effectExtent l="0" t="0" r="3175" b="0"/>
            <wp:docPr id="2" name="Picture 2" descr="WTO | 2025 News items - AI goods and frontloading lift world trade in 2025  but outlook dims for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TO | 2025 News items - AI goods and frontloading lift world trade in 2025  but outlook dims for 2026"/>
                    <pic:cNvPicPr>
                      <a:picLocks noChangeAspect="1" noChangeArrowheads="1"/>
                    </pic:cNvPicPr>
                  </pic:nvPicPr>
                  <pic:blipFill rotWithShape="1">
                    <a:blip r:embed="rId10">
                      <a:extLst>
                        <a:ext uri="{28A0092B-C50C-407E-A947-70E740481C1C}">
                          <a14:useLocalDpi xmlns:a14="http://schemas.microsoft.com/office/drawing/2010/main" val="0"/>
                        </a:ext>
                      </a:extLst>
                    </a:blip>
                    <a:srcRect t="11703" b="19045"/>
                    <a:stretch/>
                  </pic:blipFill>
                  <pic:spPr bwMode="auto">
                    <a:xfrm>
                      <a:off x="0" y="0"/>
                      <a:ext cx="5731510" cy="2705400"/>
                    </a:xfrm>
                    <a:prstGeom prst="rect">
                      <a:avLst/>
                    </a:prstGeom>
                    <a:noFill/>
                    <a:ln>
                      <a:noFill/>
                    </a:ln>
                    <a:extLst>
                      <a:ext uri="{53640926-AAD7-44D8-BBD7-CCE9431645EC}">
                        <a14:shadowObscured xmlns:a14="http://schemas.microsoft.com/office/drawing/2010/main"/>
                      </a:ext>
                    </a:extLst>
                  </pic:spPr>
                </pic:pic>
              </a:graphicData>
            </a:graphic>
          </wp:inline>
        </w:drawing>
      </w:r>
    </w:p>
    <w:p w14:paraId="34A37F24" w14:textId="77777777" w:rsidR="004F5262" w:rsidRPr="00A078DC" w:rsidRDefault="004F5262" w:rsidP="004F5262">
      <w:pPr>
        <w:pStyle w:val="NormalWeb"/>
        <w:spacing w:line="360" w:lineRule="auto"/>
        <w:jc w:val="center"/>
        <w:rPr>
          <w:rFonts w:ascii="Arial" w:hAnsi="Arial" w:cs="Arial"/>
          <w:b/>
        </w:rPr>
      </w:pPr>
      <w:r w:rsidRPr="00A078DC">
        <w:rPr>
          <w:rFonts w:ascii="Arial" w:hAnsi="Arial" w:cs="Arial"/>
          <w:b/>
        </w:rPr>
        <w:t>Fig 2: Trade Volume of the company</w:t>
      </w:r>
    </w:p>
    <w:p w14:paraId="7F51636A" w14:textId="77777777" w:rsidR="004F5262" w:rsidRPr="00A078DC" w:rsidRDefault="004F5262" w:rsidP="004F5262">
      <w:pPr>
        <w:pStyle w:val="NormalWeb"/>
        <w:spacing w:line="360" w:lineRule="auto"/>
        <w:jc w:val="center"/>
        <w:rPr>
          <w:rFonts w:ascii="Arial" w:hAnsi="Arial" w:cs="Arial"/>
        </w:rPr>
      </w:pPr>
      <w:r w:rsidRPr="00A078DC">
        <w:rPr>
          <w:rFonts w:ascii="Arial" w:hAnsi="Arial" w:cs="Arial"/>
          <w:b/>
        </w:rPr>
        <w:t xml:space="preserve">Source: </w:t>
      </w:r>
      <w:r w:rsidRPr="00A078DC">
        <w:rPr>
          <w:rFonts w:ascii="Arial" w:hAnsi="Arial" w:cs="Arial"/>
        </w:rPr>
        <w:t>(World Trade Organisation, 2025)</w:t>
      </w:r>
    </w:p>
    <w:p w14:paraId="705FDA75" w14:textId="77777777" w:rsidR="006C5E5B" w:rsidRPr="00A078DC" w:rsidRDefault="006C5E5B" w:rsidP="004C49DA">
      <w:pPr>
        <w:pStyle w:val="NormalWeb"/>
        <w:spacing w:line="360" w:lineRule="auto"/>
        <w:jc w:val="both"/>
        <w:rPr>
          <w:rFonts w:ascii="Arial" w:hAnsi="Arial" w:cs="Arial"/>
        </w:rPr>
      </w:pPr>
      <w:r w:rsidRPr="00A078DC">
        <w:rPr>
          <w:rStyle w:val="Strong"/>
          <w:rFonts w:ascii="Arial" w:eastAsiaTheme="majorEastAsia" w:hAnsi="Arial" w:cs="Arial"/>
        </w:rPr>
        <w:t>Political Instability &amp; Sanctions</w:t>
      </w:r>
    </w:p>
    <w:p w14:paraId="284CAB93" w14:textId="77777777" w:rsidR="006C5E5B" w:rsidRPr="00A078DC" w:rsidRDefault="006C5E5B" w:rsidP="004C49DA">
      <w:pPr>
        <w:spacing w:after="0" w:line="360" w:lineRule="auto"/>
        <w:jc w:val="both"/>
        <w:rPr>
          <w:rFonts w:ascii="Arial" w:eastAsia="Times New Roman" w:hAnsi="Arial" w:cs="Arial"/>
          <w:sz w:val="24"/>
          <w:szCs w:val="24"/>
          <w:lang w:val="en-IN" w:eastAsia="en-IN"/>
        </w:rPr>
      </w:pPr>
      <w:r w:rsidRPr="006C5E5B">
        <w:rPr>
          <w:rFonts w:ascii="Arial" w:eastAsia="Times New Roman" w:hAnsi="Arial" w:cs="Arial"/>
          <w:sz w:val="24"/>
          <w:szCs w:val="24"/>
          <w:lang w:val="en-IN" w:eastAsia="en-IN"/>
        </w:rPr>
        <w:t>Multinationals face Russia sanctions, Middle East tensions, and African instability. Compliance and safety considerations make expatriate operations more expensive and dangerous. HR practitioners must manage complex cross-border payroll, tax, and employment-law limits while strengthening duty-of-care frameworks, crisis communication, and flexible assignment models.</w:t>
      </w:r>
    </w:p>
    <w:p w14:paraId="205EDDA0" w14:textId="77777777" w:rsidR="006C5E5B" w:rsidRPr="00A078DC" w:rsidRDefault="006C5E5B" w:rsidP="004C49DA">
      <w:pPr>
        <w:pStyle w:val="NormalWeb"/>
        <w:spacing w:line="360" w:lineRule="auto"/>
        <w:jc w:val="both"/>
        <w:rPr>
          <w:rFonts w:ascii="Arial" w:hAnsi="Arial" w:cs="Arial"/>
        </w:rPr>
      </w:pPr>
      <w:r w:rsidRPr="00A078DC">
        <w:rPr>
          <w:rStyle w:val="Strong"/>
          <w:rFonts w:ascii="Arial" w:eastAsiaTheme="majorEastAsia" w:hAnsi="Arial" w:cs="Arial"/>
        </w:rPr>
        <w:t>Pandemics &amp; Global Health Crises</w:t>
      </w:r>
    </w:p>
    <w:p w14:paraId="726917F1" w14:textId="77777777" w:rsidR="0064564E" w:rsidRPr="00A078DC" w:rsidRDefault="006C5E5B" w:rsidP="004C49DA">
      <w:pPr>
        <w:spacing w:after="0" w:line="360" w:lineRule="auto"/>
        <w:jc w:val="both"/>
        <w:rPr>
          <w:rFonts w:ascii="Arial" w:eastAsia="Times New Roman" w:hAnsi="Arial" w:cs="Arial"/>
          <w:sz w:val="24"/>
          <w:szCs w:val="24"/>
          <w:lang w:val="en-IN" w:eastAsia="en-IN"/>
        </w:rPr>
      </w:pPr>
      <w:r w:rsidRPr="006C5E5B">
        <w:rPr>
          <w:rFonts w:ascii="Arial" w:eastAsia="Times New Roman" w:hAnsi="Arial" w:cs="Arial"/>
          <w:sz w:val="24"/>
          <w:szCs w:val="24"/>
          <w:lang w:val="en-IN" w:eastAsia="en-IN"/>
        </w:rPr>
        <w:t>COVID-19 has standardised remote and hybrid work in businesses. Nearly 30% of workers will work remotely by 2025, estimates ILO. HR must maintain virtual collaboration, health-and-safety, and business-continuity plans during transition. In addition to managing remote teams and digital well-being, IHRM must follow national health and data-privacy laws.</w:t>
      </w:r>
    </w:p>
    <w:p w14:paraId="44C86A11" w14:textId="77777777" w:rsidR="00D47DDE" w:rsidRPr="00A078DC" w:rsidRDefault="00776BB1" w:rsidP="004C49DA">
      <w:pPr>
        <w:pStyle w:val="Heading3"/>
        <w:spacing w:line="360" w:lineRule="auto"/>
        <w:jc w:val="both"/>
        <w:rPr>
          <w:rFonts w:ascii="Arial" w:hAnsi="Arial" w:cs="Arial"/>
          <w:b/>
          <w:color w:val="auto"/>
        </w:rPr>
      </w:pPr>
      <w:bookmarkStart w:id="9" w:name="_Toc213410002"/>
      <w:r w:rsidRPr="00A078DC">
        <w:rPr>
          <w:rFonts w:ascii="Arial" w:hAnsi="Arial" w:cs="Arial"/>
          <w:b/>
          <w:color w:val="auto"/>
        </w:rPr>
        <w:lastRenderedPageBreak/>
        <w:t xml:space="preserve">2.1.3 </w:t>
      </w:r>
      <w:r w:rsidR="00D47DDE" w:rsidRPr="00A078DC">
        <w:rPr>
          <w:rFonts w:ascii="Arial" w:hAnsi="Arial" w:cs="Arial"/>
          <w:b/>
          <w:color w:val="auto"/>
        </w:rPr>
        <w:t>Challenges for HR Professionals</w:t>
      </w:r>
      <w:bookmarkEnd w:id="9"/>
    </w:p>
    <w:tbl>
      <w:tblPr>
        <w:tblStyle w:val="TableGrid"/>
        <w:tblW w:w="0" w:type="auto"/>
        <w:tblLook w:val="04A0" w:firstRow="1" w:lastRow="0" w:firstColumn="1" w:lastColumn="0" w:noHBand="0" w:noVBand="1"/>
      </w:tblPr>
      <w:tblGrid>
        <w:gridCol w:w="2200"/>
        <w:gridCol w:w="6816"/>
      </w:tblGrid>
      <w:tr w:rsidR="00A078DC" w:rsidRPr="00A078DC" w14:paraId="475A6185" w14:textId="77777777" w:rsidTr="006C5E5B">
        <w:tc>
          <w:tcPr>
            <w:tcW w:w="0" w:type="auto"/>
            <w:hideMark/>
          </w:tcPr>
          <w:p w14:paraId="5799EF35" w14:textId="77777777" w:rsidR="006C5E5B" w:rsidRPr="006C5E5B" w:rsidRDefault="006C5E5B" w:rsidP="004C49DA">
            <w:pPr>
              <w:spacing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Challenges for HR Professionals</w:t>
            </w:r>
          </w:p>
        </w:tc>
        <w:tc>
          <w:tcPr>
            <w:tcW w:w="0" w:type="auto"/>
            <w:hideMark/>
          </w:tcPr>
          <w:p w14:paraId="477AA6B6" w14:textId="77777777" w:rsidR="006C5E5B" w:rsidRPr="006C5E5B" w:rsidRDefault="006C5E5B" w:rsidP="004C49DA">
            <w:pPr>
              <w:spacing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 xml:space="preserve">Analysis </w:t>
            </w:r>
          </w:p>
        </w:tc>
      </w:tr>
      <w:tr w:rsidR="00A078DC" w:rsidRPr="00A078DC" w14:paraId="5A4BC7CD" w14:textId="77777777" w:rsidTr="006C5E5B">
        <w:tc>
          <w:tcPr>
            <w:tcW w:w="0" w:type="auto"/>
            <w:hideMark/>
          </w:tcPr>
          <w:p w14:paraId="715BF724"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Talent Mobility</w:t>
            </w:r>
          </w:p>
        </w:tc>
        <w:tc>
          <w:tcPr>
            <w:tcW w:w="0" w:type="auto"/>
            <w:hideMark/>
          </w:tcPr>
          <w:p w14:paraId="70251962"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6C5E5B">
              <w:rPr>
                <w:rFonts w:ascii="Arial" w:eastAsia="Times New Roman" w:hAnsi="Arial" w:cs="Arial"/>
                <w:sz w:val="24"/>
                <w:szCs w:val="24"/>
                <w:lang w:val="en-IN" w:eastAsia="en-IN"/>
              </w:rPr>
              <w:t>Global mobility is constrained by evolving visa policies and post-Brexit, U.S., and EU immigration reforms. HR must manage complex cross-border work permits and hybrid work compliance to enable seamless international assignments.</w:t>
            </w:r>
          </w:p>
        </w:tc>
      </w:tr>
      <w:tr w:rsidR="00A078DC" w:rsidRPr="00A078DC" w14:paraId="1B65F5A1" w14:textId="77777777" w:rsidTr="006C5E5B">
        <w:tc>
          <w:tcPr>
            <w:tcW w:w="0" w:type="auto"/>
            <w:hideMark/>
          </w:tcPr>
          <w:p w14:paraId="283CDF69"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Risk Management</w:t>
            </w:r>
          </w:p>
        </w:tc>
        <w:tc>
          <w:tcPr>
            <w:tcW w:w="0" w:type="auto"/>
            <w:hideMark/>
          </w:tcPr>
          <w:p w14:paraId="4253941D" w14:textId="77777777" w:rsidR="006C5E5B" w:rsidRPr="006C5E5B" w:rsidRDefault="00922832"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sz w:val="24"/>
                <w:szCs w:val="24"/>
                <w:lang w:val="en-IN" w:eastAsia="en-IN"/>
              </w:rPr>
              <w:t>The increasing political tension and natural catastrophes require more robust crisis-management strategies. The HR should make sure the expatriates are safe by implementing duty-of-care systems, travel risk management, and emergency measures.</w:t>
            </w:r>
          </w:p>
        </w:tc>
      </w:tr>
      <w:tr w:rsidR="00A078DC" w:rsidRPr="00A078DC" w14:paraId="77CAE972" w14:textId="77777777" w:rsidTr="006C5E5B">
        <w:tc>
          <w:tcPr>
            <w:tcW w:w="0" w:type="auto"/>
            <w:hideMark/>
          </w:tcPr>
          <w:p w14:paraId="318CD3D7"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Compliance</w:t>
            </w:r>
          </w:p>
        </w:tc>
        <w:tc>
          <w:tcPr>
            <w:tcW w:w="0" w:type="auto"/>
            <w:hideMark/>
          </w:tcPr>
          <w:p w14:paraId="02A7BB59"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6C5E5B">
              <w:rPr>
                <w:rFonts w:ascii="Arial" w:eastAsia="Times New Roman" w:hAnsi="Arial" w:cs="Arial"/>
                <w:sz w:val="24"/>
                <w:szCs w:val="24"/>
                <w:lang w:val="en-IN" w:eastAsia="en-IN"/>
              </w:rPr>
              <w:t>With over 190 national labour systems, maintaining legal compliance is challenging. HR must align global policies with local employment laws, taxation, data privacy (GDPR), and working-time regulations.</w:t>
            </w:r>
          </w:p>
        </w:tc>
      </w:tr>
      <w:tr w:rsidR="00A078DC" w:rsidRPr="00A078DC" w14:paraId="65790E5F" w14:textId="77777777" w:rsidTr="006C5E5B">
        <w:tc>
          <w:tcPr>
            <w:tcW w:w="0" w:type="auto"/>
            <w:hideMark/>
          </w:tcPr>
          <w:p w14:paraId="3E6AA963"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Cultural Integration</w:t>
            </w:r>
          </w:p>
        </w:tc>
        <w:tc>
          <w:tcPr>
            <w:tcW w:w="0" w:type="auto"/>
            <w:hideMark/>
          </w:tcPr>
          <w:p w14:paraId="1CF105D2"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6C5E5B">
              <w:rPr>
                <w:rFonts w:ascii="Arial" w:eastAsia="Times New Roman" w:hAnsi="Arial" w:cs="Arial"/>
                <w:sz w:val="24"/>
                <w:szCs w:val="24"/>
                <w:lang w:val="en-IN" w:eastAsia="en-IN"/>
              </w:rPr>
              <w:t>Diverse global teams require inclusive leadership and cross-cultural training. HR must promote collaboration and communication among dispersed, multicultural workforces to prevent misunderstanding and enhance engagement</w:t>
            </w:r>
            <w:r w:rsidR="004C49DA" w:rsidRPr="00A078DC">
              <w:rPr>
                <w:rFonts w:ascii="Arial" w:eastAsia="Times New Roman" w:hAnsi="Arial" w:cs="Arial"/>
                <w:sz w:val="24"/>
                <w:szCs w:val="24"/>
                <w:lang w:val="en-IN" w:eastAsia="en-IN"/>
              </w:rPr>
              <w:t xml:space="preserve"> </w:t>
            </w:r>
            <w:r w:rsidR="004C49DA" w:rsidRPr="00A078DC">
              <w:rPr>
                <w:rFonts w:ascii="Arial" w:hAnsi="Arial" w:cs="Arial"/>
                <w:sz w:val="24"/>
                <w:szCs w:val="24"/>
              </w:rPr>
              <w:t>(PwC India, 2025)</w:t>
            </w:r>
            <w:r w:rsidRPr="006C5E5B">
              <w:rPr>
                <w:rFonts w:ascii="Arial" w:eastAsia="Times New Roman" w:hAnsi="Arial" w:cs="Arial"/>
                <w:sz w:val="24"/>
                <w:szCs w:val="24"/>
                <w:lang w:val="en-IN" w:eastAsia="en-IN"/>
              </w:rPr>
              <w:t>.</w:t>
            </w:r>
          </w:p>
        </w:tc>
      </w:tr>
    </w:tbl>
    <w:p w14:paraId="70293E7B" w14:textId="77777777" w:rsidR="0064564E" w:rsidRPr="005B5F33" w:rsidRDefault="005B5F33" w:rsidP="005B5F33">
      <w:pPr>
        <w:spacing w:line="360" w:lineRule="auto"/>
        <w:jc w:val="center"/>
        <w:rPr>
          <w:rFonts w:ascii="Arial" w:hAnsi="Arial" w:cs="Arial"/>
          <w:b/>
          <w:sz w:val="24"/>
          <w:szCs w:val="24"/>
        </w:rPr>
      </w:pPr>
      <w:r w:rsidRPr="005B5F33">
        <w:rPr>
          <w:rFonts w:ascii="Arial" w:hAnsi="Arial" w:cs="Arial"/>
          <w:b/>
          <w:sz w:val="24"/>
          <w:szCs w:val="24"/>
        </w:rPr>
        <w:t>Table 1: Challenges</w:t>
      </w:r>
    </w:p>
    <w:p w14:paraId="794EEB11" w14:textId="77777777" w:rsidR="003F1CD5" w:rsidRPr="00A078DC" w:rsidRDefault="003F1CD5" w:rsidP="004C49DA">
      <w:pPr>
        <w:spacing w:line="360" w:lineRule="auto"/>
        <w:rPr>
          <w:rFonts w:ascii="Arial" w:eastAsiaTheme="majorEastAsia" w:hAnsi="Arial" w:cs="Arial"/>
          <w:b/>
          <w:sz w:val="24"/>
          <w:szCs w:val="24"/>
        </w:rPr>
      </w:pPr>
      <w:r w:rsidRPr="00A078DC">
        <w:rPr>
          <w:rFonts w:ascii="Arial" w:hAnsi="Arial" w:cs="Arial"/>
          <w:b/>
          <w:sz w:val="24"/>
          <w:szCs w:val="24"/>
        </w:rPr>
        <w:br w:type="page"/>
      </w:r>
    </w:p>
    <w:p w14:paraId="639CEB14" w14:textId="77777777" w:rsidR="00D47DDE" w:rsidRPr="00A078DC" w:rsidRDefault="00776BB1" w:rsidP="004C49DA">
      <w:pPr>
        <w:pStyle w:val="Heading1"/>
        <w:spacing w:line="360" w:lineRule="auto"/>
        <w:jc w:val="both"/>
        <w:rPr>
          <w:rFonts w:ascii="Arial" w:hAnsi="Arial" w:cs="Arial"/>
          <w:b/>
          <w:color w:val="auto"/>
          <w:sz w:val="24"/>
          <w:szCs w:val="24"/>
        </w:rPr>
      </w:pPr>
      <w:bookmarkStart w:id="10" w:name="_Toc213410003"/>
      <w:r w:rsidRPr="00A078DC">
        <w:rPr>
          <w:rFonts w:ascii="Arial" w:hAnsi="Arial" w:cs="Arial"/>
          <w:b/>
          <w:color w:val="auto"/>
          <w:sz w:val="24"/>
          <w:szCs w:val="24"/>
        </w:rPr>
        <w:lastRenderedPageBreak/>
        <w:t>3.0 Question 3: Skills Gaps &amp;</w:t>
      </w:r>
      <w:r w:rsidR="00322478" w:rsidRPr="00A078DC">
        <w:rPr>
          <w:rFonts w:ascii="Arial" w:hAnsi="Arial" w:cs="Arial"/>
          <w:b/>
          <w:color w:val="auto"/>
          <w:sz w:val="24"/>
          <w:szCs w:val="24"/>
        </w:rPr>
        <w:t xml:space="preserve"> Strategic HRM</w:t>
      </w:r>
      <w:bookmarkEnd w:id="10"/>
      <w:r w:rsidR="00322478" w:rsidRPr="00A078DC">
        <w:rPr>
          <w:rFonts w:ascii="Arial" w:hAnsi="Arial" w:cs="Arial"/>
          <w:b/>
          <w:color w:val="auto"/>
          <w:sz w:val="24"/>
          <w:szCs w:val="24"/>
        </w:rPr>
        <w:t xml:space="preserve"> </w:t>
      </w:r>
    </w:p>
    <w:p w14:paraId="15F33A81" w14:textId="77777777" w:rsidR="00776BB1" w:rsidRPr="00A078DC" w:rsidRDefault="00776BB1" w:rsidP="004C49DA">
      <w:pPr>
        <w:pStyle w:val="Heading2"/>
        <w:spacing w:line="360" w:lineRule="auto"/>
        <w:jc w:val="both"/>
        <w:rPr>
          <w:rFonts w:ascii="Arial" w:hAnsi="Arial" w:cs="Arial"/>
          <w:b/>
          <w:color w:val="auto"/>
          <w:sz w:val="24"/>
          <w:szCs w:val="24"/>
        </w:rPr>
      </w:pPr>
      <w:bookmarkStart w:id="11" w:name="_Toc213410004"/>
      <w:r w:rsidRPr="00A078DC">
        <w:rPr>
          <w:rFonts w:ascii="Arial" w:hAnsi="Arial" w:cs="Arial"/>
          <w:b/>
          <w:color w:val="auto"/>
          <w:sz w:val="24"/>
          <w:szCs w:val="24"/>
        </w:rPr>
        <w:t>3.1 Strategic solutions driven by HRM</w:t>
      </w:r>
      <w:bookmarkEnd w:id="11"/>
    </w:p>
    <w:p w14:paraId="2F183158" w14:textId="77777777" w:rsidR="00776BB1" w:rsidRPr="00A078DC" w:rsidRDefault="00776BB1" w:rsidP="004C49DA">
      <w:pPr>
        <w:pStyle w:val="Heading3"/>
        <w:spacing w:line="360" w:lineRule="auto"/>
        <w:jc w:val="both"/>
        <w:rPr>
          <w:rFonts w:ascii="Arial" w:hAnsi="Arial" w:cs="Arial"/>
          <w:b/>
          <w:color w:val="auto"/>
        </w:rPr>
      </w:pPr>
      <w:bookmarkStart w:id="12" w:name="_Toc213410005"/>
      <w:r w:rsidRPr="00A078DC">
        <w:rPr>
          <w:rFonts w:ascii="Arial" w:hAnsi="Arial" w:cs="Arial"/>
          <w:b/>
          <w:color w:val="auto"/>
        </w:rPr>
        <w:t>3.1.1 Understanding the Causes</w:t>
      </w:r>
      <w:bookmarkEnd w:id="12"/>
    </w:p>
    <w:p w14:paraId="4E29C593" w14:textId="77777777" w:rsidR="006C5E5B" w:rsidRPr="00A078DC" w:rsidRDefault="006C5E5B" w:rsidP="004F5262">
      <w:pPr>
        <w:spacing w:line="360" w:lineRule="auto"/>
        <w:jc w:val="both"/>
        <w:rPr>
          <w:rFonts w:ascii="Times New Roman" w:eastAsia="Times New Roman" w:hAnsi="Times New Roman" w:cs="Times New Roman"/>
          <w:sz w:val="24"/>
          <w:szCs w:val="24"/>
          <w:lang w:val="en-IN" w:eastAsia="en-IN"/>
        </w:rPr>
      </w:pPr>
      <w:r w:rsidRPr="006C5E5B">
        <w:rPr>
          <w:rFonts w:ascii="Arial" w:eastAsia="Times New Roman" w:hAnsi="Arial" w:cs="Arial"/>
          <w:sz w:val="24"/>
          <w:szCs w:val="24"/>
          <w:lang w:val="en-IN" w:eastAsia="en-IN"/>
        </w:rPr>
        <w:t>Rapid technology advancement, education–industry misalignment, and insufficient workforce development spend sustain global skills gaps. Even though 44% of workers' critical skills will change by 2030, only 50% have sufficient reskilling possibilities. Automation and digitalisation have surpassed schooling, leaving many graduates unprepared for STEM, AI, and data analytics jobs. Global corporate training costs climbed 3% in 2024, behind technology</w:t>
      </w:r>
      <w:r w:rsidR="004C49DA" w:rsidRPr="00A078DC">
        <w:rPr>
          <w:rFonts w:ascii="Arial" w:eastAsia="Times New Roman" w:hAnsi="Arial" w:cs="Arial"/>
          <w:sz w:val="24"/>
          <w:szCs w:val="24"/>
          <w:lang w:val="en-IN" w:eastAsia="en-IN"/>
        </w:rPr>
        <w:t xml:space="preserve"> </w:t>
      </w:r>
      <w:r w:rsidR="004C49DA" w:rsidRPr="00A078DC">
        <w:rPr>
          <w:rFonts w:ascii="Arial" w:hAnsi="Arial" w:cs="Arial"/>
          <w:sz w:val="24"/>
          <w:szCs w:val="24"/>
        </w:rPr>
        <w:t>(Cappelli, 2009)</w:t>
      </w:r>
      <w:r w:rsidRPr="006C5E5B">
        <w:rPr>
          <w:rFonts w:ascii="Arial" w:eastAsia="Times New Roman" w:hAnsi="Arial" w:cs="Arial"/>
          <w:sz w:val="24"/>
          <w:szCs w:val="24"/>
          <w:lang w:val="en-IN" w:eastAsia="en-IN"/>
        </w:rPr>
        <w:t xml:space="preserve">. </w:t>
      </w:r>
      <w:r w:rsidR="004F5262" w:rsidRPr="00A078DC">
        <w:rPr>
          <w:rFonts w:ascii="Arial" w:eastAsia="Times New Roman" w:hAnsi="Arial" w:cs="Arial"/>
          <w:sz w:val="24"/>
          <w:szCs w:val="24"/>
          <w:lang w:val="en-IN" w:eastAsia="en-IN"/>
        </w:rPr>
        <w:t>The global corporate training market expanded 6.4% from 2023 to 2033, reaching USD 713.5 billion</w:t>
      </w:r>
      <w:r w:rsidR="004F5262" w:rsidRPr="00A078DC">
        <w:rPr>
          <w:rFonts w:ascii="Times New Roman" w:eastAsia="Times New Roman" w:hAnsi="Times New Roman" w:cs="Times New Roman"/>
          <w:sz w:val="24"/>
          <w:szCs w:val="24"/>
          <w:lang w:val="en-IN" w:eastAsia="en-IN"/>
        </w:rPr>
        <w:t>.</w:t>
      </w:r>
    </w:p>
    <w:p w14:paraId="338D729E" w14:textId="77777777" w:rsidR="004F5262" w:rsidRPr="00A078DC" w:rsidRDefault="004F5262" w:rsidP="004F5262">
      <w:pPr>
        <w:spacing w:line="360" w:lineRule="auto"/>
        <w:jc w:val="center"/>
        <w:rPr>
          <w:rFonts w:ascii="Arial" w:hAnsi="Arial" w:cs="Arial"/>
          <w:b/>
          <w:sz w:val="24"/>
          <w:szCs w:val="24"/>
        </w:rPr>
      </w:pPr>
      <w:r w:rsidRPr="00A078DC">
        <w:rPr>
          <w:b/>
          <w:noProof/>
          <w:lang w:val="en-IN" w:eastAsia="en-IN"/>
        </w:rPr>
        <w:drawing>
          <wp:inline distT="0" distB="0" distL="0" distR="0" wp14:anchorId="753DB9C5" wp14:editId="5C0CADF4">
            <wp:extent cx="3154680" cy="3261360"/>
            <wp:effectExtent l="0" t="0" r="7620" b="0"/>
            <wp:docPr id="4" name="Picture 4" descr="2024 Corporate Training Research Report: Market Proj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024 Corporate Training Research Report: Market Projec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22133" r="22667" b="14400"/>
                    <a:stretch/>
                  </pic:blipFill>
                  <pic:spPr bwMode="auto">
                    <a:xfrm>
                      <a:off x="0" y="0"/>
                      <a:ext cx="3154680" cy="3261360"/>
                    </a:xfrm>
                    <a:prstGeom prst="rect">
                      <a:avLst/>
                    </a:prstGeom>
                    <a:noFill/>
                    <a:ln>
                      <a:noFill/>
                    </a:ln>
                    <a:extLst>
                      <a:ext uri="{53640926-AAD7-44D8-BBD7-CCE9431645EC}">
                        <a14:shadowObscured xmlns:a14="http://schemas.microsoft.com/office/drawing/2010/main"/>
                      </a:ext>
                    </a:extLst>
                  </pic:spPr>
                </pic:pic>
              </a:graphicData>
            </a:graphic>
          </wp:inline>
        </w:drawing>
      </w:r>
    </w:p>
    <w:p w14:paraId="5472E58C" w14:textId="77777777" w:rsidR="004F5262" w:rsidRPr="00A078DC" w:rsidRDefault="004F5262" w:rsidP="004F5262">
      <w:pPr>
        <w:spacing w:line="360" w:lineRule="auto"/>
        <w:jc w:val="center"/>
        <w:rPr>
          <w:rFonts w:ascii="Arial" w:hAnsi="Arial" w:cs="Arial"/>
          <w:b/>
          <w:sz w:val="24"/>
          <w:szCs w:val="24"/>
        </w:rPr>
      </w:pPr>
      <w:r w:rsidRPr="00A078DC">
        <w:rPr>
          <w:rFonts w:ascii="Arial" w:hAnsi="Arial" w:cs="Arial"/>
          <w:b/>
          <w:sz w:val="24"/>
          <w:szCs w:val="24"/>
        </w:rPr>
        <w:t>Fig 3: Corporate Training Market</w:t>
      </w:r>
    </w:p>
    <w:p w14:paraId="56DD1701" w14:textId="77777777" w:rsidR="004F5262" w:rsidRPr="00A078DC" w:rsidRDefault="004F5262" w:rsidP="004F5262">
      <w:pPr>
        <w:spacing w:line="360" w:lineRule="auto"/>
        <w:jc w:val="center"/>
        <w:rPr>
          <w:rFonts w:ascii="Arial" w:hAnsi="Arial" w:cs="Arial"/>
          <w:sz w:val="24"/>
          <w:szCs w:val="24"/>
        </w:rPr>
      </w:pPr>
      <w:r w:rsidRPr="00A078DC">
        <w:rPr>
          <w:rFonts w:ascii="Arial" w:hAnsi="Arial" w:cs="Arial"/>
          <w:b/>
          <w:sz w:val="24"/>
          <w:szCs w:val="24"/>
        </w:rPr>
        <w:t xml:space="preserve">Source: </w:t>
      </w:r>
      <w:r w:rsidRPr="00A078DC">
        <w:rPr>
          <w:rFonts w:ascii="Arial" w:hAnsi="Arial" w:cs="Arial"/>
          <w:sz w:val="24"/>
          <w:szCs w:val="24"/>
        </w:rPr>
        <w:t>(Research and Markets, 2024)</w:t>
      </w:r>
    </w:p>
    <w:p w14:paraId="7AC877D2" w14:textId="77777777" w:rsidR="00776BB1" w:rsidRPr="00A078DC" w:rsidRDefault="00776BB1" w:rsidP="004C49DA">
      <w:pPr>
        <w:pStyle w:val="Heading3"/>
        <w:spacing w:line="360" w:lineRule="auto"/>
        <w:jc w:val="both"/>
        <w:rPr>
          <w:rFonts w:ascii="Arial" w:hAnsi="Arial" w:cs="Arial"/>
          <w:b/>
          <w:color w:val="auto"/>
        </w:rPr>
      </w:pPr>
      <w:bookmarkStart w:id="13" w:name="_Toc213410006"/>
      <w:r w:rsidRPr="00A078DC">
        <w:rPr>
          <w:rFonts w:ascii="Arial" w:hAnsi="Arial" w:cs="Arial"/>
          <w:b/>
          <w:color w:val="auto"/>
        </w:rPr>
        <w:t>3.1.2 Strategic HRM Approaches</w:t>
      </w:r>
      <w:bookmarkEnd w:id="13"/>
    </w:p>
    <w:tbl>
      <w:tblPr>
        <w:tblStyle w:val="TableGrid"/>
        <w:tblW w:w="0" w:type="auto"/>
        <w:tblLook w:val="04A0" w:firstRow="1" w:lastRow="0" w:firstColumn="1" w:lastColumn="0" w:noHBand="0" w:noVBand="1"/>
      </w:tblPr>
      <w:tblGrid>
        <w:gridCol w:w="2075"/>
        <w:gridCol w:w="6941"/>
      </w:tblGrid>
      <w:tr w:rsidR="00A078DC" w:rsidRPr="00A078DC" w14:paraId="4B135126" w14:textId="77777777" w:rsidTr="006C5E5B">
        <w:tc>
          <w:tcPr>
            <w:tcW w:w="0" w:type="auto"/>
            <w:hideMark/>
          </w:tcPr>
          <w:p w14:paraId="77A9BA28" w14:textId="77777777" w:rsidR="006C5E5B" w:rsidRPr="006C5E5B" w:rsidRDefault="006C5E5B" w:rsidP="004C49DA">
            <w:pPr>
              <w:spacing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Strategic HRM Approach</w:t>
            </w:r>
          </w:p>
        </w:tc>
        <w:tc>
          <w:tcPr>
            <w:tcW w:w="0" w:type="auto"/>
            <w:hideMark/>
          </w:tcPr>
          <w:p w14:paraId="45578EEF" w14:textId="77777777" w:rsidR="006C5E5B" w:rsidRPr="006C5E5B" w:rsidRDefault="006C5E5B" w:rsidP="004C49DA">
            <w:pPr>
              <w:spacing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 xml:space="preserve">Analysis </w:t>
            </w:r>
          </w:p>
        </w:tc>
      </w:tr>
      <w:tr w:rsidR="00A078DC" w:rsidRPr="00A078DC" w14:paraId="71C53B87" w14:textId="77777777" w:rsidTr="006C5E5B">
        <w:tc>
          <w:tcPr>
            <w:tcW w:w="0" w:type="auto"/>
            <w:hideMark/>
          </w:tcPr>
          <w:p w14:paraId="3F1CEEFA"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Build (Internal Development)</w:t>
            </w:r>
          </w:p>
        </w:tc>
        <w:tc>
          <w:tcPr>
            <w:tcW w:w="0" w:type="auto"/>
            <w:hideMark/>
          </w:tcPr>
          <w:p w14:paraId="5408D44C"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6C5E5B">
              <w:rPr>
                <w:rFonts w:ascii="Arial" w:eastAsia="Times New Roman" w:hAnsi="Arial" w:cs="Arial"/>
                <w:sz w:val="24"/>
                <w:szCs w:val="24"/>
                <w:lang w:val="en-IN" w:eastAsia="en-IN"/>
              </w:rPr>
              <w:t xml:space="preserve">Organisations are prioritising in-house upskilling to close capability gaps. </w:t>
            </w:r>
            <w:r w:rsidR="00322478" w:rsidRPr="00A078DC">
              <w:rPr>
                <w:rFonts w:ascii="Arial" w:eastAsia="Times New Roman" w:hAnsi="Arial" w:cs="Arial"/>
                <w:sz w:val="24"/>
                <w:szCs w:val="24"/>
                <w:lang w:val="en-IN" w:eastAsia="en-IN"/>
              </w:rPr>
              <w:t>It is noteed</w:t>
            </w:r>
            <w:r w:rsidRPr="006C5E5B">
              <w:rPr>
                <w:rFonts w:ascii="Arial" w:eastAsia="Times New Roman" w:hAnsi="Arial" w:cs="Arial"/>
                <w:sz w:val="24"/>
                <w:szCs w:val="24"/>
                <w:lang w:val="en-IN" w:eastAsia="en-IN"/>
              </w:rPr>
              <w:t xml:space="preserve"> that 48% of companies enhanced internal talent development systems, while </w:t>
            </w:r>
            <w:r w:rsidR="00322478" w:rsidRPr="00A078DC">
              <w:rPr>
                <w:rFonts w:ascii="Arial" w:eastAsia="Times New Roman" w:hAnsi="Arial" w:cs="Arial"/>
                <w:sz w:val="24"/>
                <w:szCs w:val="24"/>
                <w:lang w:val="en-IN" w:eastAsia="en-IN"/>
              </w:rPr>
              <w:t>here is</w:t>
            </w:r>
            <w:r w:rsidRPr="006C5E5B">
              <w:rPr>
                <w:rFonts w:ascii="Arial" w:eastAsia="Times New Roman" w:hAnsi="Arial" w:cs="Arial"/>
                <w:sz w:val="24"/>
                <w:szCs w:val="24"/>
                <w:lang w:val="en-IN" w:eastAsia="en-IN"/>
              </w:rPr>
              <w:t xml:space="preserve"> a 24% rise in corporate apprenticeship enrolments worldwide. This approach </w:t>
            </w:r>
            <w:r w:rsidRPr="006C5E5B">
              <w:rPr>
                <w:rFonts w:ascii="Arial" w:eastAsia="Times New Roman" w:hAnsi="Arial" w:cs="Arial"/>
                <w:sz w:val="24"/>
                <w:szCs w:val="24"/>
                <w:lang w:val="en-IN" w:eastAsia="en-IN"/>
              </w:rPr>
              <w:lastRenderedPageBreak/>
              <w:t>strengthens loyalty and culture but demands sustained investment.</w:t>
            </w:r>
          </w:p>
        </w:tc>
      </w:tr>
      <w:tr w:rsidR="00A078DC" w:rsidRPr="00A078DC" w14:paraId="7B687AB2" w14:textId="77777777" w:rsidTr="006C5E5B">
        <w:tc>
          <w:tcPr>
            <w:tcW w:w="0" w:type="auto"/>
            <w:hideMark/>
          </w:tcPr>
          <w:p w14:paraId="368994AB"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Buy (Strategic Recruitment)</w:t>
            </w:r>
          </w:p>
        </w:tc>
        <w:tc>
          <w:tcPr>
            <w:tcW w:w="0" w:type="auto"/>
            <w:hideMark/>
          </w:tcPr>
          <w:p w14:paraId="571929E1"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6C5E5B">
              <w:rPr>
                <w:rFonts w:ascii="Arial" w:eastAsia="Times New Roman" w:hAnsi="Arial" w:cs="Arial"/>
                <w:sz w:val="24"/>
                <w:szCs w:val="24"/>
                <w:lang w:val="en-IN" w:eastAsia="en-IN"/>
              </w:rPr>
              <w:t>External hiring remains vital for high-demand roles. 63% of firms rely on external recruitment for digital and AI positions amid a global tech skills shortage exceeding 85 million workers. It enables speed but raises acquisition costs and retention risks.</w:t>
            </w:r>
          </w:p>
        </w:tc>
      </w:tr>
      <w:tr w:rsidR="00A078DC" w:rsidRPr="00A078DC" w14:paraId="3D3F4797" w14:textId="77777777" w:rsidTr="006C5E5B">
        <w:tc>
          <w:tcPr>
            <w:tcW w:w="0" w:type="auto"/>
            <w:hideMark/>
          </w:tcPr>
          <w:p w14:paraId="7237F652"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Borrow (External Talent)</w:t>
            </w:r>
          </w:p>
        </w:tc>
        <w:tc>
          <w:tcPr>
            <w:tcW w:w="0" w:type="auto"/>
            <w:hideMark/>
          </w:tcPr>
          <w:p w14:paraId="67F1AB23" w14:textId="77777777" w:rsidR="006C5E5B" w:rsidRPr="006C5E5B" w:rsidRDefault="006C5E5B" w:rsidP="004C49DA">
            <w:pPr>
              <w:spacing w:line="360" w:lineRule="auto"/>
              <w:jc w:val="both"/>
              <w:rPr>
                <w:rFonts w:ascii="Arial" w:hAnsi="Arial" w:cs="Arial"/>
                <w:sz w:val="24"/>
                <w:szCs w:val="24"/>
              </w:rPr>
            </w:pPr>
            <w:r w:rsidRPr="006C5E5B">
              <w:rPr>
                <w:rFonts w:ascii="Arial" w:eastAsia="Times New Roman" w:hAnsi="Arial" w:cs="Arial"/>
                <w:sz w:val="24"/>
                <w:szCs w:val="24"/>
                <w:lang w:val="en-IN" w:eastAsia="en-IN"/>
              </w:rPr>
              <w:t xml:space="preserve">The global freelance and gig workforce surpassed 520 million people in 2024, </w:t>
            </w:r>
            <w:r w:rsidR="00322478" w:rsidRPr="00A078DC">
              <w:rPr>
                <w:rFonts w:ascii="Arial" w:eastAsia="Times New Roman" w:hAnsi="Arial" w:cs="Arial"/>
                <w:sz w:val="24"/>
                <w:szCs w:val="24"/>
                <w:lang w:val="en-IN" w:eastAsia="en-IN"/>
              </w:rPr>
              <w:t>valued at over US $550 billion</w:t>
            </w:r>
            <w:r w:rsidR="004C49DA" w:rsidRPr="00A078DC">
              <w:rPr>
                <w:rFonts w:ascii="Arial" w:eastAsia="Times New Roman" w:hAnsi="Arial" w:cs="Arial"/>
                <w:sz w:val="24"/>
                <w:szCs w:val="24"/>
                <w:lang w:val="en-IN" w:eastAsia="en-IN"/>
              </w:rPr>
              <w:t xml:space="preserve"> </w:t>
            </w:r>
            <w:r w:rsidR="004C49DA" w:rsidRPr="00A078DC">
              <w:rPr>
                <w:rFonts w:ascii="Arial" w:hAnsi="Arial" w:cs="Arial"/>
                <w:sz w:val="24"/>
                <w:szCs w:val="24"/>
              </w:rPr>
              <w:t>(ManpowerGroup Insights, 2025)</w:t>
            </w:r>
            <w:r w:rsidRPr="006C5E5B">
              <w:rPr>
                <w:rFonts w:ascii="Arial" w:eastAsia="Times New Roman" w:hAnsi="Arial" w:cs="Arial"/>
                <w:sz w:val="24"/>
                <w:szCs w:val="24"/>
                <w:lang w:val="en-IN" w:eastAsia="en-IN"/>
              </w:rPr>
              <w:t>. Borrowing specialists offers flexibility and cost efficiency, yet poses challenges in knowledge retention and quality control for HR.</w:t>
            </w:r>
          </w:p>
        </w:tc>
      </w:tr>
      <w:tr w:rsidR="00A078DC" w:rsidRPr="00A078DC" w14:paraId="1FA54CC5" w14:textId="77777777" w:rsidTr="006C5E5B">
        <w:tc>
          <w:tcPr>
            <w:tcW w:w="0" w:type="auto"/>
            <w:hideMark/>
          </w:tcPr>
          <w:p w14:paraId="3FAA3895" w14:textId="77777777" w:rsidR="006C5E5B" w:rsidRPr="006C5E5B" w:rsidRDefault="006C5E5B"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Bind (Retention)</w:t>
            </w:r>
          </w:p>
        </w:tc>
        <w:tc>
          <w:tcPr>
            <w:tcW w:w="0" w:type="auto"/>
            <w:hideMark/>
          </w:tcPr>
          <w:p w14:paraId="004985F9" w14:textId="77777777" w:rsidR="006C5E5B" w:rsidRPr="006C5E5B" w:rsidRDefault="006C5E5B" w:rsidP="004C49DA">
            <w:pPr>
              <w:spacing w:line="360" w:lineRule="auto"/>
              <w:jc w:val="both"/>
              <w:rPr>
                <w:rFonts w:ascii="Arial" w:hAnsi="Arial" w:cs="Arial"/>
                <w:sz w:val="24"/>
                <w:szCs w:val="24"/>
              </w:rPr>
            </w:pPr>
            <w:r w:rsidRPr="006C5E5B">
              <w:rPr>
                <w:rFonts w:ascii="Arial" w:eastAsia="Times New Roman" w:hAnsi="Arial" w:cs="Arial"/>
                <w:sz w:val="24"/>
                <w:szCs w:val="24"/>
                <w:lang w:val="en-IN" w:eastAsia="en-IN"/>
              </w:rPr>
              <w:t>Retention is critical in tight labour marke</w:t>
            </w:r>
            <w:r w:rsidR="00322478" w:rsidRPr="00A078DC">
              <w:rPr>
                <w:rFonts w:ascii="Arial" w:eastAsia="Times New Roman" w:hAnsi="Arial" w:cs="Arial"/>
                <w:sz w:val="24"/>
                <w:szCs w:val="24"/>
                <w:lang w:val="en-IN" w:eastAsia="en-IN"/>
              </w:rPr>
              <w:t>ts,</w:t>
            </w:r>
            <w:r w:rsidRPr="006C5E5B">
              <w:rPr>
                <w:rFonts w:ascii="Arial" w:eastAsia="Times New Roman" w:hAnsi="Arial" w:cs="Arial"/>
                <w:sz w:val="24"/>
                <w:szCs w:val="24"/>
                <w:lang w:val="en-IN" w:eastAsia="en-IN"/>
              </w:rPr>
              <w:t xml:space="preserve"> 26% of employees plan to switch jobs within a year. HR responses include mentorship, career-path mapping and learning cultures to reduce turnover and safeguard institutional knowledge</w:t>
            </w:r>
            <w:r w:rsidR="004C49DA" w:rsidRPr="00A078DC">
              <w:rPr>
                <w:rFonts w:ascii="Arial" w:eastAsia="Times New Roman" w:hAnsi="Arial" w:cs="Arial"/>
                <w:sz w:val="24"/>
                <w:szCs w:val="24"/>
                <w:lang w:val="en-IN" w:eastAsia="en-IN"/>
              </w:rPr>
              <w:t xml:space="preserve"> </w:t>
            </w:r>
            <w:r w:rsidR="004C49DA" w:rsidRPr="00A078DC">
              <w:rPr>
                <w:rFonts w:ascii="Arial" w:hAnsi="Arial" w:cs="Arial"/>
                <w:sz w:val="24"/>
                <w:szCs w:val="24"/>
              </w:rPr>
              <w:t>(ManpowerGroup, 2025)</w:t>
            </w:r>
            <w:r w:rsidRPr="006C5E5B">
              <w:rPr>
                <w:rFonts w:ascii="Arial" w:eastAsia="Times New Roman" w:hAnsi="Arial" w:cs="Arial"/>
                <w:sz w:val="24"/>
                <w:szCs w:val="24"/>
                <w:lang w:val="en-IN" w:eastAsia="en-IN"/>
              </w:rPr>
              <w:t>.</w:t>
            </w:r>
          </w:p>
        </w:tc>
      </w:tr>
    </w:tbl>
    <w:p w14:paraId="237ED499" w14:textId="77777777" w:rsidR="006C5E5B" w:rsidRPr="005B5F33" w:rsidRDefault="005B5F33" w:rsidP="005B5F33">
      <w:pPr>
        <w:spacing w:line="360" w:lineRule="auto"/>
        <w:jc w:val="center"/>
        <w:rPr>
          <w:rFonts w:ascii="Arial" w:hAnsi="Arial" w:cs="Arial"/>
          <w:b/>
          <w:sz w:val="24"/>
          <w:szCs w:val="24"/>
        </w:rPr>
      </w:pPr>
      <w:r w:rsidRPr="005B5F33">
        <w:rPr>
          <w:rFonts w:ascii="Arial" w:hAnsi="Arial" w:cs="Arial"/>
          <w:b/>
          <w:sz w:val="24"/>
          <w:szCs w:val="24"/>
        </w:rPr>
        <w:t>Table 2: Approaches</w:t>
      </w:r>
    </w:p>
    <w:p w14:paraId="53AEA7D4" w14:textId="77777777" w:rsidR="00776BB1" w:rsidRPr="00A078DC" w:rsidRDefault="00776BB1" w:rsidP="004C49DA">
      <w:pPr>
        <w:pStyle w:val="Heading3"/>
        <w:spacing w:line="360" w:lineRule="auto"/>
        <w:jc w:val="both"/>
        <w:rPr>
          <w:rFonts w:ascii="Arial" w:hAnsi="Arial" w:cs="Arial"/>
          <w:b/>
          <w:color w:val="auto"/>
        </w:rPr>
      </w:pPr>
      <w:bookmarkStart w:id="14" w:name="_Toc213410007"/>
      <w:r w:rsidRPr="00A078DC">
        <w:rPr>
          <w:rFonts w:ascii="Arial" w:hAnsi="Arial" w:cs="Arial"/>
          <w:b/>
          <w:color w:val="auto"/>
        </w:rPr>
        <w:t>3.1.3 Sector-Specific Examples</w:t>
      </w:r>
      <w:bookmarkEnd w:id="14"/>
    </w:p>
    <w:p w14:paraId="6E695D55" w14:textId="3B089E5C" w:rsidR="00322478" w:rsidRPr="00A078DC" w:rsidRDefault="00322478" w:rsidP="004C49DA">
      <w:pPr>
        <w:pStyle w:val="NormalWeb"/>
        <w:spacing w:line="360" w:lineRule="auto"/>
        <w:jc w:val="both"/>
        <w:rPr>
          <w:rFonts w:ascii="Arial" w:hAnsi="Arial" w:cs="Arial"/>
        </w:rPr>
      </w:pPr>
      <w:r w:rsidRPr="00A078DC">
        <w:rPr>
          <w:rStyle w:val="Strong"/>
          <w:rFonts w:ascii="Arial" w:eastAsiaTheme="majorEastAsia" w:hAnsi="Arial" w:cs="Arial"/>
        </w:rPr>
        <w:t xml:space="preserve">Tech: </w:t>
      </w:r>
      <w:r w:rsidRPr="00322478">
        <w:rPr>
          <w:rFonts w:ascii="Arial" w:hAnsi="Arial" w:cs="Arial"/>
        </w:rPr>
        <w:t xml:space="preserve">A 4.3 million-person technology industry digital and AI talent shortfall is expected by 2030. IBM and Microsoft "build" talents using internal coding bootcamps and AI academies. Programs retrain workers in data analytics, cybersecurity, and automation. Companies can “borrow” freelance AI professionals and developers on global digital marketplaces for project continuity and innovation. </w:t>
      </w:r>
    </w:p>
    <w:p w14:paraId="5B2E869B" w14:textId="0A996D73" w:rsidR="00322478" w:rsidRPr="00A078DC" w:rsidRDefault="00322478" w:rsidP="004C49DA">
      <w:pPr>
        <w:pStyle w:val="NormalWeb"/>
        <w:spacing w:line="360" w:lineRule="auto"/>
        <w:jc w:val="both"/>
        <w:rPr>
          <w:rFonts w:ascii="Arial" w:hAnsi="Arial" w:cs="Arial"/>
        </w:rPr>
      </w:pPr>
      <w:r w:rsidRPr="00A078DC">
        <w:rPr>
          <w:rStyle w:val="Strong"/>
          <w:rFonts w:ascii="Arial" w:eastAsiaTheme="majorEastAsia" w:hAnsi="Arial" w:cs="Arial"/>
        </w:rPr>
        <w:t xml:space="preserve">Healthcare: </w:t>
      </w:r>
      <w:r w:rsidRPr="00322478">
        <w:rPr>
          <w:rFonts w:ascii="Arial" w:hAnsi="Arial" w:cs="Arial"/>
        </w:rPr>
        <w:t>Worldwide, WHO (2025) predicts a 10 million nurse-midwife shortage by 2030. Thus, hospitals and health systems in wealthier nations like the UK, Canada, and Germany are increasing “buy” tactics through large-scale Asian and African recruiting. Overreliance on overseas recruitment poses ethical and retention issues. Healthcare organisations use “bind” methods including wage rises, job development, and well-being programs to retain staff..</w:t>
      </w:r>
    </w:p>
    <w:p w14:paraId="22EEC48C" w14:textId="54AFF122" w:rsidR="006C5E5B" w:rsidRPr="00A078DC" w:rsidRDefault="00322478" w:rsidP="004C49DA">
      <w:pPr>
        <w:spacing w:line="360" w:lineRule="auto"/>
        <w:jc w:val="both"/>
        <w:rPr>
          <w:rFonts w:ascii="Arial" w:eastAsia="Times New Roman" w:hAnsi="Arial" w:cs="Arial"/>
          <w:sz w:val="24"/>
          <w:szCs w:val="24"/>
          <w:lang w:val="en-IN" w:eastAsia="en-IN"/>
        </w:rPr>
      </w:pPr>
      <w:r w:rsidRPr="00A078DC">
        <w:rPr>
          <w:rStyle w:val="Strong"/>
          <w:rFonts w:ascii="Arial" w:hAnsi="Arial" w:cs="Arial"/>
          <w:sz w:val="24"/>
          <w:szCs w:val="24"/>
        </w:rPr>
        <w:t>Hospitality</w:t>
      </w:r>
      <w:r w:rsidRPr="00A078DC">
        <w:rPr>
          <w:rStyle w:val="Strong"/>
          <w:rFonts w:ascii="Arial" w:eastAsiaTheme="majorEastAsia" w:hAnsi="Arial" w:cs="Arial"/>
          <w:sz w:val="24"/>
          <w:szCs w:val="24"/>
        </w:rPr>
        <w:t xml:space="preserve">: </w:t>
      </w:r>
      <w:r w:rsidRPr="00A078DC">
        <w:rPr>
          <w:rFonts w:ascii="Arial" w:eastAsia="Times New Roman" w:hAnsi="Arial" w:cs="Arial"/>
          <w:sz w:val="24"/>
          <w:szCs w:val="24"/>
          <w:lang w:val="en-IN" w:eastAsia="en-IN"/>
        </w:rPr>
        <w:t xml:space="preserve">Post-pandemic hospitality rebound has intensified skilled labour competition. Expect 14 million more jobs by 2026 to meet demand. Marriott and Hilton </w:t>
      </w:r>
      <w:r w:rsidRPr="00A078DC">
        <w:rPr>
          <w:rFonts w:ascii="Arial" w:eastAsia="Times New Roman" w:hAnsi="Arial" w:cs="Arial"/>
          <w:sz w:val="24"/>
          <w:szCs w:val="24"/>
          <w:lang w:val="en-IN" w:eastAsia="en-IN"/>
        </w:rPr>
        <w:lastRenderedPageBreak/>
        <w:t>internal management schools teach leadership, service, and sustainability. Employers use social media, recruiting fairs, and tourism school alliances to attract young workers..</w:t>
      </w:r>
    </w:p>
    <w:p w14:paraId="3CF6F957" w14:textId="77777777" w:rsidR="003F1CD5" w:rsidRPr="00A078DC" w:rsidRDefault="003F1CD5" w:rsidP="004C49DA">
      <w:pPr>
        <w:spacing w:line="360" w:lineRule="auto"/>
        <w:rPr>
          <w:rFonts w:ascii="Arial" w:eastAsiaTheme="majorEastAsia" w:hAnsi="Arial" w:cs="Arial"/>
          <w:b/>
          <w:sz w:val="24"/>
          <w:szCs w:val="24"/>
        </w:rPr>
      </w:pPr>
      <w:r w:rsidRPr="00A078DC">
        <w:rPr>
          <w:rFonts w:ascii="Arial" w:hAnsi="Arial" w:cs="Arial"/>
          <w:b/>
          <w:sz w:val="24"/>
          <w:szCs w:val="24"/>
        </w:rPr>
        <w:br w:type="page"/>
      </w:r>
    </w:p>
    <w:p w14:paraId="69C84735" w14:textId="77777777" w:rsidR="00776BB1" w:rsidRPr="00A078DC" w:rsidRDefault="00776BB1" w:rsidP="004C49DA">
      <w:pPr>
        <w:pStyle w:val="Heading1"/>
        <w:spacing w:line="360" w:lineRule="auto"/>
        <w:jc w:val="both"/>
        <w:rPr>
          <w:rFonts w:ascii="Arial" w:hAnsi="Arial" w:cs="Arial"/>
          <w:b/>
          <w:color w:val="auto"/>
          <w:sz w:val="24"/>
          <w:szCs w:val="24"/>
        </w:rPr>
      </w:pPr>
      <w:bookmarkStart w:id="15" w:name="_Toc213410008"/>
      <w:r w:rsidRPr="00A078DC">
        <w:rPr>
          <w:rFonts w:ascii="Arial" w:hAnsi="Arial" w:cs="Arial"/>
          <w:b/>
          <w:color w:val="auto"/>
          <w:sz w:val="24"/>
          <w:szCs w:val="24"/>
        </w:rPr>
        <w:lastRenderedPageBreak/>
        <w:t>4.0 Question 4: Ref</w:t>
      </w:r>
      <w:r w:rsidR="00EF20EE" w:rsidRPr="00A078DC">
        <w:rPr>
          <w:rFonts w:ascii="Arial" w:hAnsi="Arial" w:cs="Arial"/>
          <w:b/>
          <w:color w:val="auto"/>
          <w:sz w:val="24"/>
          <w:szCs w:val="24"/>
        </w:rPr>
        <w:t>lective Report on Capabilities</w:t>
      </w:r>
      <w:bookmarkEnd w:id="15"/>
    </w:p>
    <w:p w14:paraId="4360BCD5" w14:textId="77777777" w:rsidR="00776BB1" w:rsidRPr="00A078DC" w:rsidRDefault="00776BB1" w:rsidP="004C49DA">
      <w:pPr>
        <w:pStyle w:val="Heading2"/>
        <w:spacing w:line="360" w:lineRule="auto"/>
        <w:jc w:val="both"/>
        <w:rPr>
          <w:rFonts w:ascii="Arial" w:hAnsi="Arial" w:cs="Arial"/>
          <w:b/>
          <w:color w:val="auto"/>
          <w:sz w:val="24"/>
          <w:szCs w:val="24"/>
        </w:rPr>
      </w:pPr>
      <w:bookmarkStart w:id="16" w:name="_Toc213410009"/>
      <w:r w:rsidRPr="00A078DC">
        <w:rPr>
          <w:rFonts w:ascii="Arial" w:hAnsi="Arial" w:cs="Arial"/>
          <w:b/>
          <w:color w:val="auto"/>
          <w:sz w:val="24"/>
          <w:szCs w:val="24"/>
        </w:rPr>
        <w:t>4.1 Self-assessment and a proactive plan for development</w:t>
      </w:r>
      <w:bookmarkEnd w:id="16"/>
    </w:p>
    <w:p w14:paraId="71390587" w14:textId="77777777" w:rsidR="00776BB1" w:rsidRPr="00A078DC" w:rsidRDefault="00776BB1" w:rsidP="004C49DA">
      <w:pPr>
        <w:pStyle w:val="Heading3"/>
        <w:spacing w:line="360" w:lineRule="auto"/>
        <w:jc w:val="both"/>
        <w:rPr>
          <w:rFonts w:ascii="Arial" w:hAnsi="Arial" w:cs="Arial"/>
          <w:b/>
          <w:color w:val="auto"/>
        </w:rPr>
      </w:pPr>
      <w:bookmarkStart w:id="17" w:name="_Toc213410010"/>
      <w:r w:rsidRPr="00A078DC">
        <w:rPr>
          <w:rFonts w:ascii="Arial" w:hAnsi="Arial" w:cs="Arial"/>
          <w:b/>
          <w:color w:val="auto"/>
        </w:rPr>
        <w:t>4.1.1 Introduction</w:t>
      </w:r>
      <w:bookmarkEnd w:id="17"/>
    </w:p>
    <w:p w14:paraId="3395F731" w14:textId="77777777" w:rsidR="00322478" w:rsidRPr="00A078DC" w:rsidRDefault="00322478" w:rsidP="004C49DA">
      <w:pPr>
        <w:spacing w:after="0" w:line="360" w:lineRule="auto"/>
        <w:jc w:val="both"/>
        <w:rPr>
          <w:rFonts w:ascii="Arial" w:eastAsia="Times New Roman" w:hAnsi="Arial" w:cs="Arial"/>
          <w:sz w:val="24"/>
          <w:szCs w:val="24"/>
          <w:lang w:val="en-IN" w:eastAsia="en-IN"/>
        </w:rPr>
      </w:pPr>
      <w:r w:rsidRPr="00322478">
        <w:rPr>
          <w:rFonts w:ascii="Arial" w:eastAsia="Times New Roman" w:hAnsi="Arial" w:cs="Arial"/>
          <w:sz w:val="24"/>
          <w:szCs w:val="24"/>
          <w:lang w:val="en-IN" w:eastAsia="en-IN"/>
        </w:rPr>
        <w:t xml:space="preserve">Leading in today's interconnected corporate environment requires global and flexible MBAs. Cross-border companies need professionals that can handle cultural diversity, technology, and market changes. </w:t>
      </w:r>
      <w:r w:rsidRPr="00A078DC">
        <w:rPr>
          <w:rFonts w:ascii="Arial" w:eastAsia="Times New Roman" w:hAnsi="Arial" w:cs="Arial"/>
          <w:sz w:val="24"/>
          <w:szCs w:val="24"/>
          <w:lang w:val="en-IN" w:eastAsia="en-IN"/>
        </w:rPr>
        <w:t>It is</w:t>
      </w:r>
      <w:r w:rsidRPr="00322478">
        <w:rPr>
          <w:rFonts w:ascii="Arial" w:eastAsia="Times New Roman" w:hAnsi="Arial" w:cs="Arial"/>
          <w:sz w:val="24"/>
          <w:szCs w:val="24"/>
          <w:lang w:val="en-IN" w:eastAsia="en-IN"/>
        </w:rPr>
        <w:t xml:space="preserve">found that companies value adaptability, analytical thinking, and cross-cultural teamwork. MBAs can manage international teams, use digital technologies, and innovate in difficult conditions with these talents. </w:t>
      </w:r>
    </w:p>
    <w:p w14:paraId="1B38E30D" w14:textId="77777777" w:rsidR="00776BB1" w:rsidRPr="00A078DC" w:rsidRDefault="00776BB1" w:rsidP="004C49DA">
      <w:pPr>
        <w:pStyle w:val="Heading3"/>
        <w:spacing w:line="360" w:lineRule="auto"/>
        <w:jc w:val="both"/>
        <w:rPr>
          <w:rFonts w:ascii="Arial" w:hAnsi="Arial" w:cs="Arial"/>
          <w:b/>
          <w:color w:val="auto"/>
        </w:rPr>
      </w:pPr>
      <w:bookmarkStart w:id="18" w:name="_Toc213410011"/>
      <w:r w:rsidRPr="00A078DC">
        <w:rPr>
          <w:rFonts w:ascii="Arial" w:hAnsi="Arial" w:cs="Arial"/>
          <w:b/>
          <w:color w:val="auto"/>
        </w:rPr>
        <w:t>4.1.2 Self-Assessment</w:t>
      </w:r>
      <w:bookmarkEnd w:id="18"/>
    </w:p>
    <w:p w14:paraId="706B31CD" w14:textId="77777777" w:rsidR="00322478" w:rsidRPr="00A078DC" w:rsidRDefault="00322478" w:rsidP="004C49DA">
      <w:pPr>
        <w:spacing w:before="100" w:beforeAutospacing="1" w:after="100" w:afterAutospacing="1"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 xml:space="preserve">Technology </w:t>
      </w:r>
    </w:p>
    <w:p w14:paraId="5B627BA2"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Description: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In my MBA, I relied on the collaboration tool of MS Teams, data analysis tools of Excel and SPSS, and research synthesis tools of ChatGPT. These tools play a very important role in group and academic management.</w:t>
      </w:r>
    </w:p>
    <w:p w14:paraId="6C2DE0EC"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Feelings: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was initially overwhelmed by the number of digital platforms, but with the frequency of use, I have gained confidence in becoming more accepting and adopting new technology.</w:t>
      </w:r>
    </w:p>
    <w:p w14:paraId="371AAD3B"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Evaluation: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This skill in utilizing various digital tools enabled me to become more productive and data-oriented in my thinking, but I also became aware that I use more fundamental analytical capabilities.</w:t>
      </w:r>
    </w:p>
    <w:p w14:paraId="15746EB4"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Analysis: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The HR practitioners in the contemporary world need to be techno savvy as the evidence based decision making demands data. Lack of Power BI and Tableau knowledge prevents the visualisation of insights.</w:t>
      </w:r>
    </w:p>
    <w:p w14:paraId="2EC7A0B2"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Conclusion: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have a good attitude towards digital systems, but it is paramount to develop competencies in data-visualisation.</w:t>
      </w:r>
    </w:p>
    <w:p w14:paraId="3B6C9412"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Action Plan: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By a middle of 2025, I will accomplish increased Power BI and Tableau training to enhance my data-interpretation and HR analytics capacity.</w:t>
      </w:r>
    </w:p>
    <w:p w14:paraId="4F795459" w14:textId="77777777" w:rsidR="004F5262" w:rsidRPr="00A078DC" w:rsidRDefault="004F5262" w:rsidP="004C49DA">
      <w:pPr>
        <w:spacing w:line="360" w:lineRule="auto"/>
        <w:jc w:val="both"/>
        <w:rPr>
          <w:rFonts w:ascii="Arial" w:eastAsia="Times New Roman" w:hAnsi="Arial" w:cs="Arial"/>
          <w:b/>
          <w:sz w:val="24"/>
          <w:szCs w:val="24"/>
          <w:lang w:val="en-IN" w:eastAsia="en-IN"/>
        </w:rPr>
      </w:pPr>
      <w:r w:rsidRPr="00A078DC">
        <w:rPr>
          <w:b/>
          <w:noProof/>
          <w:lang w:val="en-IN" w:eastAsia="en-IN"/>
        </w:rPr>
        <w:lastRenderedPageBreak/>
        <w:drawing>
          <wp:inline distT="0" distB="0" distL="0" distR="0" wp14:anchorId="6D7A5F5A" wp14:editId="0E490BA5">
            <wp:extent cx="5577840" cy="4137660"/>
            <wp:effectExtent l="0" t="0" r="3810" b="0"/>
            <wp:docPr id="5" name="Picture 5"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ibbs Reflective Cycl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97" t="2305" r="1462" b="1417"/>
                    <a:stretch/>
                  </pic:blipFill>
                  <pic:spPr bwMode="auto">
                    <a:xfrm>
                      <a:off x="0" y="0"/>
                      <a:ext cx="5579091" cy="4138588"/>
                    </a:xfrm>
                    <a:prstGeom prst="rect">
                      <a:avLst/>
                    </a:prstGeom>
                    <a:noFill/>
                    <a:ln>
                      <a:noFill/>
                    </a:ln>
                    <a:extLst>
                      <a:ext uri="{53640926-AAD7-44D8-BBD7-CCE9431645EC}">
                        <a14:shadowObscured xmlns:a14="http://schemas.microsoft.com/office/drawing/2010/main"/>
                      </a:ext>
                    </a:extLst>
                  </pic:spPr>
                </pic:pic>
              </a:graphicData>
            </a:graphic>
          </wp:inline>
        </w:drawing>
      </w:r>
    </w:p>
    <w:p w14:paraId="7CA5C40D" w14:textId="77777777" w:rsidR="004F5262" w:rsidRPr="00A078DC" w:rsidRDefault="004F5262" w:rsidP="004F5262">
      <w:pPr>
        <w:spacing w:line="360" w:lineRule="auto"/>
        <w:jc w:val="center"/>
        <w:rPr>
          <w:rFonts w:ascii="Arial" w:eastAsia="Times New Roman" w:hAnsi="Arial" w:cs="Arial"/>
          <w:b/>
          <w:sz w:val="24"/>
          <w:szCs w:val="24"/>
          <w:lang w:val="en-IN" w:eastAsia="en-IN"/>
        </w:rPr>
      </w:pPr>
      <w:r w:rsidRPr="00A078DC">
        <w:rPr>
          <w:rFonts w:ascii="Arial" w:eastAsia="Times New Roman" w:hAnsi="Arial" w:cs="Arial"/>
          <w:b/>
          <w:sz w:val="24"/>
          <w:szCs w:val="24"/>
          <w:lang w:val="en-IN" w:eastAsia="en-IN"/>
        </w:rPr>
        <w:t>Fig 4: Gibbs Reflective Cycle</w:t>
      </w:r>
    </w:p>
    <w:p w14:paraId="7E5F323C" w14:textId="77777777" w:rsidR="004F5262" w:rsidRPr="00322478" w:rsidRDefault="004F5262" w:rsidP="004F5262">
      <w:pPr>
        <w:spacing w:line="360" w:lineRule="auto"/>
        <w:jc w:val="center"/>
        <w:rPr>
          <w:rFonts w:ascii="Arial" w:eastAsia="Times New Roman" w:hAnsi="Arial" w:cs="Arial"/>
          <w:sz w:val="24"/>
          <w:szCs w:val="24"/>
          <w:lang w:val="en-IN" w:eastAsia="en-IN"/>
        </w:rPr>
      </w:pPr>
      <w:r w:rsidRPr="00A078DC">
        <w:rPr>
          <w:rFonts w:ascii="Arial" w:eastAsia="Times New Roman" w:hAnsi="Arial" w:cs="Arial"/>
          <w:b/>
          <w:sz w:val="24"/>
          <w:szCs w:val="24"/>
          <w:lang w:val="en-IN" w:eastAsia="en-IN"/>
        </w:rPr>
        <w:t xml:space="preserve">Source: </w:t>
      </w:r>
      <w:r w:rsidRPr="00A078DC">
        <w:rPr>
          <w:rFonts w:ascii="Arial" w:eastAsia="Times New Roman" w:hAnsi="Arial" w:cs="Arial"/>
          <w:sz w:val="24"/>
          <w:szCs w:val="24"/>
          <w:lang w:val="en-IN" w:eastAsia="en-IN"/>
        </w:rPr>
        <w:t>(</w:t>
      </w:r>
      <w:r w:rsidR="00A078DC" w:rsidRPr="00A078DC">
        <w:rPr>
          <w:rFonts w:ascii="Arial" w:eastAsia="Times New Roman" w:hAnsi="Arial" w:cs="Arial"/>
          <w:sz w:val="24"/>
          <w:szCs w:val="24"/>
          <w:lang w:val="en-IN" w:eastAsia="en-IN"/>
        </w:rPr>
        <w:t>Simply Psychology, 2025</w:t>
      </w:r>
      <w:r w:rsidRPr="00A078DC">
        <w:rPr>
          <w:rFonts w:ascii="Arial" w:eastAsia="Times New Roman" w:hAnsi="Arial" w:cs="Arial"/>
          <w:sz w:val="24"/>
          <w:szCs w:val="24"/>
          <w:lang w:val="en-IN" w:eastAsia="en-IN"/>
        </w:rPr>
        <w:t>)</w:t>
      </w:r>
    </w:p>
    <w:p w14:paraId="25173065" w14:textId="77777777" w:rsidR="00322478" w:rsidRPr="00A078DC" w:rsidRDefault="00322478" w:rsidP="004C49DA">
      <w:pPr>
        <w:spacing w:before="100" w:beforeAutospacing="1" w:after="100" w:afterAutospacing="1"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 xml:space="preserve">Communication </w:t>
      </w:r>
    </w:p>
    <w:p w14:paraId="05A84B44"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Description: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My presentations and written reports in the MBA were very well reviewed on clarity and logic.</w:t>
      </w:r>
    </w:p>
    <w:p w14:paraId="245C2880"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Feelings: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was confident in formal communication and less so in informal and on-the-fly speaking cases.</w:t>
      </w:r>
    </w:p>
    <w:p w14:paraId="7E8A8432"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Evaluation: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The communication was effective in written and planned form, however, there were cases when I was not fluent and confident in impromptu multicultural group discussion.</w:t>
      </w:r>
    </w:p>
    <w:p w14:paraId="22FE803B"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Analysis: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Global communication also entails agility, cultural sensitivity and real-time confidence. Little practice in the outside world retarded my progress.</w:t>
      </w:r>
    </w:p>
    <w:p w14:paraId="188A19E6"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Conclusion: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am a good communicator in formal situations but need to learn how to be spontaneous and verbally assertive.</w:t>
      </w:r>
    </w:p>
    <w:p w14:paraId="05104475" w14:textId="77777777" w:rsidR="00322478" w:rsidRPr="00322478"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lastRenderedPageBreak/>
        <w:t>Action Plan: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In the coming six months, I will attend professional-networking events and discussion forums to gain experiences in oratory and improvement in intercultural communication.</w:t>
      </w:r>
    </w:p>
    <w:p w14:paraId="5C1EDCF2" w14:textId="77777777" w:rsidR="00322478" w:rsidRPr="00A078DC" w:rsidRDefault="00322478" w:rsidP="004C49DA">
      <w:pPr>
        <w:spacing w:before="100" w:beforeAutospacing="1" w:after="100" w:afterAutospacing="1"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 xml:space="preserve">Teamwork </w:t>
      </w:r>
    </w:p>
    <w:p w14:paraId="270F22B5"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Description</w:t>
      </w:r>
      <w:r w:rsidR="00922832" w:rsidRPr="00A078DC">
        <w:rPr>
          <w:rFonts w:ascii="Arial" w:eastAsia="Times New Roman" w:hAnsi="Arial" w:cs="Arial"/>
          <w:b/>
          <w:bCs/>
          <w:sz w:val="24"/>
          <w:szCs w:val="24"/>
          <w:lang w:val="en-IN" w:eastAsia="en-IN"/>
        </w:rPr>
        <w:t>:</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organized deadlines, delegated work and also solved conflicts in team projects.</w:t>
      </w:r>
    </w:p>
    <w:p w14:paraId="0AB337B9"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Feelings: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Time zone virtual relationships were challenging, yet I enjoyed job working and promoting teamwork.</w:t>
      </w:r>
    </w:p>
    <w:p w14:paraId="186D7001"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Evaluation: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The cooperation and the accountability had made the teams successful, but at times the virtual coordination slowed down the communication.</w:t>
      </w:r>
    </w:p>
    <w:p w14:paraId="396E87E4"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Analysis: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The collaboration and transparency can be improved with the help of agile practices and digital project-management technologies.</w:t>
      </w:r>
    </w:p>
    <w:p w14:paraId="60601223"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Conclusion: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am a good team player in the field who requires improvement in virtual and international environments.</w:t>
      </w:r>
    </w:p>
    <w:p w14:paraId="5F8BFE41" w14:textId="18A5F309" w:rsidR="00025D4D" w:rsidRDefault="00322478" w:rsidP="00025D4D">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Action Plan: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To enhance the management skills in operating a virtual team in a different location</w:t>
      </w:r>
      <w:r w:rsidR="00025D4D">
        <w:rPr>
          <w:rFonts w:ascii="Arial" w:eastAsia="Times New Roman" w:hAnsi="Arial" w:cs="Arial"/>
          <w:sz w:val="24"/>
          <w:szCs w:val="24"/>
          <w:lang w:val="en-IN" w:eastAsia="en-IN"/>
        </w:rPr>
        <w:t>.</w:t>
      </w:r>
    </w:p>
    <w:p w14:paraId="2B7ABF87" w14:textId="3751FE0D" w:rsidR="00322478" w:rsidRPr="00A078DC" w:rsidRDefault="00322478" w:rsidP="00025D4D">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 xml:space="preserve">Leadership </w:t>
      </w:r>
    </w:p>
    <w:p w14:paraId="1F1278A2"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Description: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volunteered a lot to summarise the results and lead discussions when we were doing our operations-management assignment.</w:t>
      </w:r>
    </w:p>
    <w:p w14:paraId="22AAA97B"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Feelings: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was inspired by the fact that I was able to lead, but felt reluctant to be authoritative in times of high pressure.</w:t>
      </w:r>
    </w:p>
    <w:p w14:paraId="0834AA3B" w14:textId="77777777" w:rsidR="00322478" w:rsidRPr="00A078DC" w:rsidRDefault="00322478" w:rsidP="004C49DA">
      <w:pPr>
        <w:pStyle w:val="NormalWeb"/>
        <w:spacing w:line="360" w:lineRule="auto"/>
        <w:jc w:val="both"/>
        <w:rPr>
          <w:rFonts w:ascii="Arial" w:hAnsi="Arial" w:cs="Arial"/>
        </w:rPr>
      </w:pPr>
      <w:r w:rsidRPr="00A078DC">
        <w:rPr>
          <w:rFonts w:ascii="Arial" w:hAnsi="Arial" w:cs="Arial"/>
          <w:b/>
          <w:bCs/>
        </w:rPr>
        <w:t>Evaluation:</w:t>
      </w:r>
      <w:r w:rsidRPr="00322478">
        <w:rPr>
          <w:rFonts w:ascii="Arial" w:hAnsi="Arial" w:cs="Arial"/>
        </w:rPr>
        <w:t xml:space="preserve"> </w:t>
      </w:r>
      <w:r w:rsidR="00922832" w:rsidRPr="00A078DC">
        <w:rPr>
          <w:rFonts w:ascii="Arial" w:hAnsi="Arial" w:cs="Arial"/>
        </w:rPr>
        <w:t>My leadership style of participations facilitated teamwork, but lack of decision-making impeded key actions</w:t>
      </w:r>
      <w:r w:rsidR="004C49DA" w:rsidRPr="00A078DC">
        <w:rPr>
          <w:rFonts w:ascii="Arial" w:hAnsi="Arial" w:cs="Arial"/>
        </w:rPr>
        <w:t xml:space="preserve"> (Gibbs, 1988)</w:t>
      </w:r>
      <w:r w:rsidR="00922832" w:rsidRPr="00A078DC">
        <w:rPr>
          <w:rFonts w:ascii="Arial" w:hAnsi="Arial" w:cs="Arial"/>
        </w:rPr>
        <w:t>.</w:t>
      </w:r>
    </w:p>
    <w:p w14:paraId="6773450A"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Analysis: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On high stakes projects, a leader has to strike a balance between cooperation and aggressiveness.</w:t>
      </w:r>
    </w:p>
    <w:p w14:paraId="4C2C85E5"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Conclusion: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My leadership approach encourages interaction and requires greater confidence and tactical determination.</w:t>
      </w:r>
    </w:p>
    <w:p w14:paraId="6319864B" w14:textId="77777777" w:rsidR="00322478" w:rsidRPr="00322478"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lastRenderedPageBreak/>
        <w:t>Action Plan: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By the year 2025, I will be committed to a Leading Global Teams certification and also mentor with an experienced project leader to enhance my cross-cultural leadership competency.</w:t>
      </w:r>
    </w:p>
    <w:p w14:paraId="6541DEDC" w14:textId="77777777" w:rsidR="00322478" w:rsidRPr="00A078DC" w:rsidRDefault="00322478" w:rsidP="004C49DA">
      <w:pPr>
        <w:spacing w:before="100" w:beforeAutospacing="1" w:after="100" w:afterAutospacing="1"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 xml:space="preserve">Self-Directed Learning </w:t>
      </w:r>
    </w:p>
    <w:p w14:paraId="2B0F822D"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Description: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was reading over and above what was required in the MBA, and I was working with cases outside of the school, and I was handling numerous projects.</w:t>
      </w:r>
    </w:p>
    <w:p w14:paraId="0D01D38A"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Feelings: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 was reading over and above what was required in the MBA, and I was working with cases outside of the school, and I was handling numerous projects.</w:t>
      </w:r>
    </w:p>
    <w:p w14:paraId="1A1D0AC9"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Evaluation: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This self-discipline enhanced the depth of my analysis and research quality though I did not always have a progress monitoring mechanism.</w:t>
      </w:r>
    </w:p>
    <w:p w14:paraId="67337697"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Analysis:</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Professional development is dependent on lifelong learning and reflection. In the absence of quantifiable objectives, improvement will be hard to assess.</w:t>
      </w:r>
    </w:p>
    <w:p w14:paraId="3C597A30"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Conclusion: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Professional development is dependent on lifelong learning and reflection. In the absence of quantifiable objectives, improvement will be hard to assess.</w:t>
      </w:r>
    </w:p>
    <w:p w14:paraId="4FB15C87" w14:textId="77777777" w:rsidR="00322478" w:rsidRPr="00A078DC" w:rsidRDefault="00322478"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Action Plan:</w:t>
      </w:r>
      <w:r w:rsidRPr="00322478">
        <w:rPr>
          <w:rFonts w:ascii="Arial" w:eastAsia="Times New Roman" w:hAnsi="Arial" w:cs="Arial"/>
          <w:sz w:val="24"/>
          <w:szCs w:val="24"/>
          <w:lang w:val="en-IN" w:eastAsia="en-IN"/>
        </w:rPr>
        <w:t xml:space="preserve"> </w:t>
      </w:r>
      <w:r w:rsidR="00922832" w:rsidRPr="00A078DC">
        <w:rPr>
          <w:rFonts w:ascii="Arial" w:eastAsia="Times New Roman" w:hAnsi="Arial" w:cs="Arial"/>
          <w:sz w:val="24"/>
          <w:szCs w:val="24"/>
          <w:lang w:val="en-IN" w:eastAsia="en-IN"/>
        </w:rPr>
        <w:t>In order to advance above the MBA, I will begin with a quarterly personal development tracker, and obtain HR analytics and AI ethical micro-credentials.</w:t>
      </w:r>
    </w:p>
    <w:p w14:paraId="62377FC2" w14:textId="77777777" w:rsidR="00776BB1" w:rsidRPr="00A078DC" w:rsidRDefault="00776BB1" w:rsidP="004C49DA">
      <w:pPr>
        <w:pStyle w:val="Heading3"/>
        <w:spacing w:line="360" w:lineRule="auto"/>
        <w:jc w:val="both"/>
        <w:rPr>
          <w:rFonts w:ascii="Arial" w:hAnsi="Arial" w:cs="Arial"/>
          <w:b/>
          <w:color w:val="auto"/>
        </w:rPr>
      </w:pPr>
      <w:bookmarkStart w:id="19" w:name="_Toc213410012"/>
      <w:r w:rsidRPr="00A078DC">
        <w:rPr>
          <w:rFonts w:ascii="Arial" w:hAnsi="Arial" w:cs="Arial"/>
          <w:b/>
          <w:color w:val="auto"/>
        </w:rPr>
        <w:t>4.1.3 Development Plan</w:t>
      </w:r>
      <w:bookmarkEnd w:id="19"/>
    </w:p>
    <w:p w14:paraId="062D11B8" w14:textId="77777777" w:rsidR="004D4ECE" w:rsidRPr="004D4ECE" w:rsidRDefault="004D4ECE" w:rsidP="004C49DA">
      <w:pPr>
        <w:spacing w:after="0" w:line="360" w:lineRule="auto"/>
        <w:jc w:val="both"/>
        <w:rPr>
          <w:rFonts w:ascii="Arial" w:eastAsia="Times New Roman" w:hAnsi="Arial" w:cs="Arial"/>
          <w:sz w:val="24"/>
          <w:szCs w:val="24"/>
          <w:lang w:val="en-IN" w:eastAsia="en-IN"/>
        </w:rPr>
      </w:pPr>
      <w:r w:rsidRPr="00A078DC">
        <w:rPr>
          <w:rFonts w:ascii="Arial" w:eastAsia="Times New Roman" w:hAnsi="Arial" w:cs="Arial"/>
          <w:b/>
          <w:sz w:val="24"/>
          <w:szCs w:val="24"/>
          <w:lang w:val="en-IN" w:eastAsia="en-IN"/>
        </w:rPr>
        <w:t>Leveraging Strengths:</w:t>
      </w:r>
      <w:r w:rsidRPr="00A078DC">
        <w:rPr>
          <w:rFonts w:ascii="Arial" w:eastAsia="Times New Roman" w:hAnsi="Arial" w:cs="Arial"/>
          <w:sz w:val="24"/>
          <w:szCs w:val="24"/>
          <w:lang w:val="en-IN" w:eastAsia="en-IN"/>
        </w:rPr>
        <w:t xml:space="preserve"> I wi</w:t>
      </w:r>
      <w:r w:rsidRPr="004D4ECE">
        <w:rPr>
          <w:rFonts w:ascii="Arial" w:eastAsia="Times New Roman" w:hAnsi="Arial" w:cs="Arial"/>
          <w:sz w:val="24"/>
          <w:szCs w:val="24"/>
          <w:lang w:val="en-IN" w:eastAsia="en-IN"/>
        </w:rPr>
        <w:t>ll benefit from self-directed learning and digital adaption in the changing workplace. I quickly master new technologies and join digitally savvy companies that use HR analytics and AI. These and my proactive learning attitude help me meet industry deman</w:t>
      </w:r>
      <w:r w:rsidR="00EF20EE" w:rsidRPr="00A078DC">
        <w:rPr>
          <w:rFonts w:ascii="Arial" w:eastAsia="Times New Roman" w:hAnsi="Arial" w:cs="Arial"/>
          <w:sz w:val="24"/>
          <w:szCs w:val="24"/>
          <w:lang w:val="en-IN" w:eastAsia="en-IN"/>
        </w:rPr>
        <w:t xml:space="preserve">ds. </w:t>
      </w:r>
    </w:p>
    <w:p w14:paraId="0A0D63F6" w14:textId="31513177" w:rsidR="00322478" w:rsidRPr="00A078DC" w:rsidRDefault="004D4ECE" w:rsidP="004C49DA">
      <w:pPr>
        <w:spacing w:line="360" w:lineRule="auto"/>
        <w:jc w:val="both"/>
        <w:rPr>
          <w:rFonts w:ascii="Arial" w:eastAsia="Times New Roman" w:hAnsi="Arial" w:cs="Arial"/>
          <w:sz w:val="24"/>
          <w:szCs w:val="24"/>
          <w:lang w:val="en-IN" w:eastAsia="en-IN"/>
        </w:rPr>
      </w:pPr>
      <w:r w:rsidRPr="00A078DC">
        <w:rPr>
          <w:rFonts w:ascii="Arial" w:hAnsi="Arial" w:cs="Arial"/>
          <w:b/>
          <w:sz w:val="24"/>
          <w:szCs w:val="24"/>
        </w:rPr>
        <w:t>Addressing Weaknesses: </w:t>
      </w:r>
      <w:r w:rsidRPr="00A078DC">
        <w:rPr>
          <w:rFonts w:ascii="Arial" w:eastAsia="Times New Roman" w:hAnsi="Arial" w:cs="Arial"/>
          <w:sz w:val="24"/>
          <w:szCs w:val="24"/>
          <w:lang w:val="en-IN" w:eastAsia="en-IN"/>
        </w:rPr>
        <w:t>I lack cross-cultural team leadership expertise and struggle to manage diverse perspectives. I will offer to manage the next multicultural team project during my MBA and request official team feedback on my leadership style. By June 2025</w:t>
      </w:r>
      <w:r w:rsidR="00025D4D">
        <w:rPr>
          <w:rFonts w:ascii="Arial" w:eastAsia="Times New Roman" w:hAnsi="Arial" w:cs="Arial"/>
          <w:sz w:val="24"/>
          <w:szCs w:val="24"/>
          <w:lang w:val="en-IN" w:eastAsia="en-IN"/>
        </w:rPr>
        <w:t>.</w:t>
      </w:r>
      <w:r w:rsidRPr="00A078DC">
        <w:rPr>
          <w:rFonts w:ascii="Arial" w:eastAsia="Times New Roman" w:hAnsi="Arial" w:cs="Arial"/>
          <w:sz w:val="24"/>
          <w:szCs w:val="24"/>
          <w:lang w:val="en-IN" w:eastAsia="en-IN"/>
        </w:rPr>
        <w:t xml:space="preserve"> </w:t>
      </w:r>
    </w:p>
    <w:p w14:paraId="3EC09CF9" w14:textId="77777777" w:rsidR="00D47DDE" w:rsidRPr="00A078DC" w:rsidRDefault="00EF20EE" w:rsidP="004C49DA">
      <w:pPr>
        <w:pStyle w:val="Heading1"/>
        <w:spacing w:line="360" w:lineRule="auto"/>
        <w:jc w:val="both"/>
        <w:rPr>
          <w:rFonts w:ascii="Arial" w:hAnsi="Arial" w:cs="Arial"/>
          <w:b/>
          <w:color w:val="auto"/>
          <w:sz w:val="24"/>
          <w:szCs w:val="24"/>
        </w:rPr>
      </w:pPr>
      <w:bookmarkStart w:id="20" w:name="_Toc213410013"/>
      <w:r w:rsidRPr="00A078DC">
        <w:rPr>
          <w:rFonts w:ascii="Arial" w:hAnsi="Arial" w:cs="Arial"/>
          <w:b/>
          <w:color w:val="auto"/>
          <w:sz w:val="24"/>
          <w:szCs w:val="24"/>
        </w:rPr>
        <w:t>Conclusion</w:t>
      </w:r>
      <w:bookmarkEnd w:id="20"/>
    </w:p>
    <w:p w14:paraId="7E52D6AB" w14:textId="12E36944" w:rsidR="00EF20EE" w:rsidRPr="00EF20EE" w:rsidRDefault="00EF20EE" w:rsidP="004C49DA">
      <w:pPr>
        <w:spacing w:after="0" w:line="360" w:lineRule="auto"/>
        <w:jc w:val="both"/>
        <w:rPr>
          <w:rFonts w:ascii="Arial" w:eastAsia="Times New Roman" w:hAnsi="Arial" w:cs="Arial"/>
          <w:sz w:val="24"/>
          <w:szCs w:val="24"/>
          <w:lang w:val="en-IN" w:eastAsia="en-IN"/>
        </w:rPr>
      </w:pPr>
      <w:r w:rsidRPr="00EF20EE">
        <w:rPr>
          <w:rFonts w:ascii="Arial" w:eastAsia="Times New Roman" w:hAnsi="Arial" w:cs="Arial"/>
          <w:sz w:val="24"/>
          <w:szCs w:val="24"/>
          <w:lang w:val="en-IN" w:eastAsia="en-IN"/>
        </w:rPr>
        <w:t xml:space="preserve">According to global labour market dynamics, technology, demographics, and geopolitics impact HRM and IHRM. AI, automation, and digital platforms transform job </w:t>
      </w:r>
      <w:r w:rsidRPr="00EF20EE">
        <w:rPr>
          <w:rFonts w:ascii="Arial" w:eastAsia="Times New Roman" w:hAnsi="Arial" w:cs="Arial"/>
          <w:sz w:val="24"/>
          <w:szCs w:val="24"/>
          <w:lang w:val="en-IN" w:eastAsia="en-IN"/>
        </w:rPr>
        <w:lastRenderedPageBreak/>
        <w:t xml:space="preserve">structures, therefore HR must intervene in digital upskilling, flexible workforce planning, and ethical data management. Changing and ageing populations necessitate flexible, intergenerational workforce policies. </w:t>
      </w:r>
    </w:p>
    <w:p w14:paraId="4B0252A2" w14:textId="77777777" w:rsidR="00EF20EE" w:rsidRPr="00A078DC" w:rsidRDefault="00EF20EE" w:rsidP="004C49DA">
      <w:pPr>
        <w:spacing w:line="360" w:lineRule="auto"/>
        <w:jc w:val="both"/>
        <w:rPr>
          <w:rFonts w:ascii="Arial" w:hAnsi="Arial" w:cs="Arial"/>
          <w:sz w:val="24"/>
          <w:szCs w:val="24"/>
        </w:rPr>
      </w:pPr>
    </w:p>
    <w:p w14:paraId="3328FC13" w14:textId="77777777" w:rsidR="00EF20EE" w:rsidRPr="00A078DC" w:rsidRDefault="00EF20EE" w:rsidP="004C49DA">
      <w:pPr>
        <w:spacing w:line="360" w:lineRule="auto"/>
        <w:jc w:val="both"/>
        <w:rPr>
          <w:rFonts w:ascii="Arial" w:eastAsiaTheme="majorEastAsia" w:hAnsi="Arial" w:cs="Arial"/>
          <w:b/>
          <w:sz w:val="24"/>
          <w:szCs w:val="24"/>
        </w:rPr>
      </w:pPr>
      <w:r w:rsidRPr="00A078DC">
        <w:rPr>
          <w:rFonts w:ascii="Arial" w:hAnsi="Arial" w:cs="Arial"/>
          <w:b/>
          <w:sz w:val="24"/>
          <w:szCs w:val="24"/>
        </w:rPr>
        <w:br w:type="page"/>
      </w:r>
    </w:p>
    <w:p w14:paraId="465B3BF8" w14:textId="77777777" w:rsidR="00D47DDE" w:rsidRPr="00A078DC" w:rsidRDefault="00D47DDE" w:rsidP="004C49DA">
      <w:pPr>
        <w:pStyle w:val="Heading1"/>
        <w:spacing w:line="360" w:lineRule="auto"/>
        <w:jc w:val="both"/>
        <w:rPr>
          <w:rFonts w:ascii="Arial" w:hAnsi="Arial" w:cs="Arial"/>
          <w:b/>
          <w:color w:val="auto"/>
          <w:sz w:val="24"/>
          <w:szCs w:val="24"/>
        </w:rPr>
      </w:pPr>
      <w:bookmarkStart w:id="21" w:name="_Toc213410014"/>
      <w:r w:rsidRPr="00A078DC">
        <w:rPr>
          <w:rFonts w:ascii="Arial" w:hAnsi="Arial" w:cs="Arial"/>
          <w:b/>
          <w:color w:val="auto"/>
          <w:sz w:val="24"/>
          <w:szCs w:val="24"/>
        </w:rPr>
        <w:lastRenderedPageBreak/>
        <w:t>References</w:t>
      </w:r>
      <w:bookmarkEnd w:id="21"/>
    </w:p>
    <w:p w14:paraId="3518757B"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Brynjolfsson, E. and McAfee, A. (2014). The second machine age: Work, progress, and prosperity in a time of brilliant technologies. WW Norton &amp; company.</w:t>
      </w:r>
    </w:p>
    <w:p w14:paraId="065FC81A"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Cappelli, P., (2009). Talent on demand–managing talent in an age of uncertainty. Strategic Direction, 25(3).</w:t>
      </w:r>
    </w:p>
    <w:p w14:paraId="238C4DD0"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 xml:space="preserve">Chartered Institute of Personnel and Development (CIPD) (2024). ‘Analysis | Quantifying the impact of generative AI on HR’. Available at: </w:t>
      </w:r>
      <w:hyperlink r:id="rId13" w:tgtFrame="_new" w:history="1">
        <w:r w:rsidRPr="00A078DC">
          <w:rPr>
            <w:rStyle w:val="Hyperlink"/>
            <w:rFonts w:ascii="Arial" w:hAnsi="Arial" w:cs="Arial"/>
            <w:color w:val="auto"/>
            <w:sz w:val="24"/>
            <w:szCs w:val="24"/>
          </w:rPr>
          <w:t>https://www.cipd.org/en/views-and-insights/thought-leadership/insight/quantifying-impact-generative-ai/</w:t>
        </w:r>
      </w:hyperlink>
      <w:r w:rsidRPr="00A078DC">
        <w:rPr>
          <w:rFonts w:ascii="Arial" w:hAnsi="Arial" w:cs="Arial"/>
          <w:sz w:val="24"/>
          <w:szCs w:val="24"/>
        </w:rPr>
        <w:t xml:space="preserve"> </w:t>
      </w:r>
    </w:p>
    <w:p w14:paraId="5891D929"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Dowling, P. J., Festing, M., and Engle, A. D. (2017). International Human Resource Management. Cengage Learning.</w:t>
      </w:r>
    </w:p>
    <w:p w14:paraId="6E44E75D"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 xml:space="preserve">Ernst &amp; Young (EY) (2024) ‘EY Work Reimagined Survey 2024 – GenAI adoption at work’. News release, 8 November. Available at: </w:t>
      </w:r>
      <w:hyperlink r:id="rId14" w:tgtFrame="_new" w:history="1">
        <w:r w:rsidRPr="00A078DC">
          <w:rPr>
            <w:rStyle w:val="Hyperlink"/>
            <w:rFonts w:ascii="Arial" w:hAnsi="Arial" w:cs="Arial"/>
            <w:color w:val="auto"/>
            <w:sz w:val="24"/>
            <w:szCs w:val="24"/>
          </w:rPr>
          <w:t>https://www.ey.com/en_cy/newsroom/2024/11/news-release-ey-reimagined-survey-2024</w:t>
        </w:r>
      </w:hyperlink>
      <w:r w:rsidRPr="00A078DC">
        <w:rPr>
          <w:rFonts w:ascii="Arial" w:hAnsi="Arial" w:cs="Arial"/>
          <w:sz w:val="24"/>
          <w:szCs w:val="24"/>
        </w:rPr>
        <w:t xml:space="preserve"> </w:t>
      </w:r>
    </w:p>
    <w:p w14:paraId="646CC315" w14:textId="77777777" w:rsidR="004C49DA" w:rsidRPr="00A078DC" w:rsidRDefault="004C49DA" w:rsidP="004C49DA">
      <w:pPr>
        <w:pStyle w:val="NormalWeb"/>
        <w:spacing w:line="360" w:lineRule="auto"/>
        <w:jc w:val="both"/>
        <w:rPr>
          <w:rFonts w:ascii="Arial" w:hAnsi="Arial" w:cs="Arial"/>
        </w:rPr>
      </w:pPr>
      <w:r w:rsidRPr="00A078DC">
        <w:rPr>
          <w:rFonts w:ascii="Arial" w:hAnsi="Arial" w:cs="Arial"/>
        </w:rPr>
        <w:t xml:space="preserve">Gibbs, G. (1988) </w:t>
      </w:r>
      <w:r w:rsidRPr="00A078DC">
        <w:rPr>
          <w:rStyle w:val="Emphasis"/>
          <w:rFonts w:ascii="Arial" w:eastAsiaTheme="majorEastAsia" w:hAnsi="Arial" w:cs="Arial"/>
        </w:rPr>
        <w:t>Learning by Doing: A Guide to Teaching and Learning Methods</w:t>
      </w:r>
      <w:r w:rsidRPr="00A078DC">
        <w:rPr>
          <w:rFonts w:ascii="Arial" w:hAnsi="Arial" w:cs="Arial"/>
        </w:rPr>
        <w:t xml:space="preserve">. Oxford: Further Education Unit. Available at: </w:t>
      </w:r>
      <w:hyperlink r:id="rId15" w:tgtFrame="_new" w:history="1">
        <w:r w:rsidRPr="00A078DC">
          <w:rPr>
            <w:rStyle w:val="Hyperlink"/>
            <w:rFonts w:ascii="Arial" w:eastAsiaTheme="majorEastAsia" w:hAnsi="Arial" w:cs="Arial"/>
            <w:color w:val="auto"/>
          </w:rPr>
          <w:t>https://my.cumbria.ac.uk/media/MyCumbria/Documents/ReflectiveCycleGibbs.pdf</w:t>
        </w:r>
      </w:hyperlink>
    </w:p>
    <w:p w14:paraId="3B84F6D6" w14:textId="77777777" w:rsidR="004C49DA" w:rsidRPr="00A078DC" w:rsidRDefault="004C49DA" w:rsidP="004C49DA">
      <w:pPr>
        <w:pStyle w:val="NormalWeb"/>
        <w:spacing w:line="360" w:lineRule="auto"/>
        <w:jc w:val="both"/>
        <w:rPr>
          <w:rFonts w:ascii="Arial" w:hAnsi="Arial" w:cs="Arial"/>
        </w:rPr>
      </w:pPr>
      <w:r w:rsidRPr="00A078DC">
        <w:rPr>
          <w:rFonts w:ascii="Arial" w:hAnsi="Arial" w:cs="Arial"/>
        </w:rPr>
        <w:t xml:space="preserve">Global Partnership for Education (2020) </w:t>
      </w:r>
      <w:r w:rsidRPr="00A078DC">
        <w:rPr>
          <w:rStyle w:val="Emphasis"/>
          <w:rFonts w:ascii="Arial" w:eastAsiaTheme="majorEastAsia" w:hAnsi="Arial" w:cs="Arial"/>
        </w:rPr>
        <w:t>21st Century Skills: What Potential Role for the Global Partnership for Education? A Landscape Review</w:t>
      </w:r>
      <w:r w:rsidRPr="00A078DC">
        <w:rPr>
          <w:rFonts w:ascii="Arial" w:hAnsi="Arial" w:cs="Arial"/>
        </w:rPr>
        <w:t xml:space="preserve">. Paris: GPE. Available at: </w:t>
      </w:r>
      <w:hyperlink r:id="rId16" w:tgtFrame="_new" w:history="1">
        <w:r w:rsidRPr="00A078DC">
          <w:rPr>
            <w:rStyle w:val="Hyperlink"/>
            <w:rFonts w:ascii="Arial" w:eastAsiaTheme="majorEastAsia" w:hAnsi="Arial" w:cs="Arial"/>
            <w:color w:val="auto"/>
          </w:rPr>
          <w:t>https://www.globalpartnership.org/node/document/download?file=document%2Ffile%2F2020-01-GPE-21-century-skills-report.pdf</w:t>
        </w:r>
      </w:hyperlink>
      <w:r w:rsidRPr="00A078DC">
        <w:rPr>
          <w:rFonts w:ascii="Arial" w:hAnsi="Arial" w:cs="Arial"/>
        </w:rPr>
        <w:t xml:space="preserve"> </w:t>
      </w:r>
    </w:p>
    <w:p w14:paraId="76FE5365"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 xml:space="preserve">ManpowerGroup (2025). Talent Shortage Survey 2025: Global – Nearly 74% of employers say they’re struggling to find skilled talent. Available at: </w:t>
      </w:r>
      <w:hyperlink r:id="rId17" w:tgtFrame="_new" w:history="1">
        <w:r w:rsidRPr="00A078DC">
          <w:rPr>
            <w:rStyle w:val="Hyperlink"/>
            <w:rFonts w:ascii="Arial" w:hAnsi="Arial" w:cs="Arial"/>
            <w:color w:val="auto"/>
            <w:sz w:val="24"/>
            <w:szCs w:val="24"/>
          </w:rPr>
          <w:t>https://go.manpowergroup.com/talent-shortage</w:t>
        </w:r>
      </w:hyperlink>
      <w:r w:rsidRPr="00A078DC">
        <w:rPr>
          <w:rFonts w:ascii="Arial" w:hAnsi="Arial" w:cs="Arial"/>
          <w:sz w:val="24"/>
          <w:szCs w:val="24"/>
        </w:rPr>
        <w:t xml:space="preserve">. </w:t>
      </w:r>
    </w:p>
    <w:p w14:paraId="15D239DD"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 xml:space="preserve">ManpowerGroup Insights (2025). Global Talent Barometer June 2025 – shows skill confidence vs employer skill readiness gap. Available at: </w:t>
      </w:r>
      <w:hyperlink r:id="rId18" w:history="1">
        <w:r w:rsidRPr="00A078DC">
          <w:rPr>
            <w:rStyle w:val="Hyperlink"/>
            <w:rFonts w:ascii="Arial" w:hAnsi="Arial" w:cs="Arial"/>
            <w:color w:val="auto"/>
            <w:sz w:val="24"/>
            <w:szCs w:val="24"/>
          </w:rPr>
          <w:t>https://www.manpowergroup.com/en/insights/report/global-talent-barometer-june-2025-global-report.pdf</w:t>
        </w:r>
      </w:hyperlink>
      <w:r w:rsidRPr="00A078DC">
        <w:rPr>
          <w:rFonts w:ascii="Arial" w:hAnsi="Arial" w:cs="Arial"/>
          <w:sz w:val="24"/>
          <w:szCs w:val="24"/>
        </w:rPr>
        <w:t xml:space="preserve">  </w:t>
      </w:r>
    </w:p>
    <w:p w14:paraId="3D02839D"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lastRenderedPageBreak/>
        <w:t xml:space="preserve">PricewaterhouseCoopers (PwC) (2025) Megatrends: Revisiting the Megatrends. Available at: </w:t>
      </w:r>
      <w:hyperlink r:id="rId19" w:tgtFrame="_new" w:history="1">
        <w:r w:rsidRPr="00A078DC">
          <w:rPr>
            <w:rStyle w:val="Hyperlink"/>
            <w:rFonts w:ascii="Arial" w:hAnsi="Arial" w:cs="Arial"/>
            <w:color w:val="auto"/>
            <w:sz w:val="24"/>
            <w:szCs w:val="24"/>
          </w:rPr>
          <w:t>https://www.pwc.com/gx/en/issues/megatrends.html</w:t>
        </w:r>
      </w:hyperlink>
      <w:r w:rsidRPr="00A078DC">
        <w:rPr>
          <w:rFonts w:ascii="Arial" w:hAnsi="Arial" w:cs="Arial"/>
          <w:sz w:val="24"/>
          <w:szCs w:val="24"/>
        </w:rPr>
        <w:t xml:space="preserve"> </w:t>
      </w:r>
    </w:p>
    <w:p w14:paraId="247FFDF2"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 xml:space="preserve">PricewaterhouseCoopers India (PwC India) (2025) Making the Case for Global Workforce Migration: A Strategic Blueprint to Harness India’s Demographic Dividend. Available at: </w:t>
      </w:r>
      <w:hyperlink r:id="rId20" w:tgtFrame="_new" w:history="1">
        <w:r w:rsidRPr="00A078DC">
          <w:rPr>
            <w:rStyle w:val="Hyperlink"/>
            <w:rFonts w:ascii="Arial" w:hAnsi="Arial" w:cs="Arial"/>
            <w:color w:val="auto"/>
            <w:sz w:val="24"/>
            <w:szCs w:val="24"/>
          </w:rPr>
          <w:t>https://www.pwc.in/assets/pdfs/making-the-case-for-global-workforce-migration.pdf</w:t>
        </w:r>
      </w:hyperlink>
    </w:p>
    <w:p w14:paraId="5D3DF392"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 xml:space="preserve">Society for Human Resource Management (SHRM) (2025). ‘The evolving role of AI in recruitment and retention’. Available at: </w:t>
      </w:r>
      <w:hyperlink r:id="rId21" w:tgtFrame="_new" w:history="1">
        <w:r w:rsidRPr="00A078DC">
          <w:rPr>
            <w:rStyle w:val="Hyperlink"/>
            <w:rFonts w:ascii="Arial" w:hAnsi="Arial" w:cs="Arial"/>
            <w:color w:val="auto"/>
            <w:sz w:val="24"/>
            <w:szCs w:val="24"/>
          </w:rPr>
          <w:t>https://www.shrm.org/labs/resources/the-evolving-role-of-ai-in-recruitment-and-retention</w:t>
        </w:r>
      </w:hyperlink>
      <w:r w:rsidRPr="00A078DC">
        <w:rPr>
          <w:rFonts w:ascii="Arial" w:hAnsi="Arial" w:cs="Arial"/>
          <w:sz w:val="24"/>
          <w:szCs w:val="24"/>
        </w:rPr>
        <w:t xml:space="preserve"> </w:t>
      </w:r>
    </w:p>
    <w:p w14:paraId="2CB60CE5" w14:textId="77777777" w:rsidR="004C49DA" w:rsidRPr="00A078DC" w:rsidRDefault="004C49DA" w:rsidP="004C49DA">
      <w:pPr>
        <w:spacing w:line="360" w:lineRule="auto"/>
        <w:jc w:val="both"/>
        <w:rPr>
          <w:rFonts w:ascii="Arial" w:hAnsi="Arial" w:cs="Arial"/>
          <w:sz w:val="24"/>
          <w:szCs w:val="24"/>
        </w:rPr>
      </w:pPr>
      <w:r w:rsidRPr="00A078DC">
        <w:rPr>
          <w:rFonts w:ascii="Arial" w:hAnsi="Arial" w:cs="Arial"/>
          <w:sz w:val="24"/>
          <w:szCs w:val="24"/>
        </w:rPr>
        <w:t xml:space="preserve">World Economic Forum (2025). The Future of Jobs Report 2025. Geneva: World Economic Forum. Available at: </w:t>
      </w:r>
      <w:hyperlink r:id="rId22" w:tgtFrame="_new" w:history="1">
        <w:r w:rsidRPr="00A078DC">
          <w:rPr>
            <w:rStyle w:val="Hyperlink"/>
            <w:rFonts w:ascii="Arial" w:hAnsi="Arial" w:cs="Arial"/>
            <w:color w:val="auto"/>
            <w:sz w:val="24"/>
            <w:szCs w:val="24"/>
          </w:rPr>
          <w:t>https://www.weforum.org/publications/the-future-of-jobs-report-2025/</w:t>
        </w:r>
      </w:hyperlink>
      <w:r w:rsidRPr="00A078DC">
        <w:rPr>
          <w:rFonts w:ascii="Arial" w:hAnsi="Arial" w:cs="Arial"/>
          <w:sz w:val="24"/>
          <w:szCs w:val="24"/>
        </w:rPr>
        <w:t xml:space="preserve"> </w:t>
      </w:r>
    </w:p>
    <w:p w14:paraId="5F197366" w14:textId="77777777" w:rsidR="00A078DC" w:rsidRPr="00A078DC" w:rsidRDefault="00A078DC" w:rsidP="004C49DA">
      <w:pPr>
        <w:spacing w:line="360" w:lineRule="auto"/>
        <w:jc w:val="both"/>
        <w:rPr>
          <w:rFonts w:ascii="Arial" w:hAnsi="Arial" w:cs="Arial"/>
          <w:b/>
          <w:sz w:val="24"/>
          <w:szCs w:val="24"/>
        </w:rPr>
      </w:pPr>
      <w:r w:rsidRPr="00A078DC">
        <w:rPr>
          <w:rFonts w:ascii="Arial" w:hAnsi="Arial" w:cs="Arial"/>
          <w:b/>
          <w:sz w:val="24"/>
          <w:szCs w:val="24"/>
        </w:rPr>
        <w:t>Image Reference</w:t>
      </w:r>
    </w:p>
    <w:p w14:paraId="6E6CF175" w14:textId="77777777" w:rsidR="00A078DC" w:rsidRPr="00A078DC" w:rsidRDefault="00A078DC" w:rsidP="00A078DC">
      <w:pPr>
        <w:spacing w:line="360" w:lineRule="auto"/>
        <w:jc w:val="both"/>
        <w:rPr>
          <w:rFonts w:ascii="Arial" w:hAnsi="Arial" w:cs="Arial"/>
        </w:rPr>
      </w:pPr>
      <w:r w:rsidRPr="00A078DC">
        <w:rPr>
          <w:rFonts w:ascii="Arial" w:hAnsi="Arial" w:cs="Arial"/>
        </w:rPr>
        <w:t xml:space="preserve">Jadhav, S. and Bajj, A. (2025) ‘Industry trend analysis: The gig economy in 2025: Trends, opportunities, and challenges’, </w:t>
      </w:r>
      <w:r w:rsidRPr="00A078DC">
        <w:rPr>
          <w:rStyle w:val="Emphasis"/>
          <w:rFonts w:ascii="Arial" w:hAnsi="Arial" w:cs="Arial"/>
        </w:rPr>
        <w:t>StartupTalky</w:t>
      </w:r>
      <w:r w:rsidRPr="00A078DC">
        <w:rPr>
          <w:rFonts w:ascii="Arial" w:hAnsi="Arial" w:cs="Arial"/>
        </w:rPr>
        <w:t xml:space="preserve">, 14 April. Available at: </w:t>
      </w:r>
      <w:hyperlink r:id="rId23" w:tgtFrame="_new" w:history="1">
        <w:r w:rsidRPr="00A078DC">
          <w:rPr>
            <w:rStyle w:val="Hyperlink"/>
            <w:rFonts w:ascii="Arial" w:hAnsi="Arial" w:cs="Arial"/>
            <w:color w:val="auto"/>
          </w:rPr>
          <w:t>https://startuptalky.com/gig-economy-trends/</w:t>
        </w:r>
      </w:hyperlink>
    </w:p>
    <w:p w14:paraId="64781ACD" w14:textId="77777777" w:rsidR="00A078DC" w:rsidRPr="00A078DC" w:rsidRDefault="00A078DC" w:rsidP="00A078DC">
      <w:pPr>
        <w:spacing w:line="360" w:lineRule="auto"/>
        <w:jc w:val="both"/>
        <w:rPr>
          <w:rFonts w:ascii="Arial" w:hAnsi="Arial" w:cs="Arial"/>
        </w:rPr>
      </w:pPr>
      <w:r w:rsidRPr="00A078DC">
        <w:rPr>
          <w:rFonts w:ascii="Arial" w:hAnsi="Arial" w:cs="Arial"/>
        </w:rPr>
        <w:t xml:space="preserve">Research and Markets (2024) </w:t>
      </w:r>
      <w:r w:rsidRPr="00A078DC">
        <w:rPr>
          <w:rStyle w:val="Emphasis"/>
          <w:rFonts w:ascii="Arial" w:hAnsi="Arial" w:cs="Arial"/>
        </w:rPr>
        <w:t>2024 Corporate Training Research Report: Market Projected to Surpass $713 Billion by 2033</w:t>
      </w:r>
      <w:r w:rsidRPr="00A078DC">
        <w:rPr>
          <w:rFonts w:ascii="Arial" w:hAnsi="Arial" w:cs="Arial"/>
        </w:rPr>
        <w:t xml:space="preserve">. Available at: </w:t>
      </w:r>
      <w:hyperlink r:id="rId24" w:tgtFrame="_new" w:history="1">
        <w:r w:rsidRPr="00A078DC">
          <w:rPr>
            <w:rStyle w:val="Hyperlink"/>
            <w:rFonts w:ascii="Arial" w:hAnsi="Arial" w:cs="Arial"/>
            <w:color w:val="auto"/>
          </w:rPr>
          <w:t>https://www.globenewswire.com/news-release/2024/11/07/2976800/28124/en/2024-Corporate-Training-Research-Report-Market-Projected-to-Surpass-713-Billion-by-2033.html</w:t>
        </w:r>
      </w:hyperlink>
    </w:p>
    <w:p w14:paraId="6EA909B4" w14:textId="77777777" w:rsidR="00A078DC" w:rsidRPr="00A078DC" w:rsidRDefault="00A078DC" w:rsidP="00A078DC">
      <w:pPr>
        <w:spacing w:line="360" w:lineRule="auto"/>
        <w:jc w:val="both"/>
        <w:rPr>
          <w:rFonts w:ascii="Arial" w:hAnsi="Arial" w:cs="Arial"/>
        </w:rPr>
      </w:pPr>
      <w:r w:rsidRPr="00A078DC">
        <w:rPr>
          <w:rFonts w:ascii="Arial" w:hAnsi="Arial" w:cs="Arial"/>
        </w:rPr>
        <w:t xml:space="preserve">Simply Psychology (2025) ‘Gibbs Reflective Cycle’, </w:t>
      </w:r>
      <w:r w:rsidRPr="00A078DC">
        <w:rPr>
          <w:rStyle w:val="Emphasis"/>
          <w:rFonts w:ascii="Arial" w:hAnsi="Arial" w:cs="Arial"/>
        </w:rPr>
        <w:t>Simply Psychology</w:t>
      </w:r>
      <w:r w:rsidRPr="00A078DC">
        <w:rPr>
          <w:rFonts w:ascii="Arial" w:hAnsi="Arial" w:cs="Arial"/>
        </w:rPr>
        <w:t xml:space="preserve">. Available at: </w:t>
      </w:r>
      <w:hyperlink r:id="rId25" w:tgtFrame="_new" w:history="1">
        <w:r w:rsidRPr="00A078DC">
          <w:rPr>
            <w:rStyle w:val="Hyperlink"/>
            <w:rFonts w:ascii="Arial" w:hAnsi="Arial" w:cs="Arial"/>
            <w:color w:val="auto"/>
          </w:rPr>
          <w:t>https://www.simplypsychology.org/gibbs-reflective-cycle.html</w:t>
        </w:r>
      </w:hyperlink>
      <w:r w:rsidRPr="00A078DC">
        <w:rPr>
          <w:rFonts w:ascii="Arial" w:hAnsi="Arial" w:cs="Arial"/>
        </w:rPr>
        <w:t xml:space="preserve"> </w:t>
      </w:r>
    </w:p>
    <w:p w14:paraId="65E6396C" w14:textId="77777777" w:rsidR="00A078DC" w:rsidRPr="00A078DC" w:rsidRDefault="00A078DC" w:rsidP="00A078DC">
      <w:pPr>
        <w:spacing w:line="360" w:lineRule="auto"/>
        <w:jc w:val="both"/>
        <w:rPr>
          <w:rFonts w:ascii="Arial" w:hAnsi="Arial" w:cs="Arial"/>
        </w:rPr>
      </w:pPr>
      <w:r w:rsidRPr="00A078DC">
        <w:rPr>
          <w:rFonts w:ascii="Arial" w:hAnsi="Arial" w:cs="Arial"/>
        </w:rPr>
        <w:t xml:space="preserve">World Trade Organization (2025) </w:t>
      </w:r>
      <w:r w:rsidRPr="00A078DC">
        <w:rPr>
          <w:rStyle w:val="Emphasis"/>
          <w:rFonts w:ascii="Arial" w:hAnsi="Arial" w:cs="Arial"/>
        </w:rPr>
        <w:t>AI goods and front-loading lift world trade in 2025 but outlook dims for 2026</w:t>
      </w:r>
      <w:r w:rsidRPr="00A078DC">
        <w:rPr>
          <w:rFonts w:ascii="Arial" w:hAnsi="Arial" w:cs="Arial"/>
        </w:rPr>
        <w:t xml:space="preserve">, 7 October. Available at: </w:t>
      </w:r>
      <w:hyperlink r:id="rId26" w:tgtFrame="_new" w:history="1">
        <w:r w:rsidRPr="00A078DC">
          <w:rPr>
            <w:rStyle w:val="Hyperlink"/>
            <w:rFonts w:ascii="Arial" w:hAnsi="Arial" w:cs="Arial"/>
            <w:color w:val="auto"/>
          </w:rPr>
          <w:t>https://www.wto.org/english/news_e/news25_e/stat_07oct25_e.htm</w:t>
        </w:r>
      </w:hyperlink>
      <w:r w:rsidRPr="00A078DC">
        <w:rPr>
          <w:rFonts w:ascii="Arial" w:hAnsi="Arial" w:cs="Arial"/>
        </w:rPr>
        <w:t xml:space="preserve"> </w:t>
      </w:r>
    </w:p>
    <w:p w14:paraId="4C35C7F7" w14:textId="77777777" w:rsidR="00EF20EE" w:rsidRPr="00A078DC" w:rsidRDefault="00EF20EE" w:rsidP="004C49DA">
      <w:pPr>
        <w:spacing w:line="360" w:lineRule="auto"/>
        <w:jc w:val="both"/>
        <w:rPr>
          <w:rFonts w:ascii="Arial" w:hAnsi="Arial" w:cs="Arial"/>
          <w:sz w:val="24"/>
          <w:szCs w:val="24"/>
        </w:rPr>
      </w:pPr>
      <w:r w:rsidRPr="00A078DC">
        <w:rPr>
          <w:rFonts w:ascii="Arial" w:hAnsi="Arial" w:cs="Arial"/>
          <w:sz w:val="24"/>
          <w:szCs w:val="24"/>
        </w:rPr>
        <w:br w:type="page"/>
      </w:r>
    </w:p>
    <w:p w14:paraId="46451F81" w14:textId="77777777" w:rsidR="00D47DDE" w:rsidRPr="00A078DC" w:rsidRDefault="00D47DDE" w:rsidP="004C49DA">
      <w:pPr>
        <w:pStyle w:val="Heading1"/>
        <w:spacing w:line="360" w:lineRule="auto"/>
        <w:jc w:val="both"/>
        <w:rPr>
          <w:rFonts w:ascii="Arial" w:hAnsi="Arial" w:cs="Arial"/>
          <w:b/>
          <w:color w:val="auto"/>
          <w:sz w:val="24"/>
          <w:szCs w:val="24"/>
        </w:rPr>
      </w:pPr>
      <w:bookmarkStart w:id="22" w:name="_Toc213410015"/>
      <w:r w:rsidRPr="00A078DC">
        <w:rPr>
          <w:rFonts w:ascii="Arial" w:hAnsi="Arial" w:cs="Arial"/>
          <w:b/>
          <w:color w:val="auto"/>
          <w:sz w:val="24"/>
          <w:szCs w:val="24"/>
        </w:rPr>
        <w:lastRenderedPageBreak/>
        <w:t>Appendix</w:t>
      </w:r>
      <w:bookmarkEnd w:id="22"/>
    </w:p>
    <w:p w14:paraId="64D66A5B" w14:textId="77777777" w:rsidR="00D47DDE" w:rsidRPr="00A078DC" w:rsidRDefault="00D47DDE" w:rsidP="004C49DA">
      <w:pPr>
        <w:spacing w:line="360" w:lineRule="auto"/>
        <w:jc w:val="both"/>
        <w:rPr>
          <w:rFonts w:ascii="Arial" w:hAnsi="Arial" w:cs="Arial"/>
          <w:b/>
          <w:sz w:val="24"/>
          <w:szCs w:val="24"/>
        </w:rPr>
      </w:pPr>
      <w:r w:rsidRPr="00A078DC">
        <w:rPr>
          <w:rFonts w:ascii="Arial" w:hAnsi="Arial" w:cs="Arial"/>
          <w:b/>
          <w:sz w:val="24"/>
          <w:szCs w:val="24"/>
        </w:rPr>
        <w:t>SWOT Analysis</w:t>
      </w:r>
    </w:p>
    <w:tbl>
      <w:tblPr>
        <w:tblStyle w:val="TableGrid"/>
        <w:tblW w:w="0" w:type="auto"/>
        <w:tblLook w:val="04A0" w:firstRow="1" w:lastRow="0" w:firstColumn="1" w:lastColumn="0" w:noHBand="0" w:noVBand="1"/>
      </w:tblPr>
      <w:tblGrid>
        <w:gridCol w:w="1790"/>
        <w:gridCol w:w="7226"/>
      </w:tblGrid>
      <w:tr w:rsidR="00A078DC" w:rsidRPr="00A078DC" w14:paraId="3B57603F" w14:textId="77777777" w:rsidTr="00805FD0">
        <w:tc>
          <w:tcPr>
            <w:tcW w:w="0" w:type="auto"/>
            <w:hideMark/>
          </w:tcPr>
          <w:p w14:paraId="10BB24BD" w14:textId="77777777" w:rsidR="004D4ECE" w:rsidRPr="004D4ECE" w:rsidRDefault="004D4ECE" w:rsidP="004C49DA">
            <w:pPr>
              <w:spacing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 xml:space="preserve">SWOT </w:t>
            </w:r>
          </w:p>
        </w:tc>
        <w:tc>
          <w:tcPr>
            <w:tcW w:w="0" w:type="auto"/>
            <w:hideMark/>
          </w:tcPr>
          <w:p w14:paraId="767D2DEA" w14:textId="77777777" w:rsidR="004D4ECE" w:rsidRPr="004D4ECE" w:rsidRDefault="004D4ECE" w:rsidP="004C49DA">
            <w:pPr>
              <w:spacing w:line="360" w:lineRule="auto"/>
              <w:jc w:val="both"/>
              <w:rPr>
                <w:rFonts w:ascii="Arial" w:eastAsia="Times New Roman" w:hAnsi="Arial" w:cs="Arial"/>
                <w:b/>
                <w:bCs/>
                <w:sz w:val="24"/>
                <w:szCs w:val="24"/>
                <w:lang w:val="en-IN" w:eastAsia="en-IN"/>
              </w:rPr>
            </w:pPr>
            <w:r w:rsidRPr="00A078DC">
              <w:rPr>
                <w:rFonts w:ascii="Arial" w:eastAsia="Times New Roman" w:hAnsi="Arial" w:cs="Arial"/>
                <w:b/>
                <w:bCs/>
                <w:sz w:val="24"/>
                <w:szCs w:val="24"/>
                <w:lang w:val="en-IN" w:eastAsia="en-IN"/>
              </w:rPr>
              <w:t>Analysis</w:t>
            </w:r>
          </w:p>
        </w:tc>
      </w:tr>
      <w:tr w:rsidR="00A078DC" w:rsidRPr="00A078DC" w14:paraId="0245A779" w14:textId="77777777" w:rsidTr="00805FD0">
        <w:tc>
          <w:tcPr>
            <w:tcW w:w="0" w:type="auto"/>
            <w:hideMark/>
          </w:tcPr>
          <w:p w14:paraId="22141CA4" w14:textId="77777777" w:rsidR="004D4ECE" w:rsidRPr="004D4ECE" w:rsidRDefault="004D4ECE"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Strengths</w:t>
            </w:r>
          </w:p>
        </w:tc>
        <w:tc>
          <w:tcPr>
            <w:tcW w:w="0" w:type="auto"/>
            <w:hideMark/>
          </w:tcPr>
          <w:p w14:paraId="789B8B8D" w14:textId="77777777" w:rsidR="004D4ECE" w:rsidRPr="004D4ECE" w:rsidRDefault="004D4ECE" w:rsidP="004C49DA">
            <w:pPr>
              <w:spacing w:line="360" w:lineRule="auto"/>
              <w:jc w:val="both"/>
              <w:rPr>
                <w:rFonts w:ascii="Arial" w:eastAsia="Times New Roman" w:hAnsi="Arial" w:cs="Arial"/>
                <w:sz w:val="24"/>
                <w:szCs w:val="24"/>
                <w:lang w:val="en-IN" w:eastAsia="en-IN"/>
              </w:rPr>
            </w:pPr>
            <w:r w:rsidRPr="004D4ECE">
              <w:rPr>
                <w:rFonts w:ascii="Arial" w:eastAsia="Times New Roman" w:hAnsi="Arial" w:cs="Arial"/>
                <w:sz w:val="24"/>
                <w:szCs w:val="24"/>
                <w:lang w:val="en-IN" w:eastAsia="en-IN"/>
              </w:rPr>
              <w:t>I possess strong digital adaptability with proficiency in MS Teams, SPSS, Excel, and AI tools such as ChatGPT. My written and structured communication skills have been consistently praised in assessments. I demonstrate effective team coordination and conflict-resolution abilities and maintain a high level of self-discipline and motivation toward continuous learning.</w:t>
            </w:r>
          </w:p>
        </w:tc>
      </w:tr>
      <w:tr w:rsidR="00A078DC" w:rsidRPr="00A078DC" w14:paraId="410179AF" w14:textId="77777777" w:rsidTr="00805FD0">
        <w:tc>
          <w:tcPr>
            <w:tcW w:w="0" w:type="auto"/>
            <w:hideMark/>
          </w:tcPr>
          <w:p w14:paraId="45367B30" w14:textId="77777777" w:rsidR="004D4ECE" w:rsidRPr="004D4ECE" w:rsidRDefault="004D4ECE"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Weaknesses</w:t>
            </w:r>
          </w:p>
        </w:tc>
        <w:tc>
          <w:tcPr>
            <w:tcW w:w="0" w:type="auto"/>
            <w:hideMark/>
          </w:tcPr>
          <w:p w14:paraId="5620BD0D" w14:textId="77777777" w:rsidR="004D4ECE" w:rsidRPr="004D4ECE" w:rsidRDefault="00A26C9D"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sz w:val="24"/>
                <w:szCs w:val="24"/>
                <w:lang w:val="en-IN" w:eastAsia="en-IN"/>
              </w:rPr>
              <w:t>My background in the field of advanced data-visualisation software such as Power BI or Tableau is weak, and I feel anxious when forced to improvise a speech in front of strangers. Furthermore, I should become more assertive when I am leading high-stakes or culturally diverse teams to make sure that there is confidence in making decisions.</w:t>
            </w:r>
          </w:p>
        </w:tc>
      </w:tr>
      <w:tr w:rsidR="00A078DC" w:rsidRPr="00A078DC" w14:paraId="1A224291" w14:textId="77777777" w:rsidTr="00805FD0">
        <w:tc>
          <w:tcPr>
            <w:tcW w:w="0" w:type="auto"/>
            <w:hideMark/>
          </w:tcPr>
          <w:p w14:paraId="70A5FFDE" w14:textId="77777777" w:rsidR="004D4ECE" w:rsidRPr="004D4ECE" w:rsidRDefault="004D4ECE"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Opportunities</w:t>
            </w:r>
          </w:p>
        </w:tc>
        <w:tc>
          <w:tcPr>
            <w:tcW w:w="0" w:type="auto"/>
            <w:hideMark/>
          </w:tcPr>
          <w:p w14:paraId="2B55EAED" w14:textId="77777777" w:rsidR="004D4ECE" w:rsidRPr="004D4ECE" w:rsidRDefault="00A26C9D"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sz w:val="24"/>
                <w:szCs w:val="24"/>
                <w:lang w:val="en-IN" w:eastAsia="en-IN"/>
              </w:rPr>
              <w:t>To enhance my analytical and leadership skills, I can take the certifications in the field of Leading Global Teams and HR analytics. Participating in cross-cultural and remote team management international virtual projects will enable me to gain experience, and attending professional HR events and networks would broaden my industry network.</w:t>
            </w:r>
          </w:p>
        </w:tc>
      </w:tr>
      <w:tr w:rsidR="00A078DC" w:rsidRPr="00A078DC" w14:paraId="79C1CBCD" w14:textId="77777777" w:rsidTr="00805FD0">
        <w:tc>
          <w:tcPr>
            <w:tcW w:w="0" w:type="auto"/>
            <w:hideMark/>
          </w:tcPr>
          <w:p w14:paraId="2F607E8E" w14:textId="77777777" w:rsidR="004D4ECE" w:rsidRPr="004D4ECE" w:rsidRDefault="004D4ECE"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b/>
                <w:bCs/>
                <w:sz w:val="24"/>
                <w:szCs w:val="24"/>
                <w:lang w:val="en-IN" w:eastAsia="en-IN"/>
              </w:rPr>
              <w:t>Threats</w:t>
            </w:r>
          </w:p>
        </w:tc>
        <w:tc>
          <w:tcPr>
            <w:tcW w:w="0" w:type="auto"/>
            <w:hideMark/>
          </w:tcPr>
          <w:p w14:paraId="23E3EB2C" w14:textId="77777777" w:rsidR="004D4ECE" w:rsidRPr="004D4ECE" w:rsidRDefault="00A26C9D" w:rsidP="004C49DA">
            <w:pPr>
              <w:spacing w:line="360" w:lineRule="auto"/>
              <w:jc w:val="both"/>
              <w:rPr>
                <w:rFonts w:ascii="Arial" w:eastAsia="Times New Roman" w:hAnsi="Arial" w:cs="Arial"/>
                <w:sz w:val="24"/>
                <w:szCs w:val="24"/>
                <w:lang w:val="en-IN" w:eastAsia="en-IN"/>
              </w:rPr>
            </w:pPr>
            <w:r w:rsidRPr="00A078DC">
              <w:rPr>
                <w:rFonts w:ascii="Arial" w:eastAsia="Times New Roman" w:hAnsi="Arial" w:cs="Arial"/>
                <w:sz w:val="24"/>
                <w:szCs w:val="24"/>
                <w:lang w:val="en-IN" w:eastAsia="en-IN"/>
              </w:rPr>
              <w:t>Unless my skills are continuously kept up to date, rapid technological changes may outpace me. Increasing competition throughout the world in obtaining managerial jobs can complicate the career advancement, and excessive use of collaborative leadership will limit the power in the structured or hierarchical setting.</w:t>
            </w:r>
          </w:p>
        </w:tc>
      </w:tr>
    </w:tbl>
    <w:p w14:paraId="1AB468FE" w14:textId="77777777" w:rsidR="00D47DDE" w:rsidRPr="00A078DC" w:rsidRDefault="00D47DDE" w:rsidP="004C49DA">
      <w:pPr>
        <w:spacing w:line="360" w:lineRule="auto"/>
        <w:jc w:val="both"/>
        <w:rPr>
          <w:rFonts w:ascii="Arial" w:hAnsi="Arial" w:cs="Arial"/>
          <w:sz w:val="24"/>
          <w:szCs w:val="24"/>
        </w:rPr>
      </w:pPr>
    </w:p>
    <w:p w14:paraId="162C92F2" w14:textId="77777777" w:rsidR="004C49DA" w:rsidRPr="00A078DC" w:rsidRDefault="004C49DA">
      <w:pPr>
        <w:spacing w:line="360" w:lineRule="auto"/>
        <w:jc w:val="both"/>
        <w:rPr>
          <w:rFonts w:ascii="Arial" w:hAnsi="Arial" w:cs="Arial"/>
          <w:sz w:val="24"/>
          <w:szCs w:val="24"/>
        </w:rPr>
      </w:pPr>
    </w:p>
    <w:sectPr w:rsidR="004C49DA" w:rsidRPr="00A078DC">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D994A" w14:textId="77777777" w:rsidR="001E2677" w:rsidRDefault="001E2677" w:rsidP="00A078DC">
      <w:pPr>
        <w:spacing w:after="0" w:line="240" w:lineRule="auto"/>
      </w:pPr>
      <w:r>
        <w:separator/>
      </w:r>
    </w:p>
  </w:endnote>
  <w:endnote w:type="continuationSeparator" w:id="0">
    <w:p w14:paraId="31930D99" w14:textId="77777777" w:rsidR="001E2677" w:rsidRDefault="001E2677" w:rsidP="00A07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1494408251"/>
      <w:docPartObj>
        <w:docPartGallery w:val="Page Numbers (Bottom of Page)"/>
        <w:docPartUnique/>
      </w:docPartObj>
    </w:sdtPr>
    <w:sdtEndPr>
      <w:rPr>
        <w:noProof/>
      </w:rPr>
    </w:sdtEndPr>
    <w:sdtContent>
      <w:p w14:paraId="50829A0D" w14:textId="77777777" w:rsidR="00A078DC" w:rsidRPr="00A078DC" w:rsidRDefault="00A078DC">
        <w:pPr>
          <w:pStyle w:val="Footer"/>
          <w:jc w:val="right"/>
          <w:rPr>
            <w:rFonts w:ascii="Arial" w:hAnsi="Arial" w:cs="Arial"/>
            <w:sz w:val="24"/>
            <w:szCs w:val="24"/>
          </w:rPr>
        </w:pPr>
        <w:r w:rsidRPr="00A078DC">
          <w:rPr>
            <w:rFonts w:ascii="Arial" w:hAnsi="Arial" w:cs="Arial"/>
            <w:sz w:val="24"/>
            <w:szCs w:val="24"/>
          </w:rPr>
          <w:fldChar w:fldCharType="begin"/>
        </w:r>
        <w:r w:rsidRPr="00A078DC">
          <w:rPr>
            <w:rFonts w:ascii="Arial" w:hAnsi="Arial" w:cs="Arial"/>
            <w:sz w:val="24"/>
            <w:szCs w:val="24"/>
          </w:rPr>
          <w:instrText xml:space="preserve"> PAGE   \* MERGEFORMAT </w:instrText>
        </w:r>
        <w:r w:rsidRPr="00A078DC">
          <w:rPr>
            <w:rFonts w:ascii="Arial" w:hAnsi="Arial" w:cs="Arial"/>
            <w:sz w:val="24"/>
            <w:szCs w:val="24"/>
          </w:rPr>
          <w:fldChar w:fldCharType="separate"/>
        </w:r>
        <w:r w:rsidR="005B5F33">
          <w:rPr>
            <w:rFonts w:ascii="Arial" w:hAnsi="Arial" w:cs="Arial"/>
            <w:noProof/>
            <w:sz w:val="24"/>
            <w:szCs w:val="24"/>
          </w:rPr>
          <w:t>1</w:t>
        </w:r>
        <w:r w:rsidRPr="00A078DC">
          <w:rPr>
            <w:rFonts w:ascii="Arial" w:hAnsi="Arial" w:cs="Arial"/>
            <w:noProof/>
            <w:sz w:val="24"/>
            <w:szCs w:val="24"/>
          </w:rPr>
          <w:fldChar w:fldCharType="end"/>
        </w:r>
      </w:p>
    </w:sdtContent>
  </w:sdt>
  <w:p w14:paraId="3D5CC202" w14:textId="77777777" w:rsidR="00A078DC" w:rsidRPr="00A078DC" w:rsidRDefault="00A078DC">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21BBE" w14:textId="77777777" w:rsidR="001E2677" w:rsidRDefault="001E2677" w:rsidP="00A078DC">
      <w:pPr>
        <w:spacing w:after="0" w:line="240" w:lineRule="auto"/>
      </w:pPr>
      <w:r>
        <w:separator/>
      </w:r>
    </w:p>
  </w:footnote>
  <w:footnote w:type="continuationSeparator" w:id="0">
    <w:p w14:paraId="6CD8A68B" w14:textId="77777777" w:rsidR="001E2677" w:rsidRDefault="001E2677" w:rsidP="00A07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36C0"/>
    <w:multiLevelType w:val="hybridMultilevel"/>
    <w:tmpl w:val="5BCACCB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CC5366"/>
    <w:multiLevelType w:val="hybridMultilevel"/>
    <w:tmpl w:val="699C00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53170A"/>
    <w:multiLevelType w:val="hybridMultilevel"/>
    <w:tmpl w:val="3D2057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387F36"/>
    <w:multiLevelType w:val="hybridMultilevel"/>
    <w:tmpl w:val="9B5E0538"/>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736341B"/>
    <w:multiLevelType w:val="hybridMultilevel"/>
    <w:tmpl w:val="6DBAEB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1B9051C"/>
    <w:multiLevelType w:val="hybridMultilevel"/>
    <w:tmpl w:val="9698B26E"/>
    <w:lvl w:ilvl="0" w:tplc="40090001">
      <w:start w:val="2025"/>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40814398">
    <w:abstractNumId w:val="2"/>
  </w:num>
  <w:num w:numId="2" w16cid:durableId="198011637">
    <w:abstractNumId w:val="5"/>
  </w:num>
  <w:num w:numId="3" w16cid:durableId="188759271">
    <w:abstractNumId w:val="1"/>
  </w:num>
  <w:num w:numId="4" w16cid:durableId="1189955319">
    <w:abstractNumId w:val="3"/>
  </w:num>
  <w:num w:numId="5" w16cid:durableId="2105878822">
    <w:abstractNumId w:val="4"/>
  </w:num>
  <w:num w:numId="6" w16cid:durableId="2065056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DDE"/>
    <w:rsid w:val="00002B20"/>
    <w:rsid w:val="00025D4D"/>
    <w:rsid w:val="000819B0"/>
    <w:rsid w:val="000C6191"/>
    <w:rsid w:val="001061D8"/>
    <w:rsid w:val="001B271D"/>
    <w:rsid w:val="001E2677"/>
    <w:rsid w:val="0020526F"/>
    <w:rsid w:val="002717BF"/>
    <w:rsid w:val="002F4254"/>
    <w:rsid w:val="00322478"/>
    <w:rsid w:val="00337151"/>
    <w:rsid w:val="003F1CD5"/>
    <w:rsid w:val="00430100"/>
    <w:rsid w:val="0049493F"/>
    <w:rsid w:val="004C49DA"/>
    <w:rsid w:val="004D4ECE"/>
    <w:rsid w:val="004F5262"/>
    <w:rsid w:val="005B5F33"/>
    <w:rsid w:val="006202CD"/>
    <w:rsid w:val="00632B17"/>
    <w:rsid w:val="0064564E"/>
    <w:rsid w:val="006C5E5B"/>
    <w:rsid w:val="006D47C7"/>
    <w:rsid w:val="006E5048"/>
    <w:rsid w:val="00776BB1"/>
    <w:rsid w:val="00812860"/>
    <w:rsid w:val="00832C44"/>
    <w:rsid w:val="00857F04"/>
    <w:rsid w:val="00922832"/>
    <w:rsid w:val="00933660"/>
    <w:rsid w:val="00A078DC"/>
    <w:rsid w:val="00A26C9D"/>
    <w:rsid w:val="00B05D3F"/>
    <w:rsid w:val="00B7664E"/>
    <w:rsid w:val="00D47DDE"/>
    <w:rsid w:val="00E1716F"/>
    <w:rsid w:val="00E44E64"/>
    <w:rsid w:val="00EF20EE"/>
    <w:rsid w:val="00F3481B"/>
    <w:rsid w:val="00F659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12B69"/>
  <w15:chartTrackingRefBased/>
  <w15:docId w15:val="{03E21B0A-9975-46DF-9676-9304967EB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76B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6B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6B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BB1"/>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76BB1"/>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776BB1"/>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1061D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1061D8"/>
    <w:rPr>
      <w:i/>
      <w:iCs/>
    </w:rPr>
  </w:style>
  <w:style w:type="character" w:customStyle="1" w:styleId="ms-1">
    <w:name w:val="ms-1"/>
    <w:basedOn w:val="DefaultParagraphFont"/>
    <w:rsid w:val="001061D8"/>
  </w:style>
  <w:style w:type="character" w:customStyle="1" w:styleId="max-w-15ch">
    <w:name w:val="max-w-[15ch]"/>
    <w:basedOn w:val="DefaultParagraphFont"/>
    <w:rsid w:val="001061D8"/>
  </w:style>
  <w:style w:type="character" w:customStyle="1" w:styleId="-me-1">
    <w:name w:val="-me-1"/>
    <w:basedOn w:val="DefaultParagraphFont"/>
    <w:rsid w:val="001061D8"/>
  </w:style>
  <w:style w:type="character" w:styleId="Strong">
    <w:name w:val="Strong"/>
    <w:basedOn w:val="DefaultParagraphFont"/>
    <w:uiPriority w:val="22"/>
    <w:qFormat/>
    <w:rsid w:val="0064564E"/>
    <w:rPr>
      <w:b/>
      <w:bCs/>
    </w:rPr>
  </w:style>
  <w:style w:type="table" w:styleId="TableGrid">
    <w:name w:val="Table Grid"/>
    <w:basedOn w:val="TableNormal"/>
    <w:uiPriority w:val="39"/>
    <w:rsid w:val="006C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1CD5"/>
    <w:rPr>
      <w:color w:val="0563C1" w:themeColor="hyperlink"/>
      <w:u w:val="single"/>
    </w:rPr>
  </w:style>
  <w:style w:type="paragraph" w:styleId="TOCHeading">
    <w:name w:val="TOC Heading"/>
    <w:basedOn w:val="Heading1"/>
    <w:next w:val="Normal"/>
    <w:uiPriority w:val="39"/>
    <w:unhideWhenUsed/>
    <w:qFormat/>
    <w:rsid w:val="00A078DC"/>
    <w:pPr>
      <w:outlineLvl w:val="9"/>
    </w:pPr>
    <w:rPr>
      <w:lang w:val="en-US"/>
    </w:rPr>
  </w:style>
  <w:style w:type="paragraph" w:styleId="TOC1">
    <w:name w:val="toc 1"/>
    <w:basedOn w:val="Normal"/>
    <w:next w:val="Normal"/>
    <w:autoRedefine/>
    <w:uiPriority w:val="39"/>
    <w:unhideWhenUsed/>
    <w:rsid w:val="00A078DC"/>
    <w:pPr>
      <w:spacing w:after="100"/>
    </w:pPr>
  </w:style>
  <w:style w:type="paragraph" w:styleId="TOC2">
    <w:name w:val="toc 2"/>
    <w:basedOn w:val="Normal"/>
    <w:next w:val="Normal"/>
    <w:autoRedefine/>
    <w:uiPriority w:val="39"/>
    <w:unhideWhenUsed/>
    <w:rsid w:val="00A078DC"/>
    <w:pPr>
      <w:spacing w:after="100"/>
      <w:ind w:left="220"/>
    </w:pPr>
  </w:style>
  <w:style w:type="paragraph" w:styleId="TOC3">
    <w:name w:val="toc 3"/>
    <w:basedOn w:val="Normal"/>
    <w:next w:val="Normal"/>
    <w:autoRedefine/>
    <w:uiPriority w:val="39"/>
    <w:unhideWhenUsed/>
    <w:rsid w:val="00A078DC"/>
    <w:pPr>
      <w:spacing w:after="100"/>
      <w:ind w:left="440"/>
    </w:pPr>
  </w:style>
  <w:style w:type="paragraph" w:styleId="ListParagraph">
    <w:name w:val="List Paragraph"/>
    <w:basedOn w:val="Normal"/>
    <w:uiPriority w:val="34"/>
    <w:qFormat/>
    <w:rsid w:val="00A078DC"/>
    <w:pPr>
      <w:ind w:left="720"/>
      <w:contextualSpacing/>
    </w:pPr>
  </w:style>
  <w:style w:type="paragraph" w:customStyle="1" w:styleId="TableParagraph">
    <w:name w:val="Table Paragraph"/>
    <w:basedOn w:val="Normal"/>
    <w:uiPriority w:val="1"/>
    <w:qFormat/>
    <w:rsid w:val="00A078DC"/>
    <w:pPr>
      <w:widowControl w:val="0"/>
      <w:autoSpaceDE w:val="0"/>
      <w:autoSpaceDN w:val="0"/>
      <w:spacing w:after="0" w:line="240" w:lineRule="auto"/>
      <w:ind w:left="107"/>
    </w:pPr>
    <w:rPr>
      <w:rFonts w:ascii="Arial MT" w:eastAsia="Arial MT" w:hAnsi="Arial MT" w:cs="Arial MT"/>
      <w:lang w:val="en-US"/>
    </w:rPr>
  </w:style>
  <w:style w:type="paragraph" w:styleId="Header">
    <w:name w:val="header"/>
    <w:basedOn w:val="Normal"/>
    <w:link w:val="HeaderChar"/>
    <w:uiPriority w:val="99"/>
    <w:unhideWhenUsed/>
    <w:rsid w:val="00A0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8DC"/>
    <w:rPr>
      <w:lang w:val="en-GB"/>
    </w:rPr>
  </w:style>
  <w:style w:type="paragraph" w:styleId="Footer">
    <w:name w:val="footer"/>
    <w:basedOn w:val="Normal"/>
    <w:link w:val="FooterChar"/>
    <w:uiPriority w:val="99"/>
    <w:unhideWhenUsed/>
    <w:rsid w:val="00A0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8DC"/>
    <w:rPr>
      <w:lang w:val="en-GB"/>
    </w:rPr>
  </w:style>
  <w:style w:type="paragraph" w:styleId="Revision">
    <w:name w:val="Revision"/>
    <w:hidden/>
    <w:uiPriority w:val="99"/>
    <w:semiHidden/>
    <w:rsid w:val="00337151"/>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19259">
      <w:bodyDiv w:val="1"/>
      <w:marLeft w:val="0"/>
      <w:marRight w:val="0"/>
      <w:marTop w:val="0"/>
      <w:marBottom w:val="0"/>
      <w:divBdr>
        <w:top w:val="none" w:sz="0" w:space="0" w:color="auto"/>
        <w:left w:val="none" w:sz="0" w:space="0" w:color="auto"/>
        <w:bottom w:val="none" w:sz="0" w:space="0" w:color="auto"/>
        <w:right w:val="none" w:sz="0" w:space="0" w:color="auto"/>
      </w:divBdr>
    </w:div>
    <w:div w:id="122625110">
      <w:bodyDiv w:val="1"/>
      <w:marLeft w:val="0"/>
      <w:marRight w:val="0"/>
      <w:marTop w:val="0"/>
      <w:marBottom w:val="0"/>
      <w:divBdr>
        <w:top w:val="none" w:sz="0" w:space="0" w:color="auto"/>
        <w:left w:val="none" w:sz="0" w:space="0" w:color="auto"/>
        <w:bottom w:val="none" w:sz="0" w:space="0" w:color="auto"/>
        <w:right w:val="none" w:sz="0" w:space="0" w:color="auto"/>
      </w:divBdr>
    </w:div>
    <w:div w:id="131753527">
      <w:bodyDiv w:val="1"/>
      <w:marLeft w:val="0"/>
      <w:marRight w:val="0"/>
      <w:marTop w:val="0"/>
      <w:marBottom w:val="0"/>
      <w:divBdr>
        <w:top w:val="none" w:sz="0" w:space="0" w:color="auto"/>
        <w:left w:val="none" w:sz="0" w:space="0" w:color="auto"/>
        <w:bottom w:val="none" w:sz="0" w:space="0" w:color="auto"/>
        <w:right w:val="none" w:sz="0" w:space="0" w:color="auto"/>
      </w:divBdr>
    </w:div>
    <w:div w:id="168637212">
      <w:bodyDiv w:val="1"/>
      <w:marLeft w:val="0"/>
      <w:marRight w:val="0"/>
      <w:marTop w:val="0"/>
      <w:marBottom w:val="0"/>
      <w:divBdr>
        <w:top w:val="none" w:sz="0" w:space="0" w:color="auto"/>
        <w:left w:val="none" w:sz="0" w:space="0" w:color="auto"/>
        <w:bottom w:val="none" w:sz="0" w:space="0" w:color="auto"/>
        <w:right w:val="none" w:sz="0" w:space="0" w:color="auto"/>
      </w:divBdr>
    </w:div>
    <w:div w:id="198250593">
      <w:bodyDiv w:val="1"/>
      <w:marLeft w:val="0"/>
      <w:marRight w:val="0"/>
      <w:marTop w:val="0"/>
      <w:marBottom w:val="0"/>
      <w:divBdr>
        <w:top w:val="none" w:sz="0" w:space="0" w:color="auto"/>
        <w:left w:val="none" w:sz="0" w:space="0" w:color="auto"/>
        <w:bottom w:val="none" w:sz="0" w:space="0" w:color="auto"/>
        <w:right w:val="none" w:sz="0" w:space="0" w:color="auto"/>
      </w:divBdr>
    </w:div>
    <w:div w:id="228925437">
      <w:bodyDiv w:val="1"/>
      <w:marLeft w:val="0"/>
      <w:marRight w:val="0"/>
      <w:marTop w:val="0"/>
      <w:marBottom w:val="0"/>
      <w:divBdr>
        <w:top w:val="none" w:sz="0" w:space="0" w:color="auto"/>
        <w:left w:val="none" w:sz="0" w:space="0" w:color="auto"/>
        <w:bottom w:val="none" w:sz="0" w:space="0" w:color="auto"/>
        <w:right w:val="none" w:sz="0" w:space="0" w:color="auto"/>
      </w:divBdr>
    </w:div>
    <w:div w:id="302085725">
      <w:bodyDiv w:val="1"/>
      <w:marLeft w:val="0"/>
      <w:marRight w:val="0"/>
      <w:marTop w:val="0"/>
      <w:marBottom w:val="0"/>
      <w:divBdr>
        <w:top w:val="none" w:sz="0" w:space="0" w:color="auto"/>
        <w:left w:val="none" w:sz="0" w:space="0" w:color="auto"/>
        <w:bottom w:val="none" w:sz="0" w:space="0" w:color="auto"/>
        <w:right w:val="none" w:sz="0" w:space="0" w:color="auto"/>
      </w:divBdr>
    </w:div>
    <w:div w:id="355040222">
      <w:bodyDiv w:val="1"/>
      <w:marLeft w:val="0"/>
      <w:marRight w:val="0"/>
      <w:marTop w:val="0"/>
      <w:marBottom w:val="0"/>
      <w:divBdr>
        <w:top w:val="none" w:sz="0" w:space="0" w:color="auto"/>
        <w:left w:val="none" w:sz="0" w:space="0" w:color="auto"/>
        <w:bottom w:val="none" w:sz="0" w:space="0" w:color="auto"/>
        <w:right w:val="none" w:sz="0" w:space="0" w:color="auto"/>
      </w:divBdr>
    </w:div>
    <w:div w:id="359430816">
      <w:bodyDiv w:val="1"/>
      <w:marLeft w:val="0"/>
      <w:marRight w:val="0"/>
      <w:marTop w:val="0"/>
      <w:marBottom w:val="0"/>
      <w:divBdr>
        <w:top w:val="none" w:sz="0" w:space="0" w:color="auto"/>
        <w:left w:val="none" w:sz="0" w:space="0" w:color="auto"/>
        <w:bottom w:val="none" w:sz="0" w:space="0" w:color="auto"/>
        <w:right w:val="none" w:sz="0" w:space="0" w:color="auto"/>
      </w:divBdr>
    </w:div>
    <w:div w:id="401487394">
      <w:bodyDiv w:val="1"/>
      <w:marLeft w:val="0"/>
      <w:marRight w:val="0"/>
      <w:marTop w:val="0"/>
      <w:marBottom w:val="0"/>
      <w:divBdr>
        <w:top w:val="none" w:sz="0" w:space="0" w:color="auto"/>
        <w:left w:val="none" w:sz="0" w:space="0" w:color="auto"/>
        <w:bottom w:val="none" w:sz="0" w:space="0" w:color="auto"/>
        <w:right w:val="none" w:sz="0" w:space="0" w:color="auto"/>
      </w:divBdr>
    </w:div>
    <w:div w:id="503401814">
      <w:bodyDiv w:val="1"/>
      <w:marLeft w:val="0"/>
      <w:marRight w:val="0"/>
      <w:marTop w:val="0"/>
      <w:marBottom w:val="0"/>
      <w:divBdr>
        <w:top w:val="none" w:sz="0" w:space="0" w:color="auto"/>
        <w:left w:val="none" w:sz="0" w:space="0" w:color="auto"/>
        <w:bottom w:val="none" w:sz="0" w:space="0" w:color="auto"/>
        <w:right w:val="none" w:sz="0" w:space="0" w:color="auto"/>
      </w:divBdr>
    </w:div>
    <w:div w:id="551159601">
      <w:bodyDiv w:val="1"/>
      <w:marLeft w:val="0"/>
      <w:marRight w:val="0"/>
      <w:marTop w:val="0"/>
      <w:marBottom w:val="0"/>
      <w:divBdr>
        <w:top w:val="none" w:sz="0" w:space="0" w:color="auto"/>
        <w:left w:val="none" w:sz="0" w:space="0" w:color="auto"/>
        <w:bottom w:val="none" w:sz="0" w:space="0" w:color="auto"/>
        <w:right w:val="none" w:sz="0" w:space="0" w:color="auto"/>
      </w:divBdr>
    </w:div>
    <w:div w:id="557788083">
      <w:bodyDiv w:val="1"/>
      <w:marLeft w:val="0"/>
      <w:marRight w:val="0"/>
      <w:marTop w:val="0"/>
      <w:marBottom w:val="0"/>
      <w:divBdr>
        <w:top w:val="none" w:sz="0" w:space="0" w:color="auto"/>
        <w:left w:val="none" w:sz="0" w:space="0" w:color="auto"/>
        <w:bottom w:val="none" w:sz="0" w:space="0" w:color="auto"/>
        <w:right w:val="none" w:sz="0" w:space="0" w:color="auto"/>
      </w:divBdr>
    </w:div>
    <w:div w:id="566377335">
      <w:bodyDiv w:val="1"/>
      <w:marLeft w:val="0"/>
      <w:marRight w:val="0"/>
      <w:marTop w:val="0"/>
      <w:marBottom w:val="0"/>
      <w:divBdr>
        <w:top w:val="none" w:sz="0" w:space="0" w:color="auto"/>
        <w:left w:val="none" w:sz="0" w:space="0" w:color="auto"/>
        <w:bottom w:val="none" w:sz="0" w:space="0" w:color="auto"/>
        <w:right w:val="none" w:sz="0" w:space="0" w:color="auto"/>
      </w:divBdr>
    </w:div>
    <w:div w:id="593706142">
      <w:bodyDiv w:val="1"/>
      <w:marLeft w:val="0"/>
      <w:marRight w:val="0"/>
      <w:marTop w:val="0"/>
      <w:marBottom w:val="0"/>
      <w:divBdr>
        <w:top w:val="none" w:sz="0" w:space="0" w:color="auto"/>
        <w:left w:val="none" w:sz="0" w:space="0" w:color="auto"/>
        <w:bottom w:val="none" w:sz="0" w:space="0" w:color="auto"/>
        <w:right w:val="none" w:sz="0" w:space="0" w:color="auto"/>
      </w:divBdr>
    </w:div>
    <w:div w:id="618339395">
      <w:bodyDiv w:val="1"/>
      <w:marLeft w:val="0"/>
      <w:marRight w:val="0"/>
      <w:marTop w:val="0"/>
      <w:marBottom w:val="0"/>
      <w:divBdr>
        <w:top w:val="none" w:sz="0" w:space="0" w:color="auto"/>
        <w:left w:val="none" w:sz="0" w:space="0" w:color="auto"/>
        <w:bottom w:val="none" w:sz="0" w:space="0" w:color="auto"/>
        <w:right w:val="none" w:sz="0" w:space="0" w:color="auto"/>
      </w:divBdr>
    </w:div>
    <w:div w:id="620965860">
      <w:bodyDiv w:val="1"/>
      <w:marLeft w:val="0"/>
      <w:marRight w:val="0"/>
      <w:marTop w:val="0"/>
      <w:marBottom w:val="0"/>
      <w:divBdr>
        <w:top w:val="none" w:sz="0" w:space="0" w:color="auto"/>
        <w:left w:val="none" w:sz="0" w:space="0" w:color="auto"/>
        <w:bottom w:val="none" w:sz="0" w:space="0" w:color="auto"/>
        <w:right w:val="none" w:sz="0" w:space="0" w:color="auto"/>
      </w:divBdr>
    </w:div>
    <w:div w:id="691418251">
      <w:bodyDiv w:val="1"/>
      <w:marLeft w:val="0"/>
      <w:marRight w:val="0"/>
      <w:marTop w:val="0"/>
      <w:marBottom w:val="0"/>
      <w:divBdr>
        <w:top w:val="none" w:sz="0" w:space="0" w:color="auto"/>
        <w:left w:val="none" w:sz="0" w:space="0" w:color="auto"/>
        <w:bottom w:val="none" w:sz="0" w:space="0" w:color="auto"/>
        <w:right w:val="none" w:sz="0" w:space="0" w:color="auto"/>
      </w:divBdr>
    </w:div>
    <w:div w:id="701827659">
      <w:bodyDiv w:val="1"/>
      <w:marLeft w:val="0"/>
      <w:marRight w:val="0"/>
      <w:marTop w:val="0"/>
      <w:marBottom w:val="0"/>
      <w:divBdr>
        <w:top w:val="none" w:sz="0" w:space="0" w:color="auto"/>
        <w:left w:val="none" w:sz="0" w:space="0" w:color="auto"/>
        <w:bottom w:val="none" w:sz="0" w:space="0" w:color="auto"/>
        <w:right w:val="none" w:sz="0" w:space="0" w:color="auto"/>
      </w:divBdr>
    </w:div>
    <w:div w:id="767044217">
      <w:bodyDiv w:val="1"/>
      <w:marLeft w:val="0"/>
      <w:marRight w:val="0"/>
      <w:marTop w:val="0"/>
      <w:marBottom w:val="0"/>
      <w:divBdr>
        <w:top w:val="none" w:sz="0" w:space="0" w:color="auto"/>
        <w:left w:val="none" w:sz="0" w:space="0" w:color="auto"/>
        <w:bottom w:val="none" w:sz="0" w:space="0" w:color="auto"/>
        <w:right w:val="none" w:sz="0" w:space="0" w:color="auto"/>
      </w:divBdr>
    </w:div>
    <w:div w:id="791559573">
      <w:bodyDiv w:val="1"/>
      <w:marLeft w:val="0"/>
      <w:marRight w:val="0"/>
      <w:marTop w:val="0"/>
      <w:marBottom w:val="0"/>
      <w:divBdr>
        <w:top w:val="none" w:sz="0" w:space="0" w:color="auto"/>
        <w:left w:val="none" w:sz="0" w:space="0" w:color="auto"/>
        <w:bottom w:val="none" w:sz="0" w:space="0" w:color="auto"/>
        <w:right w:val="none" w:sz="0" w:space="0" w:color="auto"/>
      </w:divBdr>
    </w:div>
    <w:div w:id="802505993">
      <w:bodyDiv w:val="1"/>
      <w:marLeft w:val="0"/>
      <w:marRight w:val="0"/>
      <w:marTop w:val="0"/>
      <w:marBottom w:val="0"/>
      <w:divBdr>
        <w:top w:val="none" w:sz="0" w:space="0" w:color="auto"/>
        <w:left w:val="none" w:sz="0" w:space="0" w:color="auto"/>
        <w:bottom w:val="none" w:sz="0" w:space="0" w:color="auto"/>
        <w:right w:val="none" w:sz="0" w:space="0" w:color="auto"/>
      </w:divBdr>
    </w:div>
    <w:div w:id="867327856">
      <w:bodyDiv w:val="1"/>
      <w:marLeft w:val="0"/>
      <w:marRight w:val="0"/>
      <w:marTop w:val="0"/>
      <w:marBottom w:val="0"/>
      <w:divBdr>
        <w:top w:val="none" w:sz="0" w:space="0" w:color="auto"/>
        <w:left w:val="none" w:sz="0" w:space="0" w:color="auto"/>
        <w:bottom w:val="none" w:sz="0" w:space="0" w:color="auto"/>
        <w:right w:val="none" w:sz="0" w:space="0" w:color="auto"/>
      </w:divBdr>
    </w:div>
    <w:div w:id="885217849">
      <w:bodyDiv w:val="1"/>
      <w:marLeft w:val="0"/>
      <w:marRight w:val="0"/>
      <w:marTop w:val="0"/>
      <w:marBottom w:val="0"/>
      <w:divBdr>
        <w:top w:val="none" w:sz="0" w:space="0" w:color="auto"/>
        <w:left w:val="none" w:sz="0" w:space="0" w:color="auto"/>
        <w:bottom w:val="none" w:sz="0" w:space="0" w:color="auto"/>
        <w:right w:val="none" w:sz="0" w:space="0" w:color="auto"/>
      </w:divBdr>
    </w:div>
    <w:div w:id="892620290">
      <w:bodyDiv w:val="1"/>
      <w:marLeft w:val="0"/>
      <w:marRight w:val="0"/>
      <w:marTop w:val="0"/>
      <w:marBottom w:val="0"/>
      <w:divBdr>
        <w:top w:val="none" w:sz="0" w:space="0" w:color="auto"/>
        <w:left w:val="none" w:sz="0" w:space="0" w:color="auto"/>
        <w:bottom w:val="none" w:sz="0" w:space="0" w:color="auto"/>
        <w:right w:val="none" w:sz="0" w:space="0" w:color="auto"/>
      </w:divBdr>
    </w:div>
    <w:div w:id="894664569">
      <w:bodyDiv w:val="1"/>
      <w:marLeft w:val="0"/>
      <w:marRight w:val="0"/>
      <w:marTop w:val="0"/>
      <w:marBottom w:val="0"/>
      <w:divBdr>
        <w:top w:val="none" w:sz="0" w:space="0" w:color="auto"/>
        <w:left w:val="none" w:sz="0" w:space="0" w:color="auto"/>
        <w:bottom w:val="none" w:sz="0" w:space="0" w:color="auto"/>
        <w:right w:val="none" w:sz="0" w:space="0" w:color="auto"/>
      </w:divBdr>
    </w:div>
    <w:div w:id="937565008">
      <w:bodyDiv w:val="1"/>
      <w:marLeft w:val="0"/>
      <w:marRight w:val="0"/>
      <w:marTop w:val="0"/>
      <w:marBottom w:val="0"/>
      <w:divBdr>
        <w:top w:val="none" w:sz="0" w:space="0" w:color="auto"/>
        <w:left w:val="none" w:sz="0" w:space="0" w:color="auto"/>
        <w:bottom w:val="none" w:sz="0" w:space="0" w:color="auto"/>
        <w:right w:val="none" w:sz="0" w:space="0" w:color="auto"/>
      </w:divBdr>
    </w:div>
    <w:div w:id="952052307">
      <w:bodyDiv w:val="1"/>
      <w:marLeft w:val="0"/>
      <w:marRight w:val="0"/>
      <w:marTop w:val="0"/>
      <w:marBottom w:val="0"/>
      <w:divBdr>
        <w:top w:val="none" w:sz="0" w:space="0" w:color="auto"/>
        <w:left w:val="none" w:sz="0" w:space="0" w:color="auto"/>
        <w:bottom w:val="none" w:sz="0" w:space="0" w:color="auto"/>
        <w:right w:val="none" w:sz="0" w:space="0" w:color="auto"/>
      </w:divBdr>
    </w:div>
    <w:div w:id="985933766">
      <w:bodyDiv w:val="1"/>
      <w:marLeft w:val="0"/>
      <w:marRight w:val="0"/>
      <w:marTop w:val="0"/>
      <w:marBottom w:val="0"/>
      <w:divBdr>
        <w:top w:val="none" w:sz="0" w:space="0" w:color="auto"/>
        <w:left w:val="none" w:sz="0" w:space="0" w:color="auto"/>
        <w:bottom w:val="none" w:sz="0" w:space="0" w:color="auto"/>
        <w:right w:val="none" w:sz="0" w:space="0" w:color="auto"/>
      </w:divBdr>
    </w:div>
    <w:div w:id="1007632752">
      <w:bodyDiv w:val="1"/>
      <w:marLeft w:val="0"/>
      <w:marRight w:val="0"/>
      <w:marTop w:val="0"/>
      <w:marBottom w:val="0"/>
      <w:divBdr>
        <w:top w:val="none" w:sz="0" w:space="0" w:color="auto"/>
        <w:left w:val="none" w:sz="0" w:space="0" w:color="auto"/>
        <w:bottom w:val="none" w:sz="0" w:space="0" w:color="auto"/>
        <w:right w:val="none" w:sz="0" w:space="0" w:color="auto"/>
      </w:divBdr>
    </w:div>
    <w:div w:id="1022977447">
      <w:bodyDiv w:val="1"/>
      <w:marLeft w:val="0"/>
      <w:marRight w:val="0"/>
      <w:marTop w:val="0"/>
      <w:marBottom w:val="0"/>
      <w:divBdr>
        <w:top w:val="none" w:sz="0" w:space="0" w:color="auto"/>
        <w:left w:val="none" w:sz="0" w:space="0" w:color="auto"/>
        <w:bottom w:val="none" w:sz="0" w:space="0" w:color="auto"/>
        <w:right w:val="none" w:sz="0" w:space="0" w:color="auto"/>
      </w:divBdr>
    </w:div>
    <w:div w:id="1039861686">
      <w:bodyDiv w:val="1"/>
      <w:marLeft w:val="0"/>
      <w:marRight w:val="0"/>
      <w:marTop w:val="0"/>
      <w:marBottom w:val="0"/>
      <w:divBdr>
        <w:top w:val="none" w:sz="0" w:space="0" w:color="auto"/>
        <w:left w:val="none" w:sz="0" w:space="0" w:color="auto"/>
        <w:bottom w:val="none" w:sz="0" w:space="0" w:color="auto"/>
        <w:right w:val="none" w:sz="0" w:space="0" w:color="auto"/>
      </w:divBdr>
    </w:div>
    <w:div w:id="1066493780">
      <w:bodyDiv w:val="1"/>
      <w:marLeft w:val="0"/>
      <w:marRight w:val="0"/>
      <w:marTop w:val="0"/>
      <w:marBottom w:val="0"/>
      <w:divBdr>
        <w:top w:val="none" w:sz="0" w:space="0" w:color="auto"/>
        <w:left w:val="none" w:sz="0" w:space="0" w:color="auto"/>
        <w:bottom w:val="none" w:sz="0" w:space="0" w:color="auto"/>
        <w:right w:val="none" w:sz="0" w:space="0" w:color="auto"/>
      </w:divBdr>
    </w:div>
    <w:div w:id="1102259299">
      <w:bodyDiv w:val="1"/>
      <w:marLeft w:val="0"/>
      <w:marRight w:val="0"/>
      <w:marTop w:val="0"/>
      <w:marBottom w:val="0"/>
      <w:divBdr>
        <w:top w:val="none" w:sz="0" w:space="0" w:color="auto"/>
        <w:left w:val="none" w:sz="0" w:space="0" w:color="auto"/>
        <w:bottom w:val="none" w:sz="0" w:space="0" w:color="auto"/>
        <w:right w:val="none" w:sz="0" w:space="0" w:color="auto"/>
      </w:divBdr>
    </w:div>
    <w:div w:id="1124929060">
      <w:bodyDiv w:val="1"/>
      <w:marLeft w:val="0"/>
      <w:marRight w:val="0"/>
      <w:marTop w:val="0"/>
      <w:marBottom w:val="0"/>
      <w:divBdr>
        <w:top w:val="none" w:sz="0" w:space="0" w:color="auto"/>
        <w:left w:val="none" w:sz="0" w:space="0" w:color="auto"/>
        <w:bottom w:val="none" w:sz="0" w:space="0" w:color="auto"/>
        <w:right w:val="none" w:sz="0" w:space="0" w:color="auto"/>
      </w:divBdr>
    </w:div>
    <w:div w:id="1218202990">
      <w:bodyDiv w:val="1"/>
      <w:marLeft w:val="0"/>
      <w:marRight w:val="0"/>
      <w:marTop w:val="0"/>
      <w:marBottom w:val="0"/>
      <w:divBdr>
        <w:top w:val="none" w:sz="0" w:space="0" w:color="auto"/>
        <w:left w:val="none" w:sz="0" w:space="0" w:color="auto"/>
        <w:bottom w:val="none" w:sz="0" w:space="0" w:color="auto"/>
        <w:right w:val="none" w:sz="0" w:space="0" w:color="auto"/>
      </w:divBdr>
    </w:div>
    <w:div w:id="1239636999">
      <w:bodyDiv w:val="1"/>
      <w:marLeft w:val="0"/>
      <w:marRight w:val="0"/>
      <w:marTop w:val="0"/>
      <w:marBottom w:val="0"/>
      <w:divBdr>
        <w:top w:val="none" w:sz="0" w:space="0" w:color="auto"/>
        <w:left w:val="none" w:sz="0" w:space="0" w:color="auto"/>
        <w:bottom w:val="none" w:sz="0" w:space="0" w:color="auto"/>
        <w:right w:val="none" w:sz="0" w:space="0" w:color="auto"/>
      </w:divBdr>
    </w:div>
    <w:div w:id="1249844828">
      <w:bodyDiv w:val="1"/>
      <w:marLeft w:val="0"/>
      <w:marRight w:val="0"/>
      <w:marTop w:val="0"/>
      <w:marBottom w:val="0"/>
      <w:divBdr>
        <w:top w:val="none" w:sz="0" w:space="0" w:color="auto"/>
        <w:left w:val="none" w:sz="0" w:space="0" w:color="auto"/>
        <w:bottom w:val="none" w:sz="0" w:space="0" w:color="auto"/>
        <w:right w:val="none" w:sz="0" w:space="0" w:color="auto"/>
      </w:divBdr>
    </w:div>
    <w:div w:id="1249926745">
      <w:bodyDiv w:val="1"/>
      <w:marLeft w:val="0"/>
      <w:marRight w:val="0"/>
      <w:marTop w:val="0"/>
      <w:marBottom w:val="0"/>
      <w:divBdr>
        <w:top w:val="none" w:sz="0" w:space="0" w:color="auto"/>
        <w:left w:val="none" w:sz="0" w:space="0" w:color="auto"/>
        <w:bottom w:val="none" w:sz="0" w:space="0" w:color="auto"/>
        <w:right w:val="none" w:sz="0" w:space="0" w:color="auto"/>
      </w:divBdr>
    </w:div>
    <w:div w:id="1319068507">
      <w:bodyDiv w:val="1"/>
      <w:marLeft w:val="0"/>
      <w:marRight w:val="0"/>
      <w:marTop w:val="0"/>
      <w:marBottom w:val="0"/>
      <w:divBdr>
        <w:top w:val="none" w:sz="0" w:space="0" w:color="auto"/>
        <w:left w:val="none" w:sz="0" w:space="0" w:color="auto"/>
        <w:bottom w:val="none" w:sz="0" w:space="0" w:color="auto"/>
        <w:right w:val="none" w:sz="0" w:space="0" w:color="auto"/>
      </w:divBdr>
    </w:div>
    <w:div w:id="1341345926">
      <w:bodyDiv w:val="1"/>
      <w:marLeft w:val="0"/>
      <w:marRight w:val="0"/>
      <w:marTop w:val="0"/>
      <w:marBottom w:val="0"/>
      <w:divBdr>
        <w:top w:val="none" w:sz="0" w:space="0" w:color="auto"/>
        <w:left w:val="none" w:sz="0" w:space="0" w:color="auto"/>
        <w:bottom w:val="none" w:sz="0" w:space="0" w:color="auto"/>
        <w:right w:val="none" w:sz="0" w:space="0" w:color="auto"/>
      </w:divBdr>
      <w:divsChild>
        <w:div w:id="582759696">
          <w:marLeft w:val="0"/>
          <w:marRight w:val="0"/>
          <w:marTop w:val="0"/>
          <w:marBottom w:val="0"/>
          <w:divBdr>
            <w:top w:val="none" w:sz="0" w:space="0" w:color="auto"/>
            <w:left w:val="none" w:sz="0" w:space="0" w:color="auto"/>
            <w:bottom w:val="none" w:sz="0" w:space="0" w:color="auto"/>
            <w:right w:val="none" w:sz="0" w:space="0" w:color="auto"/>
          </w:divBdr>
          <w:divsChild>
            <w:div w:id="1349060709">
              <w:marLeft w:val="0"/>
              <w:marRight w:val="0"/>
              <w:marTop w:val="0"/>
              <w:marBottom w:val="0"/>
              <w:divBdr>
                <w:top w:val="none" w:sz="0" w:space="0" w:color="auto"/>
                <w:left w:val="none" w:sz="0" w:space="0" w:color="auto"/>
                <w:bottom w:val="none" w:sz="0" w:space="0" w:color="auto"/>
                <w:right w:val="none" w:sz="0" w:space="0" w:color="auto"/>
              </w:divBdr>
              <w:divsChild>
                <w:div w:id="1712681013">
                  <w:marLeft w:val="0"/>
                  <w:marRight w:val="0"/>
                  <w:marTop w:val="0"/>
                  <w:marBottom w:val="0"/>
                  <w:divBdr>
                    <w:top w:val="none" w:sz="0" w:space="0" w:color="auto"/>
                    <w:left w:val="none" w:sz="0" w:space="0" w:color="auto"/>
                    <w:bottom w:val="none" w:sz="0" w:space="0" w:color="auto"/>
                    <w:right w:val="none" w:sz="0" w:space="0" w:color="auto"/>
                  </w:divBdr>
                  <w:divsChild>
                    <w:div w:id="451559498">
                      <w:marLeft w:val="0"/>
                      <w:marRight w:val="0"/>
                      <w:marTop w:val="0"/>
                      <w:marBottom w:val="0"/>
                      <w:divBdr>
                        <w:top w:val="none" w:sz="0" w:space="0" w:color="auto"/>
                        <w:left w:val="none" w:sz="0" w:space="0" w:color="auto"/>
                        <w:bottom w:val="none" w:sz="0" w:space="0" w:color="auto"/>
                        <w:right w:val="none" w:sz="0" w:space="0" w:color="auto"/>
                      </w:divBdr>
                      <w:divsChild>
                        <w:div w:id="2089499636">
                          <w:marLeft w:val="0"/>
                          <w:marRight w:val="0"/>
                          <w:marTop w:val="0"/>
                          <w:marBottom w:val="0"/>
                          <w:divBdr>
                            <w:top w:val="none" w:sz="0" w:space="0" w:color="auto"/>
                            <w:left w:val="none" w:sz="0" w:space="0" w:color="auto"/>
                            <w:bottom w:val="none" w:sz="0" w:space="0" w:color="auto"/>
                            <w:right w:val="none" w:sz="0" w:space="0" w:color="auto"/>
                          </w:divBdr>
                          <w:divsChild>
                            <w:div w:id="7525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341875">
      <w:bodyDiv w:val="1"/>
      <w:marLeft w:val="0"/>
      <w:marRight w:val="0"/>
      <w:marTop w:val="0"/>
      <w:marBottom w:val="0"/>
      <w:divBdr>
        <w:top w:val="none" w:sz="0" w:space="0" w:color="auto"/>
        <w:left w:val="none" w:sz="0" w:space="0" w:color="auto"/>
        <w:bottom w:val="none" w:sz="0" w:space="0" w:color="auto"/>
        <w:right w:val="none" w:sz="0" w:space="0" w:color="auto"/>
      </w:divBdr>
    </w:div>
    <w:div w:id="1409888882">
      <w:bodyDiv w:val="1"/>
      <w:marLeft w:val="0"/>
      <w:marRight w:val="0"/>
      <w:marTop w:val="0"/>
      <w:marBottom w:val="0"/>
      <w:divBdr>
        <w:top w:val="none" w:sz="0" w:space="0" w:color="auto"/>
        <w:left w:val="none" w:sz="0" w:space="0" w:color="auto"/>
        <w:bottom w:val="none" w:sz="0" w:space="0" w:color="auto"/>
        <w:right w:val="none" w:sz="0" w:space="0" w:color="auto"/>
      </w:divBdr>
    </w:div>
    <w:div w:id="1423062871">
      <w:bodyDiv w:val="1"/>
      <w:marLeft w:val="0"/>
      <w:marRight w:val="0"/>
      <w:marTop w:val="0"/>
      <w:marBottom w:val="0"/>
      <w:divBdr>
        <w:top w:val="none" w:sz="0" w:space="0" w:color="auto"/>
        <w:left w:val="none" w:sz="0" w:space="0" w:color="auto"/>
        <w:bottom w:val="none" w:sz="0" w:space="0" w:color="auto"/>
        <w:right w:val="none" w:sz="0" w:space="0" w:color="auto"/>
      </w:divBdr>
    </w:div>
    <w:div w:id="1498155964">
      <w:bodyDiv w:val="1"/>
      <w:marLeft w:val="0"/>
      <w:marRight w:val="0"/>
      <w:marTop w:val="0"/>
      <w:marBottom w:val="0"/>
      <w:divBdr>
        <w:top w:val="none" w:sz="0" w:space="0" w:color="auto"/>
        <w:left w:val="none" w:sz="0" w:space="0" w:color="auto"/>
        <w:bottom w:val="none" w:sz="0" w:space="0" w:color="auto"/>
        <w:right w:val="none" w:sz="0" w:space="0" w:color="auto"/>
      </w:divBdr>
    </w:div>
    <w:div w:id="1570191482">
      <w:bodyDiv w:val="1"/>
      <w:marLeft w:val="0"/>
      <w:marRight w:val="0"/>
      <w:marTop w:val="0"/>
      <w:marBottom w:val="0"/>
      <w:divBdr>
        <w:top w:val="none" w:sz="0" w:space="0" w:color="auto"/>
        <w:left w:val="none" w:sz="0" w:space="0" w:color="auto"/>
        <w:bottom w:val="none" w:sz="0" w:space="0" w:color="auto"/>
        <w:right w:val="none" w:sz="0" w:space="0" w:color="auto"/>
      </w:divBdr>
    </w:div>
    <w:div w:id="1629896849">
      <w:bodyDiv w:val="1"/>
      <w:marLeft w:val="0"/>
      <w:marRight w:val="0"/>
      <w:marTop w:val="0"/>
      <w:marBottom w:val="0"/>
      <w:divBdr>
        <w:top w:val="none" w:sz="0" w:space="0" w:color="auto"/>
        <w:left w:val="none" w:sz="0" w:space="0" w:color="auto"/>
        <w:bottom w:val="none" w:sz="0" w:space="0" w:color="auto"/>
        <w:right w:val="none" w:sz="0" w:space="0" w:color="auto"/>
      </w:divBdr>
      <w:divsChild>
        <w:div w:id="676881704">
          <w:marLeft w:val="0"/>
          <w:marRight w:val="0"/>
          <w:marTop w:val="0"/>
          <w:marBottom w:val="0"/>
          <w:divBdr>
            <w:top w:val="none" w:sz="0" w:space="0" w:color="auto"/>
            <w:left w:val="none" w:sz="0" w:space="0" w:color="auto"/>
            <w:bottom w:val="none" w:sz="0" w:space="0" w:color="auto"/>
            <w:right w:val="none" w:sz="0" w:space="0" w:color="auto"/>
          </w:divBdr>
          <w:divsChild>
            <w:div w:id="2093233730">
              <w:marLeft w:val="0"/>
              <w:marRight w:val="0"/>
              <w:marTop w:val="0"/>
              <w:marBottom w:val="0"/>
              <w:divBdr>
                <w:top w:val="none" w:sz="0" w:space="0" w:color="auto"/>
                <w:left w:val="none" w:sz="0" w:space="0" w:color="auto"/>
                <w:bottom w:val="none" w:sz="0" w:space="0" w:color="auto"/>
                <w:right w:val="none" w:sz="0" w:space="0" w:color="auto"/>
              </w:divBdr>
              <w:divsChild>
                <w:div w:id="1151287801">
                  <w:marLeft w:val="0"/>
                  <w:marRight w:val="0"/>
                  <w:marTop w:val="0"/>
                  <w:marBottom w:val="0"/>
                  <w:divBdr>
                    <w:top w:val="none" w:sz="0" w:space="0" w:color="auto"/>
                    <w:left w:val="none" w:sz="0" w:space="0" w:color="auto"/>
                    <w:bottom w:val="none" w:sz="0" w:space="0" w:color="auto"/>
                    <w:right w:val="none" w:sz="0" w:space="0" w:color="auto"/>
                  </w:divBdr>
                  <w:divsChild>
                    <w:div w:id="275452641">
                      <w:marLeft w:val="0"/>
                      <w:marRight w:val="0"/>
                      <w:marTop w:val="0"/>
                      <w:marBottom w:val="0"/>
                      <w:divBdr>
                        <w:top w:val="none" w:sz="0" w:space="0" w:color="auto"/>
                        <w:left w:val="none" w:sz="0" w:space="0" w:color="auto"/>
                        <w:bottom w:val="none" w:sz="0" w:space="0" w:color="auto"/>
                        <w:right w:val="none" w:sz="0" w:space="0" w:color="auto"/>
                      </w:divBdr>
                      <w:divsChild>
                        <w:div w:id="1844124354">
                          <w:marLeft w:val="0"/>
                          <w:marRight w:val="0"/>
                          <w:marTop w:val="0"/>
                          <w:marBottom w:val="0"/>
                          <w:divBdr>
                            <w:top w:val="none" w:sz="0" w:space="0" w:color="auto"/>
                            <w:left w:val="none" w:sz="0" w:space="0" w:color="auto"/>
                            <w:bottom w:val="none" w:sz="0" w:space="0" w:color="auto"/>
                            <w:right w:val="none" w:sz="0" w:space="0" w:color="auto"/>
                          </w:divBdr>
                          <w:divsChild>
                            <w:div w:id="5997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111731">
      <w:bodyDiv w:val="1"/>
      <w:marLeft w:val="0"/>
      <w:marRight w:val="0"/>
      <w:marTop w:val="0"/>
      <w:marBottom w:val="0"/>
      <w:divBdr>
        <w:top w:val="none" w:sz="0" w:space="0" w:color="auto"/>
        <w:left w:val="none" w:sz="0" w:space="0" w:color="auto"/>
        <w:bottom w:val="none" w:sz="0" w:space="0" w:color="auto"/>
        <w:right w:val="none" w:sz="0" w:space="0" w:color="auto"/>
      </w:divBdr>
    </w:div>
    <w:div w:id="1647541747">
      <w:bodyDiv w:val="1"/>
      <w:marLeft w:val="0"/>
      <w:marRight w:val="0"/>
      <w:marTop w:val="0"/>
      <w:marBottom w:val="0"/>
      <w:divBdr>
        <w:top w:val="none" w:sz="0" w:space="0" w:color="auto"/>
        <w:left w:val="none" w:sz="0" w:space="0" w:color="auto"/>
        <w:bottom w:val="none" w:sz="0" w:space="0" w:color="auto"/>
        <w:right w:val="none" w:sz="0" w:space="0" w:color="auto"/>
      </w:divBdr>
    </w:div>
    <w:div w:id="1713918776">
      <w:bodyDiv w:val="1"/>
      <w:marLeft w:val="0"/>
      <w:marRight w:val="0"/>
      <w:marTop w:val="0"/>
      <w:marBottom w:val="0"/>
      <w:divBdr>
        <w:top w:val="none" w:sz="0" w:space="0" w:color="auto"/>
        <w:left w:val="none" w:sz="0" w:space="0" w:color="auto"/>
        <w:bottom w:val="none" w:sz="0" w:space="0" w:color="auto"/>
        <w:right w:val="none" w:sz="0" w:space="0" w:color="auto"/>
      </w:divBdr>
    </w:div>
    <w:div w:id="1760443688">
      <w:bodyDiv w:val="1"/>
      <w:marLeft w:val="0"/>
      <w:marRight w:val="0"/>
      <w:marTop w:val="0"/>
      <w:marBottom w:val="0"/>
      <w:divBdr>
        <w:top w:val="none" w:sz="0" w:space="0" w:color="auto"/>
        <w:left w:val="none" w:sz="0" w:space="0" w:color="auto"/>
        <w:bottom w:val="none" w:sz="0" w:space="0" w:color="auto"/>
        <w:right w:val="none" w:sz="0" w:space="0" w:color="auto"/>
      </w:divBdr>
    </w:div>
    <w:div w:id="1786651936">
      <w:bodyDiv w:val="1"/>
      <w:marLeft w:val="0"/>
      <w:marRight w:val="0"/>
      <w:marTop w:val="0"/>
      <w:marBottom w:val="0"/>
      <w:divBdr>
        <w:top w:val="none" w:sz="0" w:space="0" w:color="auto"/>
        <w:left w:val="none" w:sz="0" w:space="0" w:color="auto"/>
        <w:bottom w:val="none" w:sz="0" w:space="0" w:color="auto"/>
        <w:right w:val="none" w:sz="0" w:space="0" w:color="auto"/>
      </w:divBdr>
    </w:div>
    <w:div w:id="1794789775">
      <w:bodyDiv w:val="1"/>
      <w:marLeft w:val="0"/>
      <w:marRight w:val="0"/>
      <w:marTop w:val="0"/>
      <w:marBottom w:val="0"/>
      <w:divBdr>
        <w:top w:val="none" w:sz="0" w:space="0" w:color="auto"/>
        <w:left w:val="none" w:sz="0" w:space="0" w:color="auto"/>
        <w:bottom w:val="none" w:sz="0" w:space="0" w:color="auto"/>
        <w:right w:val="none" w:sz="0" w:space="0" w:color="auto"/>
      </w:divBdr>
    </w:div>
    <w:div w:id="1855223314">
      <w:bodyDiv w:val="1"/>
      <w:marLeft w:val="0"/>
      <w:marRight w:val="0"/>
      <w:marTop w:val="0"/>
      <w:marBottom w:val="0"/>
      <w:divBdr>
        <w:top w:val="none" w:sz="0" w:space="0" w:color="auto"/>
        <w:left w:val="none" w:sz="0" w:space="0" w:color="auto"/>
        <w:bottom w:val="none" w:sz="0" w:space="0" w:color="auto"/>
        <w:right w:val="none" w:sz="0" w:space="0" w:color="auto"/>
      </w:divBdr>
    </w:div>
    <w:div w:id="1858352553">
      <w:bodyDiv w:val="1"/>
      <w:marLeft w:val="0"/>
      <w:marRight w:val="0"/>
      <w:marTop w:val="0"/>
      <w:marBottom w:val="0"/>
      <w:divBdr>
        <w:top w:val="none" w:sz="0" w:space="0" w:color="auto"/>
        <w:left w:val="none" w:sz="0" w:space="0" w:color="auto"/>
        <w:bottom w:val="none" w:sz="0" w:space="0" w:color="auto"/>
        <w:right w:val="none" w:sz="0" w:space="0" w:color="auto"/>
      </w:divBdr>
    </w:div>
    <w:div w:id="1876575124">
      <w:bodyDiv w:val="1"/>
      <w:marLeft w:val="0"/>
      <w:marRight w:val="0"/>
      <w:marTop w:val="0"/>
      <w:marBottom w:val="0"/>
      <w:divBdr>
        <w:top w:val="none" w:sz="0" w:space="0" w:color="auto"/>
        <w:left w:val="none" w:sz="0" w:space="0" w:color="auto"/>
        <w:bottom w:val="none" w:sz="0" w:space="0" w:color="auto"/>
        <w:right w:val="none" w:sz="0" w:space="0" w:color="auto"/>
      </w:divBdr>
    </w:div>
    <w:div w:id="1905527809">
      <w:bodyDiv w:val="1"/>
      <w:marLeft w:val="0"/>
      <w:marRight w:val="0"/>
      <w:marTop w:val="0"/>
      <w:marBottom w:val="0"/>
      <w:divBdr>
        <w:top w:val="none" w:sz="0" w:space="0" w:color="auto"/>
        <w:left w:val="none" w:sz="0" w:space="0" w:color="auto"/>
        <w:bottom w:val="none" w:sz="0" w:space="0" w:color="auto"/>
        <w:right w:val="none" w:sz="0" w:space="0" w:color="auto"/>
      </w:divBdr>
    </w:div>
    <w:div w:id="1925646029">
      <w:bodyDiv w:val="1"/>
      <w:marLeft w:val="0"/>
      <w:marRight w:val="0"/>
      <w:marTop w:val="0"/>
      <w:marBottom w:val="0"/>
      <w:divBdr>
        <w:top w:val="none" w:sz="0" w:space="0" w:color="auto"/>
        <w:left w:val="none" w:sz="0" w:space="0" w:color="auto"/>
        <w:bottom w:val="none" w:sz="0" w:space="0" w:color="auto"/>
        <w:right w:val="none" w:sz="0" w:space="0" w:color="auto"/>
      </w:divBdr>
    </w:div>
    <w:div w:id="2022588594">
      <w:bodyDiv w:val="1"/>
      <w:marLeft w:val="0"/>
      <w:marRight w:val="0"/>
      <w:marTop w:val="0"/>
      <w:marBottom w:val="0"/>
      <w:divBdr>
        <w:top w:val="none" w:sz="0" w:space="0" w:color="auto"/>
        <w:left w:val="none" w:sz="0" w:space="0" w:color="auto"/>
        <w:bottom w:val="none" w:sz="0" w:space="0" w:color="auto"/>
        <w:right w:val="none" w:sz="0" w:space="0" w:color="auto"/>
      </w:divBdr>
    </w:div>
    <w:div w:id="2027829675">
      <w:bodyDiv w:val="1"/>
      <w:marLeft w:val="0"/>
      <w:marRight w:val="0"/>
      <w:marTop w:val="0"/>
      <w:marBottom w:val="0"/>
      <w:divBdr>
        <w:top w:val="none" w:sz="0" w:space="0" w:color="auto"/>
        <w:left w:val="none" w:sz="0" w:space="0" w:color="auto"/>
        <w:bottom w:val="none" w:sz="0" w:space="0" w:color="auto"/>
        <w:right w:val="none" w:sz="0" w:space="0" w:color="auto"/>
      </w:divBdr>
    </w:div>
    <w:div w:id="2088845620">
      <w:bodyDiv w:val="1"/>
      <w:marLeft w:val="0"/>
      <w:marRight w:val="0"/>
      <w:marTop w:val="0"/>
      <w:marBottom w:val="0"/>
      <w:divBdr>
        <w:top w:val="none" w:sz="0" w:space="0" w:color="auto"/>
        <w:left w:val="none" w:sz="0" w:space="0" w:color="auto"/>
        <w:bottom w:val="none" w:sz="0" w:space="0" w:color="auto"/>
        <w:right w:val="none" w:sz="0" w:space="0" w:color="auto"/>
      </w:divBdr>
    </w:div>
    <w:div w:id="21257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en/views-and-insights/thought-leadership/insight/quantifying-impact-generative-ai/?utm_source=chatgpt.com" TargetMode="External"/><Relationship Id="rId18" Type="http://schemas.openxmlformats.org/officeDocument/2006/relationships/hyperlink" Target="https://www.manpowergroup.com/en/insights/report/global-talent-barometer-june-2025-global-report.pdf" TargetMode="External"/><Relationship Id="rId26" Type="http://schemas.openxmlformats.org/officeDocument/2006/relationships/hyperlink" Target="https://www.wto.org/english/news_e/news25_e/stat_07oct25_e.htm?utm_source=chatgpt.com" TargetMode="External"/><Relationship Id="rId3" Type="http://schemas.openxmlformats.org/officeDocument/2006/relationships/styles" Target="styles.xml"/><Relationship Id="rId21" Type="http://schemas.openxmlformats.org/officeDocument/2006/relationships/hyperlink" Target="https://www.shrm.org/labs/resources/the-evolving-role-of-ai-in-recruitment-and-retention?utm_source=chatgpt.co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go.manpowergroup.com/talent-shortage?utm_source=chatgpt.com" TargetMode="External"/><Relationship Id="rId25" Type="http://schemas.openxmlformats.org/officeDocument/2006/relationships/hyperlink" Target="https://www.simplypsychology.org/gibbs-reflective-cycle.html?utm_source=chatgpt.com" TargetMode="External"/><Relationship Id="rId2" Type="http://schemas.openxmlformats.org/officeDocument/2006/relationships/numbering" Target="numbering.xml"/><Relationship Id="rId16" Type="http://schemas.openxmlformats.org/officeDocument/2006/relationships/hyperlink" Target="https://www.globalpartnership.org/node/document/download?file=document%2Ffile%2F2020-01-GPE-21-century-skills-report.pdf&amp;utm_source=chatgpt.com" TargetMode="External"/><Relationship Id="rId20" Type="http://schemas.openxmlformats.org/officeDocument/2006/relationships/hyperlink" Target="https://www.pwc.in/assets/pdfs/making-the-case-for-global-workforce-migration.pdf?utm_source=chatgp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lobenewswire.com/news-release/2024/11/07/2976800/28124/en/2024-Corporate-Training-Research-Report-Market-Projected-to-Surpass-713-Billion-by-2033.html?utm_source=chatgpt.com" TargetMode="External"/><Relationship Id="rId5" Type="http://schemas.openxmlformats.org/officeDocument/2006/relationships/webSettings" Target="webSettings.xml"/><Relationship Id="rId15" Type="http://schemas.openxmlformats.org/officeDocument/2006/relationships/hyperlink" Target="https://my.cumbria.ac.uk/media/MyCumbria/Documents/ReflectiveCycleGibbs.pdf?utm_source=chatgpt.com" TargetMode="External"/><Relationship Id="rId23" Type="http://schemas.openxmlformats.org/officeDocument/2006/relationships/hyperlink" Target="https://startuptalky.com/gig-economy-trends/?utm_source=chatgpt.co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pwc.com/gx/en/issues/megatrends.html?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y.com/en_cy/newsroom/2024/11/news-release-ey-reimagined-survey-2024?utm_source=chatgpt.com" TargetMode="External"/><Relationship Id="rId22" Type="http://schemas.openxmlformats.org/officeDocument/2006/relationships/hyperlink" Target="https://www.weforum.org/publications/the-future-of-jobs-report-2025/?utm_source=chatgpt.co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67EFA-D442-4D1C-9A4C-BE851F4A2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20</Pages>
  <Words>4101</Words>
  <Characters>23379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mahipalsinh gohil</cp:lastModifiedBy>
  <cp:revision>14</cp:revision>
  <dcterms:created xsi:type="dcterms:W3CDTF">2025-11-06T14:11:00Z</dcterms:created>
  <dcterms:modified xsi:type="dcterms:W3CDTF">2025-11-12T10:53:00Z</dcterms:modified>
</cp:coreProperties>
</file>