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Personal Development Portfolio</w:t>
      </w:r>
    </w:p>
    <w:p w:rsidR="00000000" w:rsidDel="00000000" w:rsidP="00000000" w:rsidRDefault="00000000" w:rsidRPr="00000000" w14:paraId="0000000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Kamara Golding</w:t>
      </w:r>
    </w:p>
    <w:p w:rsidR="00000000" w:rsidDel="00000000" w:rsidP="00000000" w:rsidRDefault="00000000" w:rsidRPr="00000000" w14:paraId="0000000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2419635</w:t>
      </w:r>
    </w:p>
    <w:p w:rsidR="00000000" w:rsidDel="00000000" w:rsidP="00000000" w:rsidRDefault="00000000" w:rsidRPr="00000000" w14:paraId="0000000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LCHS4009 Professional Development within Health and Social Care</w:t>
      </w:r>
    </w:p>
    <w:p w:rsidR="00000000" w:rsidDel="00000000" w:rsidP="00000000" w:rsidRDefault="00000000" w:rsidRPr="00000000" w14:paraId="0000000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Vivian Osuchukwu</w:t>
      </w:r>
    </w:p>
    <w:p w:rsidR="00000000" w:rsidDel="00000000" w:rsidP="00000000" w:rsidRDefault="00000000" w:rsidRPr="00000000" w14:paraId="0000000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21st November 2025</w:t>
      </w:r>
    </w:p>
    <w:p w:rsidR="00000000" w:rsidDel="00000000" w:rsidP="00000000" w:rsidRDefault="00000000" w:rsidRPr="00000000" w14:paraId="0000000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8">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0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Table of Contents</w:t>
      </w:r>
    </w:p>
    <w:sdt>
      <w:sdtPr>
        <w:id w:val="716270791"/>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brt0zhmwrf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1: Job role</w:t>
              <w:tab/>
              <w:t xml:space="preserve">2</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a83a84ctiv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2: Academic Report: Communication Skills in Health and Social Care</w:t>
              <w:tab/>
              <w:t xml:space="preserve">5</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m5j1yhw88ef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Importance of Communication Skills in Health and Social Care</w:t>
              <w:tab/>
              <w:t xml:space="preserve">5</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iolu3qth0oy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Non-Verbal and Verbal Communication</w:t>
              <w:tab/>
              <w:t xml:space="preserve">5</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u52k2scgkim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Active Empathy and Listening</w:t>
              <w:tab/>
              <w:t xml:space="preserve">6</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pwv4ubmv7zi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Communication Improvement Strategies</w:t>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cs7k4hw34ll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3: Critical Reflection on LCHS4009 Component 1 Presentation Assessment</w:t>
              <w:tab/>
              <w:t xml:space="preserve">7</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dkvkpl2gprp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Experience</w:t>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masf4t1ewyd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Reflection</w:t>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t725ni4nbn5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Action</w:t>
              <w:tab/>
              <w:t xml:space="preserve">8</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wbf5l8mu76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 list</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rFonts w:ascii="Arial" w:cs="Arial" w:eastAsia="Arial" w:hAnsi="Arial"/>
          <w:sz w:val="22"/>
          <w:szCs w:val="22"/>
        </w:rPr>
      </w:pPr>
      <w:bookmarkStart w:colFirst="0" w:colLast="0" w:name="_hbrt0zhmwrf8" w:id="0"/>
      <w:bookmarkEnd w:id="0"/>
      <w:r w:rsidDel="00000000" w:rsidR="00000000" w:rsidRPr="00000000">
        <w:rPr>
          <w:rFonts w:ascii="Arial" w:cs="Arial" w:eastAsia="Arial" w:hAnsi="Arial"/>
          <w:sz w:val="22"/>
          <w:szCs w:val="22"/>
          <w:rtl w:val="0"/>
        </w:rPr>
        <w:t xml:space="preserve">Introduction </w:t>
      </w:r>
    </w:p>
    <w:p w:rsidR="00000000" w:rsidDel="00000000" w:rsidP="00000000" w:rsidRDefault="00000000" w:rsidRPr="00000000" w14:paraId="00000017">
      <w:pPr>
        <w:rPr>
          <w:rFonts w:ascii="Arial" w:cs="Arial" w:eastAsia="Arial" w:hAnsi="Arial"/>
          <w:sz w:val="22"/>
          <w:szCs w:val="22"/>
        </w:rPr>
      </w:pPr>
      <w:bookmarkStart w:colFirst="0" w:colLast="0" w:name="_wr4e3keutya3" w:id="1"/>
      <w:bookmarkEnd w:id="1"/>
      <w:r w:rsidDel="00000000" w:rsidR="00000000" w:rsidRPr="00000000">
        <w:rPr>
          <w:rFonts w:ascii="Arial" w:cs="Arial" w:eastAsia="Arial" w:hAnsi="Arial"/>
          <w:sz w:val="22"/>
          <w:szCs w:val="22"/>
          <w:rtl w:val="0"/>
        </w:rPr>
        <w:tab/>
        <w:t xml:space="preserve">This portfolio is a combination of three interconnected activities that prove my preparation to work as a Staff Nurse. The role, key competencies, my skills audit, and a specific Personal Development Plan (PDP) including actions on clinical technologies, mentorship, and cultural competence, as well as interview preparation are outlined in Task 1. Task 2 is a scholarly report about the communication in health and social care, discussing verbal/non-verbal communication, active listening, empathy, and collaboration in a team, and the practical ways of improving it. Task 3 gives a critical reflection of my LCHS4009 presentation through the ERA model and presents strengths and development needs in delivery, content balance, and time management as a guide to future professional development.</w:t>
      </w:r>
    </w:p>
    <w:p w:rsidR="00000000" w:rsidDel="00000000" w:rsidP="00000000" w:rsidRDefault="00000000" w:rsidRPr="00000000" w14:paraId="00000018">
      <w:pPr>
        <w:pStyle w:val="Heading1"/>
        <w:rPr>
          <w:rFonts w:ascii="Arial" w:cs="Arial" w:eastAsia="Arial" w:hAnsi="Arial"/>
          <w:sz w:val="22"/>
          <w:szCs w:val="22"/>
        </w:rPr>
      </w:pPr>
      <w:r w:rsidDel="00000000" w:rsidR="00000000" w:rsidRPr="00000000">
        <w:rPr>
          <w:rFonts w:ascii="Arial" w:cs="Arial" w:eastAsia="Arial" w:hAnsi="Arial"/>
          <w:sz w:val="22"/>
          <w:szCs w:val="22"/>
          <w:rtl w:val="0"/>
        </w:rPr>
        <w:t xml:space="preserve">Task 1: Job role </w:t>
      </w:r>
    </w:p>
    <w:p w:rsidR="00000000" w:rsidDel="00000000" w:rsidP="00000000" w:rsidRDefault="00000000" w:rsidRPr="00000000" w14:paraId="00000019">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have decided to apply for the position of a Staff Nurse in a healthcare setting. This job is a vital role in providing high-quality patient care, ensuring safety, and contributing to the overall functioning of the healthcare team. Below is my personal action plan to prepare for this role, including the identification of the key skills required, an assessment of my skill gaps, and my approach to addressing them. A Staff Nurse is responsible for providing direct care to patients, managing medications, supporting patient recovery, and assisting doctors in various medical procedures (Mojtaba Vaismoradi et al., 2024). </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key skills required for the job of a Staff Nurse are as follows:</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Clinical Expertise: Nurses need a well-established knowledge of anatomy, physiology, health conditions and processes that involve care provision to deliver the appropriate treatment and monitor patients. These capabilities are acquired during my degree in nursing and other training programs in the clinic and I am updated with the current rates in the medical sphere with the help of medical journals and further education.</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Patient Care and Compassion: Nurses should be caring and provide holistic care (Babaii et al., 2021). They ought to be in a position to understand physical and emotional needs of patients and seek to provide consolations and assurances during their moments of pain. My previous employment history has taught me to be very competent in patient care and have on numerous occasions worked in the environment where patient comfort and emotional well-being were the main considerations. </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Communication Skills: This is a requirement to be able to communicate effectively with patients, families, physicians and colleagues. I aim at effective communication, listening to abilities and be friendly to promote cooperation and quality of patient care.</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Critical Thinking and Problem Solving: Nurses can encounter scenarios where they have to make quick and sound decisions (Berra Yilmaz Kusakli and Betul Soenmez, 2024). They have to evaluate symptoms, analyse circumstances and take the right judgment to make sure that the patients are safe and well. The clinical experience has empowered me to make effective decisions about critical situations in the urgent care.</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Time Management and Multitasking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As a Staff Nurse, one has to be able to deal with several patients, work with different tasks, and meet the deadlines without affecting care quality. I work in a busy hospital setting and am used to working under time pressure. My priority when doing tasks is the matter of urgency and importance so that all patients should be provided with the essential care without overloading the working process.</w:t>
      </w:r>
    </w:p>
    <w:p w:rsidR="00000000" w:rsidDel="00000000" w:rsidP="00000000" w:rsidRDefault="00000000" w:rsidRPr="00000000" w14:paraId="0000002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While I possess many of the required skills for a Staff Nurse position, I have recognised a few skill gaps that I need to address:</w:t>
      </w:r>
    </w:p>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As much as I feel comfortable working with the simple medical equipment, I acknowledge that in a hospital environment, there are high-tech systems and diagnostic instruments that I have not studied yet, like electronic health records systems and others. To improve my competence, I intend to fulfill online training programs on medical technologies and systems that are widely applied in healthcare institutions. Also, I will shadow my colleagues who are proficient in using these technologies to help me have practical experience.</w:t>
      </w:r>
    </w:p>
    <w:p w:rsidR="00000000" w:rsidDel="00000000" w:rsidP="00000000" w:rsidRDefault="00000000" w:rsidRPr="00000000" w14:paraId="0000002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a Staff Nurse, I might also be called upon to assume a leadership or supervisory role, possibly as a mentor to junior nurses or be responsible over a team in the event of an emergency. To be ready to this, I would join professional development workshops and earn leadership and team management certifications. Moreover, I will volunteer in leadership during my shifts - in overseeing rounds with patients - to gain firsthand experience in leading and managing a team.</w:t>
      </w:r>
    </w:p>
    <w:p w:rsidR="00000000" w:rsidDel="00000000" w:rsidP="00000000" w:rsidRDefault="00000000" w:rsidRPr="00000000" w14:paraId="0000002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 address these skill gaps, I have developed a Personal Development Plan (PDP) that outlines the following specific steps:</w:t>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40"/>
        <w:gridCol w:w="3118"/>
        <w:gridCol w:w="1492"/>
        <w:tblGridChange w:id="0">
          <w:tblGrid>
            <w:gridCol w:w="4740"/>
            <w:gridCol w:w="3118"/>
            <w:gridCol w:w="1492"/>
          </w:tblGrid>
        </w:tblGridChange>
      </w:tblGrid>
      <w:tr>
        <w:trPr>
          <w:cantSplit w:val="0"/>
          <w:tblHeader w:val="0"/>
        </w:trPr>
        <w:tc>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Goal/Action</w:t>
            </w:r>
          </w:p>
        </w:tc>
        <w:tc>
          <w:tcPr/>
          <w:p w:rsidR="00000000" w:rsidDel="00000000" w:rsidP="00000000" w:rsidRDefault="00000000" w:rsidRPr="00000000" w14:paraId="0000002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Metric/Target</w:t>
            </w:r>
          </w:p>
        </w:tc>
        <w:tc>
          <w:tcPr/>
          <w:p w:rsidR="00000000" w:rsidDel="00000000" w:rsidP="00000000" w:rsidRDefault="00000000" w:rsidRPr="00000000" w14:paraId="0000002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Timeline</w:t>
            </w:r>
          </w:p>
        </w:tc>
      </w:tr>
      <w:tr>
        <w:trPr>
          <w:cantSplit w:val="0"/>
          <w:tblHeader w:val="0"/>
        </w:trPr>
        <w:tc>
          <w:tcPr/>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Complete online courses/certifications on medical tech &amp; health information systems</w:t>
            </w:r>
          </w:p>
        </w:tc>
        <w:tc>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Finish selected courses; earn certificates</w:t>
            </w:r>
          </w:p>
        </w:tc>
        <w:tc>
          <w:tcPr/>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Within 3 months</w:t>
            </w:r>
          </w:p>
        </w:tc>
      </w:tr>
      <w:tr>
        <w:trPr>
          <w:cantSplit w:val="0"/>
          <w:tblHeader w:val="0"/>
        </w:trPr>
        <w:tc>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Seek mentorship from nurse leaders</w:t>
            </w:r>
          </w:p>
        </w:tc>
        <w:tc>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≥1 mentorship meeting per month</w:t>
            </w:r>
          </w:p>
        </w:tc>
        <w:tc>
          <w:tcPr/>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Ongoing (monthly)</w:t>
            </w:r>
          </w:p>
        </w:tc>
      </w:tr>
      <w:tr>
        <w:trPr>
          <w:cantSplit w:val="0"/>
          <w:tblHeader w:val="0"/>
        </w:trPr>
        <w:tc>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Attend cross-cultural training &amp; join community outreach</w:t>
            </w:r>
          </w:p>
        </w:tc>
        <w:tc>
          <w:tcPr/>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Complete sessions; participate in ≥2 outreach events</w:t>
            </w:r>
          </w:p>
        </w:tc>
        <w:tc>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Within 6 months</w:t>
            </w:r>
          </w:p>
        </w:tc>
      </w:tr>
    </w:tbl>
    <w:p w:rsidR="00000000" w:rsidDel="00000000" w:rsidP="00000000" w:rsidRDefault="00000000" w:rsidRPr="00000000" w14:paraId="0000003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Now, to prepare for potential interviews, I have considered the following three interview questions and how I plan to respond to them:</w:t>
      </w:r>
    </w:p>
    <w:p w:rsidR="00000000" w:rsidDel="00000000" w:rsidP="00000000" w:rsidRDefault="00000000" w:rsidRPr="00000000" w14:paraId="00000032">
      <w:pPr>
        <w:jc w:val="both"/>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"Can you describe a time when you had to make a quick decision in a high-pressure situation?"</w:t>
      </w:r>
    </w:p>
    <w:p w:rsidR="00000000" w:rsidDel="00000000" w:rsidP="00000000" w:rsidRDefault="00000000" w:rsidRPr="00000000" w14:paraId="00000033">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would share an example from my time working in the emergency department, where I had to quickly assess a patient who was showing signs of a severe allergic reaction. I administered the necessary medication and coordinated with the rest of the medical team for immediate care. My response would highlight my ability to remain calm, think critically, and act swiftly to ensure the patient's safety.</w:t>
      </w:r>
    </w:p>
    <w:p w:rsidR="00000000" w:rsidDel="00000000" w:rsidP="00000000" w:rsidRDefault="00000000" w:rsidRPr="00000000" w14:paraId="00000034">
      <w:pPr>
        <w:jc w:val="both"/>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"How do you handle a situation where a patient or family member is upset or dissatisfied with the care provided?"</w:t>
      </w:r>
    </w:p>
    <w:p w:rsidR="00000000" w:rsidDel="00000000" w:rsidP="00000000" w:rsidRDefault="00000000" w:rsidRPr="00000000" w14:paraId="00000035">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would explain how I handle such situations with empathy, patience, and active listening. I would share an example where I listened to a family member's concerns, acknowledged their feelings, and worked to address the issue in a professional and caring manner. </w:t>
      </w:r>
    </w:p>
    <w:p w:rsidR="00000000" w:rsidDel="00000000" w:rsidP="00000000" w:rsidRDefault="00000000" w:rsidRPr="00000000" w14:paraId="00000036">
      <w:pPr>
        <w:jc w:val="both"/>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"What motivates you to be a nurse, and why do you want to work with our hospital?"</w:t>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ab/>
        <w:t xml:space="preserve">My drive to assist people, my willingness to change the lives of patients, my motivation to engage in continuous education in the medical profession. I would also indicate how the values and commitment of the hospital to quality care are similar to my personal philosophy as a professional and how I am thrilled by the prospect of being part of the healthcare team.</w:t>
      </w: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rPr>
          <w:rFonts w:ascii="Arial" w:cs="Arial" w:eastAsia="Arial" w:hAnsi="Arial"/>
          <w:sz w:val="22"/>
          <w:szCs w:val="22"/>
        </w:rPr>
      </w:pPr>
      <w:bookmarkStart w:colFirst="0" w:colLast="0" w:name="_a83a84ctivg" w:id="2"/>
      <w:bookmarkEnd w:id="2"/>
      <w:r w:rsidDel="00000000" w:rsidR="00000000" w:rsidRPr="00000000">
        <w:rPr>
          <w:rFonts w:ascii="Arial" w:cs="Arial" w:eastAsia="Arial" w:hAnsi="Arial"/>
          <w:sz w:val="22"/>
          <w:szCs w:val="22"/>
          <w:rtl w:val="0"/>
        </w:rPr>
        <w:t xml:space="preserve">Task 2: Academic Report: Communication Skills in Health and Social Care</w:t>
      </w:r>
    </w:p>
    <w:p w:rsidR="00000000" w:rsidDel="00000000" w:rsidP="00000000" w:rsidRDefault="00000000" w:rsidRPr="00000000" w14:paraId="00000039">
      <w:pPr>
        <w:ind w:firstLine="720"/>
        <w:rPr>
          <w:rFonts w:ascii="Arial" w:cs="Arial" w:eastAsia="Arial" w:hAnsi="Arial"/>
          <w:sz w:val="22"/>
          <w:szCs w:val="22"/>
        </w:rPr>
      </w:pPr>
      <w:r w:rsidDel="00000000" w:rsidR="00000000" w:rsidRPr="00000000">
        <w:rPr>
          <w:rFonts w:ascii="Arial" w:cs="Arial" w:eastAsia="Arial" w:hAnsi="Arial"/>
          <w:sz w:val="22"/>
          <w:szCs w:val="22"/>
          <w:rtl w:val="0"/>
        </w:rPr>
        <w:t xml:space="preserve">Communication is an important skill in the health and social care sector. It is the basis of establishing a good relationship between health care practitioners and patients, proper provision of care, and facilitating cooperation in multidisciplinary teams. According to Barker (2015) communication skills are a wide area of competencies which include verbal and non-verbal communication, listening, empathy and cultural sensitivity. The report will be devoted to the importance of communication skills in health and social care, the way of how these skills are implemented in practice, and the issues of problem and opportunities to enhance the communication in this area.</w:t>
      </w:r>
    </w:p>
    <w:p w:rsidR="00000000" w:rsidDel="00000000" w:rsidP="00000000" w:rsidRDefault="00000000" w:rsidRPr="00000000" w14:paraId="0000003A">
      <w:pPr>
        <w:pStyle w:val="Heading2"/>
        <w:spacing w:after="0" w:before="0" w:lineRule="auto"/>
        <w:rPr>
          <w:rFonts w:ascii="Arial" w:cs="Arial" w:eastAsia="Arial" w:hAnsi="Arial"/>
          <w:sz w:val="22"/>
          <w:szCs w:val="22"/>
        </w:rPr>
      </w:pPr>
      <w:bookmarkStart w:colFirst="0" w:colLast="0" w:name="_m5j1yhw88ef0" w:id="3"/>
      <w:bookmarkEnd w:id="3"/>
      <w:r w:rsidDel="00000000" w:rsidR="00000000" w:rsidRPr="00000000">
        <w:rPr>
          <w:rFonts w:ascii="Arial" w:cs="Arial" w:eastAsia="Arial" w:hAnsi="Arial"/>
          <w:sz w:val="22"/>
          <w:szCs w:val="22"/>
          <w:rtl w:val="0"/>
        </w:rPr>
        <w:t xml:space="preserve">The Importance of Communication Skills in Health and Social Care</w:t>
      </w:r>
    </w:p>
    <w:p w:rsidR="00000000" w:rsidDel="00000000" w:rsidP="00000000" w:rsidRDefault="00000000" w:rsidRPr="00000000" w14:paraId="0000003B">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Effective communication is essential in health and social care settings as it promotes quality care delivery. Communication assists the medical workers to acquire patient information, comprehend their requirements, and make wise choices regarding the care they receive. Healthcare workers are expected to be able to convey diagnoses, treatment opportunities, and the treatment plan in a fashion that is easy to comprehend by patients and their families (Islam et al., 2023). Additionally, communication plays a critical role in developing trust between the patients and the healthcare providers. Jabr (2023) also notes that therapeutic relationships are based on trust; when patients believe that their healthcare professionals listen to them and can communicate with them honestly and kindly, they are more willing to participate in the treatment and act on medical recommendations. </w:t>
      </w:r>
    </w:p>
    <w:p w:rsidR="00000000" w:rsidDel="00000000" w:rsidP="00000000" w:rsidRDefault="00000000" w:rsidRPr="00000000" w14:paraId="0000003C">
      <w:pPr>
        <w:pStyle w:val="Heading2"/>
        <w:spacing w:after="0" w:before="0" w:lineRule="auto"/>
        <w:rPr>
          <w:rFonts w:ascii="Arial" w:cs="Arial" w:eastAsia="Arial" w:hAnsi="Arial"/>
          <w:sz w:val="22"/>
          <w:szCs w:val="22"/>
        </w:rPr>
      </w:pPr>
      <w:bookmarkStart w:colFirst="0" w:colLast="0" w:name="_iolu3qth0oyj" w:id="4"/>
      <w:bookmarkEnd w:id="4"/>
      <w:r w:rsidDel="00000000" w:rsidR="00000000" w:rsidRPr="00000000">
        <w:rPr>
          <w:rFonts w:ascii="Arial" w:cs="Arial" w:eastAsia="Arial" w:hAnsi="Arial"/>
          <w:sz w:val="22"/>
          <w:szCs w:val="22"/>
          <w:rtl w:val="0"/>
        </w:rPr>
        <w:t xml:space="preserve">Non-Verbal and Verbal Communication</w:t>
      </w:r>
    </w:p>
    <w:p w:rsidR="00000000" w:rsidDel="00000000" w:rsidP="00000000" w:rsidRDefault="00000000" w:rsidRPr="00000000" w14:paraId="0000003D">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Verbal and non-verbal communication are using words to transmit information and body language, facial expressions, tone of voice, and gestures, respectively (Abakumova et al., 2021). In health and social care, the two types of communications are very important in building rapport with patients and providing effective care.</w:t>
      </w:r>
    </w:p>
    <w:p w:rsidR="00000000" w:rsidDel="00000000" w:rsidP="00000000" w:rsidRDefault="00000000" w:rsidRPr="00000000" w14:paraId="0000003E">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Verbal Communication: Verbal communication should be explicit, clear, and empathetic to make sure that the patients have the understanding of their diagnosis, treatment options, and modification of their care plan (Thompson et al., 2022). As an example, Nissen and Meuter (2023) observed that healthcare providers have to simplify the use of language when describing complicated medical jargon or specific medical interventions depending on the comprehension level of the patient. </w:t>
      </w:r>
    </w:p>
    <w:p w:rsidR="00000000" w:rsidDel="00000000" w:rsidP="00000000" w:rsidRDefault="00000000" w:rsidRPr="00000000" w14:paraId="0000003F">
      <w:pPr>
        <w:pStyle w:val="Heading2"/>
        <w:spacing w:after="0" w:before="0" w:lineRule="auto"/>
        <w:rPr>
          <w:rFonts w:ascii="Arial" w:cs="Arial" w:eastAsia="Arial" w:hAnsi="Arial"/>
          <w:sz w:val="22"/>
          <w:szCs w:val="22"/>
        </w:rPr>
      </w:pPr>
      <w:bookmarkStart w:colFirst="0" w:colLast="0" w:name="_u52k2scgkime" w:id="5"/>
      <w:bookmarkEnd w:id="5"/>
      <w:r w:rsidDel="00000000" w:rsidR="00000000" w:rsidRPr="00000000">
        <w:rPr>
          <w:rFonts w:ascii="Arial" w:cs="Arial" w:eastAsia="Arial" w:hAnsi="Arial"/>
          <w:sz w:val="22"/>
          <w:szCs w:val="22"/>
          <w:rtl w:val="0"/>
        </w:rPr>
        <w:t xml:space="preserve">Active Empathy and Listening</w:t>
      </w:r>
    </w:p>
    <w:p w:rsidR="00000000" w:rsidDel="00000000" w:rsidP="00000000" w:rsidRDefault="00000000" w:rsidRPr="00000000" w14:paraId="00000040">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Another important element of effective communication used in health and social care is active listening. Active listening is taken to mean complete focus, comprehension, response, and retention of what the other party is communicating (Tustonja et al., 2024). Healthcare providers must be equipped with the skill of being empathetic and this creates trust and rapport. Healthcare professionals should be more empathetic and caring individuals in the context of health and social care because patients are likely to be stressed, scared, or in pain; it is even more important in such a setting (Bamforth et al., 2023). An example is a nurse who, because of empathy, is able to reassure and support a patient who is anxious about a procedure.</w:t>
      </w:r>
    </w:p>
    <w:p w:rsidR="00000000" w:rsidDel="00000000" w:rsidP="00000000" w:rsidRDefault="00000000" w:rsidRPr="00000000" w14:paraId="00000041">
      <w:pPr>
        <w:pStyle w:val="Heading2"/>
        <w:spacing w:after="0" w:before="0" w:lineRule="auto"/>
        <w:rPr>
          <w:rFonts w:ascii="Arial" w:cs="Arial" w:eastAsia="Arial" w:hAnsi="Arial"/>
          <w:sz w:val="22"/>
          <w:szCs w:val="22"/>
        </w:rPr>
      </w:pPr>
      <w:bookmarkStart w:colFirst="0" w:colLast="0" w:name="_pwv4ubmv7zii" w:id="6"/>
      <w:bookmarkEnd w:id="6"/>
      <w:r w:rsidDel="00000000" w:rsidR="00000000" w:rsidRPr="00000000">
        <w:rPr>
          <w:rFonts w:ascii="Arial" w:cs="Arial" w:eastAsia="Arial" w:hAnsi="Arial"/>
          <w:sz w:val="22"/>
          <w:szCs w:val="22"/>
          <w:rtl w:val="0"/>
        </w:rPr>
        <w:t xml:space="preserve">Communication Improvement Strategies</w:t>
      </w:r>
    </w:p>
    <w:p w:rsidR="00000000" w:rsidDel="00000000" w:rsidP="00000000" w:rsidRDefault="00000000" w:rsidRPr="00000000" w14:paraId="00000042">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order to enhance communications within the health and social care, healthcare organisations can invest in training programs, which is aimed at building communication skills. Such programs are to focus on the significance of verbal and non-verbal communication, active listening and empathy. According to Blackmore et al. (2017), role-playing exercises and simulations may be effective in enhancing the process of communication and equip healthcare experts with the skills necessary to cope with difficult circumstances, i.e., breaking bad news or responding to concerns of a patient. Professional and regular team meetings, case discussions and a possibility of professional development can assist professionals with understanding each other roles and enhance collaboration (McLaney et al., 2022). Lastly, technological interventions like electronic health records (EHR) may be used to facilitate communication, making sure that the information about the patients is available to all the members of the team in real-time. </w:t>
      </w:r>
    </w:p>
    <w:p w:rsidR="00000000" w:rsidDel="00000000" w:rsidP="00000000" w:rsidRDefault="00000000" w:rsidRPr="00000000" w14:paraId="00000043">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4">
      <w:pPr>
        <w:pStyle w:val="Heading1"/>
        <w:rPr>
          <w:rFonts w:ascii="Arial" w:cs="Arial" w:eastAsia="Arial" w:hAnsi="Arial"/>
          <w:sz w:val="22"/>
          <w:szCs w:val="22"/>
        </w:rPr>
      </w:pPr>
      <w:bookmarkStart w:colFirst="0" w:colLast="0" w:name="_cs7k4hw34llh" w:id="7"/>
      <w:bookmarkEnd w:id="7"/>
      <w:r w:rsidDel="00000000" w:rsidR="00000000" w:rsidRPr="00000000">
        <w:rPr>
          <w:rFonts w:ascii="Arial" w:cs="Arial" w:eastAsia="Arial" w:hAnsi="Arial"/>
          <w:sz w:val="22"/>
          <w:szCs w:val="22"/>
          <w:rtl w:val="0"/>
        </w:rPr>
        <w:t xml:space="preserve">Task 3: Critical Reflection on LCHS4009 Component 1 Presentation Assessment</w:t>
      </w:r>
    </w:p>
    <w:p w:rsidR="00000000" w:rsidDel="00000000" w:rsidP="00000000" w:rsidRDefault="00000000" w:rsidRPr="00000000" w14:paraId="00000045">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critical reflection will discuss my experience in the process of planning and presenting the LCHS4009 Component 1 presentation, applying to the ERA (Experience, Reflection, and Action) model. By using this model I will be able to critically review my performance, evaluate the feedback that is obtained and to recognise areas of improvement. The presentation was based on the SWOT analysis of the UK Health and Social Care sector, personal development and strategic planning.</w:t>
      </w:r>
    </w:p>
    <w:p w:rsidR="00000000" w:rsidDel="00000000" w:rsidP="00000000" w:rsidRDefault="00000000" w:rsidRPr="00000000" w14:paraId="00000046">
      <w:pPr>
        <w:pStyle w:val="Heading2"/>
        <w:spacing w:after="0" w:before="0" w:lineRule="auto"/>
        <w:rPr>
          <w:rFonts w:ascii="Arial" w:cs="Arial" w:eastAsia="Arial" w:hAnsi="Arial"/>
          <w:sz w:val="22"/>
          <w:szCs w:val="22"/>
        </w:rPr>
      </w:pPr>
      <w:bookmarkStart w:colFirst="0" w:colLast="0" w:name="_dkvkpl2gprpw" w:id="8"/>
      <w:bookmarkEnd w:id="8"/>
      <w:r w:rsidDel="00000000" w:rsidR="00000000" w:rsidRPr="00000000">
        <w:rPr>
          <w:rFonts w:ascii="Arial" w:cs="Arial" w:eastAsia="Arial" w:hAnsi="Arial"/>
          <w:sz w:val="22"/>
          <w:szCs w:val="22"/>
          <w:rtl w:val="0"/>
        </w:rPr>
        <w:t xml:space="preserve">Experience</w:t>
      </w:r>
    </w:p>
    <w:p w:rsidR="00000000" w:rsidDel="00000000" w:rsidP="00000000" w:rsidRDefault="00000000" w:rsidRPr="00000000" w14:paraId="00000047">
      <w:pPr>
        <w:ind w:firstLine="720"/>
        <w:rPr>
          <w:rFonts w:ascii="Arial" w:cs="Arial" w:eastAsia="Arial" w:hAnsi="Arial"/>
          <w:sz w:val="22"/>
          <w:szCs w:val="22"/>
        </w:rPr>
      </w:pPr>
      <w:r w:rsidDel="00000000" w:rsidR="00000000" w:rsidRPr="00000000">
        <w:rPr>
          <w:rFonts w:ascii="Arial" w:cs="Arial" w:eastAsia="Arial" w:hAnsi="Arial"/>
          <w:sz w:val="22"/>
          <w:szCs w:val="22"/>
          <w:rtl w:val="0"/>
        </w:rPr>
        <w:t xml:space="preserve">The presentation was designed to give a summary of the personal development in the UK health and social care sector, in particular, an explanation of self-assessment role in the in-service and life-long development. It was my task to SWOT analyse internal and external conditions that lead to career success and attract a strategic action plan on the way of how to become a better version of myself. It was a good structure of presentation and I had a clear introduction, breakdown of strengths, weaknesses, opportunities and threats and a proposed strategic plan.</w:t>
      </w:r>
    </w:p>
    <w:p w:rsidR="00000000" w:rsidDel="00000000" w:rsidP="00000000" w:rsidRDefault="00000000" w:rsidRPr="00000000" w14:paraId="00000048">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creating the presentation, I have conducted a good research on the healthcare system in the UK, the challenges involved, and the available opportunities of further professional development. I have relied on a variety of academic sources, including the newest works and medical periodicals and have employed them as I have to substantiate the points mentioned in the SWOT analysis. I intended to bring about a balanced approach that is founded on the external forces which include the shortages of the working population and the internal force which includes the need to nurture the leadership qualities. This research was an academic thought provoking exercise and I was in a position to acquire the intricacy of the industry.</w:t>
      </w:r>
    </w:p>
    <w:p w:rsidR="00000000" w:rsidDel="00000000" w:rsidP="00000000" w:rsidRDefault="00000000" w:rsidRPr="00000000" w14:paraId="00000049">
      <w:pPr>
        <w:pStyle w:val="Heading2"/>
        <w:spacing w:after="0" w:before="0" w:lineRule="auto"/>
        <w:rPr>
          <w:rFonts w:ascii="Arial" w:cs="Arial" w:eastAsia="Arial" w:hAnsi="Arial"/>
          <w:sz w:val="22"/>
          <w:szCs w:val="22"/>
        </w:rPr>
      </w:pPr>
      <w:bookmarkStart w:colFirst="0" w:colLast="0" w:name="_masf4t1ewydu" w:id="9"/>
      <w:bookmarkEnd w:id="9"/>
      <w:r w:rsidDel="00000000" w:rsidR="00000000" w:rsidRPr="00000000">
        <w:rPr>
          <w:rFonts w:ascii="Arial" w:cs="Arial" w:eastAsia="Arial" w:hAnsi="Arial"/>
          <w:sz w:val="22"/>
          <w:szCs w:val="22"/>
          <w:rtl w:val="0"/>
        </w:rPr>
        <w:t xml:space="preserve">Reflection</w:t>
      </w:r>
    </w:p>
    <w:p w:rsidR="00000000" w:rsidDel="00000000" w:rsidP="00000000" w:rsidRDefault="00000000" w:rsidRPr="00000000" w14:paraId="0000004A">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When I consider my performance, I can determine that I have some strengths and weaknesses to improve. The presentation was clear and well-structured. I organised the information effectively, and each element of the SWOT analysis was clearly defined. The action plan was also strategic with the timeline of each action being realistic and attainable. My lecturer gave me some positive verbal feedback and said that she liked the way I presented complicated ideas in a clear and succinct manner. In addition, I received the information that the presentation was considerably reinforced by my use of academic references, and it gave my arguments some credibility.</w:t>
      </w:r>
    </w:p>
    <w:p w:rsidR="00000000" w:rsidDel="00000000" w:rsidP="00000000" w:rsidRDefault="00000000" w:rsidRPr="00000000" w14:paraId="0000004B">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Nevertheless, I could have also improved in aspects. Among the feedbacks my lecturer provided was the fact that I was a little monotonous at certain points probably leading to some lack of engagement with the audience. This could be specifically traced when referring to some more technical features of the SWOT analysis, where I was more preoccupied about the launch of the material correctly than dynamically presenting it. Another observation my lecturer made was that, although I had done a good job of presenting the opportunities in the sector, I did not go as much as I could have done, on the threats, especially concerning policy reforms and digital transformation and how these factors affected the workforce. This would have brought a more balanced approach to the SWOT analysis.</w:t>
      </w:r>
    </w:p>
    <w:p w:rsidR="00000000" w:rsidDel="00000000" w:rsidP="00000000" w:rsidRDefault="00000000" w:rsidRPr="00000000" w14:paraId="0000004C">
      <w:pPr>
        <w:pStyle w:val="Heading2"/>
        <w:spacing w:after="0" w:before="0" w:lineRule="auto"/>
        <w:rPr>
          <w:rFonts w:ascii="Arial" w:cs="Arial" w:eastAsia="Arial" w:hAnsi="Arial"/>
          <w:sz w:val="22"/>
          <w:szCs w:val="22"/>
        </w:rPr>
      </w:pPr>
      <w:bookmarkStart w:colFirst="0" w:colLast="0" w:name="_t725ni4nbn53" w:id="10"/>
      <w:bookmarkEnd w:id="10"/>
      <w:r w:rsidDel="00000000" w:rsidR="00000000" w:rsidRPr="00000000">
        <w:rPr>
          <w:rFonts w:ascii="Arial" w:cs="Arial" w:eastAsia="Arial" w:hAnsi="Arial"/>
          <w:sz w:val="22"/>
          <w:szCs w:val="22"/>
          <w:rtl w:val="0"/>
        </w:rPr>
        <w:t xml:space="preserve">Action</w:t>
      </w:r>
    </w:p>
    <w:p w:rsidR="00000000" w:rsidDel="00000000" w:rsidP="00000000" w:rsidRDefault="00000000" w:rsidRPr="00000000" w14:paraId="0000004D">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 overcome the identified areas of improvement in this reflection, I will concentrate on some of the strategies of my future presentations.</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begin with, I will practice modifying the tone and speed of my speech when making presentations in order to be less monotonous. I will also rehearse and use a variation of voice to stress the important points and attract the audience better. To achieve this I will practice with a peer or a mirror to practice my delivery focusing on pacing and expression. This will not only make me develop confidence but will also allow me to make my message more interesting.</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Second, I would dedicate more time to the threats part in the future SWOT analysis. I understand that this aspect can also be as urgent as the opportunities and has to be placed in more emphasis particularly when one speaks of the difficulties in the policy change or technological upheavals. Due to being better prepared beforehand on the threats, I will be able to give a more detailed analysis and cover all the points of the SWOT analysis more efficiently.</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Lastly, I will enhance my time management levels by rehearsing my presentation delivery and making sure that I do not feel rushed when including all parts within the time frame. I will set a timer to replicate the presentation situation, and I will practice time constraint management as this would make me more able to control my presentation.</w:t>
      </w:r>
    </w:p>
    <w:p w:rsidR="00000000" w:rsidDel="00000000" w:rsidP="00000000" w:rsidRDefault="00000000" w:rsidRPr="00000000" w14:paraId="00000051">
      <w:pPr>
        <w:pStyle w:val="Heading1"/>
        <w:rPr>
          <w:rFonts w:ascii="Arial" w:cs="Arial" w:eastAsia="Arial" w:hAnsi="Arial"/>
          <w:sz w:val="22"/>
          <w:szCs w:val="22"/>
        </w:rPr>
      </w:pPr>
      <w:bookmarkStart w:colFirst="0" w:colLast="0" w:name="_hwbf5l8mu76h" w:id="11"/>
      <w:bookmarkEnd w:id="11"/>
      <w:r w:rsidDel="00000000" w:rsidR="00000000" w:rsidRPr="00000000">
        <w:rPr>
          <w:rFonts w:ascii="Arial" w:cs="Arial" w:eastAsia="Arial" w:hAnsi="Arial"/>
          <w:sz w:val="22"/>
          <w:szCs w:val="22"/>
          <w:rtl w:val="0"/>
        </w:rPr>
        <w:t xml:space="preserve">Conclusion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Together, these tasks demonstrate a coherent pathway toward safe, compassionate, and effective nursing practice. The PDP obliges me to train in health technologies, pursue monthly leadership mentoring, and undergo cross-cultural training, which will enhance clinical performance and inclusiveness. The insights of the communication report can be converted into daily activities plain language, active listening, empathic rapport, and efficient use of EHRs to improve patient outcomes and coordination among the team. Reflection on my presentation made action points clear: to change tone and pacing and to analyse the threat posed by the sector more extensively and rehearse my presentation with time-outs. Through such measures, I will integrate competence and confidence as a Staff Nurse and make a contribution to patient care.</w:t>
      </w:r>
    </w:p>
    <w:p w:rsidR="00000000" w:rsidDel="00000000" w:rsidP="00000000" w:rsidRDefault="00000000" w:rsidRPr="00000000" w14:paraId="00000053">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w:t>
      </w:r>
    </w:p>
    <w:p w:rsidR="00000000" w:rsidDel="00000000" w:rsidP="00000000" w:rsidRDefault="00000000" w:rsidRPr="00000000" w14:paraId="00000055">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Abakumova, I.V., Natalya Nikolaevna Mironenkova and Evgeny Pronenko (2021). Non-verbal Communication in Meanings Transmission. pp.553–562. doi:</w:t>
      </w:r>
      <w:hyperlink r:id="rId6">
        <w:r w:rsidDel="00000000" w:rsidR="00000000" w:rsidRPr="00000000">
          <w:rPr>
            <w:rFonts w:ascii="Arial" w:cs="Arial" w:eastAsia="Arial" w:hAnsi="Arial"/>
            <w:sz w:val="22"/>
            <w:szCs w:val="22"/>
            <w:rtl w:val="0"/>
          </w:rPr>
          <w:t xml:space="preserve">https://doi.org/10.1007/978-3-030-80946-1_52</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56">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Babaii, A., Mohammadi, E. and Sadooghiasl, A. (2021). The meaning of the empathetic nurse–patient communication: A qualitative study. </w:t>
      </w:r>
      <w:r w:rsidDel="00000000" w:rsidR="00000000" w:rsidRPr="00000000">
        <w:rPr>
          <w:rFonts w:ascii="Arial" w:cs="Arial" w:eastAsia="Arial" w:hAnsi="Arial"/>
          <w:i w:val="1"/>
          <w:iCs w:val="1"/>
          <w:sz w:val="22"/>
          <w:szCs w:val="22"/>
          <w:rtl w:val="0"/>
        </w:rPr>
        <w:t xml:space="preserve">Journal of Patient Experience</w:t>
      </w:r>
      <w:r w:rsidDel="00000000" w:rsidR="00000000" w:rsidRPr="00000000">
        <w:rPr>
          <w:rFonts w:ascii="Arial" w:cs="Arial" w:eastAsia="Arial" w:hAnsi="Arial"/>
          <w:sz w:val="22"/>
          <w:szCs w:val="22"/>
          <w:rtl w:val="0"/>
        </w:rPr>
        <w:t xml:space="preserve">, [online] 8(8), pp.1–9. doi:</w:t>
      </w:r>
      <w:hyperlink r:id="rId7">
        <w:r w:rsidDel="00000000" w:rsidR="00000000" w:rsidRPr="00000000">
          <w:rPr>
            <w:rFonts w:ascii="Arial" w:cs="Arial" w:eastAsia="Arial" w:hAnsi="Arial"/>
            <w:sz w:val="22"/>
            <w:szCs w:val="22"/>
            <w:rtl w:val="0"/>
          </w:rPr>
          <w:t xml:space="preserve">https://doi.org/10.1177/23743735211056432</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57">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Bamforth, K., Rae, P., Maben, J., Lloyd, H. and Pearce, S. (2023). Perceptions of Healthcare Professionals’ Psychological Wellbeing at Work and the Link to Patients’ Experiences of care: a Scoping Review. </w:t>
      </w:r>
      <w:r w:rsidDel="00000000" w:rsidR="00000000" w:rsidRPr="00000000">
        <w:rPr>
          <w:rFonts w:ascii="Arial" w:cs="Arial" w:eastAsia="Arial" w:hAnsi="Arial"/>
          <w:i w:val="1"/>
          <w:iCs w:val="1"/>
          <w:sz w:val="22"/>
          <w:szCs w:val="22"/>
          <w:rtl w:val="0"/>
        </w:rPr>
        <w:t xml:space="preserve">International Journal of Nursing Studies Advances</w:t>
      </w:r>
      <w:r w:rsidDel="00000000" w:rsidR="00000000" w:rsidRPr="00000000">
        <w:rPr>
          <w:rFonts w:ascii="Arial" w:cs="Arial" w:eastAsia="Arial" w:hAnsi="Arial"/>
          <w:sz w:val="22"/>
          <w:szCs w:val="22"/>
          <w:rtl w:val="0"/>
        </w:rPr>
        <w:t xml:space="preserve">, [online] 5(5), pp.100148–100148. doi:</w:t>
      </w:r>
      <w:hyperlink r:id="rId8">
        <w:r w:rsidDel="00000000" w:rsidR="00000000" w:rsidRPr="00000000">
          <w:rPr>
            <w:rFonts w:ascii="Arial" w:cs="Arial" w:eastAsia="Arial" w:hAnsi="Arial"/>
            <w:sz w:val="22"/>
            <w:szCs w:val="22"/>
            <w:rtl w:val="0"/>
          </w:rPr>
          <w:t xml:space="preserve">https://doi.org/10.1016/j.ijnsa.2023.100148</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58">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Barker, G.G. (2015). Cross-Cultural Perspectives on Intercultural Communication Competence. </w:t>
      </w:r>
      <w:r w:rsidDel="00000000" w:rsidR="00000000" w:rsidRPr="00000000">
        <w:rPr>
          <w:rFonts w:ascii="Arial" w:cs="Arial" w:eastAsia="Arial" w:hAnsi="Arial"/>
          <w:i w:val="1"/>
          <w:iCs w:val="1"/>
          <w:sz w:val="22"/>
          <w:szCs w:val="22"/>
          <w:rtl w:val="0"/>
        </w:rPr>
        <w:t xml:space="preserve">Journal of Intercultural Communication Research</w:t>
      </w:r>
      <w:r w:rsidDel="00000000" w:rsidR="00000000" w:rsidRPr="00000000">
        <w:rPr>
          <w:rFonts w:ascii="Arial" w:cs="Arial" w:eastAsia="Arial" w:hAnsi="Arial"/>
          <w:sz w:val="22"/>
          <w:szCs w:val="22"/>
          <w:rtl w:val="0"/>
        </w:rPr>
        <w:t xml:space="preserve">, 45(1), pp.13–30. doi:</w:t>
      </w:r>
      <w:hyperlink r:id="rId9">
        <w:r w:rsidDel="00000000" w:rsidR="00000000" w:rsidRPr="00000000">
          <w:rPr>
            <w:rFonts w:ascii="Arial" w:cs="Arial" w:eastAsia="Arial" w:hAnsi="Arial"/>
            <w:sz w:val="22"/>
            <w:szCs w:val="22"/>
            <w:rtl w:val="0"/>
          </w:rPr>
          <w:t xml:space="preserve">https://doi.org/10.1080/17475759.2015.1104376</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59">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Berra Yilmaz Kusakli and Betül Sönmez (2024). The effect of problem-solving and decision-making education on problem-solving and decision-making-skills of nurse managers: A randomized controlled trial. </w:t>
      </w:r>
      <w:r w:rsidDel="00000000" w:rsidR="00000000" w:rsidRPr="00000000">
        <w:rPr>
          <w:rFonts w:ascii="Arial" w:cs="Arial" w:eastAsia="Arial" w:hAnsi="Arial"/>
          <w:i w:val="1"/>
          <w:iCs w:val="1"/>
          <w:sz w:val="22"/>
          <w:szCs w:val="22"/>
          <w:rtl w:val="0"/>
        </w:rPr>
        <w:t xml:space="preserve">Nurse Education in Practice</w:t>
      </w:r>
      <w:r w:rsidDel="00000000" w:rsidR="00000000" w:rsidRPr="00000000">
        <w:rPr>
          <w:rFonts w:ascii="Arial" w:cs="Arial" w:eastAsia="Arial" w:hAnsi="Arial"/>
          <w:sz w:val="22"/>
          <w:szCs w:val="22"/>
          <w:rtl w:val="0"/>
        </w:rPr>
        <w:t xml:space="preserve">, 79, pp.104063–104063. doi:</w:t>
      </w:r>
      <w:hyperlink r:id="rId10">
        <w:r w:rsidDel="00000000" w:rsidR="00000000" w:rsidRPr="00000000">
          <w:rPr>
            <w:rFonts w:ascii="Arial" w:cs="Arial" w:eastAsia="Arial" w:hAnsi="Arial"/>
            <w:sz w:val="22"/>
            <w:szCs w:val="22"/>
            <w:rtl w:val="0"/>
          </w:rPr>
          <w:t xml:space="preserve">https://doi.org/10.1016/j.nepr.2024.104063</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5A">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Blackmore, A., Kasfiki, E.V. and Purva, M. (2017). Simulation-based education to improve communication skills: a systematic review and identification of current best practice. </w:t>
      </w:r>
      <w:r w:rsidDel="00000000" w:rsidR="00000000" w:rsidRPr="00000000">
        <w:rPr>
          <w:rFonts w:ascii="Arial" w:cs="Arial" w:eastAsia="Arial" w:hAnsi="Arial"/>
          <w:i w:val="1"/>
          <w:iCs w:val="1"/>
          <w:sz w:val="22"/>
          <w:szCs w:val="22"/>
          <w:rtl w:val="0"/>
        </w:rPr>
        <w:t xml:space="preserve">BMJ Simulation and Technology Enhanced Learning</w:t>
      </w:r>
      <w:r w:rsidDel="00000000" w:rsidR="00000000" w:rsidRPr="00000000">
        <w:rPr>
          <w:rFonts w:ascii="Arial" w:cs="Arial" w:eastAsia="Arial" w:hAnsi="Arial"/>
          <w:sz w:val="22"/>
          <w:szCs w:val="22"/>
          <w:rtl w:val="0"/>
        </w:rPr>
        <w:t xml:space="preserve">, 4(4), pp.159–164. doi:</w:t>
      </w:r>
      <w:hyperlink r:id="rId11">
        <w:r w:rsidDel="00000000" w:rsidR="00000000" w:rsidRPr="00000000">
          <w:rPr>
            <w:rFonts w:ascii="Arial" w:cs="Arial" w:eastAsia="Arial" w:hAnsi="Arial"/>
            <w:sz w:val="22"/>
            <w:szCs w:val="22"/>
            <w:rtl w:val="0"/>
          </w:rPr>
          <w:t xml:space="preserve">https://doi.org/10.1136/bmjstel-2017-000220</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5B">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Islam, Z., Pollock, K., Patterson, A., Hanjari, M., Gunnell, D., Irfhan Mururajani, Conroy, S. and Faull, C. (2023). Thinking ahead about medical treatments in advanced illness: a qualitative study of barriers and enablers in end-of-life care planning with patients and families from ethnically diverse backgrounds. </w:t>
      </w:r>
      <w:r w:rsidDel="00000000" w:rsidR="00000000" w:rsidRPr="00000000">
        <w:rPr>
          <w:rFonts w:ascii="Arial" w:cs="Arial" w:eastAsia="Arial" w:hAnsi="Arial"/>
          <w:i w:val="1"/>
          <w:iCs w:val="1"/>
          <w:sz w:val="22"/>
          <w:szCs w:val="22"/>
          <w:rtl w:val="0"/>
        </w:rPr>
        <w:t xml:space="preserve">Health and social care delivery research</w:t>
      </w:r>
      <w:r w:rsidDel="00000000" w:rsidR="00000000" w:rsidRPr="00000000">
        <w:rPr>
          <w:rFonts w:ascii="Arial" w:cs="Arial" w:eastAsia="Arial" w:hAnsi="Arial"/>
          <w:sz w:val="22"/>
          <w:szCs w:val="22"/>
          <w:rtl w:val="0"/>
        </w:rPr>
        <w:t xml:space="preserve">, 11(7), pp.1–135. doi:</w:t>
      </w:r>
      <w:hyperlink r:id="rId12">
        <w:r w:rsidDel="00000000" w:rsidR="00000000" w:rsidRPr="00000000">
          <w:rPr>
            <w:rFonts w:ascii="Arial" w:cs="Arial" w:eastAsia="Arial" w:hAnsi="Arial"/>
            <w:sz w:val="22"/>
            <w:szCs w:val="22"/>
            <w:rtl w:val="0"/>
          </w:rPr>
          <w:t xml:space="preserve">https://doi.org/10.3310/jvfw4781</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5C">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Jabr, F. (2023). John A. Long - Publications List. </w:t>
      </w:r>
      <w:r w:rsidDel="00000000" w:rsidR="00000000" w:rsidRPr="00000000">
        <w:rPr>
          <w:rFonts w:ascii="Arial" w:cs="Arial" w:eastAsia="Arial" w:hAnsi="Arial"/>
          <w:i w:val="1"/>
          <w:iCs w:val="1"/>
          <w:sz w:val="22"/>
          <w:szCs w:val="22"/>
          <w:rtl w:val="0"/>
        </w:rPr>
        <w:t xml:space="preserve">Publicationslist.org</w:t>
      </w:r>
      <w:r w:rsidDel="00000000" w:rsidR="00000000" w:rsidRPr="00000000">
        <w:rPr>
          <w:rFonts w:ascii="Arial" w:cs="Arial" w:eastAsia="Arial" w:hAnsi="Arial"/>
          <w:sz w:val="22"/>
          <w:szCs w:val="22"/>
          <w:rtl w:val="0"/>
        </w:rPr>
        <w:t xml:space="preserve">, 14(6).</w:t>
      </w:r>
    </w:p>
    <w:p w:rsidR="00000000" w:rsidDel="00000000" w:rsidP="00000000" w:rsidRDefault="00000000" w:rsidRPr="00000000" w14:paraId="0000005D">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McLaney, E., Morassaei, S., Hughes, L., Davies, R., Campbell, M. and Prospero, L.D. (2022). A framework for interprofessional team collaboration in a hospital setting: Advancing team competencies and behaviours. </w:t>
      </w:r>
      <w:r w:rsidDel="00000000" w:rsidR="00000000" w:rsidRPr="00000000">
        <w:rPr>
          <w:rFonts w:ascii="Arial" w:cs="Arial" w:eastAsia="Arial" w:hAnsi="Arial"/>
          <w:i w:val="1"/>
          <w:iCs w:val="1"/>
          <w:sz w:val="22"/>
          <w:szCs w:val="22"/>
          <w:rtl w:val="0"/>
        </w:rPr>
        <w:t xml:space="preserve">Healthcare Management Forum</w:t>
      </w:r>
      <w:r w:rsidDel="00000000" w:rsidR="00000000" w:rsidRPr="00000000">
        <w:rPr>
          <w:rFonts w:ascii="Arial" w:cs="Arial" w:eastAsia="Arial" w:hAnsi="Arial"/>
          <w:sz w:val="22"/>
          <w:szCs w:val="22"/>
          <w:rtl w:val="0"/>
        </w:rPr>
        <w:t xml:space="preserve">, [online] 35(2), pp.112–117. Available at: </w:t>
      </w:r>
      <w:hyperlink r:id="rId13">
        <w:r w:rsidDel="00000000" w:rsidR="00000000" w:rsidRPr="00000000">
          <w:rPr>
            <w:rFonts w:ascii="Arial" w:cs="Arial" w:eastAsia="Arial" w:hAnsi="Arial"/>
            <w:sz w:val="22"/>
            <w:szCs w:val="22"/>
            <w:rtl w:val="0"/>
          </w:rPr>
          <w:t xml:space="preserve">https://journals.sagepub.com/doi/full/10.1177/08404704211063584</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5E">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Mojtaba Vaismoradi, Crespo, M.L. and Riitta Turjamaa (2024). Nurse-Led Medication Management for Older People in Home Care: A Systematic Review of Evolving Nurse Responsibilities in Technology-assisted Care. </w:t>
      </w:r>
      <w:r w:rsidDel="00000000" w:rsidR="00000000" w:rsidRPr="00000000">
        <w:rPr>
          <w:rFonts w:ascii="Arial" w:cs="Arial" w:eastAsia="Arial" w:hAnsi="Arial"/>
          <w:i w:val="1"/>
          <w:iCs w:val="1"/>
          <w:sz w:val="22"/>
          <w:szCs w:val="22"/>
          <w:rtl w:val="0"/>
        </w:rPr>
        <w:t xml:space="preserve">Home Health Care Management &amp; Practice</w:t>
      </w:r>
      <w:r w:rsidDel="00000000" w:rsidR="00000000" w:rsidRPr="00000000">
        <w:rPr>
          <w:rFonts w:ascii="Arial" w:cs="Arial" w:eastAsia="Arial" w:hAnsi="Arial"/>
          <w:sz w:val="22"/>
          <w:szCs w:val="22"/>
          <w:rtl w:val="0"/>
        </w:rPr>
        <w:t xml:space="preserve">, 37(2). doi:</w:t>
      </w:r>
      <w:hyperlink r:id="rId14">
        <w:r w:rsidDel="00000000" w:rsidR="00000000" w:rsidRPr="00000000">
          <w:rPr>
            <w:rFonts w:ascii="Arial" w:cs="Arial" w:eastAsia="Arial" w:hAnsi="Arial"/>
            <w:sz w:val="22"/>
            <w:szCs w:val="22"/>
            <w:rtl w:val="0"/>
          </w:rPr>
          <w:t xml:space="preserve">https://doi.org/10.1177/10848223241283415</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5F">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Nissen, V. and Meuter, R. (2023). Language and culture in health communication in an emergency context: do health practitioners and patients talk differently about uncertainty and risk? </w:t>
      </w:r>
      <w:r w:rsidDel="00000000" w:rsidR="00000000" w:rsidRPr="00000000">
        <w:rPr>
          <w:rFonts w:ascii="Arial" w:cs="Arial" w:eastAsia="Arial" w:hAnsi="Arial"/>
          <w:i w:val="1"/>
          <w:iCs w:val="1"/>
          <w:sz w:val="22"/>
          <w:szCs w:val="22"/>
          <w:rtl w:val="0"/>
        </w:rPr>
        <w:t xml:space="preserve">Frontiers in Communication</w:t>
      </w:r>
      <w:r w:rsidDel="00000000" w:rsidR="00000000" w:rsidRPr="00000000">
        <w:rPr>
          <w:rFonts w:ascii="Arial" w:cs="Arial" w:eastAsia="Arial" w:hAnsi="Arial"/>
          <w:sz w:val="22"/>
          <w:szCs w:val="22"/>
          <w:rtl w:val="0"/>
        </w:rPr>
        <w:t xml:space="preserve">, 8. doi:</w:t>
      </w:r>
      <w:hyperlink r:id="rId15">
        <w:r w:rsidDel="00000000" w:rsidR="00000000" w:rsidRPr="00000000">
          <w:rPr>
            <w:rFonts w:ascii="Arial" w:cs="Arial" w:eastAsia="Arial" w:hAnsi="Arial"/>
            <w:sz w:val="22"/>
            <w:szCs w:val="22"/>
            <w:rtl w:val="0"/>
          </w:rPr>
          <w:t xml:space="preserve">https://doi.org/10.3389/fcomm.2023.1110558</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60">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Thompson, J.H., Henry, K.M., Hales, C. and Rook, H. (2022). Understanding of empathetic communication in acute hospital settings: a scoping review. </w:t>
      </w:r>
      <w:r w:rsidDel="00000000" w:rsidR="00000000" w:rsidRPr="00000000">
        <w:rPr>
          <w:rFonts w:ascii="Arial" w:cs="Arial" w:eastAsia="Arial" w:hAnsi="Arial"/>
          <w:i w:val="1"/>
          <w:iCs w:val="1"/>
          <w:sz w:val="22"/>
          <w:szCs w:val="22"/>
          <w:rtl w:val="0"/>
        </w:rPr>
        <w:t xml:space="preserve">BMJ Open</w:t>
      </w:r>
      <w:r w:rsidDel="00000000" w:rsidR="00000000" w:rsidRPr="00000000">
        <w:rPr>
          <w:rFonts w:ascii="Arial" w:cs="Arial" w:eastAsia="Arial" w:hAnsi="Arial"/>
          <w:sz w:val="22"/>
          <w:szCs w:val="22"/>
          <w:rtl w:val="0"/>
        </w:rPr>
        <w:t xml:space="preserve">, [online] 12(9), p.e063375. doi:</w:t>
      </w:r>
      <w:hyperlink r:id="rId16">
        <w:r w:rsidDel="00000000" w:rsidR="00000000" w:rsidRPr="00000000">
          <w:rPr>
            <w:rFonts w:ascii="Arial" w:cs="Arial" w:eastAsia="Arial" w:hAnsi="Arial"/>
            <w:sz w:val="22"/>
            <w:szCs w:val="22"/>
            <w:rtl w:val="0"/>
          </w:rPr>
          <w:t xml:space="preserve">https://doi.org/10.1136/bmjopen-2022-063375</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61">
      <w:pPr>
        <w:widowControl w:val="0"/>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Tustonja, M., Stipić, D.T., Skoko, I., Čuljak, A. and Vegar, A. (2024). Active Listening - a Model of Empathetic Communication in the Helping Professions. </w:t>
      </w:r>
      <w:r w:rsidDel="00000000" w:rsidR="00000000" w:rsidRPr="00000000">
        <w:rPr>
          <w:rFonts w:ascii="Arial" w:cs="Arial" w:eastAsia="Arial" w:hAnsi="Arial"/>
          <w:i w:val="1"/>
          <w:iCs w:val="1"/>
          <w:sz w:val="22"/>
          <w:szCs w:val="22"/>
          <w:rtl w:val="0"/>
        </w:rPr>
        <w:t xml:space="preserve">Medicina Academica Integrativa</w:t>
      </w:r>
      <w:r w:rsidDel="00000000" w:rsidR="00000000" w:rsidRPr="00000000">
        <w:rPr>
          <w:rFonts w:ascii="Arial" w:cs="Arial" w:eastAsia="Arial" w:hAnsi="Arial"/>
          <w:sz w:val="22"/>
          <w:szCs w:val="22"/>
          <w:rtl w:val="0"/>
        </w:rPr>
        <w:t xml:space="preserve">, [online] 1(1), pp.42–47. Available at: </w:t>
      </w:r>
      <w:hyperlink r:id="rId17">
        <w:r w:rsidDel="00000000" w:rsidR="00000000" w:rsidRPr="00000000">
          <w:rPr>
            <w:rFonts w:ascii="Arial" w:cs="Arial" w:eastAsia="Arial" w:hAnsi="Arial"/>
            <w:sz w:val="22"/>
            <w:szCs w:val="22"/>
            <w:rtl w:val="0"/>
          </w:rPr>
          <w:t xml:space="preserve">https://pauk.sum.ba/ojs/mai/article/view/7</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6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rPr>
          <w:rFonts w:ascii="Arial" w:cs="Arial" w:eastAsia="Arial" w:hAnsi="Arial"/>
          <w:sz w:val="22"/>
          <w:szCs w:val="2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Times New Roman"/>
  <w:font w:name="Play"/>
  <w:font w:name="Arial"/>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rFonts w:ascii="Times New Roman" w:cs="Times New Roman" w:eastAsia="Times New Roman" w:hAnsi="Times New Roman"/>
      <w:b w:val="1"/>
      <w:bCs w:val="1"/>
    </w:rPr>
  </w:style>
  <w:style w:type="paragraph" w:styleId="Heading2">
    <w:name w:val="heading 2"/>
    <w:basedOn w:val="Normal"/>
    <w:next w:val="Normal"/>
    <w:pPr>
      <w:keepNext w:val="1"/>
      <w:keepLines w:val="1"/>
      <w:spacing w:after="80" w:before="160" w:lineRule="auto"/>
    </w:pPr>
    <w:rPr>
      <w:b w:val="1"/>
      <w:bCs w:val="1"/>
      <w:color w:val="000000"/>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spacing w:after="160" w:lineRule="auto"/>
    </w:pPr>
    <w:rPr>
      <w:rFonts w:ascii="Aptos" w:cs="Aptos" w:eastAsia="Aptos" w:hAnsi="Aptos"/>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136/bmjstel-2017-000220" TargetMode="External"/><Relationship Id="rId10" Type="http://schemas.openxmlformats.org/officeDocument/2006/relationships/hyperlink" Target="https://doi.org/10.1016/j.nepr.2024.104063" TargetMode="External"/><Relationship Id="rId13" Type="http://schemas.openxmlformats.org/officeDocument/2006/relationships/hyperlink" Target="https://journals.sagepub.com/doi/full/10.1177/08404704211063584" TargetMode="External"/><Relationship Id="rId12" Type="http://schemas.openxmlformats.org/officeDocument/2006/relationships/hyperlink" Target="https://doi.org/10.3310/jvfw478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80/17475759.2015.1104376" TargetMode="External"/><Relationship Id="rId15" Type="http://schemas.openxmlformats.org/officeDocument/2006/relationships/hyperlink" Target="https://doi.org/10.3389/fcomm.2023.1110558" TargetMode="External"/><Relationship Id="rId14" Type="http://schemas.openxmlformats.org/officeDocument/2006/relationships/hyperlink" Target="https://doi.org/10.1177/10848223241283415" TargetMode="External"/><Relationship Id="rId17" Type="http://schemas.openxmlformats.org/officeDocument/2006/relationships/hyperlink" Target="https://pauk.sum.ba/ojs/mai/article/view/7" TargetMode="External"/><Relationship Id="rId16" Type="http://schemas.openxmlformats.org/officeDocument/2006/relationships/hyperlink" Target="https://doi.org/10.1136/bmjopen-2022-063375" TargetMode="External"/><Relationship Id="rId5" Type="http://schemas.openxmlformats.org/officeDocument/2006/relationships/styles" Target="styles.xml"/><Relationship Id="rId6" Type="http://schemas.openxmlformats.org/officeDocument/2006/relationships/hyperlink" Target="https://doi.org/10.1007/978-3-030-80946-1_52" TargetMode="External"/><Relationship Id="rId7" Type="http://schemas.openxmlformats.org/officeDocument/2006/relationships/hyperlink" Target="https://doi.org/10.1177/23743735211056432" TargetMode="External"/><Relationship Id="rId8" Type="http://schemas.openxmlformats.org/officeDocument/2006/relationships/hyperlink" Target="https://doi.org/10.1016/j.ijnsa.2023.1001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