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jc w:val="left"/>
        <w:rPr>
          <w:rFonts w:ascii="Arial" w:cs="Arial" w:eastAsia="Arial" w:hAnsi="Arial"/>
          <w:b w:val="1"/>
          <w:bCs w:val="1"/>
          <w:sz w:val="22"/>
          <w:szCs w:val="22"/>
        </w:rPr>
      </w:pPr>
      <w:r w:rsidDel="00000000" w:rsidR="00000000" w:rsidRPr="00000000">
        <w:rPr>
          <w:rFonts w:ascii="Trebuchet MS" w:cs="Trebuchet MS" w:eastAsia="Trebuchet MS" w:hAnsi="Trebuchet MS"/>
          <w:sz w:val="74"/>
          <w:szCs w:val="74"/>
        </w:rPr>
        <w:drawing>
          <wp:inline distB="19050" distT="19050" distL="19050" distR="19050">
            <wp:extent cx="2143125" cy="661988"/>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143125" cy="6619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36"/>
          <w:szCs w:val="36"/>
          <w:rtl w:val="0"/>
        </w:rPr>
        <w:t xml:space="preserve">Introduction</w:t>
      </w:r>
      <w:r w:rsidDel="00000000" w:rsidR="00000000" w:rsidRPr="00000000">
        <w:rPr>
          <w:rFonts w:ascii="Arial" w:cs="Arial" w:eastAsia="Arial" w:hAnsi="Arial"/>
          <w:b w:val="1"/>
          <w:bCs w:val="1"/>
          <w:sz w:val="38"/>
          <w:szCs w:val="38"/>
          <w:rtl w:val="0"/>
        </w:rPr>
        <w:t xml:space="preserve"> to Health and Social Care</w:t>
      </w:r>
      <w:r w:rsidDel="00000000" w:rsidR="00000000" w:rsidRPr="00000000">
        <w:rPr>
          <w:rFonts w:ascii="Arial" w:cs="Arial" w:eastAsia="Arial" w:hAnsi="Arial"/>
          <w:sz w:val="38"/>
          <w:szCs w:val="38"/>
          <w:rtl w:val="0"/>
        </w:rPr>
        <w:t xml:space="preserve"> </w:t>
      </w:r>
      <w:r w:rsidDel="00000000" w:rsidR="00000000" w:rsidRPr="00000000">
        <w:rPr>
          <w:rtl w:val="0"/>
        </w:rPr>
      </w:r>
    </w:p>
    <w:p w:rsidR="00000000" w:rsidDel="00000000" w:rsidP="00000000" w:rsidRDefault="00000000" w:rsidRPr="00000000" w14:paraId="0000000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  </w:t>
      </w:r>
      <w:r w:rsidDel="00000000" w:rsidR="00000000" w:rsidRPr="00000000">
        <w:rPr>
          <w:rFonts w:ascii="Arial" w:cs="Arial" w:eastAsia="Arial" w:hAnsi="Arial"/>
          <w:b w:val="1"/>
          <w:bCs w:val="1"/>
          <w:sz w:val="22"/>
          <w:szCs w:val="22"/>
          <w:rtl w:val="0"/>
        </w:rPr>
        <w:t xml:space="preserve">LCHS4003)</w:t>
      </w: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Effective Communication, Administrative Skills, and Multi-Agency Working in the Care of Mr. Ahmed</w:t>
      </w:r>
    </w:p>
    <w:p w:rsidR="00000000" w:rsidDel="00000000" w:rsidP="00000000" w:rsidRDefault="00000000" w:rsidRPr="00000000" w14:paraId="0000000E">
      <w:pPr>
        <w:spacing w:line="360" w:lineRule="auto"/>
        <w:jc w:val="center"/>
        <w:rPr>
          <w:rFonts w:ascii="Arial" w:cs="Arial" w:eastAsia="Arial" w:hAnsi="Arial"/>
          <w:b w:val="1"/>
          <w:bCs w:val="1"/>
          <w:color w:val="002060"/>
          <w:sz w:val="22"/>
          <w:szCs w:val="22"/>
        </w:rPr>
      </w:pPr>
      <w:r w:rsidDel="00000000" w:rsidR="00000000" w:rsidRPr="00000000">
        <w:rPr>
          <w:rtl w:val="0"/>
        </w:rPr>
      </w:r>
    </w:p>
    <w:p w:rsidR="00000000" w:rsidDel="00000000" w:rsidP="00000000" w:rsidRDefault="00000000" w:rsidRPr="00000000" w14:paraId="0000000F">
      <w:pPr>
        <w:spacing w:line="360" w:lineRule="auto"/>
        <w:jc w:val="center"/>
        <w:rPr>
          <w:rFonts w:ascii="Arial" w:cs="Arial" w:eastAsia="Arial" w:hAnsi="Arial"/>
          <w:b w:val="1"/>
          <w:bCs w:val="1"/>
          <w:color w:val="002060"/>
          <w:sz w:val="22"/>
          <w:szCs w:val="22"/>
        </w:rPr>
      </w:pPr>
      <w:r w:rsidDel="00000000" w:rsidR="00000000" w:rsidRPr="00000000">
        <w:rPr>
          <w:rtl w:val="0"/>
        </w:rPr>
      </w:r>
    </w:p>
    <w:p w:rsidR="00000000" w:rsidDel="00000000" w:rsidP="00000000" w:rsidRDefault="00000000" w:rsidRPr="00000000" w14:paraId="00000010">
      <w:pPr>
        <w:spacing w:line="360" w:lineRule="auto"/>
        <w:jc w:val="center"/>
        <w:rPr>
          <w:rFonts w:ascii="Arial" w:cs="Arial" w:eastAsia="Arial" w:hAnsi="Arial"/>
          <w:b w:val="1"/>
          <w:bCs w:val="1"/>
          <w:color w:val="002060"/>
          <w:sz w:val="22"/>
          <w:szCs w:val="22"/>
        </w:rPr>
      </w:pPr>
      <w:r w:rsidDel="00000000" w:rsidR="00000000" w:rsidRPr="00000000">
        <w:rPr>
          <w:rtl w:val="0"/>
        </w:rPr>
      </w:r>
    </w:p>
    <w:p w:rsidR="00000000" w:rsidDel="00000000" w:rsidP="00000000" w:rsidRDefault="00000000" w:rsidRPr="00000000" w14:paraId="00000011">
      <w:pPr>
        <w:spacing w:line="360" w:lineRule="auto"/>
        <w:jc w:val="center"/>
        <w:rPr>
          <w:rFonts w:ascii="Arial" w:cs="Arial" w:eastAsia="Arial" w:hAnsi="Arial"/>
          <w:b w:val="1"/>
          <w:bCs w:val="1"/>
          <w:color w:val="002060"/>
          <w:sz w:val="22"/>
          <w:szCs w:val="22"/>
        </w:rPr>
      </w:pPr>
      <w:r w:rsidDel="00000000" w:rsidR="00000000" w:rsidRPr="00000000">
        <w:rPr>
          <w:rtl w:val="0"/>
        </w:rPr>
      </w:r>
    </w:p>
    <w:p w:rsidR="00000000" w:rsidDel="00000000" w:rsidP="00000000" w:rsidRDefault="00000000" w:rsidRPr="00000000" w14:paraId="00000012">
      <w:pPr>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sz w:val="22"/>
          <w:szCs w:val="22"/>
          <w:rtl w:val="0"/>
        </w:rPr>
        <w:t xml:space="preserve"> Shughla  redii jabarkhel</w:t>
      </w:r>
    </w:p>
    <w:p w:rsidR="00000000" w:rsidDel="00000000" w:rsidP="00000000" w:rsidRDefault="00000000" w:rsidRPr="00000000" w14:paraId="00000013">
      <w:pPr>
        <w:spacing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w:t>
      </w:r>
      <w:r w:rsidDel="00000000" w:rsidR="00000000" w:rsidRPr="00000000">
        <w:rPr>
          <w:rFonts w:ascii="Arial" w:cs="Arial" w:eastAsia="Arial" w:hAnsi="Arial"/>
          <w:sz w:val="22"/>
          <w:szCs w:val="22"/>
          <w:rtl w:val="0"/>
        </w:rPr>
        <w:t xml:space="preserve"> 2513885</w:t>
        <w:br w:type="textWrapping"/>
        <w:br w:type="textWrapping"/>
        <w:br w:type="textWrapping"/>
      </w:r>
      <w:r w:rsidDel="00000000" w:rsidR="00000000" w:rsidRPr="00000000">
        <w:rPr>
          <w:rFonts w:ascii="Arial" w:cs="Arial" w:eastAsia="Arial" w:hAnsi="Arial"/>
          <w:b w:val="1"/>
          <w:bCs w:val="1"/>
          <w:sz w:val="22"/>
          <w:szCs w:val="22"/>
          <w:rtl w:val="0"/>
        </w:rPr>
        <w:t xml:space="preserve">Tutor Name:</w:t>
      </w:r>
      <w:r w:rsidDel="00000000" w:rsidR="00000000" w:rsidRPr="00000000">
        <w:rPr>
          <w:rFonts w:ascii="Arial" w:cs="Arial" w:eastAsia="Arial" w:hAnsi="Arial"/>
          <w:sz w:val="22"/>
          <w:szCs w:val="22"/>
          <w:rtl w:val="0"/>
        </w:rPr>
        <w:t xml:space="preserve"> Jolly Nwankwo</w:t>
        <w:br w:type="textWrapping"/>
        <w:br w:type="textWrapping"/>
      </w:r>
      <w:r w:rsidDel="00000000" w:rsidR="00000000" w:rsidRPr="00000000">
        <w:rPr>
          <w:rFonts w:ascii="Arial" w:cs="Arial" w:eastAsia="Arial" w:hAnsi="Arial"/>
          <w:b w:val="1"/>
          <w:bCs w:val="1"/>
          <w:sz w:val="22"/>
          <w:szCs w:val="22"/>
          <w:rtl w:val="0"/>
        </w:rPr>
        <w:t xml:space="preserve">Submission Date: 12/08/26</w:t>
      </w:r>
    </w:p>
    <w:p w:rsidR="00000000" w:rsidDel="00000000" w:rsidP="00000000" w:rsidRDefault="00000000" w:rsidRPr="00000000" w14:paraId="00000014">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p w:rsidR="00000000" w:rsidDel="00000000" w:rsidP="00000000" w:rsidRDefault="00000000" w:rsidRPr="00000000" w14:paraId="0000001E">
      <w:pPr>
        <w:rPr/>
      </w:pPr>
      <w:r w:rsidDel="00000000" w:rsidR="00000000" w:rsidRPr="00000000">
        <w:rPr>
          <w:rtl w:val="0"/>
        </w:rPr>
      </w:r>
    </w:p>
    <w:sdt>
      <w:sdtPr>
        <w:id w:val="428488022"/>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pxs8oz5ymyc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tab/>
              <w:t xml:space="preserve">Introduction</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jzpkk22sym4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tab/>
              <w:t xml:space="preserve">Effective Communication in Health and Social Care</w:t>
              <w:tab/>
              <w:t xml:space="preserve">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ooew72rbdg4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w:t>
              <w:tab/>
              <w:t xml:space="preserve">Importance of Communication</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x1oll14cxty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w:t>
              <w:tab/>
              <w:t xml:space="preserve">Communication with Service Users and Families</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cpkm5t5xe8w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w:t>
              <w:tab/>
              <w:t xml:space="preserve">Application of the Equality Act 2010</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f9vkk33xx7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w:t>
              <w:tab/>
              <w:t xml:space="preserve">Communication Model</w:t>
              <w:tab/>
              <w:t xml:space="preserve">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jjvz1obf13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w:t>
              <w:tab/>
              <w:t xml:space="preserve">Link to the Case Study</w:t>
              <w:tab/>
              <w:t xml:space="preserve">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zpgks4ug9i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tab/>
              <w:t xml:space="preserve">Administrative Skills and Record Keeping</w:t>
              <w:tab/>
              <w:t xml:space="preserve">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bw3bexd4m2i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w:t>
              <w:tab/>
              <w:t xml:space="preserve">Importance of Administrative Skills</w:t>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h193oxvasi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w:t>
              <w:tab/>
              <w:t xml:space="preserve">Record Keeping in Practice</w:t>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pmylifuqsy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w:t>
              <w:tab/>
              <w:t xml:space="preserve">Application of the Data Protection Act 2018</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4cv9a2ns4l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w:t>
              <w:tab/>
              <w:t xml:space="preserve">Policies and Frameworks</w:t>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2aez4qj95i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w:t>
              <w:tab/>
              <w:t xml:space="preserve">Link to the Case Study</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ib52rhcpp3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tab/>
              <w:t xml:space="preserve">Multi-Agency Working in Health and Social Care</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7yzdunpqs0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w:t>
              <w:tab/>
              <w:t xml:space="preserve">Importance of Collaborative Working</w:t>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46j5q6wjbh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w:t>
              <w:tab/>
              <w:t xml:space="preserve">Approaches to Effective Teamwork</w:t>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5zd5kgsegw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w:t>
              <w:tab/>
              <w:t xml:space="preserve">Challenges in Multi-Agency Working</w:t>
              <w:tab/>
              <w:t xml:space="preserve">8</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7gsp68cc0z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w:t>
              <w:tab/>
              <w:t xml:space="preserve">Strategies for Improvement</w:t>
              <w:tab/>
              <w:t xml:space="preserve">9</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j0g2bqpx73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tab/>
              <w:t xml:space="preserve">Conclusion</w:t>
              <w:tab/>
              <w:t xml:space="preserve">9</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List of Figures</w:t>
      </w:r>
    </w:p>
    <w:p w:rsidR="00000000" w:rsidDel="00000000" w:rsidP="00000000" w:rsidRDefault="00000000" w:rsidRPr="00000000" w14:paraId="00000040">
      <w:pPr>
        <w:spacing w:line="360" w:lineRule="auto"/>
        <w:rPr>
          <w:rFonts w:ascii="Arial" w:cs="Arial" w:eastAsia="Arial" w:hAnsi="Arial"/>
          <w:b w:val="1"/>
          <w:bCs w:val="1"/>
          <w:sz w:val="22"/>
          <w:szCs w:val="22"/>
        </w:rPr>
      </w:pPr>
      <w:r w:rsidDel="00000000" w:rsidR="00000000" w:rsidRPr="00000000">
        <w:rPr>
          <w:rtl w:val="0"/>
        </w:rPr>
      </w:r>
    </w:p>
    <w:sdt>
      <w:sdtPr>
        <w:id w:val="-359882454"/>
        <w:docPartObj>
          <w:docPartGallery w:val="Table of Contents"/>
          <w:docPartUnique w:val="1"/>
        </w:docPartObj>
      </w:sdtPr>
      <w:sdtContent>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fnefg3iadui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Purpose of the Report</w:t>
            </w:r>
          </w:hyperlink>
          <w:hyperlink w:anchor="_heading=h.fnefg3iadui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m3t1co8zf5m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Shannon–Weaver Model of Communication</w:t>
            </w:r>
          </w:hyperlink>
          <w:hyperlink w:anchor="_heading=h.m3t1co8zf5m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v47fbq6btue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Roles of Healthcare Professionals in Multidisciplinary Teams</w:t>
            </w:r>
          </w:hyperlink>
          <w:hyperlink w:anchor="_heading=h.v47fbq6btue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5">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pStyle w:val="Heading1"/>
        <w:numPr>
          <w:ilvl w:val="0"/>
          <w:numId w:val="1"/>
        </w:numPr>
        <w:spacing w:line="360" w:lineRule="auto"/>
        <w:ind w:left="720" w:hanging="360"/>
        <w:rPr>
          <w:rFonts w:ascii="Arial" w:cs="Arial" w:eastAsia="Arial" w:hAnsi="Arial"/>
          <w:b w:val="1"/>
          <w:bCs w:val="1"/>
          <w:color w:val="000000"/>
          <w:sz w:val="22"/>
          <w:szCs w:val="22"/>
        </w:rPr>
      </w:pPr>
      <w:bookmarkStart w:colFirst="0" w:colLast="0" w:name="_heading=h.pxs8oz5ymyc6" w:id="0"/>
      <w:bookmarkEnd w:id="0"/>
      <w:r w:rsidDel="00000000" w:rsidR="00000000" w:rsidRPr="00000000">
        <w:rPr>
          <w:rFonts w:ascii="Arial" w:cs="Arial" w:eastAsia="Arial" w:hAnsi="Arial"/>
          <w:b w:val="1"/>
          <w:bCs w:val="1"/>
          <w:color w:val="000000"/>
          <w:sz w:val="22"/>
          <w:szCs w:val="22"/>
          <w:rtl w:val="0"/>
        </w:rPr>
        <w:t xml:space="preserve">Introduction</w:t>
      </w:r>
    </w:p>
    <w:p w:rsidR="00000000" w:rsidDel="00000000" w:rsidP="00000000" w:rsidRDefault="00000000" w:rsidRPr="00000000" w14:paraId="0000006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discusses the value of effective communication, administrative skills, and multi-agency working in the context of Mr. Ahmed's care. Mr. Ahmed is a 68-year-old male who has just been released from the hospital after a stroke. He stays with his wife and has a domiciliary care agency and a multidisciplinary team comprising a general practitioner, district nurse, and speech and language therapist. Communication is also a major problem because of his stroke and lack of fluency in English. Although dependence on his wife in communication with Mr. Ahmed could be helpful, it can also impair his autonomy and active participation in care choices, which could hamper the effectiveness of person-centered care.</w:t>
      </w:r>
    </w:p>
    <w:p w:rsidR="00000000" w:rsidDel="00000000" w:rsidP="00000000" w:rsidRDefault="00000000" w:rsidRPr="00000000" w14:paraId="0000006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report seeks to critically examine communication practice in the light of appropriate legislation through the Equality Act 2010, and review administrative skills and record keeping through the Data Protection Act 2018. Additionally, it will evaluate the efficiency of the multi-agency working and determine the difficulties and enhancements. The case of Mr. Ahmed shows how these factors contribute to effective and safe care through the missed medication incident. It also brings issues to accountability, coordination, and the general quality of service delivery.</w:t>
      </w:r>
    </w:p>
    <w:p w:rsidR="00000000" w:rsidDel="00000000" w:rsidP="00000000" w:rsidRDefault="00000000" w:rsidRPr="00000000" w14:paraId="0000006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keepNext w:val="1"/>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5543550" cy="3143250"/>
            <wp:effectExtent b="0" l="0" r="0" t="0"/>
            <wp:docPr id="5"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543550" cy="314325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fnefg3iaduir" w:id="1"/>
      <w:bookmarkEnd w:id="1"/>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1 Purpose of the Report</w:t>
      </w:r>
    </w:p>
    <w:p w:rsidR="00000000" w:rsidDel="00000000" w:rsidP="00000000" w:rsidRDefault="00000000" w:rsidRPr="00000000" w14:paraId="00000065">
      <w:pPr>
        <w:pStyle w:val="Heading1"/>
        <w:numPr>
          <w:ilvl w:val="0"/>
          <w:numId w:val="1"/>
        </w:numPr>
        <w:spacing w:line="360" w:lineRule="auto"/>
        <w:ind w:left="720" w:hanging="360"/>
        <w:rPr>
          <w:rFonts w:ascii="Arial" w:cs="Arial" w:eastAsia="Arial" w:hAnsi="Arial"/>
          <w:b w:val="1"/>
          <w:bCs w:val="1"/>
          <w:color w:val="000000"/>
          <w:sz w:val="22"/>
          <w:szCs w:val="22"/>
        </w:rPr>
      </w:pPr>
      <w:bookmarkStart w:colFirst="0" w:colLast="0" w:name="_heading=h.jzpkk22sym43" w:id="2"/>
      <w:bookmarkEnd w:id="2"/>
      <w:r w:rsidDel="00000000" w:rsidR="00000000" w:rsidRPr="00000000">
        <w:rPr>
          <w:rFonts w:ascii="Arial" w:cs="Arial" w:eastAsia="Arial" w:hAnsi="Arial"/>
          <w:b w:val="1"/>
          <w:bCs w:val="1"/>
          <w:color w:val="000000"/>
          <w:sz w:val="22"/>
          <w:szCs w:val="22"/>
          <w:rtl w:val="0"/>
        </w:rPr>
        <w:t xml:space="preserve">Effective Communication in Health and Social Care</w:t>
      </w:r>
    </w:p>
    <w:p w:rsidR="00000000" w:rsidDel="00000000" w:rsidP="00000000" w:rsidRDefault="00000000" w:rsidRPr="00000000" w14:paraId="00000066">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ooew72rbdg4k" w:id="3"/>
      <w:bookmarkEnd w:id="3"/>
      <w:r w:rsidDel="00000000" w:rsidR="00000000" w:rsidRPr="00000000">
        <w:rPr>
          <w:rFonts w:ascii="Arial" w:cs="Arial" w:eastAsia="Arial" w:hAnsi="Arial"/>
          <w:b w:val="1"/>
          <w:bCs w:val="1"/>
          <w:color w:val="000000"/>
          <w:sz w:val="22"/>
          <w:szCs w:val="22"/>
          <w:rtl w:val="0"/>
        </w:rPr>
        <w:t xml:space="preserve">Importance of Communication</w:t>
      </w:r>
    </w:p>
    <w:p w:rsidR="00000000" w:rsidDel="00000000" w:rsidP="00000000" w:rsidRDefault="00000000" w:rsidRPr="00000000" w14:paraId="0000006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in health and social care is vital because it guarantees patient safety and fosters person-centered care. According to </w:t>
      </w:r>
      <w:r w:rsidDel="00000000" w:rsidR="00000000" w:rsidRPr="00000000">
        <w:rPr>
          <w:rFonts w:ascii="Arial" w:cs="Arial" w:eastAsia="Arial" w:hAnsi="Arial"/>
          <w:color w:val="000000"/>
          <w:sz w:val="22"/>
          <w:szCs w:val="22"/>
          <w:rtl w:val="0"/>
        </w:rPr>
        <w:t xml:space="preserve">(McLaney </w:t>
      </w:r>
      <w:r w:rsidDel="00000000" w:rsidR="00000000" w:rsidRPr="00000000">
        <w:rPr>
          <w:rFonts w:ascii="Arial" w:cs="Arial" w:eastAsia="Arial" w:hAnsi="Arial"/>
          <w:i w:val="1"/>
          <w:iCs w:val="1"/>
          <w:color w:val="000000"/>
          <w:sz w:val="22"/>
          <w:szCs w:val="22"/>
          <w:rtl w:val="0"/>
        </w:rPr>
        <w:t xml:space="preserve">et al.</w:t>
      </w:r>
      <w:r w:rsidDel="00000000" w:rsidR="00000000" w:rsidRPr="00000000">
        <w:rPr>
          <w:rFonts w:ascii="Arial" w:cs="Arial" w:eastAsia="Arial" w:hAnsi="Arial"/>
          <w:color w:val="000000"/>
          <w:sz w:val="22"/>
          <w:szCs w:val="22"/>
          <w:rtl w:val="0"/>
        </w:rPr>
        <w:t xml:space="preserve">, 2022)</w:t>
      </w:r>
      <w:r w:rsidDel="00000000" w:rsidR="00000000" w:rsidRPr="00000000">
        <w:rPr>
          <w:rFonts w:ascii="Arial" w:cs="Arial" w:eastAsia="Arial" w:hAnsi="Arial"/>
          <w:sz w:val="22"/>
          <w:szCs w:val="22"/>
          <w:rtl w:val="0"/>
        </w:rPr>
        <w:t xml:space="preserve"> One of the major causes of medical error is a communication failure. The lack of good English-speaking ability in the case of Mr. Ahmed makes him more likely to misinterpret crucial health education, especially on medication instructions and routines of care. This can result in wrong medication or a lack of involvement in his care. Nonetheless, proper communication strategies will help to enhance the outcomes in patients greatly by guaranteeing an understanding and clarity, as well as establishing trust between the patient and medical care providers. In addition, communication is beneficial to emotional well-being because it decreases the level of anxiety and confusion that occur after a stroke.</w:t>
      </w:r>
    </w:p>
    <w:p w:rsidR="00000000" w:rsidDel="00000000" w:rsidP="00000000" w:rsidRDefault="00000000" w:rsidRPr="00000000" w14:paraId="00000068">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x1oll14cxtyq" w:id="4"/>
      <w:bookmarkEnd w:id="4"/>
      <w:r w:rsidDel="00000000" w:rsidR="00000000" w:rsidRPr="00000000">
        <w:rPr>
          <w:rFonts w:ascii="Arial" w:cs="Arial" w:eastAsia="Arial" w:hAnsi="Arial"/>
          <w:b w:val="1"/>
          <w:bCs w:val="1"/>
          <w:color w:val="000000"/>
          <w:sz w:val="22"/>
          <w:szCs w:val="22"/>
          <w:rtl w:val="0"/>
        </w:rPr>
        <w:t xml:space="preserve">Communication with Service Users and Families</w:t>
      </w:r>
    </w:p>
    <w:p w:rsidR="00000000" w:rsidDel="00000000" w:rsidP="00000000" w:rsidRDefault="00000000" w:rsidRPr="00000000" w14:paraId="0000006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Medical workers are to conform to the way of communication to satisfy personal demands. This will involve the use of easy language, illustrations, and professional interpreters where needed. In the case of Mr. Ahmed, although his wife is an important source of support, dependency on members of the family might result in a lack of accuracy and confidentiality. The disadvantage of the approach is that members of the family might unintentionally filter or distort the information, which might influence the decision-making. Also, excessive dependence on his wife can decrease the independence and engagement of Mr. Ahmed in self-care. Thus, wherever possible, the professionals need to consider direct communication with Mr. Ahmed to encourage independence and person-centered care. </w:t>
      </w:r>
      <w:r w:rsidDel="00000000" w:rsidR="00000000" w:rsidRPr="00000000">
        <w:rPr>
          <w:rFonts w:ascii="Arial" w:cs="Arial" w:eastAsia="Arial" w:hAnsi="Arial"/>
          <w:color w:val="000000"/>
          <w:sz w:val="22"/>
          <w:szCs w:val="22"/>
          <w:rtl w:val="0"/>
        </w:rPr>
        <w:t xml:space="preserve">(Schnurr, 2024)</w:t>
      </w:r>
      <w:r w:rsidDel="00000000" w:rsidR="00000000" w:rsidRPr="00000000">
        <w:rPr>
          <w:rFonts w:ascii="Arial" w:cs="Arial" w:eastAsia="Arial" w:hAnsi="Arial"/>
          <w:sz w:val="22"/>
          <w:szCs w:val="22"/>
          <w:rtl w:val="0"/>
        </w:rPr>
        <w:t xml:space="preserve">. This strategy also equips the patients and makes them more confident about their health care.</w:t>
      </w:r>
    </w:p>
    <w:p w:rsidR="00000000" w:rsidDel="00000000" w:rsidP="00000000" w:rsidRDefault="00000000" w:rsidRPr="00000000" w14:paraId="0000006A">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cpkm5t5xe8w3" w:id="5"/>
      <w:bookmarkEnd w:id="5"/>
      <w:r w:rsidDel="00000000" w:rsidR="00000000" w:rsidRPr="00000000">
        <w:rPr>
          <w:rFonts w:ascii="Arial" w:cs="Arial" w:eastAsia="Arial" w:hAnsi="Arial"/>
          <w:b w:val="1"/>
          <w:bCs w:val="1"/>
          <w:color w:val="000000"/>
          <w:sz w:val="22"/>
          <w:szCs w:val="22"/>
          <w:rtl w:val="0"/>
        </w:rPr>
        <w:t xml:space="preserve">Application of the Equality Act 2010</w:t>
      </w:r>
    </w:p>
    <w:p w:rsidR="00000000" w:rsidDel="00000000" w:rsidP="00000000" w:rsidRDefault="00000000" w:rsidRPr="00000000" w14:paraId="0000006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Equality Act 2010, healthcare providers are expected to make reasonable accommodations in order to make the services equally accessible. This is the case of Mr. Ahmed, who involves the provision of language assistance, like interpreters or translated material. Nevertheless, the inability to introduce these modifications can result in unequal care and even discrimination. This can lead to sub-optimal health outcomes and low patient satisfaction. Hence, it is critical to implement this law that will guarantee equity and inclusiveness in healthcare services. It also supports the moral accountability of professional people to their duty of treating all individuals with dignity and respect.</w:t>
      </w:r>
    </w:p>
    <w:p w:rsidR="00000000" w:rsidDel="00000000" w:rsidP="00000000" w:rsidRDefault="00000000" w:rsidRPr="00000000" w14:paraId="0000006C">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df9vkk33xx73" w:id="6"/>
      <w:bookmarkEnd w:id="6"/>
      <w:r w:rsidDel="00000000" w:rsidR="00000000" w:rsidRPr="00000000">
        <w:rPr>
          <w:rFonts w:ascii="Arial" w:cs="Arial" w:eastAsia="Arial" w:hAnsi="Arial"/>
          <w:b w:val="1"/>
          <w:bCs w:val="1"/>
          <w:color w:val="000000"/>
          <w:sz w:val="22"/>
          <w:szCs w:val="22"/>
          <w:rtl w:val="0"/>
        </w:rPr>
        <w:t xml:space="preserve">Communication Model</w:t>
      </w:r>
    </w:p>
    <w:p w:rsidR="00000000" w:rsidDel="00000000" w:rsidP="00000000" w:rsidRDefault="00000000" w:rsidRPr="00000000" w14:paraId="0000006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Shannon and Weaver model is the explanation of the way in which communication may be distorted by barriers or noise. The language disparity and cognitive impairment are factors that serve as a barrier that can distort communication in the case of Mr. Ahmed. It can cause miscommunication between the medical professional and the patient, especially in cases where complex medical information is to be discussed. Nevertheless, feedback, repetition, and clarification are some of the strategies that can be used to minimize such barriers and enhance communication efficacy. One drawback of this model is the fact that it only emphasizes message delivery, but not the emotional and social parts of communication, which are also significant in a healthcare environment.</w:t>
      </w:r>
    </w:p>
    <w:p w:rsidR="00000000" w:rsidDel="00000000" w:rsidP="00000000" w:rsidRDefault="00000000" w:rsidRPr="00000000" w14:paraId="0000006E">
      <w:pPr>
        <w:keepNext w:val="1"/>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5305425" cy="3829050"/>
            <wp:effectExtent b="0" l="0" r="0" t="0"/>
            <wp:docPr id="7"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305425" cy="382905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m3t1co8zf5mr" w:id="7"/>
      <w:bookmarkEnd w:id="7"/>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2 Shannon–Weaver Model of Communication</w:t>
      </w:r>
    </w:p>
    <w:p w:rsidR="00000000" w:rsidDel="00000000" w:rsidP="00000000" w:rsidRDefault="00000000" w:rsidRPr="00000000" w14:paraId="00000070">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9jjvz1obf13y" w:id="8"/>
      <w:bookmarkEnd w:id="8"/>
      <w:r w:rsidDel="00000000" w:rsidR="00000000" w:rsidRPr="00000000">
        <w:rPr>
          <w:rFonts w:ascii="Arial" w:cs="Arial" w:eastAsia="Arial" w:hAnsi="Arial"/>
          <w:b w:val="1"/>
          <w:bCs w:val="1"/>
          <w:color w:val="000000"/>
          <w:sz w:val="22"/>
          <w:szCs w:val="22"/>
          <w:rtl w:val="0"/>
        </w:rPr>
        <w:t xml:space="preserve">Link to the Case Study</w:t>
      </w:r>
    </w:p>
    <w:p w:rsidR="00000000" w:rsidDel="00000000" w:rsidP="00000000" w:rsidRDefault="00000000" w:rsidRPr="00000000" w14:paraId="0000007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the case of Mr. Ahmed, the failure to take medication illustrates the impact of ineffective communication. It indicates the possibility of a failure in communication between professionals and care providers. It can be a great threat to patient safety and may even lead to additional complications. Nevertheless, with enhanced communication mechanisms, including proper documentation and frequent briefings among the employees, such cases may be avoided in the future. This points to the importance of regular and efficient communication at all levels of care.</w:t>
      </w:r>
    </w:p>
    <w:p w:rsidR="00000000" w:rsidDel="00000000" w:rsidP="00000000" w:rsidRDefault="00000000" w:rsidRPr="00000000" w14:paraId="00000072">
      <w:pPr>
        <w:pStyle w:val="Heading1"/>
        <w:numPr>
          <w:ilvl w:val="0"/>
          <w:numId w:val="1"/>
        </w:numPr>
        <w:spacing w:line="360" w:lineRule="auto"/>
        <w:ind w:left="720" w:hanging="360"/>
        <w:rPr>
          <w:rFonts w:ascii="Arial" w:cs="Arial" w:eastAsia="Arial" w:hAnsi="Arial"/>
          <w:b w:val="1"/>
          <w:bCs w:val="1"/>
          <w:color w:val="000000"/>
          <w:sz w:val="22"/>
          <w:szCs w:val="22"/>
        </w:rPr>
      </w:pPr>
      <w:bookmarkStart w:colFirst="0" w:colLast="0" w:name="_heading=h.nzpgks4ug9i8" w:id="9"/>
      <w:bookmarkEnd w:id="9"/>
      <w:r w:rsidDel="00000000" w:rsidR="00000000" w:rsidRPr="00000000">
        <w:rPr>
          <w:rFonts w:ascii="Arial" w:cs="Arial" w:eastAsia="Arial" w:hAnsi="Arial"/>
          <w:b w:val="1"/>
          <w:bCs w:val="1"/>
          <w:color w:val="000000"/>
          <w:sz w:val="22"/>
          <w:szCs w:val="22"/>
          <w:rtl w:val="0"/>
        </w:rPr>
        <w:t xml:space="preserve">Administrative Skills and Record Keeping</w:t>
      </w:r>
    </w:p>
    <w:p w:rsidR="00000000" w:rsidDel="00000000" w:rsidP="00000000" w:rsidRDefault="00000000" w:rsidRPr="00000000" w14:paraId="00000073">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bw3bexd4m2i7" w:id="10"/>
      <w:bookmarkEnd w:id="10"/>
      <w:r w:rsidDel="00000000" w:rsidR="00000000" w:rsidRPr="00000000">
        <w:rPr>
          <w:rFonts w:ascii="Arial" w:cs="Arial" w:eastAsia="Arial" w:hAnsi="Arial"/>
          <w:b w:val="1"/>
          <w:bCs w:val="1"/>
          <w:color w:val="000000"/>
          <w:sz w:val="22"/>
          <w:szCs w:val="22"/>
          <w:rtl w:val="0"/>
        </w:rPr>
        <w:t xml:space="preserve">Importance of Administrative Skills</w:t>
      </w:r>
    </w:p>
    <w:p w:rsidR="00000000" w:rsidDel="00000000" w:rsidP="00000000" w:rsidRDefault="00000000" w:rsidRPr="00000000" w14:paraId="0000007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ability to administer efficiently and safely is extremely important in the provision of health and social care services. According to </w:t>
      </w:r>
      <w:r w:rsidDel="00000000" w:rsidR="00000000" w:rsidRPr="00000000">
        <w:rPr>
          <w:rFonts w:ascii="Arial" w:cs="Arial" w:eastAsia="Arial" w:hAnsi="Arial"/>
          <w:color w:val="000000"/>
          <w:sz w:val="22"/>
          <w:szCs w:val="22"/>
          <w:rtl w:val="0"/>
        </w:rPr>
        <w:t xml:space="preserve">(Collings-Hughes, Townsend and Williams, 2022)</w:t>
      </w:r>
      <w:r w:rsidDel="00000000" w:rsidR="00000000" w:rsidRPr="00000000">
        <w:rPr>
          <w:rFonts w:ascii="Arial" w:cs="Arial" w:eastAsia="Arial" w:hAnsi="Arial"/>
          <w:sz w:val="22"/>
          <w:szCs w:val="22"/>
          <w:rtl w:val="0"/>
        </w:rPr>
        <w:t xml:space="preserve">Inadequate administration may lead to severe mistakes, such as treatment omissions and care delays. The home visit missed in the case of Mr. Ahmed shows that there could be a failure in the scheduling and coordination. This can result in adverse health consequences and distrust of care provision. Nevertheless, effective administrative mechanisms are able to boost productivity, improve organization, and add quality to the provision of care, which is consistently and safely provided.</w:t>
      </w:r>
    </w:p>
    <w:p w:rsidR="00000000" w:rsidDel="00000000" w:rsidP="00000000" w:rsidRDefault="00000000" w:rsidRPr="00000000" w14:paraId="00000075">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h193oxvasi7" w:id="11"/>
      <w:bookmarkEnd w:id="11"/>
      <w:r w:rsidDel="00000000" w:rsidR="00000000" w:rsidRPr="00000000">
        <w:rPr>
          <w:rFonts w:ascii="Arial" w:cs="Arial" w:eastAsia="Arial" w:hAnsi="Arial"/>
          <w:b w:val="1"/>
          <w:bCs w:val="1"/>
          <w:color w:val="000000"/>
          <w:sz w:val="22"/>
          <w:szCs w:val="22"/>
          <w:rtl w:val="0"/>
        </w:rPr>
        <w:t xml:space="preserve">Record Keeping in Practice</w:t>
      </w:r>
    </w:p>
    <w:p w:rsidR="00000000" w:rsidDel="00000000" w:rsidP="00000000" w:rsidRDefault="00000000" w:rsidRPr="00000000" w14:paraId="0000007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continuity of care and effective professional communication require proper record keeping. According to the </w:t>
      </w:r>
      <w:r w:rsidDel="00000000" w:rsidR="00000000" w:rsidRPr="00000000">
        <w:rPr>
          <w:rFonts w:ascii="Arial" w:cs="Arial" w:eastAsia="Arial" w:hAnsi="Arial"/>
          <w:color w:val="000000"/>
          <w:sz w:val="22"/>
          <w:szCs w:val="22"/>
          <w:rtl w:val="0"/>
        </w:rPr>
        <w:t xml:space="preserve">(Phillips, 2021)</w:t>
      </w:r>
      <w:r w:rsidDel="00000000" w:rsidR="00000000" w:rsidRPr="00000000">
        <w:rPr>
          <w:rFonts w:ascii="Arial" w:cs="Arial" w:eastAsia="Arial" w:hAnsi="Arial"/>
          <w:sz w:val="22"/>
          <w:szCs w:val="22"/>
          <w:rtl w:val="0"/>
        </w:rPr>
        <w:t xml:space="preserve">The records should be legible, precise, and up-to-date. In the case of Mr. Ahmed, the missed appointment would have been avoided if proper documentation of the visits and medication schedules had been made. One of the disadvantages of bad record keeping is that it increases the chances of mistakes, work duplication, and misunderstanding. Moreover, partial documentation may complicate the situation of the professional to make sound decisions, and this may undermine patient safety.</w:t>
      </w:r>
    </w:p>
    <w:p w:rsidR="00000000" w:rsidDel="00000000" w:rsidP="00000000" w:rsidRDefault="00000000" w:rsidRPr="00000000" w14:paraId="00000077">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7pmylifuqsy7" w:id="12"/>
      <w:bookmarkEnd w:id="12"/>
      <w:r w:rsidDel="00000000" w:rsidR="00000000" w:rsidRPr="00000000">
        <w:rPr>
          <w:rFonts w:ascii="Arial" w:cs="Arial" w:eastAsia="Arial" w:hAnsi="Arial"/>
          <w:b w:val="1"/>
          <w:bCs w:val="1"/>
          <w:color w:val="000000"/>
          <w:sz w:val="22"/>
          <w:szCs w:val="22"/>
          <w:rtl w:val="0"/>
        </w:rPr>
        <w:t xml:space="preserve">Application of the Data Protection Act 2018</w:t>
      </w:r>
    </w:p>
    <w:p w:rsidR="00000000" w:rsidDel="00000000" w:rsidP="00000000" w:rsidRDefault="00000000" w:rsidRPr="00000000" w14:paraId="0000007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Data Protection Act 2018 provides the security and confidentiality of personal data. In the case of Mr. Ahmed, his personal information should be stored safely and shared with the professionals who are relevant. Nevertheless, too many limitations on the sharing of data can inhibit communication among professionals and influence the organization of care. That is why there should be a balance between confidentiality and successful information sharing. This balance is necessary in order to make sure that patient privacy and high-quality care delivery are achieved.</w:t>
      </w:r>
    </w:p>
    <w:p w:rsidR="00000000" w:rsidDel="00000000" w:rsidP="00000000" w:rsidRDefault="00000000" w:rsidRPr="00000000" w14:paraId="00000079">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d4cv9a2ns4lc" w:id="13"/>
      <w:bookmarkEnd w:id="13"/>
      <w:r w:rsidDel="00000000" w:rsidR="00000000" w:rsidRPr="00000000">
        <w:rPr>
          <w:rFonts w:ascii="Arial" w:cs="Arial" w:eastAsia="Arial" w:hAnsi="Arial"/>
          <w:b w:val="1"/>
          <w:bCs w:val="1"/>
          <w:color w:val="000000"/>
          <w:sz w:val="22"/>
          <w:szCs w:val="22"/>
          <w:rtl w:val="0"/>
        </w:rPr>
        <w:t xml:space="preserve">Policies and Frameworks</w:t>
      </w:r>
    </w:p>
    <w:p w:rsidR="00000000" w:rsidDel="00000000" w:rsidP="00000000" w:rsidRDefault="00000000" w:rsidRPr="00000000" w14:paraId="0000007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professionals are guided by organizational policies such as the standards of safeguarding and record keeping, to ensure they practice in a safe manner. The incident of missed medication in the case of Mr. Ahmed must be documented and researched to establish improvement areas. This can cause the development of better systems and staff training, and decrease the chances of future mistakes. But when the policies are not adhered to, there are chances of recurring errors and low accountability in the organization.</w:t>
      </w:r>
    </w:p>
    <w:p w:rsidR="00000000" w:rsidDel="00000000" w:rsidP="00000000" w:rsidRDefault="00000000" w:rsidRPr="00000000" w14:paraId="0000007B">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y2aez4qj95i1" w:id="14"/>
      <w:bookmarkEnd w:id="14"/>
      <w:r w:rsidDel="00000000" w:rsidR="00000000" w:rsidRPr="00000000">
        <w:rPr>
          <w:rFonts w:ascii="Arial" w:cs="Arial" w:eastAsia="Arial" w:hAnsi="Arial"/>
          <w:b w:val="1"/>
          <w:bCs w:val="1"/>
          <w:color w:val="000000"/>
          <w:sz w:val="22"/>
          <w:szCs w:val="22"/>
          <w:rtl w:val="0"/>
        </w:rPr>
        <w:t xml:space="preserve">Link to the Case Study</w:t>
      </w:r>
    </w:p>
    <w:p w:rsidR="00000000" w:rsidDel="00000000" w:rsidP="00000000" w:rsidRDefault="00000000" w:rsidRPr="00000000" w14:paraId="0000007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administrative systems are weak in the case of Mr. Ahmed, as he missed the visit. This can create a detriment of delay in care and health hazards. Nevertheless, coordination and the number of errors can be enhanced by the introduction of digital record systems and regular monitoring. According to </w:t>
      </w:r>
      <w:r w:rsidDel="00000000" w:rsidR="00000000" w:rsidRPr="00000000">
        <w:rPr>
          <w:rFonts w:ascii="Arial" w:cs="Arial" w:eastAsia="Arial" w:hAnsi="Arial"/>
          <w:color w:val="000000"/>
          <w:sz w:val="22"/>
          <w:szCs w:val="22"/>
          <w:rtl w:val="0"/>
        </w:rPr>
        <w:t xml:space="preserve">(Zaabar </w:t>
      </w:r>
      <w:r w:rsidDel="00000000" w:rsidR="00000000" w:rsidRPr="00000000">
        <w:rPr>
          <w:rFonts w:ascii="Arial" w:cs="Arial" w:eastAsia="Arial" w:hAnsi="Arial"/>
          <w:i w:val="1"/>
          <w:iCs w:val="1"/>
          <w:color w:val="000000"/>
          <w:sz w:val="22"/>
          <w:szCs w:val="22"/>
          <w:rtl w:val="0"/>
        </w:rPr>
        <w:t xml:space="preserve">et al.</w:t>
      </w:r>
      <w:r w:rsidDel="00000000" w:rsidR="00000000" w:rsidRPr="00000000">
        <w:rPr>
          <w:rFonts w:ascii="Arial" w:cs="Arial" w:eastAsia="Arial" w:hAnsi="Arial"/>
          <w:color w:val="000000"/>
          <w:sz w:val="22"/>
          <w:szCs w:val="22"/>
          <w:rtl w:val="0"/>
        </w:rPr>
        <w:t xml:space="preserve">, 2021)</w:t>
      </w:r>
      <w:r w:rsidDel="00000000" w:rsidR="00000000" w:rsidRPr="00000000">
        <w:rPr>
          <w:rFonts w:ascii="Arial" w:cs="Arial" w:eastAsia="Arial" w:hAnsi="Arial"/>
          <w:sz w:val="22"/>
          <w:szCs w:val="22"/>
          <w:rtl w:val="0"/>
        </w:rPr>
        <w:t xml:space="preserve">Electronic records will help to increase patient safety and make information easily accessible to every involved professional. It proves the relevance of contemporary administrative systems in enhancing healthcare outcomes.</w:t>
      </w:r>
    </w:p>
    <w:p w:rsidR="00000000" w:rsidDel="00000000" w:rsidP="00000000" w:rsidRDefault="00000000" w:rsidRPr="00000000" w14:paraId="0000007D">
      <w:pPr>
        <w:pStyle w:val="Heading1"/>
        <w:numPr>
          <w:ilvl w:val="0"/>
          <w:numId w:val="1"/>
        </w:numPr>
        <w:spacing w:line="360" w:lineRule="auto"/>
        <w:ind w:left="720" w:hanging="360"/>
        <w:rPr>
          <w:rFonts w:ascii="Arial" w:cs="Arial" w:eastAsia="Arial" w:hAnsi="Arial"/>
          <w:b w:val="1"/>
          <w:bCs w:val="1"/>
          <w:color w:val="000000"/>
          <w:sz w:val="22"/>
          <w:szCs w:val="22"/>
        </w:rPr>
      </w:pPr>
      <w:bookmarkStart w:colFirst="0" w:colLast="0" w:name="_heading=h.iib52rhcpp3q" w:id="15"/>
      <w:bookmarkEnd w:id="15"/>
      <w:r w:rsidDel="00000000" w:rsidR="00000000" w:rsidRPr="00000000">
        <w:rPr>
          <w:rFonts w:ascii="Arial" w:cs="Arial" w:eastAsia="Arial" w:hAnsi="Arial"/>
          <w:b w:val="1"/>
          <w:bCs w:val="1"/>
          <w:color w:val="000000"/>
          <w:sz w:val="22"/>
          <w:szCs w:val="22"/>
          <w:rtl w:val="0"/>
        </w:rPr>
        <w:t xml:space="preserve">Multi-Agency Working in Health and Social Care</w:t>
      </w:r>
    </w:p>
    <w:p w:rsidR="00000000" w:rsidDel="00000000" w:rsidP="00000000" w:rsidRDefault="00000000" w:rsidRPr="00000000" w14:paraId="0000007E">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i7yzdunpqs0g" w:id="16"/>
      <w:bookmarkEnd w:id="16"/>
      <w:r w:rsidDel="00000000" w:rsidR="00000000" w:rsidRPr="00000000">
        <w:rPr>
          <w:rFonts w:ascii="Arial" w:cs="Arial" w:eastAsia="Arial" w:hAnsi="Arial"/>
          <w:b w:val="1"/>
          <w:bCs w:val="1"/>
          <w:color w:val="000000"/>
          <w:sz w:val="22"/>
          <w:szCs w:val="22"/>
          <w:rtl w:val="0"/>
        </w:rPr>
        <w:t xml:space="preserve">Importance of Collaborative Working</w:t>
      </w:r>
    </w:p>
    <w:p w:rsidR="00000000" w:rsidDel="00000000" w:rsidP="00000000" w:rsidRDefault="00000000" w:rsidRPr="00000000" w14:paraId="0000007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Multi-agency working is a collaboration between various professionals in the delivery of comprehensive care. The interaction between the GP, nurse, careers and the therapist in the case of Mr. Ahmed would make sure that every area of his care is covered. This can result in enhanced health conditions and life quality. Nevertheless, successful teamwork entails excellent communication, respect, and effective coordination among all the members of the team.</w:t>
      </w:r>
    </w:p>
    <w:p w:rsidR="00000000" w:rsidDel="00000000" w:rsidP="00000000" w:rsidRDefault="00000000" w:rsidRPr="00000000" w14:paraId="00000080">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946j5q6wjbhd" w:id="17"/>
      <w:bookmarkEnd w:id="17"/>
      <w:r w:rsidDel="00000000" w:rsidR="00000000" w:rsidRPr="00000000">
        <w:rPr>
          <w:rFonts w:ascii="Arial" w:cs="Arial" w:eastAsia="Arial" w:hAnsi="Arial"/>
          <w:b w:val="1"/>
          <w:bCs w:val="1"/>
          <w:color w:val="000000"/>
          <w:sz w:val="22"/>
          <w:szCs w:val="22"/>
          <w:rtl w:val="0"/>
        </w:rPr>
        <w:t xml:space="preserve">Approaches to Effective Teamwork</w:t>
      </w:r>
    </w:p>
    <w:p w:rsidR="00000000" w:rsidDel="00000000" w:rsidP="00000000" w:rsidRDefault="00000000" w:rsidRPr="00000000" w14:paraId="0000008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Successful teamwork involves common objectives, roles, and frequent interactions. In the case of Mr. Ahmed, the care planning meetings and information sharing are necessary in the coordination of care. Nevertheless, teamwork also has a drawback since the disparities in professional views can cause conflict or misunderstanding. As a consequence, there must be effective collaboration by having clear leadership and structured communication.</w:t>
      </w:r>
    </w:p>
    <w:p w:rsidR="00000000" w:rsidDel="00000000" w:rsidP="00000000" w:rsidRDefault="00000000" w:rsidRPr="00000000" w14:paraId="00000082">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i5zd5kgsegwa" w:id="18"/>
      <w:bookmarkEnd w:id="18"/>
      <w:r w:rsidDel="00000000" w:rsidR="00000000" w:rsidRPr="00000000">
        <w:rPr>
          <w:rFonts w:ascii="Arial" w:cs="Arial" w:eastAsia="Arial" w:hAnsi="Arial"/>
          <w:b w:val="1"/>
          <w:bCs w:val="1"/>
          <w:color w:val="000000"/>
          <w:sz w:val="22"/>
          <w:szCs w:val="22"/>
          <w:rtl w:val="0"/>
        </w:rPr>
        <w:t xml:space="preserve">Challenges in Multi-Agency Working</w:t>
      </w:r>
    </w:p>
    <w:p w:rsidR="00000000" w:rsidDel="00000000" w:rsidP="00000000" w:rsidRDefault="00000000" w:rsidRPr="00000000" w14:paraId="0000008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a tough task because multi-agency working can suffer due to breakdowns in communication, role confusion, and the absence of information sharing. In the situation of Mr. Ahmed, the problem of language barriers and coordination might have led to the missed visit. This can result in a lapse in care, redundancy of services, and a greater risk to the patient. Also, the dissimilarities in organizational systems can make collaboration even more problematic.</w:t>
      </w:r>
    </w:p>
    <w:p w:rsidR="00000000" w:rsidDel="00000000" w:rsidP="00000000" w:rsidRDefault="00000000" w:rsidRPr="00000000" w14:paraId="00000084">
      <w:pPr>
        <w:pStyle w:val="Heading2"/>
        <w:numPr>
          <w:ilvl w:val="1"/>
          <w:numId w:val="1"/>
        </w:numPr>
        <w:spacing w:line="360" w:lineRule="auto"/>
        <w:ind w:left="765" w:hanging="405"/>
        <w:rPr>
          <w:rFonts w:ascii="Arial" w:cs="Arial" w:eastAsia="Arial" w:hAnsi="Arial"/>
          <w:b w:val="1"/>
          <w:bCs w:val="1"/>
          <w:color w:val="000000"/>
          <w:sz w:val="22"/>
          <w:szCs w:val="22"/>
        </w:rPr>
      </w:pPr>
      <w:bookmarkStart w:colFirst="0" w:colLast="0" w:name="_heading=h.37gsp68cc0zj" w:id="19"/>
      <w:bookmarkEnd w:id="19"/>
      <w:r w:rsidDel="00000000" w:rsidR="00000000" w:rsidRPr="00000000">
        <w:rPr>
          <w:rFonts w:ascii="Arial" w:cs="Arial" w:eastAsia="Arial" w:hAnsi="Arial"/>
          <w:b w:val="1"/>
          <w:bCs w:val="1"/>
          <w:color w:val="000000"/>
          <w:sz w:val="22"/>
          <w:szCs w:val="22"/>
          <w:rtl w:val="0"/>
        </w:rPr>
        <w:t xml:space="preserve">Strategies for Improvement</w:t>
      </w:r>
    </w:p>
    <w:p w:rsidR="00000000" w:rsidDel="00000000" w:rsidP="00000000" w:rsidRDefault="00000000" w:rsidRPr="00000000" w14:paraId="0000008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enhance teamwork, the organizations are to adopt common systems, open communication channels, and teamwork training. In the case of Mr. Ahmed, coordination may be improved with the help of the use of digital records and team meetings. Nevertheless, it is important to monitor and evaluate regularly to be effective. The culture of collaborating with other agencies can also be enhanced with the promotion of a culture of teamwork and accountability.</w:t>
      </w:r>
    </w:p>
    <w:p w:rsidR="00000000" w:rsidDel="00000000" w:rsidP="00000000" w:rsidRDefault="00000000" w:rsidRPr="00000000" w14:paraId="0000008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keepNext w:val="1"/>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762500" cy="4238625"/>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762500" cy="4238625"/>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v47fbq6btuew" w:id="20"/>
      <w:bookmarkEnd w:id="20"/>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3 Roles of Healthcare Professionals in Multidisciplinary Teams</w:t>
      </w:r>
    </w:p>
    <w:p w:rsidR="00000000" w:rsidDel="00000000" w:rsidP="00000000" w:rsidRDefault="00000000" w:rsidRPr="00000000" w14:paraId="00000089">
      <w:pPr>
        <w:pStyle w:val="Heading1"/>
        <w:numPr>
          <w:ilvl w:val="0"/>
          <w:numId w:val="1"/>
        </w:numPr>
        <w:spacing w:line="360" w:lineRule="auto"/>
        <w:ind w:left="720" w:hanging="360"/>
        <w:rPr>
          <w:rFonts w:ascii="Arial" w:cs="Arial" w:eastAsia="Arial" w:hAnsi="Arial"/>
          <w:b w:val="1"/>
          <w:bCs w:val="1"/>
          <w:color w:val="000000"/>
          <w:sz w:val="22"/>
          <w:szCs w:val="22"/>
        </w:rPr>
      </w:pPr>
      <w:bookmarkStart w:colFirst="0" w:colLast="0" w:name="_heading=h.yj0g2bqpx73z" w:id="21"/>
      <w:bookmarkEnd w:id="21"/>
      <w:r w:rsidDel="00000000" w:rsidR="00000000" w:rsidRPr="00000000">
        <w:rPr>
          <w:rFonts w:ascii="Arial" w:cs="Arial" w:eastAsia="Arial" w:hAnsi="Arial"/>
          <w:b w:val="1"/>
          <w:bCs w:val="1"/>
          <w:color w:val="000000"/>
          <w:sz w:val="22"/>
          <w:szCs w:val="22"/>
          <w:rtl w:val="0"/>
        </w:rPr>
        <w:t xml:space="preserve">Conclusion</w:t>
      </w:r>
    </w:p>
    <w:p w:rsidR="00000000" w:rsidDel="00000000" w:rsidP="00000000" w:rsidRDefault="00000000" w:rsidRPr="00000000" w14:paraId="0000008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summarize, to provide high-quality and safe care, effective communication, administrative skills, and multi-agency working are required. The lack of communication in the case of Mr. Ahmed points to the necessity of the strategies and legal adherence to the requirements of the Equality Act 2010. Adequate record-keeping is part of the administrative practices that are crucial in ensuring that mistakes are avoided, as seen in the case of the missed medication incident. The collaboration between agencies helps provide holistic care, but issues have to be overcome by providing better systems and collaboration. All in all, the implementation of these principles can have a great effect on patient outcomes, the quality of service, and person-centered care.</w:t>
      </w:r>
    </w:p>
    <w:p w:rsidR="00000000" w:rsidDel="00000000" w:rsidP="00000000" w:rsidRDefault="00000000" w:rsidRPr="00000000" w14:paraId="0000008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360" w:lineRule="auto"/>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AC">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D">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Collings-Hughes, D., Townsend, R. and Williams, B. (2022) “Professional codes of conduct: A scoping review,” </w:t>
      </w:r>
      <w:r w:rsidDel="00000000" w:rsidR="00000000" w:rsidRPr="00000000">
        <w:rPr>
          <w:rFonts w:ascii="Arial" w:cs="Arial" w:eastAsia="Arial" w:hAnsi="Arial"/>
          <w:i w:val="1"/>
          <w:iCs w:val="1"/>
          <w:color w:val="000000"/>
          <w:sz w:val="22"/>
          <w:szCs w:val="22"/>
          <w:rtl w:val="0"/>
        </w:rPr>
        <w:t xml:space="preserve">Nursing Ethics</w:t>
      </w:r>
      <w:r w:rsidDel="00000000" w:rsidR="00000000" w:rsidRPr="00000000">
        <w:rPr>
          <w:rFonts w:ascii="Arial" w:cs="Arial" w:eastAsia="Arial" w:hAnsi="Arial"/>
          <w:color w:val="000000"/>
          <w:sz w:val="22"/>
          <w:szCs w:val="22"/>
          <w:rtl w:val="0"/>
        </w:rPr>
        <w:t xml:space="preserve">, 29(1), pp. 19–34. Available at: https://doi.org/10.1177/09697330211008634.</w:t>
      </w:r>
    </w:p>
    <w:p w:rsidR="00000000" w:rsidDel="00000000" w:rsidP="00000000" w:rsidRDefault="00000000" w:rsidRPr="00000000" w14:paraId="000000AE">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McLaney, E. </w:t>
      </w:r>
      <w:r w:rsidDel="00000000" w:rsidR="00000000" w:rsidRPr="00000000">
        <w:rPr>
          <w:rFonts w:ascii="Arial" w:cs="Arial" w:eastAsia="Arial" w:hAnsi="Arial"/>
          <w:i w:val="1"/>
          <w:iCs w:val="1"/>
          <w:color w:val="000000"/>
          <w:sz w:val="22"/>
          <w:szCs w:val="22"/>
          <w:rtl w:val="0"/>
        </w:rPr>
        <w:t xml:space="preserve">et al.</w:t>
      </w:r>
      <w:r w:rsidDel="00000000" w:rsidR="00000000" w:rsidRPr="00000000">
        <w:rPr>
          <w:rFonts w:ascii="Arial" w:cs="Arial" w:eastAsia="Arial" w:hAnsi="Arial"/>
          <w:color w:val="000000"/>
          <w:sz w:val="22"/>
          <w:szCs w:val="22"/>
          <w:rtl w:val="0"/>
        </w:rPr>
        <w:t xml:space="preserve"> (2022) “A framework for interprofessional team collaboration in a hospital setting: Advancing team competencies and behaviours,” </w:t>
      </w:r>
      <w:r w:rsidDel="00000000" w:rsidR="00000000" w:rsidRPr="00000000">
        <w:rPr>
          <w:rFonts w:ascii="Arial" w:cs="Arial" w:eastAsia="Arial" w:hAnsi="Arial"/>
          <w:i w:val="1"/>
          <w:iCs w:val="1"/>
          <w:color w:val="000000"/>
          <w:sz w:val="22"/>
          <w:szCs w:val="22"/>
          <w:rtl w:val="0"/>
        </w:rPr>
        <w:t xml:space="preserve">Healthcare Management Forum</w:t>
      </w:r>
      <w:r w:rsidDel="00000000" w:rsidR="00000000" w:rsidRPr="00000000">
        <w:rPr>
          <w:rFonts w:ascii="Arial" w:cs="Arial" w:eastAsia="Arial" w:hAnsi="Arial"/>
          <w:color w:val="000000"/>
          <w:sz w:val="22"/>
          <w:szCs w:val="22"/>
          <w:rtl w:val="0"/>
        </w:rPr>
        <w:t xml:space="preserve">, 35(2), pp. 112–117. Available at: https://doi.org/10.1177/08404704211063584.</w:t>
      </w:r>
    </w:p>
    <w:p w:rsidR="00000000" w:rsidDel="00000000" w:rsidP="00000000" w:rsidRDefault="00000000" w:rsidRPr="00000000" w14:paraId="000000AF">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Phillips, B. (2021) “UK further education sector journey to compliance with the general data protection regulation and the data protection act 2018,” </w:t>
      </w:r>
      <w:r w:rsidDel="00000000" w:rsidR="00000000" w:rsidRPr="00000000">
        <w:rPr>
          <w:rFonts w:ascii="Arial" w:cs="Arial" w:eastAsia="Arial" w:hAnsi="Arial"/>
          <w:i w:val="1"/>
          <w:iCs w:val="1"/>
          <w:color w:val="000000"/>
          <w:sz w:val="22"/>
          <w:szCs w:val="22"/>
          <w:rtl w:val="0"/>
        </w:rPr>
        <w:t xml:space="preserve">Computer Law &amp; Security Review</w:t>
      </w:r>
      <w:r w:rsidDel="00000000" w:rsidR="00000000" w:rsidRPr="00000000">
        <w:rPr>
          <w:rFonts w:ascii="Arial" w:cs="Arial" w:eastAsia="Arial" w:hAnsi="Arial"/>
          <w:color w:val="000000"/>
          <w:sz w:val="22"/>
          <w:szCs w:val="22"/>
          <w:rtl w:val="0"/>
        </w:rPr>
        <w:t xml:space="preserve">, 42, p. 105586. Available at: </w:t>
      </w:r>
      <w:hyperlink r:id="rId11">
        <w:r w:rsidDel="00000000" w:rsidR="00000000" w:rsidRPr="00000000">
          <w:rPr>
            <w:rFonts w:ascii="Arial" w:cs="Arial" w:eastAsia="Arial" w:hAnsi="Arial"/>
            <w:color w:val="467886"/>
            <w:sz w:val="22"/>
            <w:szCs w:val="22"/>
            <w:u w:val="single"/>
            <w:rtl w:val="0"/>
          </w:rPr>
          <w:t xml:space="preserve">https://doi.org/10.1016/j.clsr.2021.105586</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0B0">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Reeves, S. et al. (2021) </w:t>
      </w:r>
      <w:r w:rsidDel="00000000" w:rsidR="00000000" w:rsidRPr="00000000">
        <w:rPr>
          <w:rFonts w:ascii="Arial" w:cs="Arial" w:eastAsia="Arial" w:hAnsi="Arial"/>
          <w:i w:val="1"/>
          <w:iCs w:val="1"/>
          <w:sz w:val="22"/>
          <w:szCs w:val="22"/>
          <w:rtl w:val="0"/>
        </w:rPr>
        <w:t xml:space="preserve">Interprofessional Teamwork for Health and Social Care</w:t>
      </w:r>
      <w:r w:rsidDel="00000000" w:rsidR="00000000" w:rsidRPr="00000000">
        <w:rPr>
          <w:rFonts w:ascii="Arial" w:cs="Arial" w:eastAsia="Arial" w:hAnsi="Arial"/>
          <w:sz w:val="22"/>
          <w:szCs w:val="22"/>
          <w:rtl w:val="0"/>
        </w:rPr>
        <w:t xml:space="preserve">. Oxford: Wiley-Blackwell.</w:t>
      </w:r>
      <w:r w:rsidDel="00000000" w:rsidR="00000000" w:rsidRPr="00000000">
        <w:rPr>
          <w:rtl w:val="0"/>
        </w:rPr>
      </w:r>
    </w:p>
    <w:p w:rsidR="00000000" w:rsidDel="00000000" w:rsidP="00000000" w:rsidRDefault="00000000" w:rsidRPr="00000000" w14:paraId="000000B1">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Schnurr, S. (2024). “Exploring Professional Communication,” </w:t>
      </w:r>
      <w:r w:rsidDel="00000000" w:rsidR="00000000" w:rsidRPr="00000000">
        <w:rPr>
          <w:rFonts w:ascii="Arial" w:cs="Arial" w:eastAsia="Arial" w:hAnsi="Arial"/>
          <w:i w:val="1"/>
          <w:iCs w:val="1"/>
          <w:color w:val="000000"/>
          <w:sz w:val="22"/>
          <w:szCs w:val="22"/>
          <w:rtl w:val="0"/>
        </w:rPr>
        <w:t xml:space="preserve">Exploring Professional Communication</w:t>
      </w:r>
      <w:r w:rsidDel="00000000" w:rsidR="00000000" w:rsidRPr="00000000">
        <w:rPr>
          <w:rFonts w:ascii="Arial" w:cs="Arial" w:eastAsia="Arial" w:hAnsi="Arial"/>
          <w:color w:val="000000"/>
          <w:sz w:val="22"/>
          <w:szCs w:val="22"/>
          <w:rtl w:val="0"/>
        </w:rPr>
        <w:t xml:space="preserve"> [Preprint]. Available at: https://doi.org/10.4324/9781003379614.</w:t>
      </w:r>
    </w:p>
    <w:p w:rsidR="00000000" w:rsidDel="00000000" w:rsidP="00000000" w:rsidRDefault="00000000" w:rsidRPr="00000000" w14:paraId="000000B2">
      <w:pPr>
        <w:spacing w:line="360" w:lineRule="auto"/>
        <w:ind w:left="720" w:hanging="72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Zaabar, B. </w:t>
      </w:r>
      <w:r w:rsidDel="00000000" w:rsidR="00000000" w:rsidRPr="00000000">
        <w:rPr>
          <w:rFonts w:ascii="Arial" w:cs="Arial" w:eastAsia="Arial" w:hAnsi="Arial"/>
          <w:i w:val="1"/>
          <w:iCs w:val="1"/>
          <w:color w:val="000000"/>
          <w:sz w:val="22"/>
          <w:szCs w:val="22"/>
          <w:rtl w:val="0"/>
        </w:rPr>
        <w:t xml:space="preserve">et al.</w:t>
      </w:r>
      <w:r w:rsidDel="00000000" w:rsidR="00000000" w:rsidRPr="00000000">
        <w:rPr>
          <w:rFonts w:ascii="Arial" w:cs="Arial" w:eastAsia="Arial" w:hAnsi="Arial"/>
          <w:color w:val="000000"/>
          <w:sz w:val="22"/>
          <w:szCs w:val="22"/>
          <w:rtl w:val="0"/>
        </w:rPr>
        <w:t xml:space="preserve"> (2021) “HealthBlock: A secure blockchain-based healthcare data management system,” </w:t>
      </w:r>
      <w:r w:rsidDel="00000000" w:rsidR="00000000" w:rsidRPr="00000000">
        <w:rPr>
          <w:rFonts w:ascii="Arial" w:cs="Arial" w:eastAsia="Arial" w:hAnsi="Arial"/>
          <w:i w:val="1"/>
          <w:iCs w:val="1"/>
          <w:color w:val="000000"/>
          <w:sz w:val="22"/>
          <w:szCs w:val="22"/>
          <w:rtl w:val="0"/>
        </w:rPr>
        <w:t xml:space="preserve">Computer Networks</w:t>
      </w:r>
      <w:r w:rsidDel="00000000" w:rsidR="00000000" w:rsidRPr="00000000">
        <w:rPr>
          <w:rFonts w:ascii="Arial" w:cs="Arial" w:eastAsia="Arial" w:hAnsi="Arial"/>
          <w:color w:val="000000"/>
          <w:sz w:val="22"/>
          <w:szCs w:val="22"/>
          <w:rtl w:val="0"/>
        </w:rPr>
        <w:t xml:space="preserve">, 200, p. 108500. Available at: https://doi.org/10.1016/j.comnet.2021.108500.</w:t>
      </w:r>
    </w:p>
    <w:p w:rsidR="00000000" w:rsidDel="00000000" w:rsidP="00000000" w:rsidRDefault="00000000" w:rsidRPr="00000000" w14:paraId="000000B3">
      <w:pPr>
        <w:spacing w:line="360" w:lineRule="auto"/>
        <w:ind w:left="720" w:hanging="720"/>
        <w:rPr>
          <w:rFonts w:ascii="Arial" w:cs="Arial" w:eastAsia="Arial" w:hAnsi="Arial"/>
          <w:sz w:val="22"/>
          <w:szCs w:val="22"/>
        </w:rPr>
      </w:pPr>
      <w:bookmarkStart w:colFirst="0" w:colLast="0" w:name="_heading=h.z4ceu410xubx" w:id="22"/>
      <w:bookmarkEnd w:id="22"/>
      <w:r w:rsidDel="00000000" w:rsidR="00000000" w:rsidRPr="00000000">
        <w:rPr>
          <w:rFonts w:ascii="Arial" w:cs="Arial" w:eastAsia="Arial" w:hAnsi="Arial"/>
          <w:color w:val="000000"/>
          <w:sz w:val="22"/>
          <w:szCs w:val="22"/>
          <w:rtl w:val="0"/>
        </w:rPr>
        <w:t xml:space="preserve"> </w:t>
      </w:r>
      <w:r w:rsidDel="00000000" w:rsidR="00000000" w:rsidRPr="00000000">
        <w:rPr>
          <w:rtl w:val="0"/>
        </w:rPr>
      </w:r>
    </w:p>
    <w:sectPr>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Times New Roman"/>
  <w:font w:name="Play">
    <w:embedRegular w:fontKey="{00000000-0000-0000-0000-000000000000}" r:id="rId1" w:subsetted="0"/>
    <w:embedBold w:fontKey="{00000000-0000-0000-0000-000000000000}" r:id="rId2" w:subsetted="0"/>
  </w:font>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1.%2"/>
      <w:lvlJc w:val="left"/>
      <w:pPr>
        <w:ind w:left="765" w:hanging="405"/>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2160"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27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b w:val="1"/>
      <w:bCs w:val="1"/>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pPr>
      <w:keepNext w:val="1"/>
      <w:keepLines w:val="1"/>
      <w:outlineLvl w:val="7"/>
    </w:pPr>
    <w:rPr>
      <w:rFonts w:asciiTheme="minorHAnsi" w:cstheme="majorBidi" w:eastAsiaTheme="majorEastAsia" w:hAnsiTheme="minorHAnsi"/>
      <w:i w:val="1"/>
      <w:iCs w:val="1"/>
      <w:color w:val="262626" w:themeColor="text1" w:themeTint="0000D9"/>
    </w:rPr>
  </w:style>
  <w:style w:type="paragraph" w:styleId="Heading9">
    <w:name w:val="heading 9"/>
    <w:basedOn w:val="Normal"/>
    <w:next w:val="Normal"/>
    <w:link w:val="Heading9Char"/>
    <w:uiPriority w:val="9"/>
    <w:semiHidden w:val="1"/>
    <w:unhideWhenUsed w:val="1"/>
    <w:qFormat w:val="1"/>
    <w:pPr>
      <w:keepNext w:val="1"/>
      <w:keepLines w:val="1"/>
      <w:outlineLvl w:val="8"/>
    </w:pPr>
    <w:rPr>
      <w:rFonts w:asciiTheme="minorHAnsi" w:cstheme="majorBidi" w:eastAsiaTheme="majorEastAsia" w:hAnsiTheme="minorHAnsi"/>
      <w:color w:val="262626" w:themeColor="text1" w:themeTint="0000D9"/>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qFormat w:val="1"/>
    <w:rPr>
      <w:rFonts w:asciiTheme="majorHAnsi" w:cstheme="majorBidi" w:eastAsiaTheme="majorEastAsia" w:hAnsiTheme="majorHAnsi"/>
      <w:b w:val="1"/>
      <w:color w:val="0f4761" w:themeColor="accent1" w:themeShade="0000BF"/>
      <w:sz w:val="40"/>
      <w:szCs w:val="40"/>
      <w:lang w:eastAsia="en-GB" w:val="en"/>
    </w:rPr>
  </w:style>
  <w:style w:type="character" w:styleId="Heading2Char" w:customStyle="1">
    <w:name w:val="Heading 2 Char"/>
    <w:basedOn w:val="DefaultParagraphFont"/>
    <w:link w:val="Heading2"/>
    <w:uiPriority w:val="9"/>
    <w:qFormat w:val="1"/>
    <w:rPr>
      <w:rFonts w:asciiTheme="majorHAnsi" w:cstheme="majorBidi" w:eastAsiaTheme="majorEastAsia" w:hAnsiTheme="majorHAnsi"/>
      <w:color w:val="0f4761" w:themeColor="accent1" w:themeShade="0000BF"/>
      <w:sz w:val="32"/>
      <w:szCs w:val="32"/>
      <w:lang w:eastAsia="en-GB" w:val="en"/>
    </w:rPr>
  </w:style>
  <w:style w:type="character" w:styleId="Heading3Char" w:customStyle="1">
    <w:name w:val="Heading 3 Char"/>
    <w:basedOn w:val="DefaultParagraphFont"/>
    <w:link w:val="Heading3"/>
    <w:uiPriority w:val="9"/>
    <w:qFormat w:val="1"/>
    <w:rPr>
      <w:rFonts w:cstheme="majorBidi" w:eastAsiaTheme="majorEastAsia"/>
      <w:color w:val="0f4761" w:themeColor="accent1" w:themeShade="0000BF"/>
      <w:sz w:val="28"/>
      <w:szCs w:val="28"/>
      <w:lang w:eastAsia="en-GB" w:val="en"/>
    </w:rPr>
  </w:style>
  <w:style w:type="character" w:styleId="Heading4Char" w:customStyle="1">
    <w:name w:val="Heading 4 Char"/>
    <w:basedOn w:val="DefaultParagraphFont"/>
    <w:link w:val="Heading4"/>
    <w:uiPriority w:val="9"/>
    <w:semiHidden w:val="1"/>
    <w:qFormat w:val="1"/>
    <w:rPr>
      <w:rFonts w:cstheme="majorBidi" w:eastAsiaTheme="majorEastAsia"/>
      <w:i w:val="1"/>
      <w:iCs w:val="1"/>
      <w:color w:val="0f4761" w:themeColor="accent1" w:themeShade="0000BF"/>
      <w:sz w:val="24"/>
      <w:lang w:eastAsia="en-GB" w:val="en"/>
    </w:rPr>
  </w:style>
  <w:style w:type="character" w:styleId="Heading5Char" w:customStyle="1">
    <w:name w:val="Heading 5 Char"/>
    <w:basedOn w:val="DefaultParagraphFont"/>
    <w:link w:val="Heading5"/>
    <w:uiPriority w:val="9"/>
    <w:semiHidden w:val="1"/>
    <w:qFormat w:val="1"/>
    <w:rPr>
      <w:rFonts w:cstheme="majorBidi" w:eastAsiaTheme="majorEastAsia"/>
      <w:color w:val="0f4761" w:themeColor="accent1" w:themeShade="0000BF"/>
      <w:sz w:val="24"/>
      <w:lang w:eastAsia="en-GB" w:val="en"/>
    </w:rPr>
  </w:style>
  <w:style w:type="character" w:styleId="Heading6Char" w:customStyle="1">
    <w:name w:val="Heading 6 Char"/>
    <w:basedOn w:val="DefaultParagraphFont"/>
    <w:link w:val="Heading6"/>
    <w:uiPriority w:val="9"/>
    <w:semiHidden w:val="1"/>
    <w:qFormat w:val="1"/>
    <w:rPr>
      <w:rFonts w:cstheme="majorBidi" w:eastAsiaTheme="majorEastAsia"/>
      <w:i w:val="1"/>
      <w:iCs w:val="1"/>
      <w:color w:val="595959" w:themeColor="text1" w:themeTint="0000A6"/>
      <w:sz w:val="24"/>
      <w:lang w:eastAsia="en-GB" w:val="en"/>
    </w:rPr>
  </w:style>
  <w:style w:type="character" w:styleId="Heading7Char" w:customStyle="1">
    <w:name w:val="Heading 7 Char"/>
    <w:basedOn w:val="DefaultParagraphFont"/>
    <w:link w:val="Heading7"/>
    <w:uiPriority w:val="9"/>
    <w:semiHidden w:val="1"/>
    <w:qFormat w:val="1"/>
    <w:rPr>
      <w:rFonts w:cstheme="majorBidi" w:eastAsiaTheme="majorEastAsia"/>
      <w:color w:val="595959" w:themeColor="text1" w:themeTint="0000A6"/>
      <w:sz w:val="24"/>
      <w:lang w:eastAsia="en-GB" w:val="en"/>
    </w:rPr>
  </w:style>
  <w:style w:type="character" w:styleId="Heading8Char" w:customStyle="1">
    <w:name w:val="Heading 8 Char"/>
    <w:basedOn w:val="DefaultParagraphFont"/>
    <w:link w:val="Heading8"/>
    <w:uiPriority w:val="9"/>
    <w:semiHidden w:val="1"/>
    <w:qFormat w:val="1"/>
    <w:rPr>
      <w:rFonts w:cstheme="majorBidi" w:eastAsiaTheme="majorEastAsia"/>
      <w:i w:val="1"/>
      <w:iCs w:val="1"/>
      <w:color w:val="262626" w:themeColor="text1" w:themeTint="0000D9"/>
      <w:sz w:val="24"/>
      <w:lang w:eastAsia="en-GB" w:val="en"/>
    </w:rPr>
  </w:style>
  <w:style w:type="character" w:styleId="Heading9Char" w:customStyle="1">
    <w:name w:val="Heading 9 Char"/>
    <w:basedOn w:val="DefaultParagraphFont"/>
    <w:link w:val="Heading9"/>
    <w:uiPriority w:val="9"/>
    <w:semiHidden w:val="1"/>
    <w:qFormat w:val="1"/>
    <w:rPr>
      <w:rFonts w:cstheme="majorBidi" w:eastAsiaTheme="majorEastAsia"/>
      <w:color w:val="262626" w:themeColor="text1" w:themeTint="0000D9"/>
      <w:sz w:val="24"/>
      <w:lang w:eastAsia="en-GB" w:val="en"/>
    </w:rPr>
  </w:style>
  <w:style w:type="paragraph" w:styleId="Caption">
    <w:name w:val="caption"/>
    <w:basedOn w:val="Normal"/>
    <w:next w:val="Normal"/>
    <w:uiPriority w:val="35"/>
    <w:unhideWhenUsed w:val="1"/>
    <w:qFormat w:val="1"/>
    <w:pPr>
      <w:spacing w:after="200" w:line="240" w:lineRule="auto"/>
    </w:pPr>
    <w:rPr>
      <w:i w:val="1"/>
      <w:iCs w:val="1"/>
      <w:color w:val="0e2841" w:themeColor="text2"/>
      <w:sz w:val="18"/>
      <w:szCs w:val="18"/>
    </w:rPr>
  </w:style>
  <w:style w:type="character" w:styleId="Emphasis">
    <w:name w:val="Emphasis"/>
    <w:basedOn w:val="DefaultParagraphFont"/>
    <w:uiPriority w:val="20"/>
    <w:qFormat w:val="1"/>
    <w:rPr>
      <w:i w:val="1"/>
      <w:iCs w:val="1"/>
    </w:rPr>
  </w:style>
  <w:style w:type="paragraph" w:styleId="Footer">
    <w:name w:val="footer"/>
    <w:basedOn w:val="Normal"/>
    <w:link w:val="FooterChar"/>
    <w:uiPriority w:val="99"/>
    <w:unhideWhenUsed w:val="1"/>
    <w:qFormat w:val="1"/>
    <w:pPr>
      <w:tabs>
        <w:tab w:val="center" w:pos="4513"/>
        <w:tab w:val="right" w:pos="9026"/>
      </w:tabs>
      <w:spacing w:line="240" w:lineRule="auto"/>
    </w:pPr>
  </w:style>
  <w:style w:type="character" w:styleId="FooterChar" w:customStyle="1">
    <w:name w:val="Footer Char"/>
    <w:basedOn w:val="DefaultParagraphFont"/>
    <w:link w:val="Footer"/>
    <w:uiPriority w:val="99"/>
    <w:qFormat w:val="1"/>
    <w:rPr>
      <w:rFonts w:ascii="Times New Roman" w:cs="Arial" w:hAnsi="Times New Roman"/>
      <w:sz w:val="24"/>
      <w:lang w:eastAsia="en-GB" w:val="en"/>
    </w:rPr>
  </w:style>
  <w:style w:type="paragraph" w:styleId="Header">
    <w:name w:val="header"/>
    <w:basedOn w:val="Normal"/>
    <w:link w:val="HeaderChar"/>
    <w:uiPriority w:val="99"/>
    <w:unhideWhenUsed w:val="1"/>
    <w:qFormat w:val="1"/>
    <w:pPr>
      <w:tabs>
        <w:tab w:val="center" w:pos="4513"/>
        <w:tab w:val="right" w:pos="9026"/>
      </w:tabs>
      <w:spacing w:line="240" w:lineRule="auto"/>
    </w:pPr>
  </w:style>
  <w:style w:type="character" w:styleId="HeaderChar" w:customStyle="1">
    <w:name w:val="Header Char"/>
    <w:basedOn w:val="DefaultParagraphFont"/>
    <w:link w:val="Header"/>
    <w:uiPriority w:val="99"/>
    <w:qFormat w:val="1"/>
    <w:rPr>
      <w:rFonts w:ascii="Times New Roman" w:cs="Arial" w:hAnsi="Times New Roman"/>
      <w:sz w:val="24"/>
      <w:lang w:eastAsia="en-GB" w:val="en"/>
    </w:rPr>
  </w:style>
  <w:style w:type="character" w:styleId="Hyperlink">
    <w:name w:val="Hyperlink"/>
    <w:basedOn w:val="DefaultParagraphFont"/>
    <w:uiPriority w:val="99"/>
    <w:unhideWhenUsed w:val="1"/>
    <w:qFormat w:val="1"/>
    <w:rPr>
      <w:color w:val="467886" w:themeColor="hyperlink"/>
      <w:u w:val="single"/>
    </w:rPr>
  </w:style>
  <w:style w:type="paragraph" w:styleId="NormalWeb">
    <w:name w:val="Normal (Web)"/>
    <w:uiPriority w:val="99"/>
    <w:unhideWhenUsed w:val="1"/>
    <w:pPr>
      <w:spacing w:afterAutospacing="1" w:beforeAutospacing="1"/>
    </w:pPr>
    <w:rPr>
      <w:sz w:val="24"/>
      <w:szCs w:val="24"/>
      <w:lang w:eastAsia="zh-CN" w:val="en-US"/>
    </w:rPr>
  </w:style>
  <w:style w:type="character" w:styleId="Strong">
    <w:name w:val="Strong"/>
    <w:basedOn w:val="DefaultParagraphFont"/>
    <w:uiPriority w:val="22"/>
    <w:qFormat w:val="1"/>
    <w:rPr>
      <w:b w:val="1"/>
      <w:bCs w:val="1"/>
    </w:rPr>
  </w:style>
  <w:style w:type="character" w:styleId="SubtitleChar" w:customStyle="1">
    <w:name w:val="Subtitle Char"/>
    <w:basedOn w:val="DefaultParagraphFont"/>
    <w:link w:val="Subtitle"/>
    <w:uiPriority w:val="11"/>
    <w:qFormat w:val="1"/>
    <w:rPr>
      <w:rFonts w:cstheme="majorBidi" w:eastAsiaTheme="majorEastAsia"/>
      <w:color w:val="595959" w:themeColor="text1" w:themeTint="0000A6"/>
      <w:spacing w:val="15"/>
      <w:sz w:val="28"/>
      <w:szCs w:val="28"/>
      <w:lang w:eastAsia="en-GB" w:val="en"/>
    </w:rPr>
  </w:style>
  <w:style w:type="table" w:styleId="TableGrid">
    <w:name w:val="Table Grid"/>
    <w:basedOn w:val="TableNormal"/>
    <w:uiPriority w:val="39"/>
    <w:qFormat w:val="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ableofFigures">
    <w:name w:val="table of figures"/>
    <w:basedOn w:val="Normal"/>
    <w:next w:val="Normal"/>
    <w:uiPriority w:val="99"/>
    <w:unhideWhenUsed w:val="1"/>
    <w:qFormat w:val="1"/>
  </w:style>
  <w:style w:type="character" w:styleId="TitleChar" w:customStyle="1">
    <w:name w:val="Title Char"/>
    <w:basedOn w:val="DefaultParagraphFont"/>
    <w:link w:val="Title"/>
    <w:uiPriority w:val="10"/>
    <w:qFormat w:val="1"/>
    <w:rPr>
      <w:rFonts w:asciiTheme="majorHAnsi" w:cstheme="majorBidi" w:eastAsiaTheme="majorEastAsia" w:hAnsiTheme="majorHAnsi"/>
      <w:spacing w:val="-10"/>
      <w:kern w:val="28"/>
      <w:sz w:val="56"/>
      <w:szCs w:val="56"/>
      <w:lang w:eastAsia="en-GB" w:val="en"/>
    </w:rPr>
  </w:style>
  <w:style w:type="paragraph" w:styleId="TOC1">
    <w:name w:val="toc 1"/>
    <w:basedOn w:val="Normal"/>
    <w:next w:val="Normal"/>
    <w:autoRedefine w:val="1"/>
    <w:uiPriority w:val="39"/>
    <w:unhideWhenUsed w:val="1"/>
    <w:qFormat w:val="1"/>
    <w:pPr>
      <w:spacing w:after="100"/>
    </w:pPr>
  </w:style>
  <w:style w:type="paragraph" w:styleId="TOC2">
    <w:name w:val="toc 2"/>
    <w:basedOn w:val="Normal"/>
    <w:next w:val="Normal"/>
    <w:autoRedefine w:val="1"/>
    <w:uiPriority w:val="39"/>
    <w:unhideWhenUsed w:val="1"/>
    <w:qFormat w:val="1"/>
    <w:pPr>
      <w:spacing w:after="100"/>
      <w:ind w:left="240"/>
    </w:pPr>
  </w:style>
  <w:style w:type="paragraph" w:styleId="TOC3">
    <w:name w:val="toc 3"/>
    <w:basedOn w:val="Normal"/>
    <w:next w:val="Normal"/>
    <w:autoRedefine w:val="1"/>
    <w:uiPriority w:val="39"/>
    <w:unhideWhenUsed w:val="1"/>
    <w:qFormat w:val="1"/>
    <w:pPr>
      <w:spacing w:after="100"/>
      <w:ind w:left="480"/>
    </w:pPr>
  </w:style>
  <w:style w:type="paragraph" w:styleId="Quote">
    <w:name w:val="Quote"/>
    <w:basedOn w:val="Normal"/>
    <w:next w:val="Normal"/>
    <w:link w:val="QuoteChar"/>
    <w:uiPriority w:val="29"/>
    <w:qFormat w:val="1"/>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qFormat w:val="1"/>
    <w:rPr>
      <w:rFonts w:ascii="Times New Roman" w:cs="Arial" w:hAnsi="Times New Roman"/>
      <w:i w:val="1"/>
      <w:iCs w:val="1"/>
      <w:color w:val="404040" w:themeColor="text1" w:themeTint="0000BF"/>
      <w:sz w:val="24"/>
      <w:lang w:eastAsia="en-GB" w:val="en"/>
    </w:rPr>
  </w:style>
  <w:style w:type="paragraph" w:styleId="ListParagraph">
    <w:name w:val="List Paragraph"/>
    <w:basedOn w:val="Normal"/>
    <w:uiPriority w:val="34"/>
    <w:qFormat w:val="1"/>
    <w:pPr>
      <w:ind w:left="720"/>
      <w:contextualSpacing w:val="1"/>
    </w:pPr>
  </w:style>
  <w:style w:type="character" w:styleId="IntenseEmphasis1" w:customStyle="1">
    <w:name w:val="Intense Emphasis1"/>
    <w:basedOn w:val="DefaultParagraphFont"/>
    <w:uiPriority w:val="21"/>
    <w:qFormat w:val="1"/>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qFormat w:val="1"/>
    <w:rPr>
      <w:rFonts w:ascii="Times New Roman" w:cs="Arial" w:hAnsi="Times New Roman"/>
      <w:i w:val="1"/>
      <w:iCs w:val="1"/>
      <w:color w:val="0f4761" w:themeColor="accent1" w:themeShade="0000BF"/>
      <w:sz w:val="24"/>
      <w:lang w:eastAsia="en-GB" w:val="en"/>
    </w:rPr>
  </w:style>
  <w:style w:type="character" w:styleId="IntenseReference1" w:customStyle="1">
    <w:name w:val="Intense Reference1"/>
    <w:basedOn w:val="DefaultParagraphFont"/>
    <w:uiPriority w:val="32"/>
    <w:qFormat w:val="1"/>
    <w:rPr>
      <w:b w:val="1"/>
      <w:bCs w:val="1"/>
      <w:smallCaps w:val="1"/>
      <w:color w:val="0f4761" w:themeColor="accent1" w:themeShade="0000BF"/>
      <w:spacing w:val="5"/>
    </w:rPr>
  </w:style>
  <w:style w:type="table" w:styleId="GridTable4-Accent41" w:customStyle="1">
    <w:name w:val="Grid Table 4 - Accent 41"/>
    <w:basedOn w:val="TableNormal"/>
    <w:uiPriority w:val="49"/>
    <w:qFormat w:val="1"/>
    <w:tblPr>
      <w:tblBorders>
        <w:top w:color="60caf3" w:space="0" w:sz="4" w:themeColor="accent4" w:themeTint="000099" w:val="single"/>
        <w:left w:color="60caf3" w:space="0" w:sz="4" w:themeColor="accent4" w:themeTint="000099" w:val="single"/>
        <w:bottom w:color="60caf3" w:space="0" w:sz="4" w:themeColor="accent4" w:themeTint="000099" w:val="single"/>
        <w:right w:color="60caf3" w:space="0" w:sz="4" w:themeColor="accent4" w:themeTint="000099" w:val="single"/>
        <w:insideH w:color="60caf3" w:space="0" w:sz="4" w:themeColor="accent4" w:themeTint="000099" w:val="single"/>
        <w:insideV w:color="60caf3" w:space="0" w:sz="4" w:themeColor="accent4" w:themeTint="000099" w:val="single"/>
      </w:tblBorders>
    </w:tblPr>
    <w:tblStylePr w:type="firstRow">
      <w:rPr>
        <w:b w:val="1"/>
        <w:bCs w:val="1"/>
        <w:color w:val="ffffff" w:themeColor="background1"/>
      </w:rPr>
      <w:tblPr/>
      <w:tcPr>
        <w:tcBorders>
          <w:top w:color="0f9ed5" w:space="0" w:sz="4" w:themeColor="accent4" w:val="single"/>
          <w:left w:color="0f9ed5" w:space="0" w:sz="4" w:themeColor="accent4" w:val="single"/>
          <w:bottom w:color="0f9ed5" w:space="0" w:sz="4" w:themeColor="accent4" w:val="single"/>
          <w:right w:color="0f9ed5" w:space="0" w:sz="4" w:themeColor="accent4" w:val="single"/>
          <w:insideH w:space="0" w:sz="0" w:val="nil"/>
          <w:insideV w:space="0" w:sz="0" w:val="nil"/>
        </w:tcBorders>
        <w:shd w:color="auto" w:fill="0f9ed5" w:themeFill="accent4" w:val="clear"/>
      </w:tcPr>
    </w:tblStylePr>
    <w:tblStylePr w:type="lastRow">
      <w:rPr>
        <w:b w:val="1"/>
        <w:bCs w:val="1"/>
      </w:rPr>
      <w:tblPr/>
      <w:tcPr>
        <w:tcBorders>
          <w:top w:color="0f9ed5" w:space="0" w:sz="4" w:themeColor="accent4" w:val="double"/>
        </w:tcBorders>
      </w:tcPr>
    </w:tblStylePr>
    <w:tblStylePr w:type="firstCol">
      <w:rPr>
        <w:b w:val="1"/>
        <w:bCs w:val="1"/>
      </w:rPr>
    </w:tblStylePr>
    <w:tblStylePr w:type="lastCol">
      <w:rPr>
        <w:b w:val="1"/>
        <w:bCs w:val="1"/>
      </w:rPr>
    </w:tblStylePr>
    <w:tblStylePr w:type="band1Vert">
      <w:tblPr/>
      <w:tcPr>
        <w:shd w:color="auto" w:fill="caedfb" w:themeFill="accent4" w:themeFillTint="000033" w:val="clear"/>
      </w:tcPr>
    </w:tblStylePr>
    <w:tblStylePr w:type="band1Horz">
      <w:tblPr/>
      <w:tcPr>
        <w:shd w:color="auto" w:fill="caedfb" w:themeFill="accent4" w:themeFillTint="000033" w:val="clear"/>
      </w:tcPr>
    </w:tblStylePr>
  </w:style>
  <w:style w:type="table" w:styleId="GridTable4-Accent61" w:customStyle="1">
    <w:name w:val="Grid Table 4 - Accent 61"/>
    <w:basedOn w:val="TableNormal"/>
    <w:uiPriority w:val="49"/>
    <w:qFormat w:val="1"/>
    <w:tblPr>
      <w:tblBorders>
        <w:top w:color="8dd873" w:space="0" w:sz="4" w:themeColor="accent6" w:themeTint="000099" w:val="single"/>
        <w:left w:color="8dd873" w:space="0" w:sz="4" w:themeColor="accent6" w:themeTint="000099" w:val="single"/>
        <w:bottom w:color="8dd873" w:space="0" w:sz="4" w:themeColor="accent6" w:themeTint="000099" w:val="single"/>
        <w:right w:color="8dd873" w:space="0" w:sz="4" w:themeColor="accent6" w:themeTint="000099" w:val="single"/>
        <w:insideH w:color="8dd873" w:space="0" w:sz="4" w:themeColor="accent6" w:themeTint="000099" w:val="single"/>
        <w:insideV w:color="8dd873" w:space="0" w:sz="4" w:themeColor="accent6" w:themeTint="000099" w:val="single"/>
      </w:tblBorders>
    </w:tblPr>
    <w:tblStylePr w:type="firstRow">
      <w:rPr>
        <w:b w:val="1"/>
        <w:bCs w:val="1"/>
        <w:color w:val="ffffff" w:themeColor="background1"/>
      </w:rPr>
      <w:tblPr/>
      <w:tcPr>
        <w:tcBorders>
          <w:top w:color="4ea72e" w:space="0" w:sz="4" w:themeColor="accent6" w:val="single"/>
          <w:left w:color="4ea72e" w:space="0" w:sz="4" w:themeColor="accent6" w:val="single"/>
          <w:bottom w:color="4ea72e" w:space="0" w:sz="4" w:themeColor="accent6" w:val="single"/>
          <w:right w:color="4ea72e" w:space="0" w:sz="4" w:themeColor="accent6" w:val="single"/>
          <w:insideH w:space="0" w:sz="0" w:val="nil"/>
          <w:insideV w:space="0" w:sz="0" w:val="nil"/>
        </w:tcBorders>
        <w:shd w:color="auto" w:fill="4ea72e" w:themeFill="accent6" w:val="clear"/>
      </w:tcPr>
    </w:tblStylePr>
    <w:tblStylePr w:type="lastRow">
      <w:rPr>
        <w:b w:val="1"/>
        <w:bCs w:val="1"/>
      </w:rPr>
      <w:tblPr/>
      <w:tcPr>
        <w:tcBorders>
          <w:top w:color="4ea72e" w:space="0" w:sz="4" w:themeColor="accent6" w:val="double"/>
        </w:tcBorders>
      </w:tcPr>
    </w:tblStylePr>
    <w:tblStylePr w:type="firstCol">
      <w:rPr>
        <w:b w:val="1"/>
        <w:bCs w:val="1"/>
      </w:rPr>
    </w:tblStylePr>
    <w:tblStylePr w:type="lastCol">
      <w:rPr>
        <w:b w:val="1"/>
        <w:bCs w:val="1"/>
      </w:rPr>
    </w:tblStylePr>
    <w:tblStylePr w:type="band1Vert">
      <w:tblPr/>
      <w:tcPr>
        <w:shd w:color="auto" w:fill="d9f2d0" w:themeFill="accent6" w:themeFillTint="000033" w:val="clear"/>
      </w:tcPr>
    </w:tblStylePr>
    <w:tblStylePr w:type="band1Horz">
      <w:tblPr/>
      <w:tcPr>
        <w:shd w:color="auto" w:fill="d9f2d0" w:themeFill="accent6" w:themeFillTint="000033" w:val="clear"/>
      </w:tcPr>
    </w:tblStylePr>
  </w:style>
  <w:style w:type="table" w:styleId="GridTable4-Accent51" w:customStyle="1">
    <w:name w:val="Grid Table 4 - Accent 51"/>
    <w:basedOn w:val="TableNormal"/>
    <w:uiPriority w:val="49"/>
    <w:qFormat w:val="1"/>
    <w:tblPr>
      <w:tblBorders>
        <w:top w:color="d86dcb" w:space="0" w:sz="4" w:themeColor="accent5" w:themeTint="000099" w:val="single"/>
        <w:left w:color="d86dcb" w:space="0" w:sz="4" w:themeColor="accent5" w:themeTint="000099" w:val="single"/>
        <w:bottom w:color="d86dcb" w:space="0" w:sz="4" w:themeColor="accent5" w:themeTint="000099" w:val="single"/>
        <w:right w:color="d86dcb" w:space="0" w:sz="4" w:themeColor="accent5" w:themeTint="000099" w:val="single"/>
        <w:insideH w:color="d86dcb" w:space="0" w:sz="4" w:themeColor="accent5" w:themeTint="000099" w:val="single"/>
        <w:insideV w:color="d86dcb" w:space="0" w:sz="4" w:themeColor="accent5" w:themeTint="000099" w:val="single"/>
      </w:tblBorders>
    </w:tblPr>
    <w:tblStylePr w:type="firstRow">
      <w:rPr>
        <w:b w:val="1"/>
        <w:bCs w:val="1"/>
        <w:color w:val="ffffff" w:themeColor="background1"/>
      </w:rPr>
      <w:tblPr/>
      <w:tcPr>
        <w:tcBorders>
          <w:top w:color="a02b93" w:space="0" w:sz="4" w:themeColor="accent5" w:val="single"/>
          <w:left w:color="a02b93" w:space="0" w:sz="4" w:themeColor="accent5" w:val="single"/>
          <w:bottom w:color="a02b93" w:space="0" w:sz="4" w:themeColor="accent5" w:val="single"/>
          <w:right w:color="a02b93" w:space="0" w:sz="4" w:themeColor="accent5" w:val="single"/>
          <w:insideH w:space="0" w:sz="0" w:val="nil"/>
          <w:insideV w:space="0" w:sz="0" w:val="nil"/>
        </w:tcBorders>
        <w:shd w:color="auto" w:fill="a02b93" w:themeFill="accent5" w:val="clear"/>
      </w:tcPr>
    </w:tblStylePr>
    <w:tblStylePr w:type="lastRow">
      <w:rPr>
        <w:b w:val="1"/>
        <w:bCs w:val="1"/>
      </w:rPr>
      <w:tblPr/>
      <w:tcPr>
        <w:tcBorders>
          <w:top w:color="a02b93" w:space="0" w:sz="4" w:themeColor="accent5" w:val="double"/>
        </w:tcBorders>
      </w:tcPr>
    </w:tblStylePr>
    <w:tblStylePr w:type="firstCol">
      <w:rPr>
        <w:b w:val="1"/>
        <w:bCs w:val="1"/>
      </w:rPr>
    </w:tblStylePr>
    <w:tblStylePr w:type="lastCol">
      <w:rPr>
        <w:b w:val="1"/>
        <w:bCs w:val="1"/>
      </w:rPr>
    </w:tblStylePr>
    <w:tblStylePr w:type="band1Vert">
      <w:tblPr/>
      <w:tcPr>
        <w:shd w:color="auto" w:fill="f2ceed" w:themeFill="accent5" w:themeFillTint="000033" w:val="clear"/>
      </w:tcPr>
    </w:tblStylePr>
    <w:tblStylePr w:type="band1Horz">
      <w:tblPr/>
      <w:tcPr>
        <w:shd w:color="auto" w:fill="f2ceed" w:themeFill="accent5" w:themeFillTint="000033" w:val="clear"/>
      </w:tcPr>
    </w:tblStylePr>
  </w:style>
  <w:style w:type="table" w:styleId="GridTable4-Accent21" w:customStyle="1">
    <w:name w:val="Grid Table 4 - Accent 21"/>
    <w:basedOn w:val="TableNormal"/>
    <w:uiPriority w:val="49"/>
    <w:qFormat w:val="1"/>
    <w:tblPr>
      <w:tblBorders>
        <w:top w:color="f1a983" w:space="0" w:sz="4" w:themeColor="accent2" w:themeTint="000099" w:val="single"/>
        <w:left w:color="f1a983" w:space="0" w:sz="4" w:themeColor="accent2" w:themeTint="000099" w:val="single"/>
        <w:bottom w:color="f1a983" w:space="0" w:sz="4" w:themeColor="accent2" w:themeTint="000099" w:val="single"/>
        <w:right w:color="f1a983" w:space="0" w:sz="4" w:themeColor="accent2" w:themeTint="000099" w:val="single"/>
        <w:insideH w:color="f1a983" w:space="0" w:sz="4" w:themeColor="accent2" w:themeTint="000099" w:val="single"/>
        <w:insideV w:color="f1a983" w:space="0" w:sz="4" w:themeColor="accent2" w:themeTint="000099" w:val="single"/>
      </w:tblBorders>
    </w:tblPr>
    <w:tblStylePr w:type="firstRow">
      <w:rPr>
        <w:b w:val="1"/>
        <w:bCs w:val="1"/>
        <w:color w:val="ffffff" w:themeColor="background1"/>
      </w:rPr>
      <w:tblPr/>
      <w:tcPr>
        <w:tcBorders>
          <w:top w:color="e97132" w:space="0" w:sz="4" w:themeColor="accent2" w:val="single"/>
          <w:left w:color="e97132" w:space="0" w:sz="4" w:themeColor="accent2" w:val="single"/>
          <w:bottom w:color="e97132" w:space="0" w:sz="4" w:themeColor="accent2" w:val="single"/>
          <w:right w:color="e97132" w:space="0" w:sz="4" w:themeColor="accent2" w:val="single"/>
          <w:insideH w:space="0" w:sz="0" w:val="nil"/>
          <w:insideV w:space="0" w:sz="0" w:val="nil"/>
        </w:tcBorders>
        <w:shd w:color="auto" w:fill="e97132" w:themeFill="accent2" w:val="clear"/>
      </w:tcPr>
    </w:tblStylePr>
    <w:tblStylePr w:type="lastRow">
      <w:rPr>
        <w:b w:val="1"/>
        <w:bCs w:val="1"/>
      </w:rPr>
      <w:tblPr/>
      <w:tcPr>
        <w:tcBorders>
          <w:top w:color="e97132" w:space="0" w:sz="4" w:themeColor="accent2" w:val="double"/>
        </w:tcBorders>
      </w:tcPr>
    </w:tblStylePr>
    <w:tblStylePr w:type="firstCol">
      <w:rPr>
        <w:b w:val="1"/>
        <w:bCs w:val="1"/>
      </w:rPr>
    </w:tblStylePr>
    <w:tblStylePr w:type="lastCol">
      <w:rPr>
        <w:b w:val="1"/>
        <w:bCs w:val="1"/>
      </w:rPr>
    </w:tblStylePr>
    <w:tblStylePr w:type="band1Vert">
      <w:tblPr/>
      <w:tcPr>
        <w:shd w:color="auto" w:fill="fae2d5" w:themeFill="accent2" w:themeFillTint="000033" w:val="clear"/>
      </w:tcPr>
    </w:tblStylePr>
    <w:tblStylePr w:type="band1Horz">
      <w:tblPr/>
      <w:tcPr>
        <w:shd w:color="auto" w:fill="fae2d5" w:themeFill="accent2" w:themeFillTint="000033" w:val="clear"/>
      </w:tcPr>
    </w:tblStylePr>
  </w:style>
  <w:style w:type="table" w:styleId="GridTable4-Accent11" w:customStyle="1">
    <w:name w:val="Grid Table 4 - Accent 11"/>
    <w:basedOn w:val="TableNormal"/>
    <w:uiPriority w:val="49"/>
    <w:qFormat w:val="1"/>
    <w:tblPr>
      <w:tblBorders>
        <w:top w:color="45b0e1" w:space="0" w:sz="4" w:themeColor="accent1" w:themeTint="000099" w:val="single"/>
        <w:left w:color="45b0e1" w:space="0" w:sz="4" w:themeColor="accent1" w:themeTint="000099" w:val="single"/>
        <w:bottom w:color="45b0e1" w:space="0" w:sz="4" w:themeColor="accent1" w:themeTint="000099" w:val="single"/>
        <w:right w:color="45b0e1" w:space="0" w:sz="4" w:themeColor="accent1" w:themeTint="000099" w:val="single"/>
        <w:insideH w:color="45b0e1" w:space="0" w:sz="4" w:themeColor="accent1" w:themeTint="000099" w:val="single"/>
        <w:insideV w:color="45b0e1" w:space="0" w:sz="4" w:themeColor="accent1" w:themeTint="000099" w:val="single"/>
      </w:tblBorders>
    </w:tblPr>
    <w:tblStylePr w:type="firstRow">
      <w:rPr>
        <w:b w:val="1"/>
        <w:bCs w:val="1"/>
        <w:color w:val="ffffff" w:themeColor="background1"/>
      </w:rPr>
      <w:tblPr/>
      <w:tcPr>
        <w:tcBorders>
          <w:top w:color="156082" w:space="0" w:sz="4" w:themeColor="accent1" w:val="single"/>
          <w:left w:color="156082" w:space="0" w:sz="4" w:themeColor="accent1" w:val="single"/>
          <w:bottom w:color="156082" w:space="0" w:sz="4" w:themeColor="accent1" w:val="single"/>
          <w:right w:color="156082" w:space="0" w:sz="4" w:themeColor="accent1" w:val="single"/>
          <w:insideH w:space="0" w:sz="0" w:val="nil"/>
          <w:insideV w:space="0" w:sz="0" w:val="nil"/>
        </w:tcBorders>
        <w:shd w:color="auto" w:fill="156082" w:themeFill="accent1" w:val="clear"/>
      </w:tcPr>
    </w:tblStylePr>
    <w:tblStylePr w:type="lastRow">
      <w:rPr>
        <w:b w:val="1"/>
        <w:bCs w:val="1"/>
      </w:rPr>
      <w:tblPr/>
      <w:tcPr>
        <w:tcBorders>
          <w:top w:color="156082" w:space="0" w:sz="4" w:themeColor="accent1" w:val="double"/>
        </w:tcBorders>
      </w:tcPr>
    </w:tblStylePr>
    <w:tblStylePr w:type="firstCol">
      <w:rPr>
        <w:b w:val="1"/>
        <w:bCs w:val="1"/>
      </w:rPr>
    </w:tblStylePr>
    <w:tblStylePr w:type="lastCol">
      <w:rPr>
        <w:b w:val="1"/>
        <w:bCs w:val="1"/>
      </w:rPr>
    </w:tblStylePr>
    <w:tblStylePr w:type="band1Vert">
      <w:tblPr/>
      <w:tcPr>
        <w:shd w:color="auto" w:fill="c1e4f5" w:themeFill="accent1" w:themeFillTint="000033" w:val="clear"/>
      </w:tcPr>
    </w:tblStylePr>
    <w:tblStylePr w:type="band1Horz">
      <w:tblPr/>
      <w:tcPr>
        <w:shd w:color="auto" w:fill="c1e4f5" w:themeFill="accent1" w:themeFillTint="000033" w:val="clear"/>
      </w:tcPr>
    </w:tblStylePr>
  </w:style>
  <w:style w:type="table" w:styleId="GridTable41" w:customStyle="1">
    <w:name w:val="Grid Table 41"/>
    <w:basedOn w:val="TableNormal"/>
    <w:uiPriority w:val="49"/>
    <w:qFormat w:val="1"/>
    <w:tblPr>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color w:val="ffffff" w:themeColor="background1"/>
      </w:rPr>
      <w:tblPr/>
      <w:tcPr>
        <w:tcBorders>
          <w:top w:color="000000" w:space="0" w:sz="4" w:themeColor="text1" w:val="single"/>
          <w:left w:color="000000" w:space="0" w:sz="4" w:themeColor="text1" w:val="single"/>
          <w:bottom w:color="000000" w:space="0" w:sz="4" w:themeColor="text1" w:val="single"/>
          <w:right w:color="000000" w:space="0" w:sz="4" w:themeColor="text1" w:val="single"/>
          <w:insideH w:space="0" w:sz="0" w:val="nil"/>
          <w:insideV w:space="0" w:sz="0" w:val="nil"/>
        </w:tcBorders>
        <w:shd w:color="auto" w:fill="000000" w:themeFill="text1" w:val="clear"/>
      </w:tcPr>
    </w:tblStylePr>
    <w:tblStylePr w:type="lastRow">
      <w:rPr>
        <w:b w:val="1"/>
        <w:bCs w:val="1"/>
      </w:rPr>
      <w:tblPr/>
      <w:tcPr>
        <w:tcBorders>
          <w:top w:color="000000" w:space="0" w:sz="4" w:themeColor="text1"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paragraph" w:styleId="TOCHeading1" w:customStyle="1">
    <w:name w:val="TOC Heading1"/>
    <w:basedOn w:val="Heading1"/>
    <w:next w:val="Normal"/>
    <w:uiPriority w:val="39"/>
    <w:unhideWhenUsed w:val="1"/>
    <w:qFormat w:val="1"/>
    <w:pPr>
      <w:spacing w:after="0" w:before="240" w:line="259" w:lineRule="auto"/>
      <w:jc w:val="left"/>
      <w:outlineLvl w:val="9"/>
    </w:pPr>
    <w:rPr>
      <w:b w:val="0"/>
      <w:sz w:val="32"/>
      <w:szCs w:val="32"/>
      <w:lang w:val="en-GB"/>
    </w:rPr>
  </w:style>
  <w:style w:type="paragraph" w:styleId="WPSOffice1" w:customStyle="1">
    <w:name w:val="WPSOffice手动目录 1"/>
  </w:style>
  <w:style w:type="paragraph" w:styleId="WPSOffice2" w:customStyle="1">
    <w:name w:val="WPSOffice手动目录 2"/>
    <w:pPr>
      <w:ind w:left="200" w:leftChars="200"/>
    </w:pPr>
  </w:style>
  <w:style w:type="paragraph" w:styleId="WPSOffice3" w:customStyle="1">
    <w:name w:val="WPSOffice手动目录 3"/>
    <w:pPr>
      <w:ind w:left="400" w:leftChars="400"/>
    </w:pPr>
  </w:style>
  <w:style w:type="character" w:styleId="mord" w:customStyle="1">
    <w:name w:val="mord"/>
    <w:basedOn w:val="DefaultParagraphFont"/>
    <w:rsid w:val="001156FB"/>
  </w:style>
  <w:style w:type="table" w:styleId="GridTable4-Accent1">
    <w:name w:val="Grid Table 4 Accent 1"/>
    <w:basedOn w:val="TableNormal"/>
    <w:uiPriority w:val="49"/>
    <w:rsid w:val="001156FB"/>
    <w:rPr>
      <w:rFonts w:asciiTheme="minorHAnsi" w:cstheme="minorBidi" w:eastAsiaTheme="minorHAnsi" w:hAnsiTheme="minorHAnsi"/>
      <w:sz w:val="22"/>
      <w:szCs w:val="22"/>
      <w:lang w:eastAsia="en-US" w:val="en-US"/>
    </w:rPr>
    <w:tblPr>
      <w:tblStyleRowBandSize w:val="1"/>
      <w:tblStyleColBandSize w:val="1"/>
      <w:tblBorders>
        <w:top w:color="45b0e1" w:space="0" w:sz="4" w:themeColor="accent1" w:themeTint="000099" w:val="single"/>
        <w:left w:color="45b0e1" w:space="0" w:sz="4" w:themeColor="accent1" w:themeTint="000099" w:val="single"/>
        <w:bottom w:color="45b0e1" w:space="0" w:sz="4" w:themeColor="accent1" w:themeTint="000099" w:val="single"/>
        <w:right w:color="45b0e1" w:space="0" w:sz="4" w:themeColor="accent1" w:themeTint="000099" w:val="single"/>
        <w:insideH w:color="45b0e1" w:space="0" w:sz="4" w:themeColor="accent1" w:themeTint="000099" w:val="single"/>
        <w:insideV w:color="45b0e1" w:space="0" w:sz="4" w:themeColor="accent1" w:themeTint="000099" w:val="single"/>
      </w:tblBorders>
    </w:tblPr>
    <w:tblStylePr w:type="firstRow">
      <w:rPr>
        <w:b w:val="1"/>
        <w:bCs w:val="1"/>
        <w:color w:val="ffffff" w:themeColor="background1"/>
      </w:rPr>
      <w:tblPr/>
      <w:tcPr>
        <w:tcBorders>
          <w:top w:color="156082" w:space="0" w:sz="4" w:themeColor="accent1" w:val="single"/>
          <w:left w:color="156082" w:space="0" w:sz="4" w:themeColor="accent1" w:val="single"/>
          <w:bottom w:color="156082" w:space="0" w:sz="4" w:themeColor="accent1" w:val="single"/>
          <w:right w:color="156082" w:space="0" w:sz="4" w:themeColor="accent1" w:val="single"/>
          <w:insideH w:space="0" w:sz="0" w:val="nil"/>
          <w:insideV w:space="0" w:sz="0" w:val="nil"/>
        </w:tcBorders>
        <w:shd w:color="auto" w:fill="156082" w:themeFill="accent1" w:val="clear"/>
      </w:tcPr>
    </w:tblStylePr>
    <w:tblStylePr w:type="lastRow">
      <w:rPr>
        <w:b w:val="1"/>
        <w:bCs w:val="1"/>
      </w:rPr>
      <w:tblPr/>
      <w:tcPr>
        <w:tcBorders>
          <w:top w:color="156082" w:space="0" w:sz="4" w:themeColor="accent1" w:val="double"/>
        </w:tcBorders>
      </w:tcPr>
    </w:tblStylePr>
    <w:tblStylePr w:type="firstCol">
      <w:rPr>
        <w:b w:val="1"/>
        <w:bCs w:val="1"/>
      </w:rPr>
    </w:tblStylePr>
    <w:tblStylePr w:type="lastCol">
      <w:rPr>
        <w:b w:val="1"/>
        <w:bCs w:val="1"/>
      </w:rPr>
    </w:tblStylePr>
    <w:tblStylePr w:type="band1Vert">
      <w:tblPr/>
      <w:tcPr>
        <w:shd w:color="auto" w:fill="c1e4f5" w:themeFill="accent1" w:themeFillTint="000033" w:val="clear"/>
      </w:tcPr>
    </w:tblStylePr>
    <w:tblStylePr w:type="band1Horz">
      <w:tblPr/>
      <w:tcPr>
        <w:shd w:color="auto" w:fill="c1e4f5" w:themeFill="accent1" w:themeFillTint="000033" w:val="clear"/>
      </w:tcPr>
    </w:tblStylePr>
  </w:style>
  <w:style w:type="paragraph" w:styleId="TableParagraph" w:customStyle="1">
    <w:name w:val="Table Paragraph"/>
    <w:basedOn w:val="Normal"/>
    <w:uiPriority w:val="1"/>
    <w:qFormat w:val="1"/>
    <w:rsid w:val="00C90E12"/>
    <w:pPr>
      <w:spacing w:line="240" w:lineRule="auto"/>
      <w:ind w:left="105"/>
      <w:jc w:val="left"/>
    </w:pPr>
    <w:rPr>
      <w:rFonts w:cs="Times New Roman" w:eastAsia="Times New Roman"/>
      <w:szCs w:val="24"/>
      <w:lang w:val="en-AU"/>
    </w:rPr>
  </w:style>
  <w:style w:type="paragraph" w:styleId="TOCHeading">
    <w:name w:val="TOC Heading"/>
    <w:basedOn w:val="Heading1"/>
    <w:next w:val="Normal"/>
    <w:uiPriority w:val="39"/>
    <w:unhideWhenUsed w:val="1"/>
    <w:qFormat w:val="1"/>
    <w:rsid w:val="00452550"/>
    <w:pPr>
      <w:spacing w:after="0" w:before="240" w:line="259" w:lineRule="auto"/>
      <w:jc w:val="left"/>
      <w:outlineLvl w:val="9"/>
    </w:pPr>
    <w:rPr>
      <w:b w:val="0"/>
      <w:sz w:val="32"/>
      <w:szCs w:val="32"/>
      <w:lang w:eastAsia="en-US" w:val="en-US"/>
    </w:rPr>
  </w:style>
  <w:style w:type="table" w:styleId="TableGrid1" w:customStyle="1">
    <w:name w:val="Table Grid1"/>
    <w:basedOn w:val="TableNormal"/>
    <w:next w:val="TableGrid"/>
    <w:uiPriority w:val="39"/>
    <w:rsid w:val="00845D43"/>
    <w:rPr>
      <w:rFonts w:eastAsia="Calibri" w:asciiTheme="minorHAnsi" w:cstheme="minorBidi" w:hAnsiTheme="minorHAnsi"/>
      <w:sz w:val="22"/>
      <w:szCs w:val="22"/>
      <w:lang w:eastAsia="en-US" w:val="en-AU"/>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normaltextrun" w:customStyle="1">
    <w:name w:val="normaltextrun"/>
    <w:basedOn w:val="DefaultParagraphFont"/>
    <w:rsid w:val="00845D43"/>
  </w:style>
  <w:style w:type="character" w:styleId="eop" w:customStyle="1">
    <w:name w:val="eop"/>
    <w:basedOn w:val="DefaultParagraphFont"/>
    <w:rsid w:val="00845D43"/>
  </w:style>
  <w:style w:type="paragraph" w:styleId="paragraph" w:customStyle="1">
    <w:name w:val="paragraph"/>
    <w:basedOn w:val="Normal"/>
    <w:rsid w:val="00845D43"/>
    <w:pPr>
      <w:spacing w:after="100" w:afterAutospacing="1" w:before="100" w:beforeAutospacing="1" w:line="240" w:lineRule="auto"/>
      <w:jc w:val="left"/>
    </w:pPr>
    <w:rPr>
      <w:rFonts w:cs="Times New Roman" w:eastAsia="Times New Roman"/>
      <w:szCs w:val="24"/>
      <w:lang w:val="en-AU"/>
    </w:rPr>
  </w:style>
  <w:style w:type="character" w:styleId="mrel" w:customStyle="1">
    <w:name w:val="mrel"/>
    <w:basedOn w:val="DefaultParagraphFont"/>
    <w:rsid w:val="003730A5"/>
  </w:style>
  <w:style w:type="character" w:styleId="PlaceholderText">
    <w:name w:val="Placeholder Text"/>
    <w:basedOn w:val="DefaultParagraphFont"/>
    <w:uiPriority w:val="99"/>
    <w:unhideWhenUsed w:val="1"/>
    <w:rsid w:val="003730A5"/>
    <w:rPr>
      <w:color w:val="808080"/>
    </w:rPr>
  </w:style>
  <w:style w:type="character" w:styleId="ms-1" w:customStyle="1">
    <w:name w:val="ms-1"/>
    <w:basedOn w:val="DefaultParagraphFont"/>
    <w:rsid w:val="00A52400"/>
  </w:style>
  <w:style w:type="character" w:styleId="max-w-15ch" w:customStyle="1">
    <w:name w:val="max-w-[15ch]"/>
    <w:basedOn w:val="DefaultParagraphFont"/>
    <w:rsid w:val="00A52400"/>
  </w:style>
  <w:style w:type="character" w:styleId="text-token-text-secondary" w:customStyle="1">
    <w:name w:val="text-token-text-secondary"/>
    <w:basedOn w:val="DefaultParagraphFont"/>
    <w:rsid w:val="00E85BED"/>
  </w:style>
  <w:style w:type="character" w:styleId="text-token-text-primary" w:customStyle="1">
    <w:name w:val="text-token-text-primary"/>
    <w:basedOn w:val="DefaultParagraphFont"/>
    <w:rsid w:val="00E85BED"/>
  </w:style>
  <w:style w:type="paragraph" w:styleId="TOC4">
    <w:name w:val="toc 4"/>
    <w:basedOn w:val="Normal"/>
    <w:next w:val="Normal"/>
    <w:autoRedefine w:val="1"/>
    <w:uiPriority w:val="39"/>
    <w:unhideWhenUsed w:val="1"/>
    <w:rsid w:val="007D3D26"/>
    <w:pPr>
      <w:spacing w:after="100" w:line="259" w:lineRule="auto"/>
      <w:ind w:left="660"/>
      <w:jc w:val="left"/>
    </w:pPr>
    <w:rPr>
      <w:rFonts w:asciiTheme="minorHAnsi" w:cstheme="minorBidi" w:eastAsiaTheme="minorEastAsia" w:hAnsiTheme="minorHAnsi"/>
      <w:sz w:val="22"/>
      <w:lang w:eastAsia="en-US" w:val="en-US"/>
    </w:rPr>
  </w:style>
  <w:style w:type="paragraph" w:styleId="TOC5">
    <w:name w:val="toc 5"/>
    <w:basedOn w:val="Normal"/>
    <w:next w:val="Normal"/>
    <w:autoRedefine w:val="1"/>
    <w:uiPriority w:val="39"/>
    <w:unhideWhenUsed w:val="1"/>
    <w:rsid w:val="007D3D26"/>
    <w:pPr>
      <w:spacing w:after="100" w:line="259" w:lineRule="auto"/>
      <w:ind w:left="880"/>
      <w:jc w:val="left"/>
    </w:pPr>
    <w:rPr>
      <w:rFonts w:asciiTheme="minorHAnsi" w:cstheme="minorBidi" w:eastAsiaTheme="minorEastAsia" w:hAnsiTheme="minorHAnsi"/>
      <w:sz w:val="22"/>
      <w:lang w:eastAsia="en-US" w:val="en-US"/>
    </w:rPr>
  </w:style>
  <w:style w:type="paragraph" w:styleId="TOC6">
    <w:name w:val="toc 6"/>
    <w:basedOn w:val="Normal"/>
    <w:next w:val="Normal"/>
    <w:autoRedefine w:val="1"/>
    <w:uiPriority w:val="39"/>
    <w:unhideWhenUsed w:val="1"/>
    <w:rsid w:val="007D3D26"/>
    <w:pPr>
      <w:spacing w:after="100" w:line="259" w:lineRule="auto"/>
      <w:ind w:left="1100"/>
      <w:jc w:val="left"/>
    </w:pPr>
    <w:rPr>
      <w:rFonts w:asciiTheme="minorHAnsi" w:cstheme="minorBidi" w:eastAsiaTheme="minorEastAsia" w:hAnsiTheme="minorHAnsi"/>
      <w:sz w:val="22"/>
      <w:lang w:eastAsia="en-US" w:val="en-US"/>
    </w:rPr>
  </w:style>
  <w:style w:type="paragraph" w:styleId="TOC7">
    <w:name w:val="toc 7"/>
    <w:basedOn w:val="Normal"/>
    <w:next w:val="Normal"/>
    <w:autoRedefine w:val="1"/>
    <w:uiPriority w:val="39"/>
    <w:unhideWhenUsed w:val="1"/>
    <w:rsid w:val="007D3D26"/>
    <w:pPr>
      <w:spacing w:after="100" w:line="259" w:lineRule="auto"/>
      <w:ind w:left="1320"/>
      <w:jc w:val="left"/>
    </w:pPr>
    <w:rPr>
      <w:rFonts w:asciiTheme="minorHAnsi" w:cstheme="minorBidi" w:eastAsiaTheme="minorEastAsia" w:hAnsiTheme="minorHAnsi"/>
      <w:sz w:val="22"/>
      <w:lang w:eastAsia="en-US" w:val="en-US"/>
    </w:rPr>
  </w:style>
  <w:style w:type="paragraph" w:styleId="TOC8">
    <w:name w:val="toc 8"/>
    <w:basedOn w:val="Normal"/>
    <w:next w:val="Normal"/>
    <w:autoRedefine w:val="1"/>
    <w:uiPriority w:val="39"/>
    <w:unhideWhenUsed w:val="1"/>
    <w:rsid w:val="007D3D26"/>
    <w:pPr>
      <w:spacing w:after="100" w:line="259" w:lineRule="auto"/>
      <w:ind w:left="1540"/>
      <w:jc w:val="left"/>
    </w:pPr>
    <w:rPr>
      <w:rFonts w:asciiTheme="minorHAnsi" w:cstheme="minorBidi" w:eastAsiaTheme="minorEastAsia" w:hAnsiTheme="minorHAnsi"/>
      <w:sz w:val="22"/>
      <w:lang w:eastAsia="en-US" w:val="en-US"/>
    </w:rPr>
  </w:style>
  <w:style w:type="paragraph" w:styleId="TOC9">
    <w:name w:val="toc 9"/>
    <w:basedOn w:val="Normal"/>
    <w:next w:val="Normal"/>
    <w:autoRedefine w:val="1"/>
    <w:uiPriority w:val="39"/>
    <w:unhideWhenUsed w:val="1"/>
    <w:rsid w:val="007D3D26"/>
    <w:pPr>
      <w:spacing w:after="100" w:line="259" w:lineRule="auto"/>
      <w:ind w:left="1760"/>
      <w:jc w:val="left"/>
    </w:pPr>
    <w:rPr>
      <w:rFonts w:asciiTheme="minorHAnsi" w:cstheme="minorBidi" w:eastAsiaTheme="minorEastAsia" w:hAnsiTheme="minorHAnsi"/>
      <w:sz w:val="22"/>
      <w:lang w:eastAsia="en-US" w:val="en-US"/>
    </w:rPr>
  </w:style>
  <w:style w:type="character" w:styleId="UnresolvedMention">
    <w:name w:val="Unresolved Mention"/>
    <w:basedOn w:val="DefaultParagraphFont"/>
    <w:uiPriority w:val="99"/>
    <w:semiHidden w:val="1"/>
    <w:unhideWhenUsed w:val="1"/>
    <w:rsid w:val="007D3D26"/>
    <w:rPr>
      <w:color w:val="605e5c"/>
      <w:shd w:color="auto" w:fill="e1dfdd" w:val="clear"/>
    </w:rPr>
  </w:style>
  <w:style w:type="paragraph" w:styleId="isselectedend" w:customStyle="1">
    <w:name w:val="isselectedend"/>
    <w:basedOn w:val="Normal"/>
    <w:rsid w:val="00841070"/>
    <w:pPr>
      <w:spacing w:after="100" w:afterAutospacing="1" w:before="100" w:beforeAutospacing="1" w:line="240" w:lineRule="auto"/>
      <w:jc w:val="left"/>
    </w:pPr>
    <w:rPr>
      <w:rFonts w:cs="Times New Roman" w:eastAsia="Times New Roman"/>
      <w:szCs w:val="24"/>
      <w:lang w:eastAsia="en-US" w:val="en-US"/>
    </w:rPr>
  </w:style>
  <w:style w:type="paragraph" w:styleId="Subtitle">
    <w:name w:val="Subtitle"/>
    <w:basedOn w:val="Normal"/>
    <w:next w:val="Normal"/>
    <w:pPr>
      <w:spacing w:after="160" w:lineRule="auto"/>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16/j.clsr.2021.105586" TargetMode="External"/><Relationship Id="rId10" Type="http://schemas.openxmlformats.org/officeDocument/2006/relationships/image" Target="media/image1.png"/><Relationship Id="rId12"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Usr0Z38GxwUo+FF1X0qqliHMCA==">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2026-03-30T18:14:00Z</dcterms:created>
  <dc:creator>Tnr Software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a56d3575-5a48-4465-b63a-f357621dc6e2</vt:lpwstr>
  </property>
  <property fmtid="{D5CDD505-2E9C-101B-9397-08002B2CF9AE}" pid="3" name="KSOProductBuildVer">
    <vt:lpwstr>1033-12.2.0.23155</vt:lpwstr>
  </property>
  <property fmtid="{D5CDD505-2E9C-101B-9397-08002B2CF9AE}" pid="4" name="ICV">
    <vt:lpwstr>D08FBB780CFE468082DE5B1ED24F7CB0_13</vt:lpwstr>
  </property>
</Properties>
</file>