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diagrams/drawing1.xml" ContentType="application/vnd.ms-office.drawingml.diagramDrawing+xml"/>
  <Override PartName="/word/fontTable.xml" ContentType="application/vnd.openxmlformats-officedocument.wordprocessingml.fontTable+xml"/>
  <Override PartName="/docProps/core.xml" ContentType="application/vnd.openxmlformats-package.core-properties+xml"/>
  <Override PartName="/word/numbering.xml" ContentType="application/vnd.openxmlformats-officedocument.wordprocessingml.numbering+xml"/>
  <Override PartName="/word/diagrams/data1.xml" ContentType="application/vnd.openxmlformats-officedocument.drawingml.diagramData+xml"/>
  <Override PartName="/word/diagrams/colors1.xml" ContentType="application/vnd.openxmlformats-officedocument.drawingml.diagramColors+xml"/>
  <Override PartName="/word/settings.xml" ContentType="application/vnd.openxmlformats-officedocument.wordprocessingml.settings+xml"/>
  <Override PartName="/docProps/custom.xml" ContentType="application/vnd.openxmlformats-officedocument.custom-properties+xml"/>
  <Override PartName="/word/diagrams/layout1.xml" ContentType="application/vnd.openxmlformats-officedocument.drawingml.diagramLayout+xml"/>
  <Override PartName="/word/document.xml" ContentType="application/vnd.openxmlformats-officedocument.wordprocessingml.document.main+xml"/>
  <Override PartName="/customXml/itemProps1.xml" ContentType="application/vnd.openxmlformats-officedocument.customXmlProperties+xml"/>
  <Override PartName="/word/diagrams/quickStyle1.xml" ContentType="application/vnd.openxmlformats-officedocument.drawingml.diagramStyle+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94"/>
        <w:spacing w:lineRule="auto" w:line="360"/>
        <w:jc w:val="center"/>
        <w:rPr>
          <w:rFonts w:ascii="Times New Roman" w:cs="Times New Roman" w:hAnsi="Times New Roman"/>
          <w:lang w:val="en-GB"/>
        </w:rPr>
      </w:pPr>
      <w:r>
        <w:rPr>
          <w:rFonts w:ascii="Times New Roman" w:cs="Times New Roman" w:hAnsi="Times New Roman"/>
          <w:lang w:val="en-US"/>
        </w:rPr>
        <w:t>Student name: Ousman Conte</w:t>
      </w:r>
    </w:p>
    <w:p>
      <w:pPr>
        <w:pStyle w:val="style94"/>
        <w:spacing w:lineRule="auto" w:line="360"/>
        <w:jc w:val="center"/>
        <w:rPr>
          <w:rFonts w:ascii="Times New Roman" w:cs="Times New Roman" w:hAnsi="Times New Roman"/>
          <w:lang w:val="en-GB"/>
        </w:rPr>
      </w:pPr>
      <w:r>
        <w:rPr>
          <w:rFonts w:ascii="Times New Roman" w:cs="Times New Roman" w:hAnsi="Times New Roman"/>
          <w:lang w:val="en-US"/>
        </w:rPr>
        <w:t>Student ID number:2310911</w:t>
      </w:r>
    </w:p>
    <w:p>
      <w:pPr>
        <w:pStyle w:val="style94"/>
        <w:spacing w:lineRule="auto" w:line="360"/>
        <w:jc w:val="center"/>
        <w:rPr>
          <w:rFonts w:ascii="Times New Roman" w:cs="Times New Roman" w:hAnsi="Times New Roman"/>
          <w:lang w:val="en-GB"/>
        </w:rPr>
      </w:pPr>
      <w:r>
        <w:rPr>
          <w:rFonts w:ascii="Times New Roman" w:cs="Times New Roman" w:hAnsi="Times New Roman"/>
          <w:lang w:val="en-US"/>
        </w:rPr>
        <w:t>Lecturer: Dr Oli Adegbite</w:t>
      </w:r>
    </w:p>
    <w:p>
      <w:pPr>
        <w:pStyle w:val="style94"/>
        <w:spacing w:lineRule="auto" w:line="360"/>
        <w:jc w:val="center"/>
        <w:rPr>
          <w:rFonts w:ascii="Times New Roman" w:cs="Times New Roman" w:hAnsi="Times New Roman"/>
          <w:lang w:val="en-GB"/>
        </w:rPr>
      </w:pPr>
      <w:r>
        <w:rPr>
          <w:rFonts w:ascii="Times New Roman" w:cs="Times New Roman" w:hAnsi="Times New Roman"/>
          <w:lang w:val="en-US"/>
        </w:rPr>
        <w:t xml:space="preserve">Programme: BA(Hons) Leadership and Management skills for the Workplace </w:t>
      </w:r>
    </w:p>
    <w:p>
      <w:pPr>
        <w:pStyle w:val="style94"/>
        <w:spacing w:lineRule="auto" w:line="360"/>
        <w:jc w:val="left"/>
        <w:rPr>
          <w:rFonts w:ascii="Times New Roman" w:cs="Times New Roman" w:hAnsi="Times New Roman"/>
          <w:lang w:val="en-GB"/>
        </w:rPr>
      </w:pPr>
      <w:r>
        <w:rPr>
          <w:rFonts w:ascii="Times New Roman" w:cs="Times New Roman" w:hAnsi="Times New Roman"/>
          <w:lang w:val="en-GB"/>
        </w:rPr>
        <w:t>The Impact of Hybrid Working on Employee Engagement and Retention</w:t>
      </w:r>
    </w:p>
    <w:p>
      <w:pPr>
        <w:pStyle w:val="style94"/>
        <w:spacing w:lineRule="auto" w:line="360"/>
        <w:jc w:val="center"/>
        <w:rPr>
          <w:rFonts w:ascii="Times New Roman" w:cs="Times New Roman" w:hAnsi="Times New Roman"/>
          <w:lang w:val="en-GB"/>
        </w:rPr>
      </w:pPr>
      <w:r>
        <w:rPr>
          <w:rStyle w:val="style87"/>
          <w:rFonts w:ascii="Times New Roman" w:cs="Times New Roman" w:hAnsi="Times New Roman"/>
          <w:lang w:val="en-GB"/>
        </w:rPr>
        <w:t>Programme:</w:t>
      </w:r>
      <w:r>
        <w:rPr>
          <w:rFonts w:ascii="Times New Roman" w:cs="Times New Roman" w:hAnsi="Times New Roman"/>
          <w:lang w:val="en-GB"/>
        </w:rPr>
        <w:t xml:space="preserve"> BA (Hons) Leadership and Management Skills for the Workplace</w:t>
      </w:r>
      <w:r>
        <w:rPr>
          <w:rFonts w:ascii="Times New Roman" w:cs="Times New Roman" w:hAnsi="Times New Roman"/>
          <w:lang w:val="en-GB"/>
        </w:rPr>
        <w:br/>
      </w:r>
      <w:r>
        <w:rPr>
          <w:rStyle w:val="style87"/>
          <w:rFonts w:ascii="Times New Roman" w:cs="Times New Roman" w:hAnsi="Times New Roman"/>
          <w:lang w:val="en-GB"/>
        </w:rPr>
        <w:t>Module:</w:t>
      </w:r>
      <w:r>
        <w:rPr>
          <w:rFonts w:ascii="Times New Roman" w:cs="Times New Roman" w:hAnsi="Times New Roman"/>
          <w:lang w:val="en-GB"/>
        </w:rPr>
        <w:t xml:space="preserve"> Research Methods for Business (LCLM6004</w:t>
      </w:r>
      <w:r>
        <w:rPr>
          <w:rFonts w:ascii="Times New Roman" w:cs="Times New Roman" w:hAnsi="Times New Roman"/>
          <w:lang w:val="en-GB"/>
        </w:rPr>
        <w:t>)</w:t>
      </w:r>
      <w:r>
        <w:rPr>
          <w:rFonts w:ascii="Times New Roman" w:cs="Times New Roman" w:hAnsi="Times New Roman"/>
          <w:lang w:val="en-GB"/>
        </w:rPr>
        <w:br/>
      </w:r>
      <w:r>
        <w:rPr>
          <w:rStyle w:val="style87"/>
          <w:rFonts w:ascii="Times New Roman" w:cs="Times New Roman" w:hAnsi="Times New Roman"/>
          <w:lang w:val="en-GB"/>
        </w:rPr>
        <w:t>Assessment Component:</w:t>
      </w:r>
      <w:r>
        <w:rPr>
          <w:rFonts w:ascii="Times New Roman" w:cs="Times New Roman" w:hAnsi="Times New Roman"/>
          <w:lang w:val="en-GB"/>
        </w:rPr>
        <w:t xml:space="preserve"> Component 1 – Business Research Proposal</w:t>
      </w:r>
    </w:p>
    <w:p>
      <w:pPr>
        <w:pStyle w:val="style94"/>
        <w:spacing w:lineRule="auto" w:line="360"/>
        <w:jc w:val="center"/>
        <w:rPr>
          <w:rFonts w:ascii="Times New Roman" w:cs="Times New Roman" w:hAnsi="Times New Roman"/>
          <w:lang w:val="en-GB"/>
        </w:rPr>
      </w:pPr>
      <w:r>
        <w:rPr>
          <w:rFonts w:ascii="Times New Roman" w:cs="Times New Roman" w:hAnsi="Times New Roman"/>
          <w:lang w:val="en-US"/>
        </w:rPr>
        <w:t>Submission:16/03/2026</w:t>
      </w:r>
    </w:p>
    <w:p>
      <w:pPr>
        <w:pStyle w:val="style94"/>
        <w:spacing w:lineRule="auto" w:line="360"/>
        <w:jc w:val="center"/>
        <w:rPr>
          <w:rFonts w:ascii="Times New Roman" w:cs="Times New Roman" w:hAnsi="Times New Roman"/>
          <w:lang w:val="en-GB"/>
        </w:rPr>
      </w:pPr>
    </w:p>
    <w:p>
      <w:pPr>
        <w:pStyle w:val="style94"/>
        <w:spacing w:lineRule="auto" w:line="360"/>
        <w:jc w:val="center"/>
        <w:rPr>
          <w:rFonts w:ascii="Times New Roman" w:cs="Times New Roman" w:hAnsi="Times New Roman"/>
          <w:lang w:val="en-GB"/>
        </w:rPr>
      </w:pPr>
      <w:r>
        <w:rPr>
          <w:rFonts w:ascii="Times New Roman" w:cs="Times New Roman" w:hAnsi="Times New Roman"/>
          <w:lang w:val="en-GB"/>
        </w:rPr>
        <w:br/>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br w:type="page"/>
      </w:r>
    </w:p>
    <w:p>
      <w:pPr>
        <w:pStyle w:val="style266"/>
        <w:spacing w:lineRule="auto" w:line="360"/>
        <w:rPr>
          <w:rFonts w:ascii="Times New Roman" w:hAnsi="Times New Roman"/>
          <w:sz w:val="24"/>
          <w:szCs w:val="24"/>
          <w:lang w:val="en-GB"/>
        </w:rPr>
      </w:pPr>
      <w:r>
        <w:rPr>
          <w:rFonts w:ascii="Times New Roman" w:hAnsi="Times New Roman"/>
          <w:sz w:val="24"/>
          <w:szCs w:val="24"/>
          <w:lang w:val="en-GB"/>
        </w:rPr>
        <w:t>Contents</w:t>
      </w:r>
    </w:p>
    <w:p>
      <w:pPr>
        <w:pStyle w:val="style20"/>
        <w:tabs>
          <w:tab w:val="right" w:leader="dot" w:pos="9350"/>
        </w:tabs>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fldChar w:fldCharType="begin"/>
      </w:r>
      <w:r>
        <w:rPr>
          <w:rFonts w:ascii="Times New Roman" w:cs="Times New Roman" w:hAnsi="Times New Roman"/>
          <w:sz w:val="24"/>
          <w:szCs w:val="24"/>
          <w:lang w:val="en-GB"/>
        </w:rPr>
        <w:instrText xml:space="preserve"> TOC \o "1-3" \h \z \u </w:instrText>
      </w:r>
      <w:r>
        <w:rPr>
          <w:rFonts w:ascii="Times New Roman" w:cs="Times New Roman" w:hAnsi="Times New Roman"/>
          <w:sz w:val="24"/>
          <w:szCs w:val="24"/>
          <w:lang w:val="en-GB"/>
        </w:rPr>
        <w:fldChar w:fldCharType="separate"/>
      </w:r>
      <w:r>
        <w:rPr/>
        <w:fldChar w:fldCharType="begin"/>
      </w:r>
      <w:r>
        <w:instrText xml:space="preserve"> HYPERLINK \l "_Toc220239777" </w:instrText>
      </w:r>
      <w:r>
        <w:rPr/>
        <w:fldChar w:fldCharType="separate"/>
      </w:r>
      <w:r>
        <w:rPr>
          <w:rStyle w:val="style85"/>
          <w:rFonts w:ascii="Times New Roman" w:cs="Times New Roman" w:hAnsi="Times New Roman"/>
          <w:sz w:val="24"/>
          <w:szCs w:val="24"/>
          <w:lang w:val="en-GB"/>
        </w:rPr>
        <w:t>1. Identification of the Business Problem</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_Toc220239777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3</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"_Toc220239778" </w:instrText>
      </w:r>
      <w:r>
        <w:rPr/>
        <w:fldChar w:fldCharType="separate"/>
      </w:r>
      <w:r>
        <w:rPr>
          <w:rStyle w:val="style85"/>
          <w:rFonts w:ascii="Times New Roman" w:cs="Times New Roman" w:hAnsi="Times New Roman"/>
          <w:sz w:val="24"/>
          <w:szCs w:val="24"/>
          <w:lang w:val="en-GB"/>
        </w:rPr>
        <w:t>2. Research Aim, Objectives, and Research Questions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_Toc220239778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5</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"_Toc220239779" </w:instrText>
      </w:r>
      <w:r>
        <w:rPr/>
        <w:fldChar w:fldCharType="separate"/>
      </w:r>
      <w:r>
        <w:rPr>
          <w:rStyle w:val="style85"/>
          <w:rFonts w:ascii="Times New Roman" w:cs="Times New Roman" w:hAnsi="Times New Roman"/>
          <w:sz w:val="24"/>
          <w:szCs w:val="24"/>
          <w:lang w:val="en-GB"/>
        </w:rPr>
        <w:t>Research Aim</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_Toc220239779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5</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"_Toc220239780" </w:instrText>
      </w:r>
      <w:r>
        <w:rPr/>
        <w:fldChar w:fldCharType="separate"/>
      </w:r>
      <w:r>
        <w:rPr>
          <w:rStyle w:val="style85"/>
          <w:rFonts w:ascii="Times New Roman" w:cs="Times New Roman" w:hAnsi="Times New Roman"/>
          <w:sz w:val="24"/>
          <w:szCs w:val="24"/>
          <w:lang w:val="en-GB"/>
        </w:rPr>
        <w:t>Research Objectives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_Toc220239780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6</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"_Toc220239781" </w:instrText>
      </w:r>
      <w:r>
        <w:rPr/>
        <w:fldChar w:fldCharType="separate"/>
      </w:r>
      <w:r>
        <w:rPr>
          <w:rStyle w:val="style85"/>
          <w:rFonts w:ascii="Times New Roman" w:cs="Times New Roman" w:hAnsi="Times New Roman"/>
          <w:sz w:val="24"/>
          <w:szCs w:val="24"/>
          <w:lang w:val="en-GB"/>
        </w:rPr>
        <w:t>Research Questions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_Toc220239781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6</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"_Toc220239782" </w:instrText>
      </w:r>
      <w:r>
        <w:rPr/>
        <w:fldChar w:fldCharType="separate"/>
      </w:r>
      <w:r>
        <w:rPr>
          <w:rStyle w:val="style85"/>
          <w:rFonts w:ascii="Times New Roman" w:cs="Times New Roman" w:hAnsi="Times New Roman"/>
          <w:sz w:val="24"/>
          <w:szCs w:val="24"/>
          <w:lang w:val="en-GB"/>
        </w:rPr>
        <w:t>3. Critical Literature Review</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_Toc220239782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6</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"_Toc220239783" </w:instrText>
      </w:r>
      <w:r>
        <w:rPr/>
        <w:fldChar w:fldCharType="separate"/>
      </w:r>
      <w:r>
        <w:rPr>
          <w:rStyle w:val="style85"/>
          <w:rFonts w:ascii="Times New Roman" w:cs="Times New Roman" w:hAnsi="Times New Roman"/>
          <w:sz w:val="24"/>
          <w:szCs w:val="24"/>
          <w:lang w:val="en-GB"/>
        </w:rPr>
        <w:t>3.1 Hybrid Working in Contemporary Organisations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_Toc220239783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6</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"_Toc220239784" </w:instrText>
      </w:r>
      <w:r>
        <w:rPr/>
        <w:fldChar w:fldCharType="separate"/>
      </w:r>
      <w:r>
        <w:rPr>
          <w:rStyle w:val="style85"/>
          <w:rFonts w:ascii="Times New Roman" w:cs="Times New Roman" w:hAnsi="Times New Roman"/>
          <w:sz w:val="24"/>
          <w:szCs w:val="24"/>
          <w:lang w:val="en-GB"/>
        </w:rPr>
        <w:t>3.2 Employee Engagement and Organisational Performance</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_Toc220239784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7</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"_Toc220239785" </w:instrText>
      </w:r>
      <w:r>
        <w:rPr/>
        <w:fldChar w:fldCharType="separate"/>
      </w:r>
      <w:r>
        <w:rPr>
          <w:rStyle w:val="style85"/>
          <w:rFonts w:ascii="Times New Roman" w:cs="Times New Roman" w:hAnsi="Times New Roman"/>
          <w:sz w:val="24"/>
          <w:szCs w:val="24"/>
          <w:lang w:val="en-GB"/>
        </w:rPr>
        <w:t>3.3 Hybrid Working and Employee Engagement</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_Toc220239785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7</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"_Toc220239786" </w:instrText>
      </w:r>
      <w:r>
        <w:rPr/>
        <w:fldChar w:fldCharType="separate"/>
      </w:r>
      <w:r>
        <w:rPr>
          <w:rStyle w:val="style85"/>
          <w:rFonts w:ascii="Times New Roman" w:cs="Times New Roman" w:hAnsi="Times New Roman"/>
          <w:sz w:val="24"/>
          <w:szCs w:val="24"/>
          <w:lang w:val="en-GB"/>
        </w:rPr>
        <w:t>3.4 Employee Retention and Turnover Intention</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_Toc220239786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7</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"_Toc220239787" </w:instrText>
      </w:r>
      <w:r>
        <w:rPr/>
        <w:fldChar w:fldCharType="separate"/>
      </w:r>
      <w:r>
        <w:rPr>
          <w:rStyle w:val="style85"/>
          <w:rFonts w:ascii="Times New Roman" w:cs="Times New Roman" w:hAnsi="Times New Roman"/>
          <w:sz w:val="24"/>
          <w:szCs w:val="24"/>
          <w:lang w:val="en-GB"/>
        </w:rPr>
        <w:t>4. Research Methodology and Design</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_Toc220239787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10</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"_Toc220239788" </w:instrText>
      </w:r>
      <w:r>
        <w:rPr/>
        <w:fldChar w:fldCharType="separate"/>
      </w:r>
      <w:r>
        <w:rPr>
          <w:rStyle w:val="style85"/>
          <w:rFonts w:ascii="Times New Roman" w:cs="Times New Roman" w:hAnsi="Times New Roman"/>
          <w:sz w:val="24"/>
          <w:szCs w:val="24"/>
          <w:lang w:val="en-GB"/>
        </w:rPr>
        <w:t>4. Research Methodology and Design – Critical Justification</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_Toc220239788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10</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"_Toc220239789" </w:instrText>
      </w:r>
      <w:r>
        <w:rPr/>
        <w:fldChar w:fldCharType="separate"/>
      </w:r>
      <w:r>
        <w:rPr>
          <w:rStyle w:val="style85"/>
          <w:rFonts w:ascii="Times New Roman" w:cs="Times New Roman" w:hAnsi="Times New Roman"/>
          <w:sz w:val="24"/>
          <w:szCs w:val="24"/>
          <w:lang w:val="en-GB"/>
        </w:rPr>
        <w:t>4.1 Research Approach</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_Toc220239789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10</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"_Toc220239790" </w:instrText>
      </w:r>
      <w:r>
        <w:rPr/>
        <w:fldChar w:fldCharType="separate"/>
      </w:r>
      <w:r>
        <w:rPr>
          <w:rStyle w:val="style85"/>
          <w:rFonts w:ascii="Times New Roman" w:cs="Times New Roman" w:hAnsi="Times New Roman"/>
          <w:sz w:val="24"/>
          <w:szCs w:val="24"/>
          <w:lang w:val="en-GB"/>
        </w:rPr>
        <w:t>4.2 Variables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_Toc220239790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10</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"_Toc220239791" </w:instrText>
      </w:r>
      <w:r>
        <w:rPr/>
        <w:fldChar w:fldCharType="separate"/>
      </w:r>
      <w:r>
        <w:rPr>
          <w:rStyle w:val="style85"/>
          <w:rFonts w:ascii="Times New Roman" w:cs="Times New Roman" w:hAnsi="Times New Roman"/>
          <w:sz w:val="24"/>
          <w:szCs w:val="24"/>
          <w:lang w:val="en-GB"/>
        </w:rPr>
        <w:t>4.3 Data Collection Method</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_Toc220239791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11</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"_Toc220239792" </w:instrText>
      </w:r>
      <w:r>
        <w:rPr/>
        <w:fldChar w:fldCharType="separate"/>
      </w:r>
      <w:r>
        <w:rPr>
          <w:rStyle w:val="style85"/>
          <w:rFonts w:ascii="Times New Roman" w:cs="Times New Roman" w:hAnsi="Times New Roman"/>
          <w:sz w:val="24"/>
          <w:szCs w:val="24"/>
          <w:lang w:val="en-GB"/>
        </w:rPr>
        <w:t>4.4 Sampling Strategy</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_Toc220239792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11</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"_Toc220239793" </w:instrText>
      </w:r>
      <w:r>
        <w:rPr/>
        <w:fldChar w:fldCharType="separate"/>
      </w:r>
      <w:r>
        <w:rPr>
          <w:rStyle w:val="style85"/>
          <w:rFonts w:ascii="Times New Roman" w:cs="Times New Roman" w:hAnsi="Times New Roman"/>
          <w:sz w:val="24"/>
          <w:szCs w:val="24"/>
          <w:lang w:val="en-GB"/>
        </w:rPr>
        <w:t>4.5 Data Analysis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_Toc220239793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11</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"_Toc220239794" </w:instrText>
      </w:r>
      <w:r>
        <w:rPr/>
        <w:fldChar w:fldCharType="separate"/>
      </w:r>
      <w:r>
        <w:rPr>
          <w:rStyle w:val="style85"/>
          <w:rFonts w:ascii="Times New Roman" w:cs="Times New Roman" w:hAnsi="Times New Roman"/>
          <w:sz w:val="24"/>
          <w:szCs w:val="24"/>
          <w:lang w:val="en-GB"/>
        </w:rPr>
        <w:t>4.6 Research Ethics, Reliability, and Validity</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_Toc220239794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12</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"_Toc220239795" </w:instrText>
      </w:r>
      <w:r>
        <w:rPr/>
        <w:fldChar w:fldCharType="separate"/>
      </w:r>
      <w:r>
        <w:rPr>
          <w:rStyle w:val="style85"/>
          <w:rFonts w:ascii="Times New Roman" w:cs="Times New Roman" w:hAnsi="Times New Roman"/>
          <w:sz w:val="24"/>
          <w:szCs w:val="24"/>
          <w:lang w:val="en-GB"/>
        </w:rPr>
        <w:t>5. Business Relevance and Practical Implications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_Toc220239795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12</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"_Toc220239796" </w:instrText>
      </w:r>
      <w:r>
        <w:rPr/>
        <w:fldChar w:fldCharType="separate"/>
      </w:r>
      <w:r>
        <w:rPr>
          <w:rStyle w:val="style85"/>
          <w:rFonts w:ascii="Times New Roman" w:cs="Times New Roman" w:hAnsi="Times New Roman"/>
          <w:sz w:val="24"/>
          <w:szCs w:val="24"/>
          <w:lang w:val="en-GB"/>
        </w:rPr>
        <w:t>Reference</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_Toc220239796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13</w:t>
      </w:r>
      <w:r>
        <w:rPr>
          <w:rFonts w:ascii="Times New Roman" w:cs="Times New Roman" w:hAnsi="Times New Roman"/>
          <w:webHidden/>
          <w:sz w:val="24"/>
          <w:szCs w:val="24"/>
          <w:lang w:val="en-GB"/>
        </w:rPr>
        <w:fldChar w:fldCharType="end"/>
      </w:r>
      <w:r>
        <w:rPr/>
        <w:fldChar w:fldCharType="end"/>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fldChar w:fldCharType="end"/>
      </w:r>
    </w:p>
    <w:p>
      <w:pPr>
        <w:pStyle w:val="style0"/>
        <w:spacing w:lineRule="auto" w:line="360"/>
        <w:rPr>
          <w:rFonts w:ascii="Times New Roman" w:cs="Times New Roman" w:eastAsia="Times New Roman" w:hAnsi="Times New Roman"/>
          <w:b/>
          <w:bCs/>
          <w:sz w:val="24"/>
          <w:szCs w:val="24"/>
          <w:lang w:val="en-GB"/>
        </w:rPr>
      </w:pPr>
      <w:r>
        <w:rPr>
          <w:rFonts w:ascii="Times New Roman" w:cs="Times New Roman" w:hAnsi="Times New Roman"/>
          <w:sz w:val="24"/>
          <w:szCs w:val="24"/>
          <w:lang w:val="en-GB"/>
        </w:rPr>
        <w:br w:type="page"/>
      </w:r>
    </w:p>
    <w:bookmarkStart w:id="0" w:name="_Toc220239777"/>
    <w:p>
      <w:pPr>
        <w:pStyle w:val="style2"/>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1. Identification of the Business Problem</w:t>
      </w:r>
      <w:bookmarkEnd w:id="0"/>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Beyond the effects of the COVID-19 pandemic, hybrid working has been a prevailing trend in organisational work design in the UK. The UK Office for National Statistics found that in 2023, 28% of the working-age population stated </w:t>
      </w:r>
      <w:r>
        <w:rPr>
          <w:rFonts w:ascii="Times New Roman" w:cs="Times New Roman" w:hAnsi="Times New Roman"/>
          <w:sz w:val="24"/>
          <w:szCs w:val="24"/>
          <w:lang w:val="en-GB"/>
        </w:rPr>
        <w:t>they worked in a hybrid setup, compared to almost 10%</w:t>
      </w:r>
      <w:r>
        <w:rPr>
          <w:rFonts w:ascii="Times New Roman" w:cs="Times New Roman" w:hAnsi="Times New Roman"/>
          <w:sz w:val="24"/>
          <w:szCs w:val="24"/>
          <w:lang w:val="en-GB"/>
        </w:rPr>
        <w:t xml:space="preserve"> before the pandemic (ONS, 2023). The hybrid form of remote and office-based work has been introduced in many service organisations, which are facilitated by digital collaboration technologies. Although the flexibility, productivity, and employee satisfaction have been anticipated in the short term by the top management as the benefits of hybrid working, working </w:t>
      </w:r>
      <w:r>
        <w:rPr>
          <w:rFonts w:ascii="Times New Roman" w:cs="Times New Roman" w:hAnsi="Times New Roman"/>
          <w:sz w:val="24"/>
          <w:szCs w:val="24"/>
          <w:lang w:val="en-GB"/>
        </w:rPr>
        <w:t>practices have</w:t>
      </w:r>
      <w:r>
        <w:rPr>
          <w:rFonts w:ascii="Times New Roman" w:cs="Times New Roman" w:hAnsi="Times New Roman"/>
          <w:sz w:val="24"/>
          <w:szCs w:val="24"/>
          <w:lang w:val="en-GB"/>
        </w:rPr>
        <w:t xml:space="preserve"> shown that these are not always the case. In a number of organisations, hybrid working has also been associated with a drop in employee engagement and growing retention issues, which are an issue of concern </w:t>
      </w:r>
      <w:r>
        <w:rPr>
          <w:rFonts w:ascii="Times New Roman" w:cs="Times New Roman" w:hAnsi="Times New Roman"/>
          <w:sz w:val="24"/>
          <w:szCs w:val="24"/>
          <w:lang w:val="en-GB"/>
        </w:rPr>
        <w:t>regarding</w:t>
      </w:r>
      <w:r>
        <w:rPr>
          <w:rFonts w:ascii="Times New Roman" w:cs="Times New Roman" w:hAnsi="Times New Roman"/>
          <w:sz w:val="24"/>
          <w:szCs w:val="24"/>
          <w:lang w:val="en-GB"/>
        </w:rPr>
        <w:t xml:space="preserve"> its future role in organisational performance (CIPD, 2023)</w:t>
      </w:r>
      <w:r>
        <w:rPr>
          <w:rFonts w:ascii="Times New Roman" w:cs="Times New Roman" w:hAnsi="Times New Roman"/>
          <w:sz w:val="24"/>
          <w:szCs w:val="24"/>
          <w:lang w:val="en-GB"/>
        </w:rPr>
        <w:t>.</w:t>
      </w:r>
      <w:r>
        <w:rPr>
          <w:rFonts w:ascii="Times New Roman" w:cs="Times New Roman" w:hAnsi="Times New Roman"/>
          <w:sz w:val="24"/>
          <w:szCs w:val="24"/>
          <w:lang w:val="en-GB" w:eastAsia="en-GB"/>
        </w:rPr>
        <w:drawing>
          <wp:inline distL="0" distT="0" distB="0" distR="0">
            <wp:extent cx="5943600" cy="2988449"/>
            <wp:effectExtent l="19050" t="0" r="0" b="0"/>
            <wp:docPr id="1026" name="Picture 28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87"/>
                    <pic:cNvPicPr/>
                  </pic:nvPicPr>
                  <pic:blipFill>
                    <a:blip r:embed="rId2" cstate="print"/>
                    <a:srcRect l="0" t="0" r="0" b="0"/>
                    <a:stretch/>
                  </pic:blipFill>
                  <pic:spPr>
                    <a:xfrm rot="0">
                      <a:off x="0" y="0"/>
                      <a:ext cx="5943600" cy="2988449"/>
                    </a:xfrm>
                    <a:prstGeom prst="rect"/>
                    <a:ln>
                      <a:noFill/>
                    </a:ln>
                  </pic:spPr>
                </pic:pic>
              </a:graphicData>
            </a:graphic>
          </wp:inline>
        </w:drawing>
      </w:r>
    </w:p>
    <w:p>
      <w:pPr>
        <w:pStyle w:val="style34"/>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Figure </w:t>
      </w:r>
      <w:r>
        <w:rPr>
          <w:rFonts w:ascii="Times New Roman" w:cs="Times New Roman" w:hAnsi="Times New Roman"/>
          <w:sz w:val="24"/>
          <w:szCs w:val="24"/>
          <w:lang w:val="en-GB"/>
        </w:rPr>
        <w:fldChar w:fldCharType="begin"/>
      </w:r>
      <w:r>
        <w:rPr>
          <w:rFonts w:ascii="Times New Roman" w:cs="Times New Roman" w:hAnsi="Times New Roman"/>
          <w:sz w:val="24"/>
          <w:szCs w:val="24"/>
          <w:lang w:val="en-GB"/>
        </w:rPr>
        <w:instrText xml:space="preserve"> SEQ Figure \* ARABIC </w:instrText>
      </w:r>
      <w:r>
        <w:rPr>
          <w:rFonts w:ascii="Times New Roman" w:cs="Times New Roman" w:hAnsi="Times New Roman"/>
          <w:sz w:val="24"/>
          <w:szCs w:val="24"/>
          <w:lang w:val="en-GB"/>
        </w:rPr>
        <w:fldChar w:fldCharType="separate"/>
      </w:r>
      <w:r>
        <w:rPr>
          <w:rFonts w:ascii="Times New Roman" w:cs="Times New Roman" w:hAnsi="Times New Roman"/>
          <w:sz w:val="24"/>
          <w:szCs w:val="24"/>
          <w:lang w:val="en-GB"/>
        </w:rPr>
        <w:t>1</w:t>
      </w:r>
      <w:r>
        <w:rPr>
          <w:rFonts w:ascii="Times New Roman" w:cs="Times New Roman" w:hAnsi="Times New Roman"/>
          <w:sz w:val="24"/>
          <w:szCs w:val="24"/>
          <w:lang w:val="en-GB"/>
        </w:rPr>
        <w:fldChar w:fldCharType="end"/>
      </w:r>
      <w:r>
        <w:rPr>
          <w:rFonts w:ascii="Times New Roman" w:cs="Times New Roman" w:hAnsi="Times New Roman"/>
          <w:sz w:val="24"/>
          <w:szCs w:val="24"/>
          <w:lang w:val="en-GB"/>
        </w:rPr>
        <w:t xml:space="preserve">: Number of people </w:t>
      </w:r>
      <w:r>
        <w:rPr>
          <w:rFonts w:ascii="Times New Roman" w:cs="Times New Roman" w:hAnsi="Times New Roman"/>
          <w:sz w:val="24"/>
          <w:szCs w:val="24"/>
          <w:lang w:val="en-GB"/>
        </w:rPr>
        <w:t>involved</w:t>
      </w:r>
      <w:r>
        <w:rPr>
          <w:rFonts w:ascii="Times New Roman" w:cs="Times New Roman" w:hAnsi="Times New Roman"/>
          <w:sz w:val="24"/>
          <w:szCs w:val="24"/>
          <w:lang w:val="en-GB"/>
        </w:rPr>
        <w:t xml:space="preserve"> in Hybrid working (Source: </w:t>
      </w:r>
      <w:r>
        <w:rPr>
          <w:rFonts w:ascii="Times New Roman" w:cs="Times New Roman" w:hAnsi="Times New Roman"/>
          <w:sz w:val="24"/>
          <w:szCs w:val="24"/>
          <w:lang w:val="en-GB"/>
        </w:rPr>
        <w:t>Ons</w:t>
      </w:r>
      <w:r>
        <w:rPr>
          <w:rFonts w:ascii="Times New Roman" w:cs="Times New Roman" w:hAnsi="Times New Roman"/>
          <w:sz w:val="24"/>
          <w:szCs w:val="24"/>
          <w:lang w:val="en-GB"/>
        </w:rPr>
        <w:t>, 2023)</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As Figure 2 demonstrates working from home on either a regular basis or an ad hoc basis is the most common mode of flexible working (62), followed by informal flexibility that is agreed with line managers (53), fewer hours of work (51), whereas more formal or less secure arrangements, e.g. the zero-hour contract and the annualised hours, are employed by only 12% of all respondents, so there is a strong preference towards flexibility that preserves stability.</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Employee engagement and retention within the UK service organisations are paramount in maintaining quality of services, customer satisfaction and competitiveness. Employee commitment, discretionary effort, and skill continuity are very crucial in service delivery. The growing concern among senior managers is that </w:t>
      </w:r>
      <w:r>
        <w:rPr>
          <w:rFonts w:ascii="Times New Roman" w:cs="Times New Roman" w:hAnsi="Times New Roman"/>
          <w:sz w:val="24"/>
          <w:szCs w:val="24"/>
          <w:lang w:val="en-GB"/>
        </w:rPr>
        <w:t xml:space="preserve">the </w:t>
      </w:r>
      <w:r>
        <w:rPr>
          <w:rFonts w:ascii="Times New Roman" w:cs="Times New Roman" w:hAnsi="Times New Roman"/>
          <w:sz w:val="24"/>
          <w:szCs w:val="24"/>
          <w:lang w:val="en-GB"/>
        </w:rPr>
        <w:t>hybrid working arrangement is weakening organisational attachment</w:t>
      </w:r>
      <w:r>
        <w:rPr>
          <w:rFonts w:ascii="Times New Roman" w:cs="Times New Roman" w:hAnsi="Times New Roman"/>
          <w:sz w:val="24"/>
          <w:szCs w:val="24"/>
          <w:lang w:val="en-GB"/>
        </w:rPr>
        <w:t xml:space="preserve"> and informal collaboration, and creating disparities</w:t>
      </w:r>
      <w:r>
        <w:rPr>
          <w:rFonts w:ascii="Times New Roman" w:cs="Times New Roman" w:hAnsi="Times New Roman"/>
          <w:sz w:val="24"/>
          <w:szCs w:val="24"/>
          <w:lang w:val="en-GB"/>
        </w:rPr>
        <w:t xml:space="preserve"> in the experiences of employees working remotely and those working in offices. These problems have been echoed in decreased participation survey results, escalated absenteeism, and augmented voluntary turnover, especially in proficient and </w:t>
      </w:r>
      <w:r>
        <w:rPr>
          <w:rFonts w:ascii="Times New Roman" w:cs="Times New Roman" w:hAnsi="Times New Roman"/>
          <w:sz w:val="24"/>
          <w:szCs w:val="24"/>
          <w:lang w:val="en-GB"/>
        </w:rPr>
        <w:t>customer-facing</w:t>
      </w:r>
      <w:r>
        <w:rPr>
          <w:rFonts w:ascii="Times New Roman" w:cs="Times New Roman" w:hAnsi="Times New Roman"/>
          <w:sz w:val="24"/>
          <w:szCs w:val="24"/>
          <w:lang w:val="en-GB"/>
        </w:rPr>
        <w:t xml:space="preserve"> workers.</w:t>
      </w:r>
    </w:p>
    <w:p>
      <w:pPr>
        <w:pStyle w:val="style94"/>
        <w:keepNext/>
        <w:spacing w:lineRule="auto" w:line="360"/>
        <w:rPr>
          <w:rFonts w:ascii="Times New Roman" w:cs="Times New Roman" w:hAnsi="Times New Roman"/>
          <w:lang w:val="en-GB"/>
        </w:rPr>
      </w:pPr>
      <w:r>
        <w:rPr>
          <w:rFonts w:ascii="Times New Roman" w:cs="Times New Roman" w:hAnsi="Times New Roman"/>
          <w:lang w:val="en-GB" w:eastAsia="en-GB"/>
        </w:rPr>
        <w:drawing>
          <wp:inline distL="0" distT="0" distB="0" distR="0">
            <wp:extent cx="5943600" cy="4056870"/>
            <wp:effectExtent l="19050" t="0" r="0" b="0"/>
            <wp:docPr id="1027" name="Picture 29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91"/>
                    <pic:cNvPicPr/>
                  </pic:nvPicPr>
                  <pic:blipFill>
                    <a:blip r:embed="rId3" cstate="print"/>
                    <a:srcRect l="0" t="0" r="0" b="0"/>
                    <a:stretch/>
                  </pic:blipFill>
                  <pic:spPr>
                    <a:xfrm rot="0">
                      <a:off x="0" y="0"/>
                      <a:ext cx="5943600" cy="4056870"/>
                    </a:xfrm>
                    <a:prstGeom prst="rect"/>
                    <a:ln>
                      <a:noFill/>
                    </a:ln>
                  </pic:spPr>
                </pic:pic>
              </a:graphicData>
            </a:graphic>
          </wp:inline>
        </w:drawing>
      </w:r>
    </w:p>
    <w:p>
      <w:pPr>
        <w:pStyle w:val="style34"/>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Figure </w:t>
      </w:r>
      <w:r>
        <w:rPr>
          <w:rFonts w:ascii="Times New Roman" w:cs="Times New Roman" w:hAnsi="Times New Roman"/>
          <w:sz w:val="24"/>
          <w:szCs w:val="24"/>
          <w:lang w:val="en-GB"/>
        </w:rPr>
        <w:fldChar w:fldCharType="begin"/>
      </w:r>
      <w:r>
        <w:rPr>
          <w:rFonts w:ascii="Times New Roman" w:cs="Times New Roman" w:hAnsi="Times New Roman"/>
          <w:sz w:val="24"/>
          <w:szCs w:val="24"/>
          <w:lang w:val="en-GB"/>
        </w:rPr>
        <w:instrText xml:space="preserve"> SEQ Figure \* ARABIC </w:instrText>
      </w:r>
      <w:r>
        <w:rPr>
          <w:rFonts w:ascii="Times New Roman" w:cs="Times New Roman" w:hAnsi="Times New Roman"/>
          <w:sz w:val="24"/>
          <w:szCs w:val="24"/>
          <w:lang w:val="en-GB"/>
        </w:rPr>
        <w:fldChar w:fldCharType="separate"/>
      </w:r>
      <w:r>
        <w:rPr>
          <w:rFonts w:ascii="Times New Roman" w:cs="Times New Roman" w:hAnsi="Times New Roman"/>
          <w:sz w:val="24"/>
          <w:szCs w:val="24"/>
          <w:lang w:val="en-GB"/>
        </w:rPr>
        <w:t>2</w:t>
      </w:r>
      <w:r>
        <w:rPr>
          <w:rFonts w:ascii="Times New Roman" w:cs="Times New Roman" w:hAnsi="Times New Roman"/>
          <w:sz w:val="24"/>
          <w:szCs w:val="24"/>
          <w:lang w:val="en-GB"/>
        </w:rPr>
        <w:fldChar w:fldCharType="end"/>
      </w:r>
      <w:r>
        <w:rPr>
          <w:rFonts w:ascii="Times New Roman" w:cs="Times New Roman" w:hAnsi="Times New Roman"/>
          <w:sz w:val="24"/>
          <w:szCs w:val="24"/>
          <w:lang w:val="en-GB"/>
        </w:rPr>
        <w:t>: Flexible work arrangement offered by firms (Source: CIPD, 2023)</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The business issue is multi-dimensional and multifaceted</w:t>
      </w:r>
      <w:r>
        <w:rPr>
          <w:rFonts w:ascii="Times New Roman" w:cs="Times New Roman" w:hAnsi="Times New Roman"/>
          <w:sz w:val="24"/>
          <w:szCs w:val="24"/>
          <w:lang w:val="en-GB"/>
        </w:rPr>
        <w:t>, as the concept of hybrid working is connected to various organisational factors, such as performance management, communication practices, leadership capabilities</w:t>
      </w:r>
      <w:r>
        <w:rPr>
          <w:rFonts w:ascii="Times New Roman" w:cs="Times New Roman" w:hAnsi="Times New Roman"/>
          <w:sz w:val="24"/>
          <w:szCs w:val="24"/>
          <w:lang w:val="en-GB"/>
        </w:rPr>
        <w:t xml:space="preserve">, and employee well-being. Although regulation levels increase </w:t>
      </w:r>
      <w:r>
        <w:rPr>
          <w:rFonts w:ascii="Times New Roman" w:cs="Times New Roman" w:hAnsi="Times New Roman"/>
          <w:sz w:val="24"/>
          <w:szCs w:val="24"/>
          <w:lang w:val="en-GB"/>
        </w:rPr>
        <w:t>autonomy and work-life balance for some employees, others complain of social isolation, blurred work-life boundaries, and a lack of visibility into</w:t>
      </w:r>
      <w:r>
        <w:rPr>
          <w:rFonts w:ascii="Times New Roman" w:cs="Times New Roman" w:hAnsi="Times New Roman"/>
          <w:sz w:val="24"/>
          <w:szCs w:val="24"/>
          <w:lang w:val="en-GB"/>
        </w:rPr>
        <w:t xml:space="preserve"> their contributions (</w:t>
      </w:r>
      <w:r>
        <w:rPr>
          <w:rFonts w:ascii="Times New Roman" w:cs="Times New Roman" w:hAnsi="Times New Roman"/>
          <w:sz w:val="24"/>
          <w:szCs w:val="24"/>
          <w:lang w:val="en-GB"/>
        </w:rPr>
        <w:t>Felstead</w:t>
      </w:r>
      <w:r>
        <w:rPr>
          <w:rFonts w:ascii="Times New Roman" w:cs="Times New Roman" w:hAnsi="Times New Roman"/>
          <w:sz w:val="24"/>
          <w:szCs w:val="24"/>
          <w:lang w:val="en-GB"/>
        </w:rPr>
        <w:t xml:space="preserve"> and </w:t>
      </w:r>
      <w:r>
        <w:rPr>
          <w:rFonts w:ascii="Times New Roman" w:cs="Times New Roman" w:hAnsi="Times New Roman"/>
          <w:sz w:val="24"/>
          <w:szCs w:val="24"/>
          <w:lang w:val="en-GB"/>
        </w:rPr>
        <w:t>Reuschke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 xml:space="preserve">2020). This inconsistency renders the top </w:t>
      </w:r>
      <w:r>
        <w:rPr>
          <w:rFonts w:ascii="Times New Roman" w:cs="Times New Roman" w:hAnsi="Times New Roman"/>
          <w:sz w:val="24"/>
          <w:szCs w:val="24"/>
          <w:lang w:val="en-GB"/>
        </w:rPr>
        <w:t xml:space="preserve">management's inability to determine whether hybrid working is providing a strategic value or is unwillingly compromising the stability of the </w:t>
      </w:r>
      <w:r>
        <w:rPr>
          <w:rFonts w:ascii="Times New Roman" w:cs="Times New Roman" w:hAnsi="Times New Roman"/>
          <w:sz w:val="24"/>
          <w:szCs w:val="24"/>
          <w:lang w:val="en-GB"/>
        </w:rPr>
        <w:t>workforce.</w:t>
      </w:r>
    </w:p>
    <w:p>
      <w:pPr>
        <w:pStyle w:val="style94"/>
        <w:keepNext/>
        <w:spacing w:lineRule="auto" w:line="360"/>
        <w:rPr>
          <w:rFonts w:ascii="Times New Roman" w:cs="Times New Roman" w:hAnsi="Times New Roman"/>
          <w:lang w:val="en-GB"/>
        </w:rPr>
      </w:pPr>
      <w:r>
        <w:rPr>
          <w:rFonts w:ascii="Times New Roman" w:cs="Times New Roman" w:hAnsi="Times New Roman"/>
          <w:lang w:val="en-GB" w:eastAsia="en-GB"/>
        </w:rPr>
        <w:drawing>
          <wp:inline distL="0" distT="0" distB="0" distR="0">
            <wp:extent cx="5943600" cy="4351056"/>
            <wp:effectExtent l="19050" t="0" r="0" b="0"/>
            <wp:docPr id="1028" name="Picture 29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94"/>
                    <pic:cNvPicPr/>
                  </pic:nvPicPr>
                  <pic:blipFill>
                    <a:blip r:embed="rId4" cstate="print"/>
                    <a:srcRect l="0" t="0" r="0" b="0"/>
                    <a:stretch/>
                  </pic:blipFill>
                  <pic:spPr>
                    <a:xfrm rot="0">
                      <a:off x="0" y="0"/>
                      <a:ext cx="5943600" cy="4351056"/>
                    </a:xfrm>
                    <a:prstGeom prst="rect"/>
                    <a:ln>
                      <a:noFill/>
                    </a:ln>
                  </pic:spPr>
                </pic:pic>
              </a:graphicData>
            </a:graphic>
          </wp:inline>
        </w:drawing>
      </w:r>
    </w:p>
    <w:p>
      <w:pPr>
        <w:pStyle w:val="style34"/>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Figure </w:t>
      </w:r>
      <w:r>
        <w:rPr>
          <w:rFonts w:ascii="Times New Roman" w:cs="Times New Roman" w:hAnsi="Times New Roman"/>
          <w:sz w:val="24"/>
          <w:szCs w:val="24"/>
          <w:lang w:val="en-GB"/>
        </w:rPr>
        <w:fldChar w:fldCharType="begin"/>
      </w:r>
      <w:r>
        <w:rPr>
          <w:rFonts w:ascii="Times New Roman" w:cs="Times New Roman" w:hAnsi="Times New Roman"/>
          <w:sz w:val="24"/>
          <w:szCs w:val="24"/>
          <w:lang w:val="en-GB"/>
        </w:rPr>
        <w:instrText xml:space="preserve"> SEQ Figure \* ARABIC </w:instrText>
      </w:r>
      <w:r>
        <w:rPr>
          <w:rFonts w:ascii="Times New Roman" w:cs="Times New Roman" w:hAnsi="Times New Roman"/>
          <w:sz w:val="24"/>
          <w:szCs w:val="24"/>
          <w:lang w:val="en-GB"/>
        </w:rPr>
        <w:fldChar w:fldCharType="separate"/>
      </w:r>
      <w:r>
        <w:rPr>
          <w:rFonts w:ascii="Times New Roman" w:cs="Times New Roman" w:hAnsi="Times New Roman"/>
          <w:sz w:val="24"/>
          <w:szCs w:val="24"/>
          <w:lang w:val="en-GB"/>
        </w:rPr>
        <w:t>3</w:t>
      </w:r>
      <w:r>
        <w:rPr>
          <w:rFonts w:ascii="Times New Roman" w:cs="Times New Roman" w:hAnsi="Times New Roman"/>
          <w:sz w:val="24"/>
          <w:szCs w:val="24"/>
          <w:lang w:val="en-GB"/>
        </w:rPr>
        <w:fldChar w:fldCharType="end"/>
      </w:r>
      <w:r>
        <w:rPr>
          <w:rFonts w:ascii="Times New Roman" w:cs="Times New Roman" w:hAnsi="Times New Roman"/>
          <w:sz w:val="24"/>
          <w:szCs w:val="24"/>
          <w:lang w:val="en-GB"/>
        </w:rPr>
        <w:t>: Impact of Hybrid working (CIPD, 2023)</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Although hybrid working has become a more common practice, there are numerous organisations that do not have strong, evidence-based knowledge of how the arrangements impact employee engagement and retention rates. The senior managers thus need structured research when making decisions on how to refine </w:t>
      </w:r>
      <w:r>
        <w:rPr>
          <w:rFonts w:ascii="Times New Roman" w:cs="Times New Roman" w:hAnsi="Times New Roman"/>
          <w:sz w:val="24"/>
          <w:szCs w:val="24"/>
          <w:lang w:val="en-GB"/>
        </w:rPr>
        <w:t>hybrid working policies, invest in managerial capability, and redesign work processes</w:t>
      </w:r>
      <w:r>
        <w:rPr>
          <w:rFonts w:ascii="Times New Roman" w:cs="Times New Roman" w:hAnsi="Times New Roman"/>
          <w:sz w:val="24"/>
          <w:szCs w:val="24"/>
          <w:lang w:val="en-GB"/>
        </w:rPr>
        <w:t xml:space="preserve"> to ensure sustainable organisational performance.</w:t>
      </w:r>
    </w:p>
    <w:bookmarkStart w:id="1" w:name="_Toc220239778"/>
    <w:p>
      <w:pPr>
        <w:pStyle w:val="style2"/>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2. Research Aim, Objectives, and Research Questions</w:t>
      </w:r>
      <w:bookmarkEnd w:id="1"/>
    </w:p>
    <w:bookmarkStart w:id="2" w:name="_Toc220239779"/>
    <w:p>
      <w:pPr>
        <w:pStyle w:val="style3"/>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Research Aim</w:t>
      </w:r>
      <w:bookmarkEnd w:id="2"/>
    </w:p>
    <w:p>
      <w:pPr>
        <w:pStyle w:val="style94"/>
        <w:spacing w:lineRule="auto" w:line="360"/>
        <w:rPr>
          <w:rFonts w:ascii="Times New Roman" w:cs="Times New Roman" w:hAnsi="Times New Roman"/>
          <w:lang w:val="en-GB"/>
        </w:rPr>
      </w:pPr>
      <w:r>
        <w:rPr>
          <w:rFonts w:ascii="Times New Roman" w:cs="Times New Roman" w:hAnsi="Times New Roman"/>
          <w:lang w:val="en-GB"/>
        </w:rPr>
        <w:t>This research aims t</w:t>
      </w:r>
      <w:r>
        <w:rPr>
          <w:rFonts w:ascii="Times New Roman" w:cs="Times New Roman" w:hAnsi="Times New Roman"/>
          <w:lang w:val="en-GB"/>
        </w:rPr>
        <w:t>o examine the impact of hybrid working practices on employee engagement and retention in UK service organisations.</w:t>
      </w:r>
    </w:p>
    <w:bookmarkStart w:id="3" w:name="_Toc220239780"/>
    <w:p>
      <w:pPr>
        <w:pStyle w:val="style3"/>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Research Objectives</w:t>
      </w:r>
      <w:bookmarkEnd w:id="3"/>
    </w:p>
    <w:p>
      <w:pPr>
        <w:pStyle w:val="style94"/>
        <w:numPr>
          <w:ilvl w:val="0"/>
          <w:numId w:val="1"/>
        </w:numPr>
        <w:spacing w:lineRule="auto" w:line="360"/>
        <w:rPr>
          <w:rFonts w:ascii="Times New Roman" w:cs="Times New Roman" w:hAnsi="Times New Roman"/>
          <w:lang w:val="en-GB"/>
        </w:rPr>
      </w:pPr>
      <w:r>
        <w:rPr>
          <w:rFonts w:ascii="Times New Roman" w:cs="Times New Roman" w:hAnsi="Times New Roman"/>
          <w:lang w:val="en-GB"/>
        </w:rPr>
        <w:t>To measure employees’ perceptions of hybrid working practices within UK service organisations.</w:t>
      </w:r>
    </w:p>
    <w:p>
      <w:pPr>
        <w:pStyle w:val="style94"/>
        <w:numPr>
          <w:ilvl w:val="0"/>
          <w:numId w:val="1"/>
        </w:numPr>
        <w:spacing w:lineRule="auto" w:line="360"/>
        <w:rPr>
          <w:rFonts w:ascii="Times New Roman" w:cs="Times New Roman" w:hAnsi="Times New Roman"/>
          <w:lang w:val="en-GB"/>
        </w:rPr>
      </w:pPr>
      <w:r>
        <w:rPr>
          <w:rFonts w:ascii="Times New Roman" w:cs="Times New Roman" w:hAnsi="Times New Roman"/>
          <w:lang w:val="en-GB"/>
        </w:rPr>
        <w:t>To analyse the relationship between hybrid working practices and employee engagement.</w:t>
      </w:r>
    </w:p>
    <w:p>
      <w:pPr>
        <w:pStyle w:val="style94"/>
        <w:numPr>
          <w:ilvl w:val="0"/>
          <w:numId w:val="1"/>
        </w:numPr>
        <w:spacing w:lineRule="auto" w:line="360"/>
        <w:rPr>
          <w:rFonts w:ascii="Times New Roman" w:cs="Times New Roman" w:hAnsi="Times New Roman"/>
          <w:lang w:val="en-GB"/>
        </w:rPr>
      </w:pPr>
      <w:r>
        <w:rPr>
          <w:rFonts w:ascii="Times New Roman" w:cs="Times New Roman" w:hAnsi="Times New Roman"/>
          <w:lang w:val="en-GB"/>
        </w:rPr>
        <w:t>To examine the relationship between employee engagement and turnover intention.</w:t>
      </w:r>
    </w:p>
    <w:p>
      <w:pPr>
        <w:pStyle w:val="style94"/>
        <w:numPr>
          <w:ilvl w:val="0"/>
          <w:numId w:val="1"/>
        </w:numPr>
        <w:spacing w:lineRule="auto" w:line="360"/>
        <w:rPr>
          <w:rFonts w:ascii="Times New Roman" w:cs="Times New Roman" w:hAnsi="Times New Roman"/>
          <w:lang w:val="en-GB"/>
        </w:rPr>
      </w:pPr>
      <w:r>
        <w:rPr>
          <w:rFonts w:ascii="Times New Roman" w:cs="Times New Roman" w:hAnsi="Times New Roman"/>
          <w:lang w:val="en-GB"/>
        </w:rPr>
        <w:t>To assess whether employee engagement mediates the relationship between hybrid working practices and employee retention.</w:t>
      </w:r>
    </w:p>
    <w:bookmarkStart w:id="4" w:name="_Toc220239781"/>
    <w:p>
      <w:pPr>
        <w:pStyle w:val="style3"/>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Research Questions</w:t>
      </w:r>
      <w:bookmarkEnd w:id="4"/>
    </w:p>
    <w:p>
      <w:pPr>
        <w:pStyle w:val="style94"/>
        <w:numPr>
          <w:ilvl w:val="0"/>
          <w:numId w:val="13"/>
        </w:numPr>
        <w:spacing w:lineRule="auto" w:line="360"/>
        <w:rPr>
          <w:rFonts w:ascii="Times New Roman" w:cs="Times New Roman" w:hAnsi="Times New Roman"/>
          <w:lang w:val="en-GB"/>
        </w:rPr>
      </w:pPr>
      <w:r>
        <w:rPr>
          <w:rFonts w:ascii="Times New Roman" w:cs="Times New Roman" w:hAnsi="Times New Roman"/>
          <w:lang w:val="en-GB"/>
        </w:rPr>
        <w:t>What is the relationship between hybrid working practices and employee engagement?</w:t>
      </w:r>
    </w:p>
    <w:p>
      <w:pPr>
        <w:pStyle w:val="style94"/>
        <w:numPr>
          <w:ilvl w:val="0"/>
          <w:numId w:val="13"/>
        </w:numPr>
        <w:spacing w:lineRule="auto" w:line="360"/>
        <w:rPr>
          <w:rFonts w:ascii="Times New Roman" w:cs="Times New Roman" w:hAnsi="Times New Roman"/>
          <w:lang w:val="en-GB"/>
        </w:rPr>
      </w:pPr>
      <w:r>
        <w:rPr>
          <w:rFonts w:ascii="Times New Roman" w:cs="Times New Roman" w:hAnsi="Times New Roman"/>
          <w:lang w:val="en-GB"/>
        </w:rPr>
        <w:t>What is the relationship between employee engagement and turnover intention?</w:t>
      </w:r>
    </w:p>
    <w:p>
      <w:pPr>
        <w:pStyle w:val="style94"/>
        <w:numPr>
          <w:ilvl w:val="0"/>
          <w:numId w:val="13"/>
        </w:numPr>
        <w:spacing w:lineRule="auto" w:line="360"/>
        <w:rPr>
          <w:rFonts w:ascii="Times New Roman" w:cs="Times New Roman" w:hAnsi="Times New Roman"/>
          <w:lang w:val="en-GB"/>
        </w:rPr>
      </w:pPr>
      <w:r>
        <w:rPr>
          <w:rFonts w:ascii="Times New Roman" w:cs="Times New Roman" w:hAnsi="Times New Roman"/>
          <w:lang w:val="en-GB"/>
        </w:rPr>
        <w:t>To what extent do hybrid working practices influence employee retention through employee engagement?</w:t>
      </w:r>
    </w:p>
    <w:bookmarkStart w:id="5" w:name="_Toc220239782"/>
    <w:p>
      <w:pPr>
        <w:pStyle w:val="style2"/>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3. Critical Literature Review</w:t>
      </w:r>
      <w:bookmarkEnd w:id="5"/>
    </w:p>
    <w:bookmarkStart w:id="6" w:name="_Toc220239783"/>
    <w:p>
      <w:pPr>
        <w:pStyle w:val="style3"/>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3.1 Hybrid Working in Contemporary Organisations</w:t>
      </w:r>
      <w:bookmarkEnd w:id="6"/>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Hybrid working means those patterns of work when the staff splits his/her working time </w:t>
      </w:r>
      <w:r>
        <w:rPr>
          <w:rFonts w:ascii="Times New Roman" w:cs="Times New Roman" w:hAnsi="Times New Roman"/>
          <w:sz w:val="24"/>
          <w:szCs w:val="24"/>
          <w:lang w:val="en-GB"/>
        </w:rPr>
        <w:t>between home and the</w:t>
      </w:r>
      <w:r>
        <w:rPr>
          <w:rFonts w:ascii="Times New Roman" w:cs="Times New Roman" w:hAnsi="Times New Roman"/>
          <w:sz w:val="24"/>
          <w:szCs w:val="24"/>
          <w:lang w:val="en-GB"/>
        </w:rPr>
        <w:t xml:space="preserve"> workplace and is supported by digital technologies (Allen et al., 2015). Advocates believe that flexibility, autonomy, and work-life balance are also part of the good employee attitudes that hybrid working can bring (</w:t>
      </w:r>
      <w:r>
        <w:rPr>
          <w:rFonts w:ascii="Times New Roman" w:cs="Times New Roman" w:hAnsi="Times New Roman"/>
          <w:sz w:val="24"/>
          <w:szCs w:val="24"/>
          <w:lang w:val="en-GB"/>
        </w:rPr>
        <w:t>Gajendran</w:t>
      </w:r>
      <w:r>
        <w:rPr>
          <w:rFonts w:ascii="Times New Roman" w:cs="Times New Roman" w:hAnsi="Times New Roman"/>
          <w:sz w:val="24"/>
          <w:szCs w:val="24"/>
          <w:lang w:val="en-GB"/>
        </w:rPr>
        <w:t xml:space="preserve"> and Harrison, 2007). Strategically, hybrid working is </w:t>
      </w:r>
      <w:r>
        <w:rPr>
          <w:rFonts w:ascii="Times New Roman" w:cs="Times New Roman" w:hAnsi="Times New Roman"/>
          <w:sz w:val="24"/>
          <w:szCs w:val="24"/>
          <w:lang w:val="en-GB"/>
        </w:rPr>
        <w:t xml:space="preserve">also seen </w:t>
      </w:r>
      <w:r>
        <w:rPr>
          <w:rFonts w:ascii="Times New Roman" w:cs="Times New Roman" w:hAnsi="Times New Roman"/>
          <w:sz w:val="24"/>
          <w:szCs w:val="24"/>
          <w:lang w:val="en-GB"/>
        </w:rPr>
        <w:t>as a tool to attract and retain talent in labour markets that are getting more and more competitive</w:t>
      </w:r>
      <w:r>
        <w:rP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Mujtaba</w:t>
      </w:r>
      <w:r>
        <w:rPr>
          <w:rFonts w:ascii="Times New Roman" w:cs="Times New Roman" w:hAnsi="Times New Roman"/>
          <w:color w:val="222222"/>
          <w:sz w:val="24"/>
          <w:szCs w:val="24"/>
          <w:shd w:val="clear" w:color="auto" w:fill="ffffff"/>
          <w:lang w:val="en-GB"/>
        </w:rPr>
        <w:t xml:space="preserve"> and Lawrence, 2024)</w:t>
      </w:r>
      <w:r>
        <w:rPr>
          <w:rFonts w:ascii="Times New Roman" w:cs="Times New Roman" w:hAnsi="Times New Roman"/>
          <w:sz w:val="24"/>
          <w:szCs w:val="24"/>
          <w:lang w:val="en-GB"/>
        </w:rPr>
        <w:t>.</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Nevertheless, </w:t>
      </w:r>
      <w:r>
        <w:rPr>
          <w:rFonts w:ascii="Times New Roman" w:cs="Times New Roman" w:hAnsi="Times New Roman"/>
          <w:sz w:val="24"/>
          <w:szCs w:val="24"/>
          <w:lang w:val="en-GB"/>
        </w:rPr>
        <w:t>Felstead</w:t>
      </w:r>
      <w:r>
        <w:rPr>
          <w:rFonts w:ascii="Times New Roman" w:cs="Times New Roman" w:hAnsi="Times New Roman"/>
          <w:sz w:val="24"/>
          <w:szCs w:val="24"/>
          <w:lang w:val="en-GB"/>
        </w:rPr>
        <w:t xml:space="preserve"> and </w:t>
      </w:r>
      <w:r>
        <w:rPr>
          <w:rFonts w:ascii="Times New Roman" w:cs="Times New Roman" w:hAnsi="Times New Roman"/>
          <w:sz w:val="24"/>
          <w:szCs w:val="24"/>
          <w:lang w:val="en-GB"/>
        </w:rPr>
        <w:t>Reu</w:t>
      </w:r>
      <w:r>
        <w:rPr>
          <w:rFonts w:ascii="Times New Roman" w:cs="Times New Roman" w:hAnsi="Times New Roman"/>
          <w:sz w:val="24"/>
          <w:szCs w:val="24"/>
          <w:lang w:val="en-GB"/>
        </w:rPr>
        <w:t>schke</w:t>
      </w:r>
      <w:r>
        <w:rPr>
          <w:rFonts w:ascii="Times New Roman" w:cs="Times New Roman" w:hAnsi="Times New Roman"/>
          <w:sz w:val="24"/>
          <w:szCs w:val="24"/>
          <w:lang w:val="en-GB"/>
        </w:rPr>
        <w:t xml:space="preserve"> (2020) underscore</w:t>
      </w:r>
      <w:r>
        <w:rPr>
          <w:rFonts w:ascii="Times New Roman" w:cs="Times New Roman" w:hAnsi="Times New Roman"/>
          <w:sz w:val="24"/>
          <w:szCs w:val="24"/>
          <w:lang w:val="en-GB"/>
        </w:rPr>
        <w:t xml:space="preserve"> that remote and hybrid workers usually have less access to informal learning </w:t>
      </w:r>
      <w:r>
        <w:rPr>
          <w:rFonts w:ascii="Times New Roman" w:cs="Times New Roman" w:hAnsi="Times New Roman"/>
          <w:sz w:val="24"/>
          <w:szCs w:val="24"/>
          <w:lang w:val="en-GB"/>
        </w:rPr>
        <w:t xml:space="preserve">and </w:t>
      </w:r>
      <w:r>
        <w:rPr>
          <w:rFonts w:ascii="Times New Roman" w:cs="Times New Roman" w:hAnsi="Times New Roman"/>
          <w:sz w:val="24"/>
          <w:szCs w:val="24"/>
          <w:lang w:val="en-GB"/>
        </w:rPr>
        <w:t xml:space="preserve">social interaction, which may hurt engagement in the long term. Likewise, Wang et al. (2021) maintain that hybrid work poses </w:t>
      </w:r>
      <w:r>
        <w:rPr>
          <w:rFonts w:ascii="Times New Roman" w:cs="Times New Roman" w:hAnsi="Times New Roman"/>
          <w:sz w:val="24"/>
          <w:szCs w:val="24"/>
          <w:lang w:val="en-GB"/>
        </w:rPr>
        <w:t xml:space="preserve">greater coordination challenges and additional self-management and digital communication </w:t>
      </w:r>
      <w:r>
        <w:rPr>
          <w:rFonts w:ascii="Times New Roman" w:cs="Times New Roman" w:hAnsi="Times New Roman"/>
          <w:sz w:val="24"/>
          <w:szCs w:val="24"/>
          <w:lang w:val="en-GB"/>
        </w:rPr>
        <w:t xml:space="preserve">requirements. These </w:t>
      </w:r>
      <w:r>
        <w:rPr>
          <w:rFonts w:ascii="Times New Roman" w:cs="Times New Roman" w:hAnsi="Times New Roman"/>
          <w:sz w:val="24"/>
          <w:szCs w:val="24"/>
          <w:lang w:val="en-GB"/>
        </w:rPr>
        <w:t xml:space="preserve">results indicate that </w:t>
      </w:r>
      <w:r>
        <w:rPr>
          <w:rFonts w:ascii="Times New Roman" w:cs="Times New Roman" w:hAnsi="Times New Roman"/>
          <w:sz w:val="24"/>
          <w:szCs w:val="24"/>
          <w:lang w:val="en-GB"/>
        </w:rPr>
        <w:t xml:space="preserve">hybrid working performance depends on the organisation of work and its management, rather than on </w:t>
      </w:r>
      <w:r>
        <w:rPr>
          <w:rFonts w:ascii="Times New Roman" w:cs="Times New Roman" w:hAnsi="Times New Roman"/>
          <w:sz w:val="24"/>
          <w:szCs w:val="24"/>
          <w:lang w:val="en-GB"/>
        </w:rPr>
        <w:t>location flexibility</w:t>
      </w:r>
      <w:r>
        <w:rPr>
          <w:rFonts w:ascii="Times New Roman" w:cs="Times New Roman" w:hAnsi="Times New Roman"/>
          <w:sz w:val="24"/>
          <w:szCs w:val="24"/>
          <w:lang w:val="en-GB"/>
        </w:rPr>
        <w:t>.</w:t>
      </w:r>
      <w:bookmarkStart w:id="7" w:name="_GoBack"/>
      <w:bookmarkEnd w:id="7"/>
    </w:p>
    <w:bookmarkStart w:id="8" w:name="_Toc220239784"/>
    <w:p>
      <w:pPr>
        <w:pStyle w:val="style3"/>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3.2 Employee Engagement and Organisational Performance</w:t>
      </w:r>
      <w:bookmarkEnd w:id="8"/>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Employee engagement refers to a favourable work-related psychological condition</w:t>
      </w:r>
      <w:r>
        <w:rPr>
          <w:rFonts w:ascii="Times New Roman" w:cs="Times New Roman" w:hAnsi="Times New Roman"/>
          <w:sz w:val="24"/>
          <w:szCs w:val="24"/>
          <w:lang w:val="en-GB"/>
        </w:rPr>
        <w:t xml:space="preserve"> characterised by vigour, dedication and absorption</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Schaufeli</w:t>
      </w:r>
      <w:r>
        <w:rPr>
          <w:rFonts w:ascii="Times New Roman" w:cs="Times New Roman" w:hAnsi="Times New Roman"/>
          <w:sz w:val="24"/>
          <w:szCs w:val="24"/>
          <w:lang w:val="en-GB"/>
        </w:rPr>
        <w:t xml:space="preserve"> et al., 2002). High engagement is associated with high performance, customer satisfaction</w:t>
      </w:r>
      <w:r>
        <w:rPr>
          <w:rFonts w:ascii="Times New Roman" w:cs="Times New Roman" w:hAnsi="Times New Roman"/>
          <w:sz w:val="24"/>
          <w:szCs w:val="24"/>
          <w:lang w:val="en-GB"/>
        </w:rPr>
        <w:t xml:space="preserve">, and lower turnover, as supported by extensive </w:t>
      </w:r>
      <w:r>
        <w:rPr>
          <w:rFonts w:ascii="Times New Roman" w:cs="Times New Roman" w:hAnsi="Times New Roman"/>
          <w:sz w:val="24"/>
          <w:szCs w:val="24"/>
          <w:lang w:val="en-GB"/>
        </w:rPr>
        <w:t xml:space="preserve">empirical evidence (Harter et al., 2002). </w:t>
      </w:r>
      <w:r>
        <w:rPr>
          <w:rFonts w:ascii="Times New Roman" w:cs="Times New Roman" w:hAnsi="Times New Roman"/>
          <w:sz w:val="24"/>
          <w:szCs w:val="24"/>
          <w:lang w:val="en-GB"/>
        </w:rPr>
        <w:t>Interestingly</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Roy et al. (2022) found that e</w:t>
      </w:r>
      <w:r>
        <w:rPr>
          <w:rFonts w:ascii="Times New Roman" w:cs="Times New Roman" w:hAnsi="Times New Roman"/>
          <w:sz w:val="24"/>
          <w:szCs w:val="24"/>
          <w:lang w:val="en-GB"/>
        </w:rPr>
        <w:t>ngagement is especially significant in service organisations</w:t>
      </w:r>
      <w:r>
        <w:rPr>
          <w:rFonts w:ascii="Times New Roman" w:cs="Times New Roman" w:hAnsi="Times New Roman"/>
          <w:sz w:val="24"/>
          <w:szCs w:val="24"/>
          <w:lang w:val="en-GB"/>
        </w:rPr>
        <w:t>, as employees' emotional and cognitive investment directly determines</w:t>
      </w:r>
      <w:r>
        <w:rPr>
          <w:rFonts w:ascii="Times New Roman" w:cs="Times New Roman" w:hAnsi="Times New Roman"/>
          <w:sz w:val="24"/>
          <w:szCs w:val="24"/>
          <w:lang w:val="en-GB"/>
        </w:rPr>
        <w:t xml:space="preserve"> customer experiences.</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The Job Demands -Resources (JD-R) model can be a handy model to explain engagement in hybrid contexts. The model </w:t>
      </w:r>
      <w:r>
        <w:rPr>
          <w:rFonts w:ascii="Times New Roman" w:cs="Times New Roman" w:hAnsi="Times New Roman"/>
          <w:sz w:val="24"/>
          <w:szCs w:val="24"/>
          <w:lang w:val="en-GB"/>
        </w:rPr>
        <w:t xml:space="preserve">posits that job resources (autonomy, feedback, </w:t>
      </w:r>
      <w:r>
        <w:rPr>
          <w:rFonts w:ascii="Times New Roman" w:cs="Times New Roman" w:hAnsi="Times New Roman"/>
          <w:sz w:val="24"/>
          <w:szCs w:val="24"/>
          <w:lang w:val="en-GB"/>
        </w:rPr>
        <w:t>social</w:t>
      </w:r>
      <w:r>
        <w:rPr>
          <w:rFonts w:ascii="Times New Roman" w:cs="Times New Roman" w:hAnsi="Times New Roman"/>
          <w:sz w:val="24"/>
          <w:szCs w:val="24"/>
          <w:lang w:val="en-GB"/>
        </w:rPr>
        <w:t xml:space="preserve"> support) are sources of engagement, and </w:t>
      </w:r>
      <w:r>
        <w:rPr>
          <w:rFonts w:ascii="Times New Roman" w:cs="Times New Roman" w:hAnsi="Times New Roman"/>
          <w:sz w:val="24"/>
          <w:szCs w:val="24"/>
          <w:lang w:val="en-GB"/>
        </w:rPr>
        <w:t xml:space="preserve">excessive job demands cause strain and disengagement (Bakker and </w:t>
      </w:r>
      <w:r>
        <w:rPr>
          <w:rFonts w:ascii="Times New Roman" w:cs="Times New Roman" w:hAnsi="Times New Roman"/>
          <w:sz w:val="24"/>
          <w:szCs w:val="24"/>
          <w:lang w:val="en-GB"/>
        </w:rPr>
        <w:t>Demerouti</w:t>
      </w:r>
      <w:r>
        <w:rPr>
          <w:rFonts w:ascii="Times New Roman" w:cs="Times New Roman" w:hAnsi="Times New Roman"/>
          <w:sz w:val="24"/>
          <w:szCs w:val="24"/>
          <w:lang w:val="en-GB"/>
        </w:rPr>
        <w:t xml:space="preserve">, 2014). </w:t>
      </w:r>
      <w:r>
        <w:rPr>
          <w:rFonts w:ascii="Times New Roman" w:cs="Times New Roman" w:hAnsi="Times New Roman"/>
          <w:sz w:val="24"/>
          <w:szCs w:val="24"/>
          <w:lang w:val="en-GB"/>
        </w:rPr>
        <w:t xml:space="preserve">As per </w:t>
      </w:r>
      <w:r>
        <w:rPr>
          <w:rFonts w:ascii="Times New Roman" w:cs="Times New Roman" w:hAnsi="Times New Roman"/>
          <w:color w:val="222222"/>
          <w:sz w:val="24"/>
          <w:szCs w:val="24"/>
          <w:shd w:val="clear" w:color="auto" w:fill="ffffff"/>
          <w:lang w:val="en-GB"/>
        </w:rPr>
        <w:t>Chimienti</w:t>
      </w:r>
      <w:r>
        <w:rPr>
          <w:rFonts w:ascii="Times New Roman" w:cs="Times New Roman" w:hAnsi="Times New Roman"/>
          <w:color w:val="222222"/>
          <w:sz w:val="24"/>
          <w:szCs w:val="24"/>
          <w:shd w:val="clear" w:color="auto" w:fill="ffffff"/>
          <w:lang w:val="en-GB"/>
        </w:rPr>
        <w:t xml:space="preserve"> (2022), </w:t>
      </w:r>
      <w:r>
        <w:rPr>
          <w:rFonts w:ascii="Times New Roman" w:cs="Times New Roman" w:hAnsi="Times New Roman"/>
          <w:sz w:val="24"/>
          <w:szCs w:val="24"/>
          <w:lang w:val="en-GB"/>
        </w:rPr>
        <w:t>h</w:t>
      </w:r>
      <w:r>
        <w:rPr>
          <w:rFonts w:ascii="Times New Roman" w:cs="Times New Roman" w:hAnsi="Times New Roman"/>
          <w:sz w:val="24"/>
          <w:szCs w:val="24"/>
          <w:lang w:val="en-GB"/>
        </w:rPr>
        <w:t>ybrid</w:t>
      </w:r>
      <w:r>
        <w:rPr>
          <w:rFonts w:ascii="Times New Roman" w:cs="Times New Roman" w:hAnsi="Times New Roman"/>
          <w:sz w:val="24"/>
          <w:szCs w:val="24"/>
          <w:lang w:val="en-GB"/>
        </w:rPr>
        <w:t xml:space="preserve"> working could enhance autonomy; however, </w:t>
      </w:r>
      <w:r>
        <w:rPr>
          <w:rFonts w:ascii="Times New Roman" w:cs="Times New Roman" w:hAnsi="Times New Roman"/>
          <w:sz w:val="24"/>
          <w:szCs w:val="24"/>
          <w:lang w:val="en-GB"/>
        </w:rPr>
        <w:t xml:space="preserve">it could </w:t>
      </w:r>
      <w:r>
        <w:rPr>
          <w:rFonts w:ascii="Times New Roman" w:cs="Times New Roman" w:hAnsi="Times New Roman"/>
          <w:sz w:val="24"/>
          <w:szCs w:val="24"/>
          <w:lang w:val="en-GB"/>
        </w:rPr>
        <w:t xml:space="preserve">also decrease social support and manager feedback, thus making engagement weaker unless resources are </w:t>
      </w:r>
      <w:r>
        <w:rPr>
          <w:rFonts w:ascii="Times New Roman" w:cs="Times New Roman" w:hAnsi="Times New Roman"/>
          <w:sz w:val="24"/>
          <w:szCs w:val="24"/>
          <w:lang w:val="en-GB"/>
        </w:rPr>
        <w:t>redesigned</w:t>
      </w:r>
      <w:r>
        <w:rPr>
          <w:rFonts w:ascii="Times New Roman" w:cs="Times New Roman" w:hAnsi="Times New Roman"/>
          <w:sz w:val="24"/>
          <w:szCs w:val="24"/>
          <w:lang w:val="en-GB"/>
        </w:rPr>
        <w:t xml:space="preserve"> on purpose</w:t>
      </w:r>
      <w:r>
        <w:rPr>
          <w:rFonts w:ascii="Times New Roman" w:cs="Times New Roman" w:hAnsi="Times New Roman"/>
          <w:sz w:val="24"/>
          <w:szCs w:val="24"/>
          <w:lang w:val="en-GB"/>
        </w:rPr>
        <w:t>.</w:t>
      </w:r>
    </w:p>
    <w:bookmarkStart w:id="9" w:name="_Toc220239785"/>
    <w:p>
      <w:pPr>
        <w:pStyle w:val="style3"/>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3.3 Hybrid Working and Employee Engagement</w:t>
      </w:r>
      <w:bookmarkEnd w:id="9"/>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Gajendran</w:t>
      </w:r>
      <w:r>
        <w:rPr>
          <w:rFonts w:ascii="Times New Roman" w:cs="Times New Roman" w:hAnsi="Times New Roman"/>
          <w:sz w:val="24"/>
          <w:szCs w:val="24"/>
          <w:lang w:val="en-GB"/>
        </w:rPr>
        <w:t xml:space="preserve"> et al. (2015) </w:t>
      </w:r>
      <w:r>
        <w:rPr>
          <w:rFonts w:ascii="Times New Roman" w:cs="Times New Roman" w:hAnsi="Times New Roman"/>
          <w:sz w:val="24"/>
          <w:szCs w:val="24"/>
          <w:lang w:val="en-GB"/>
        </w:rPr>
        <w:t xml:space="preserve">show that flexible working </w:t>
      </w:r>
      <w:r>
        <w:rPr>
          <w:rFonts w:ascii="Times New Roman" w:cs="Times New Roman" w:hAnsi="Times New Roman"/>
          <w:sz w:val="24"/>
          <w:szCs w:val="24"/>
          <w:lang w:val="en-GB"/>
        </w:rPr>
        <w:t xml:space="preserve">arrangements promote engagement by helping employees </w:t>
      </w:r>
      <w:r>
        <w:rPr>
          <w:rFonts w:ascii="Times New Roman" w:cs="Times New Roman" w:hAnsi="Times New Roman"/>
          <w:sz w:val="24"/>
          <w:szCs w:val="24"/>
          <w:lang w:val="en-GB"/>
        </w:rPr>
        <w:t>bette</w:t>
      </w:r>
      <w:r>
        <w:rPr>
          <w:rFonts w:ascii="Times New Roman" w:cs="Times New Roman" w:hAnsi="Times New Roman"/>
          <w:sz w:val="24"/>
          <w:szCs w:val="24"/>
          <w:lang w:val="en-GB"/>
        </w:rPr>
        <w:t>r control work-life boundaries</w:t>
      </w:r>
      <w:r>
        <w:rPr>
          <w:rFonts w:ascii="Times New Roman" w:cs="Times New Roman" w:hAnsi="Times New Roman"/>
          <w:sz w:val="24"/>
          <w:szCs w:val="24"/>
          <w:lang w:val="en-GB"/>
        </w:rPr>
        <w:t xml:space="preserve">. On the other hand, </w:t>
      </w:r>
      <w:r>
        <w:rPr>
          <w:rFonts w:ascii="Times New Roman" w:cs="Times New Roman" w:hAnsi="Times New Roman"/>
          <w:sz w:val="24"/>
          <w:szCs w:val="24"/>
          <w:lang w:val="en-GB"/>
        </w:rPr>
        <w:t>findings from other researchers indicate that long-term remote work may decrease engagement, lead to</w:t>
      </w:r>
      <w:r>
        <w:rPr>
          <w:rFonts w:ascii="Times New Roman" w:cs="Times New Roman" w:hAnsi="Times New Roman"/>
          <w:sz w:val="24"/>
          <w:szCs w:val="24"/>
          <w:lang w:val="en-GB"/>
        </w:rPr>
        <w:t xml:space="preserve"> isolation, communication problems, and a sense of organisational support (Contreras et al., 2020).</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One of the main </w:t>
      </w:r>
      <w:r>
        <w:rPr>
          <w:rFonts w:ascii="Times New Roman" w:cs="Times New Roman" w:hAnsi="Times New Roman"/>
          <w:sz w:val="24"/>
          <w:szCs w:val="24"/>
          <w:lang w:val="en-GB"/>
        </w:rPr>
        <w:t>arguments</w:t>
      </w:r>
      <w:r>
        <w:rPr>
          <w:rFonts w:ascii="Times New Roman" w:cs="Times New Roman" w:hAnsi="Times New Roman"/>
          <w:sz w:val="24"/>
          <w:szCs w:val="24"/>
          <w:lang w:val="en-GB"/>
        </w:rPr>
        <w:t xml:space="preserve"> in </w:t>
      </w:r>
      <w:r>
        <w:rPr>
          <w:rFonts w:ascii="Times New Roman" w:cs="Times New Roman" w:hAnsi="Times New Roman"/>
          <w:sz w:val="24"/>
          <w:szCs w:val="24"/>
          <w:lang w:val="en-GB"/>
        </w:rPr>
        <w:t xml:space="preserve">the </w:t>
      </w:r>
      <w:r>
        <w:rPr>
          <w:rFonts w:ascii="Times New Roman" w:cs="Times New Roman" w:hAnsi="Times New Roman"/>
          <w:sz w:val="24"/>
          <w:szCs w:val="24"/>
          <w:lang w:val="en-GB"/>
        </w:rPr>
        <w:t xml:space="preserve">literature is the </w:t>
      </w:r>
      <w:r>
        <w:rPr>
          <w:rFonts w:ascii="Times New Roman" w:cs="Times New Roman" w:hAnsi="Times New Roman"/>
          <w:sz w:val="24"/>
          <w:szCs w:val="24"/>
          <w:lang w:val="en-GB"/>
        </w:rPr>
        <w:t>role of managerial practices in hybrid work outcomes</w:t>
      </w:r>
      <w:r>
        <w:rPr>
          <w:rFonts w:ascii="Times New Roman" w:cs="Times New Roman" w:hAnsi="Times New Roman"/>
          <w:sz w:val="24"/>
          <w:szCs w:val="24"/>
          <w:lang w:val="en-GB"/>
        </w:rPr>
        <w:t>. Wang et al. (2021) state that hybrid working needs to be explicitly led with specific behavioural approaches such as setting clear goals, frequent communication, and performance based on trust. In the absence of such practices, hybrid working will undermine engagement and drive withdrawal behaviours.</w:t>
      </w:r>
    </w:p>
    <w:bookmarkStart w:id="10" w:name="_Toc220239786"/>
    <w:p>
      <w:pPr>
        <w:pStyle w:val="style3"/>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3.4 Employee Retention and Turnover Intention</w:t>
      </w:r>
      <w:bookmarkEnd w:id="10"/>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UK service organisations continue to face employee retention as a critical issue, as labour mobility and skills shortages</w:t>
      </w:r>
      <w:r>
        <w:rPr>
          <w:rFonts w:ascii="Times New Roman" w:cs="Times New Roman" w:hAnsi="Times New Roman"/>
          <w:sz w:val="24"/>
          <w:szCs w:val="24"/>
          <w:lang w:val="en-GB"/>
        </w:rPr>
        <w:t xml:space="preserve"> are increasing. It is generally acknowledged that turnover intention is a </w:t>
      </w:r>
      <w:r>
        <w:rPr>
          <w:rFonts w:ascii="Times New Roman" w:cs="Times New Roman" w:hAnsi="Times New Roman"/>
          <w:sz w:val="24"/>
          <w:szCs w:val="24"/>
          <w:lang w:val="en-GB"/>
        </w:rPr>
        <w:t>strong predictor of actual</w:t>
      </w:r>
      <w:r>
        <w:rPr>
          <w:rFonts w:ascii="Times New Roman" w:cs="Times New Roman" w:hAnsi="Times New Roman"/>
          <w:sz w:val="24"/>
          <w:szCs w:val="24"/>
          <w:lang w:val="en-GB"/>
        </w:rPr>
        <w:t xml:space="preserve"> turnover (Allen et al., </w:t>
      </w:r>
      <w:r>
        <w:rPr>
          <w:rFonts w:ascii="Times New Roman" w:cs="Times New Roman" w:hAnsi="Times New Roman"/>
          <w:sz w:val="24"/>
          <w:szCs w:val="24"/>
          <w:lang w:val="en-GB"/>
        </w:rPr>
        <w:t>2010). Studies (</w:t>
      </w:r>
      <w:r>
        <w:rPr>
          <w:rFonts w:ascii="Times New Roman" w:cs="Times New Roman" w:hAnsi="Times New Roman"/>
          <w:color w:val="222222"/>
          <w:sz w:val="24"/>
          <w:szCs w:val="24"/>
          <w:shd w:val="clear" w:color="auto" w:fill="ffffff"/>
          <w:lang w:val="en-GB"/>
        </w:rPr>
        <w:t>Coelho</w:t>
      </w:r>
      <w:r>
        <w:rPr>
          <w:rFonts w:ascii="Times New Roman" w:cs="Times New Roman" w:hAnsi="Times New Roman"/>
          <w:sz w:val="24"/>
          <w:szCs w:val="24"/>
          <w:lang w:val="en-GB"/>
        </w:rPr>
        <w:t xml:space="preserve"> 2024; </w:t>
      </w:r>
      <w:r>
        <w:rPr>
          <w:rFonts w:ascii="Times New Roman" w:cs="Times New Roman" w:hAnsi="Times New Roman"/>
          <w:color w:val="222222"/>
          <w:sz w:val="24"/>
          <w:szCs w:val="24"/>
          <w:shd w:val="clear" w:color="auto" w:fill="ffffff"/>
          <w:lang w:val="en-GB"/>
        </w:rPr>
        <w:t>Peltokorpi</w:t>
      </w:r>
      <w:r>
        <w:rPr>
          <w:rFonts w:ascii="Times New Roman" w:cs="Times New Roman" w:hAnsi="Times New Roman"/>
          <w:color w:val="222222"/>
          <w:sz w:val="24"/>
          <w:szCs w:val="24"/>
          <w:shd w:val="clear" w:color="auto" w:fill="ffffff"/>
          <w:lang w:val="en-GB"/>
        </w:rPr>
        <w:t xml:space="preserve"> and Allen 2024</w:t>
      </w:r>
      <w:r>
        <w:rPr>
          <w:rFonts w:ascii="Times New Roman" w:cs="Times New Roman" w:hAnsi="Times New Roman"/>
          <w:sz w:val="24"/>
          <w:szCs w:val="24"/>
          <w:lang w:val="en-GB"/>
        </w:rPr>
        <w:t>) showed</w:t>
      </w:r>
      <w:r>
        <w:rPr>
          <w:rFonts w:ascii="Times New Roman" w:cs="Times New Roman" w:hAnsi="Times New Roman"/>
          <w:sz w:val="24"/>
          <w:szCs w:val="24"/>
          <w:lang w:val="en-GB"/>
        </w:rPr>
        <w:t xml:space="preserve"> that employees who are not engaged tend to contemplate quitting their organisation</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especially when they are finding other work opportunities.</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A perceived inequity between distant and office-based employees, diminished career visibility, and lower organisational identification have been identified as the factors motivating turnover intention in hybrid working situations (Yang et al., 2022). </w:t>
      </w:r>
      <w:r>
        <w:rPr>
          <w:rFonts w:ascii="Times New Roman" w:cs="Times New Roman" w:hAnsi="Times New Roman"/>
          <w:sz w:val="24"/>
          <w:szCs w:val="24"/>
          <w:lang w:val="en-GB"/>
        </w:rPr>
        <w:t xml:space="preserve">Recent empirical evidence suggests that hybrid working contexts significantly shape employee engagement and retention outcomes, with Singh and </w:t>
      </w:r>
      <w:r>
        <w:rPr>
          <w:rFonts w:ascii="Times New Roman" w:cs="Times New Roman" w:hAnsi="Times New Roman"/>
          <w:sz w:val="24"/>
          <w:szCs w:val="24"/>
          <w:lang w:val="en-GB"/>
        </w:rPr>
        <w:t>Sant</w:t>
      </w:r>
      <w:r>
        <w:rPr>
          <w:rFonts w:ascii="Times New Roman" w:cs="Times New Roman" w:hAnsi="Times New Roman"/>
          <w:sz w:val="24"/>
          <w:szCs w:val="24"/>
          <w:lang w:val="en-GB"/>
        </w:rPr>
        <w:t xml:space="preserve"> (2023) demonstrating that engagement-enhancing practices are more effective in hybrid than fully remote workplaces; however, their cross-sectional design and single-sector focus (IT professionals in Mumbai) limit the generalisability of findings across industries and national contexts. Similarly, </w:t>
      </w:r>
      <w:r>
        <w:rPr>
          <w:rFonts w:ascii="Times New Roman" w:cs="Times New Roman" w:hAnsi="Times New Roman"/>
          <w:sz w:val="24"/>
          <w:szCs w:val="24"/>
          <w:lang w:val="en-GB"/>
        </w:rPr>
        <w:t>Jindain</w:t>
      </w:r>
      <w:r>
        <w:rPr>
          <w:rFonts w:ascii="Times New Roman" w:cs="Times New Roman" w:hAnsi="Times New Roman"/>
          <w:sz w:val="24"/>
          <w:szCs w:val="24"/>
          <w:lang w:val="en-GB"/>
        </w:rPr>
        <w:t xml:space="preserve"> and </w:t>
      </w:r>
      <w:r>
        <w:rPr>
          <w:rFonts w:ascii="Times New Roman" w:cs="Times New Roman" w:hAnsi="Times New Roman"/>
          <w:sz w:val="24"/>
          <w:szCs w:val="24"/>
          <w:lang w:val="en-GB"/>
        </w:rPr>
        <w:t>Gilitwala</w:t>
      </w:r>
      <w:r>
        <w:rPr>
          <w:rFonts w:ascii="Times New Roman" w:cs="Times New Roman" w:hAnsi="Times New Roman"/>
          <w:sz w:val="24"/>
          <w:szCs w:val="24"/>
          <w:lang w:val="en-GB"/>
        </w:rPr>
        <w:t xml:space="preserve"> (2024) confirm that employee engagement positively influences performance in a hybrid model through perceived organisational support and trust, yet their reliance on a single organisational case and emphasis on emotional factors </w:t>
      </w:r>
      <w:r>
        <w:rPr>
          <w:rFonts w:ascii="Times New Roman" w:cs="Times New Roman" w:hAnsi="Times New Roman"/>
          <w:sz w:val="24"/>
          <w:szCs w:val="24"/>
          <w:lang w:val="en-GB"/>
        </w:rPr>
        <w:t>indicate</w:t>
      </w:r>
      <w:r>
        <w:rPr>
          <w:rFonts w:ascii="Times New Roman" w:cs="Times New Roman" w:hAnsi="Times New Roman"/>
          <w:sz w:val="24"/>
          <w:szCs w:val="24"/>
          <w:lang w:val="en-GB"/>
        </w:rPr>
        <w:t xml:space="preserve"> a need for broader, multi-industry research examining engagement and turnover outcomes in UK service organisations.</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Nonetheless, the quantitative studies on the impact of hybrid working practices on retention have minimal </w:t>
      </w:r>
      <w:r>
        <w:rPr>
          <w:rFonts w:ascii="Times New Roman" w:cs="Times New Roman" w:hAnsi="Times New Roman"/>
          <w:sz w:val="24"/>
          <w:szCs w:val="24"/>
          <w:lang w:val="en-GB"/>
        </w:rPr>
        <w:t>gloss</w:t>
      </w:r>
      <w:r>
        <w:rPr>
          <w:rFonts w:ascii="Times New Roman" w:cs="Times New Roman" w:hAnsi="Times New Roman"/>
          <w:sz w:val="24"/>
          <w:szCs w:val="24"/>
          <w:lang w:val="en-GB"/>
        </w:rPr>
        <w:t xml:space="preserve"> on the influence of such practices on retention indirectly via employee engagement, which is also a major gap that this research aims to fill</w:t>
      </w:r>
      <w:r>
        <w:rPr>
          <w:rFonts w:ascii="Times New Roman" w:cs="Times New Roman" w:hAnsi="Times New Roman"/>
          <w:sz w:val="24"/>
          <w:szCs w:val="24"/>
          <w:lang w:val="en-GB"/>
        </w:rPr>
        <w:t>.</w:t>
      </w:r>
    </w:p>
    <w:p>
      <w:pPr>
        <w:pStyle w:val="style2"/>
        <w:rPr>
          <w:lang w:val="en-GB"/>
        </w:rPr>
      </w:pPr>
      <w:r>
        <w:rPr>
          <w:lang w:val="en-GB"/>
        </w:rPr>
        <w:t>3.5: Conceptual Framework</w:t>
      </w:r>
    </w:p>
    <w:p>
      <w:pPr>
        <w:pStyle w:val="style94"/>
        <w:spacing w:lineRule="auto" w:line="360"/>
        <w:rPr>
          <w:rFonts w:ascii="Times New Roman" w:cs="Times New Roman" w:hAnsi="Times New Roman"/>
          <w:lang w:val="en-GB"/>
        </w:rPr>
      </w:pPr>
      <w:r>
        <w:rPr>
          <w:rFonts w:ascii="Times New Roman" w:cs="Times New Roman" w:hAnsi="Times New Roman"/>
          <w:lang w:val="en-GB" w:eastAsia="en-GB"/>
        </w:rPr>
        <w:drawing>
          <wp:inline distL="0" distT="0" distB="0" distR="0">
            <wp:extent cx="5486400" cy="3200400"/>
            <wp:effectExtent l="38100" t="0" r="0" b="0"/>
            <wp:docPr id="1029" name="Diagram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pPr>
        <w:pStyle w:val="style94"/>
        <w:spacing w:lineRule="auto" w:line="360"/>
        <w:rPr>
          <w:rFonts w:ascii="Times New Roman" w:cs="Times New Roman" w:hAnsi="Times New Roman"/>
          <w:lang w:val="en-GB"/>
        </w:rPr>
      </w:pPr>
      <w:r>
        <w:rPr>
          <w:rStyle w:val="style87"/>
          <w:rFonts w:ascii="Times New Roman" w:cs="Times New Roman" w:hAnsi="Times New Roman"/>
          <w:lang w:val="en-GB"/>
        </w:rPr>
        <w:t>H1:</w:t>
      </w:r>
      <w:r>
        <w:rPr>
          <w:rFonts w:ascii="Times New Roman" w:cs="Times New Roman" w:hAnsi="Times New Roman"/>
          <w:lang w:val="en-GB"/>
        </w:rPr>
        <w:t xml:space="preserve"> Hybrid working practices have a significant positive relationship with employee engagement in UK service organisations.</w:t>
      </w:r>
    </w:p>
    <w:p>
      <w:pPr>
        <w:pStyle w:val="style94"/>
        <w:spacing w:lineRule="auto" w:line="360"/>
        <w:rPr>
          <w:rFonts w:ascii="Times New Roman" w:cs="Times New Roman" w:hAnsi="Times New Roman"/>
          <w:lang w:val="en-GB"/>
        </w:rPr>
      </w:pPr>
      <w:r>
        <w:rPr>
          <w:rStyle w:val="style87"/>
          <w:rFonts w:ascii="Times New Roman" w:cs="Times New Roman" w:hAnsi="Times New Roman"/>
          <w:lang w:val="en-GB"/>
        </w:rPr>
        <w:t>H2:</w:t>
      </w:r>
      <w:r>
        <w:rPr>
          <w:rFonts w:ascii="Times New Roman" w:cs="Times New Roman" w:hAnsi="Times New Roman"/>
          <w:lang w:val="en-GB"/>
        </w:rPr>
        <w:t xml:space="preserve"> Employee engagement has a significant negative relationship with turnover intention.</w:t>
      </w:r>
    </w:p>
    <w:p>
      <w:pPr>
        <w:pStyle w:val="style94"/>
        <w:spacing w:lineRule="auto" w:line="360"/>
        <w:rPr>
          <w:rFonts w:ascii="Times New Roman" w:cs="Times New Roman" w:hAnsi="Times New Roman"/>
          <w:lang w:val="en-GB"/>
        </w:rPr>
      </w:pPr>
      <w:r>
        <w:rPr>
          <w:rStyle w:val="style87"/>
          <w:rFonts w:ascii="Times New Roman" w:cs="Times New Roman" w:hAnsi="Times New Roman"/>
          <w:lang w:val="en-GB"/>
        </w:rPr>
        <w:t>H3:</w:t>
      </w:r>
      <w:r>
        <w:rPr>
          <w:rFonts w:ascii="Times New Roman" w:cs="Times New Roman" w:hAnsi="Times New Roman"/>
          <w:lang w:val="en-GB"/>
        </w:rPr>
        <w:t xml:space="preserve"> Hybrid working practices have a significant negative relationship with turnover intention.</w:t>
      </w:r>
    </w:p>
    <w:p>
      <w:pPr>
        <w:pStyle w:val="style94"/>
        <w:spacing w:lineRule="auto" w:line="360"/>
        <w:rPr>
          <w:rFonts w:ascii="Times New Roman" w:cs="Times New Roman" w:hAnsi="Times New Roman"/>
          <w:lang w:val="en-GB"/>
        </w:rPr>
      </w:pPr>
      <w:r>
        <w:rPr>
          <w:rStyle w:val="style87"/>
          <w:rFonts w:ascii="Times New Roman" w:cs="Times New Roman" w:hAnsi="Times New Roman"/>
          <w:lang w:val="en-GB"/>
        </w:rPr>
        <w:t>H4:</w:t>
      </w:r>
      <w:r>
        <w:rPr>
          <w:rFonts w:ascii="Times New Roman" w:cs="Times New Roman" w:hAnsi="Times New Roman"/>
          <w:lang w:val="en-GB"/>
        </w:rPr>
        <w:t xml:space="preserve"> Employee engagement mediates the relationship between hybrid working practices and turnover intention.</w:t>
      </w:r>
    </w:p>
    <w:p>
      <w:pPr>
        <w:pStyle w:val="style0"/>
        <w:spacing w:lineRule="auto" w:line="360"/>
        <w:rPr>
          <w:rFonts w:ascii="Times New Roman" w:cs="Times New Roman" w:eastAsia="Times New Roman" w:hAnsi="Times New Roman"/>
          <w:b/>
          <w:bCs/>
          <w:sz w:val="24"/>
          <w:szCs w:val="24"/>
          <w:lang w:val="en-GB"/>
        </w:rPr>
      </w:pPr>
      <w:r>
        <w:rPr>
          <w:rFonts w:ascii="Times New Roman" w:cs="Times New Roman" w:hAnsi="Times New Roman"/>
          <w:sz w:val="24"/>
          <w:szCs w:val="24"/>
          <w:lang w:val="en-GB"/>
        </w:rPr>
        <w:br w:type="page"/>
      </w:r>
    </w:p>
    <w:bookmarkStart w:id="11" w:name="_Toc220239787"/>
    <w:p>
      <w:pPr>
        <w:pStyle w:val="style2"/>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4. Research Methodology and Design</w:t>
      </w:r>
      <w:bookmarkEnd w:id="11"/>
    </w:p>
    <w:bookmarkStart w:id="12" w:name="_Toc220239788"/>
    <w:p>
      <w:pPr>
        <w:pStyle w:val="style2"/>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4. Research Methodology and Design – Critical Justification</w:t>
      </w:r>
      <w:bookmarkEnd w:id="12"/>
    </w:p>
    <w:bookmarkStart w:id="13" w:name="_Toc220239789"/>
    <w:p>
      <w:pPr>
        <w:pStyle w:val="style3"/>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4.1 Research Approach</w:t>
      </w:r>
      <w:bookmarkEnd w:id="13"/>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The proposed study is based on the quantitative research methodology and </w:t>
      </w:r>
      <w:r>
        <w:rPr>
          <w:rFonts w:ascii="Times New Roman" w:cs="Times New Roman" w:hAnsi="Times New Roman"/>
          <w:sz w:val="24"/>
          <w:szCs w:val="24"/>
          <w:lang w:val="en-GB"/>
        </w:rPr>
        <w:t>involves</w:t>
      </w:r>
      <w:r>
        <w:rPr>
          <w:rFonts w:ascii="Times New Roman" w:cs="Times New Roman" w:hAnsi="Times New Roman"/>
          <w:sz w:val="24"/>
          <w:szCs w:val="24"/>
          <w:lang w:val="en-GB"/>
        </w:rPr>
        <w:t xml:space="preserve"> the exploration of the effects of hybrid working within service organisations in the UK on employee engagement and turnover intentions. Quantitative design will suit the research since the research aims at testing theoretically informed relationships between variables that are easily identified and developing findings that can be used in making </w:t>
      </w:r>
      <w:r>
        <w:rPr>
          <w:rFonts w:ascii="Times New Roman" w:cs="Times New Roman" w:hAnsi="Times New Roman"/>
          <w:sz w:val="24"/>
          <w:szCs w:val="24"/>
          <w:lang w:val="en-GB"/>
        </w:rPr>
        <w:t>evidence-based</w:t>
      </w:r>
      <w:r>
        <w:rPr>
          <w:rFonts w:ascii="Times New Roman" w:cs="Times New Roman" w:hAnsi="Times New Roman"/>
          <w:sz w:val="24"/>
          <w:szCs w:val="24"/>
          <w:lang w:val="en-GB"/>
        </w:rPr>
        <w:t xml:space="preserve"> managerial decisions.  To determine whether hybrid working arrangements are either positively or negatively affecting the workforce outcomes, the senior management needs objective and </w:t>
      </w:r>
      <w:r>
        <w:rPr>
          <w:rFonts w:ascii="Times New Roman" w:cs="Times New Roman" w:hAnsi="Times New Roman"/>
          <w:sz w:val="24"/>
          <w:szCs w:val="24"/>
          <w:lang w:val="en-GB"/>
        </w:rPr>
        <w:t>generalisable</w:t>
      </w:r>
      <w:r>
        <w:rPr>
          <w:rFonts w:ascii="Times New Roman" w:cs="Times New Roman" w:hAnsi="Times New Roman"/>
          <w:sz w:val="24"/>
          <w:szCs w:val="24"/>
          <w:lang w:val="en-GB"/>
        </w:rPr>
        <w:t xml:space="preserve"> data, and this is the strength of quantitative methods (</w:t>
      </w:r>
      <w:r>
        <w:rPr>
          <w:rFonts w:ascii="Times New Roman" w:cs="Times New Roman" w:hAnsi="Times New Roman"/>
          <w:sz w:val="24"/>
          <w:szCs w:val="24"/>
          <w:lang w:val="en-GB"/>
        </w:rPr>
        <w:t>Bryman</w:t>
      </w:r>
      <w:r>
        <w:rPr>
          <w:rFonts w:ascii="Times New Roman" w:cs="Times New Roman" w:hAnsi="Times New Roman"/>
          <w:sz w:val="24"/>
          <w:szCs w:val="24"/>
          <w:lang w:val="en-GB"/>
        </w:rPr>
        <w:t>, 2016).</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Furthermore, the current literature on hybrid working shows both mixed and conflicting results on the impact of hybrid working on engagement and retention (Wang et al., 2021). The quantitative approach can allow these relationships to be studied in a systematic way and in a large sample</w:t>
      </w:r>
      <w:r>
        <w:rPr>
          <w:rFonts w:ascii="Times New Roman" w:cs="Times New Roman" w:hAnsi="Times New Roman"/>
          <w:sz w:val="24"/>
          <w:szCs w:val="24"/>
          <w:lang w:val="en-GB"/>
        </w:rPr>
        <w:t>, which can decrease the reliance on</w:t>
      </w:r>
      <w:r>
        <w:rPr>
          <w:rFonts w:ascii="Times New Roman" w:cs="Times New Roman" w:hAnsi="Times New Roman"/>
          <w:sz w:val="24"/>
          <w:szCs w:val="24"/>
          <w:lang w:val="en-GB"/>
        </w:rPr>
        <w:t xml:space="preserve"> anecdotal or personal experience and enhance the plausibility of the results in terms of influencing organisational policy choices.</w:t>
      </w:r>
    </w:p>
    <w:bookmarkStart w:id="14" w:name="_Toc220239790"/>
    <w:p>
      <w:pPr>
        <w:pStyle w:val="style3"/>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4.2 Variables</w:t>
      </w:r>
      <w:bookmarkEnd w:id="14"/>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Hybrid working practices </w:t>
      </w:r>
      <w:r>
        <w:rPr>
          <w:rFonts w:ascii="Times New Roman" w:cs="Times New Roman" w:hAnsi="Times New Roman"/>
          <w:sz w:val="24"/>
          <w:szCs w:val="24"/>
          <w:lang w:val="en-GB"/>
        </w:rPr>
        <w:t>are</w:t>
      </w:r>
      <w:r>
        <w:rPr>
          <w:rFonts w:ascii="Times New Roman" w:cs="Times New Roman" w:hAnsi="Times New Roman"/>
          <w:sz w:val="24"/>
          <w:szCs w:val="24"/>
          <w:lang w:val="en-GB"/>
        </w:rPr>
        <w:t xml:space="preserve"> the independent variable (IV) in the current study, which is operationalised on the basis of quantifiable measures such as flexibility, effectiveness of communication, managerial support, and availability of work resources. The dimensions capture the way hybrid working is realistically lived as opposed to the binary state of being either remote or office-based, responding to a shortcoming of earlier studies (</w:t>
      </w:r>
      <w:r>
        <w:rPr>
          <w:rFonts w:ascii="Times New Roman" w:cs="Times New Roman" w:hAnsi="Times New Roman"/>
          <w:sz w:val="24"/>
          <w:szCs w:val="24"/>
          <w:lang w:val="en-GB"/>
        </w:rPr>
        <w:t>Felstead</w:t>
      </w:r>
      <w:r>
        <w:rPr>
          <w:rFonts w:ascii="Times New Roman" w:cs="Times New Roman" w:hAnsi="Times New Roman"/>
          <w:sz w:val="24"/>
          <w:szCs w:val="24"/>
          <w:lang w:val="en-GB"/>
        </w:rPr>
        <w:t xml:space="preserve"> and </w:t>
      </w:r>
      <w:r>
        <w:rPr>
          <w:rFonts w:ascii="Times New Roman" w:cs="Times New Roman" w:hAnsi="Times New Roman"/>
          <w:sz w:val="24"/>
          <w:szCs w:val="24"/>
          <w:lang w:val="en-GB"/>
        </w:rPr>
        <w:t>Reuschke</w:t>
      </w:r>
      <w:r>
        <w:rPr>
          <w:rFonts w:ascii="Times New Roman" w:cs="Times New Roman" w:hAnsi="Times New Roman"/>
          <w:sz w:val="24"/>
          <w:szCs w:val="24"/>
          <w:lang w:val="en-GB"/>
        </w:rPr>
        <w:t>, 2020).</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The employee engagement and turnover intention are the dependent variables (DVs). Engagement is chosen as it has a solid connection with performance and organisational commitment</w:t>
      </w:r>
      <w:r>
        <w:rPr>
          <w:rFonts w:ascii="Times New Roman" w:cs="Times New Roman" w:hAnsi="Times New Roman"/>
          <w:sz w:val="24"/>
          <w:szCs w:val="24"/>
          <w:lang w:val="en-GB"/>
        </w:rPr>
        <w:t>, especially in service-based</w:t>
      </w:r>
      <w:r>
        <w:rPr>
          <w:rFonts w:ascii="Times New Roman" w:cs="Times New Roman" w:hAnsi="Times New Roman"/>
          <w:sz w:val="24"/>
          <w:szCs w:val="24"/>
          <w:lang w:val="en-GB"/>
        </w:rPr>
        <w:t xml:space="preserve"> environments (Harter et al., 2002). The turnover intention is a proxy that is used to predict retention</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as it has continually been found to predict actual turnover behaviour (Allen et al., 2010). The choice of the variables provides conceptual </w:t>
      </w:r>
      <w:r>
        <w:rPr>
          <w:rFonts w:ascii="Times New Roman" w:cs="Times New Roman" w:hAnsi="Times New Roman"/>
          <w:sz w:val="24"/>
          <w:szCs w:val="24"/>
          <w:lang w:val="en-GB"/>
        </w:rPr>
        <w:t>consistency and immediate applicability to organisational performance issues that are of concern to the senior management</w:t>
      </w:r>
      <w:r>
        <w:rPr>
          <w:rFonts w:ascii="Times New Roman" w:cs="Times New Roman" w:hAnsi="Times New Roman"/>
          <w:sz w:val="24"/>
          <w:szCs w:val="24"/>
          <w:lang w:val="en-GB"/>
        </w:rPr>
        <w:t>.</w:t>
      </w:r>
    </w:p>
    <w:bookmarkStart w:id="15" w:name="_Toc220239791"/>
    <w:p>
      <w:pPr>
        <w:pStyle w:val="style3"/>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4.3 Data Collection Method</w:t>
      </w:r>
      <w:bookmarkEnd w:id="15"/>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A structured online questionnaire will be used to collect primary data, which is an effective and efficient way of approaching employees who work under hybrid arrangements. In this situation, online surveys will be especially appropriate since they fit the digitally enabled workplace and provide respondents with an opportunity to complete the survey no matter their location. Validated measurement scales like the Utrecht Work Engagement Scale (</w:t>
      </w:r>
      <w:r>
        <w:rPr>
          <w:rFonts w:ascii="Times New Roman" w:cs="Times New Roman" w:hAnsi="Times New Roman"/>
          <w:sz w:val="24"/>
          <w:szCs w:val="24"/>
          <w:lang w:val="en-GB"/>
        </w:rPr>
        <w:t>Schaufeli</w:t>
      </w:r>
      <w:r>
        <w:rPr>
          <w:rFonts w:ascii="Times New Roman" w:cs="Times New Roman" w:hAnsi="Times New Roman"/>
          <w:sz w:val="24"/>
          <w:szCs w:val="24"/>
          <w:lang w:val="en-GB"/>
        </w:rPr>
        <w:t xml:space="preserve"> et al., 2002) or already existing turnover intention </w:t>
      </w:r>
      <w:r>
        <w:rPr>
          <w:rFonts w:ascii="Times New Roman" w:cs="Times New Roman" w:hAnsi="Times New Roman"/>
          <w:sz w:val="24"/>
          <w:szCs w:val="24"/>
          <w:lang w:val="en-GB"/>
        </w:rPr>
        <w:t>items</w:t>
      </w:r>
      <w:r>
        <w:rPr>
          <w:rFonts w:ascii="Times New Roman" w:cs="Times New Roman" w:hAnsi="Times New Roman"/>
          <w:sz w:val="24"/>
          <w:szCs w:val="24"/>
          <w:lang w:val="en-GB"/>
        </w:rPr>
        <w:t xml:space="preserve"> (Allen et al., 2010) help improve the accuracy of measurements and the comparability with other related studies.</w:t>
      </w:r>
    </w:p>
    <w:bookmarkStart w:id="16" w:name="_Toc220239792"/>
    <w:p>
      <w:pPr>
        <w:pStyle w:val="style3"/>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4.4 Sampling Strategy</w:t>
      </w:r>
      <w:bookmarkEnd w:id="16"/>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The convenience sampling strategy will involve non-probability sampling methodology because of the convenience and time limitation that is usually linked to applied organisational studies. The target population will consist of about 100 workers who are under hybrid working arrangements in service organisations in the UK. This is a reasonable sample size that can be used in the descriptive statistics, correlation, and performing a regression test, but it is not excessive in terms of the scope of the study (Saunders et al., 2019).</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The targeted participants will be reached by </w:t>
      </w:r>
      <w:r>
        <w:rPr>
          <w:rFonts w:ascii="Times New Roman" w:cs="Times New Roman" w:hAnsi="Times New Roman"/>
          <w:sz w:val="24"/>
          <w:szCs w:val="24"/>
          <w:lang w:val="en-GB"/>
        </w:rPr>
        <w:t xml:space="preserve">the </w:t>
      </w:r>
      <w:r>
        <w:rPr>
          <w:rFonts w:ascii="Times New Roman" w:cs="Times New Roman" w:hAnsi="Times New Roman"/>
          <w:sz w:val="24"/>
          <w:szCs w:val="24"/>
          <w:lang w:val="en-GB"/>
        </w:rPr>
        <w:t>use of professional and organisational contacts</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such as peers and contacts in service organisations. The invitation of eligible participants will be done through email and professional networking sites, e.g. LinkedIn, with </w:t>
      </w:r>
      <w:r>
        <w:rPr>
          <w:rFonts w:ascii="Times New Roman" w:cs="Times New Roman" w:hAnsi="Times New Roman"/>
          <w:sz w:val="24"/>
          <w:szCs w:val="24"/>
          <w:lang w:val="en-GB"/>
        </w:rPr>
        <w:t>a cursory description of</w:t>
      </w:r>
      <w:r>
        <w:rPr>
          <w:rFonts w:ascii="Times New Roman" w:cs="Times New Roman" w:hAnsi="Times New Roman"/>
          <w:sz w:val="24"/>
          <w:szCs w:val="24"/>
          <w:lang w:val="en-GB"/>
        </w:rPr>
        <w:t xml:space="preserve"> the purpose of the research and the eligibility criteria. The structured online questionnaire that will be used in the collection of the data will be made in Google Forms. The survey will be distributed electronically, and the respondents will get a chance to fill out the questionnaire at their own pace and anonymously. This is especially suitable in the case of hybrid employees, where it would be convenient </w:t>
      </w:r>
      <w:r>
        <w:rPr>
          <w:rFonts w:ascii="Times New Roman" w:cs="Times New Roman" w:hAnsi="Times New Roman"/>
          <w:sz w:val="24"/>
          <w:szCs w:val="24"/>
          <w:lang w:val="en-GB"/>
        </w:rPr>
        <w:t>for</w:t>
      </w:r>
      <w:r>
        <w:rPr>
          <w:rFonts w:ascii="Times New Roman" w:cs="Times New Roman" w:hAnsi="Times New Roman"/>
          <w:sz w:val="24"/>
          <w:szCs w:val="24"/>
          <w:lang w:val="en-GB"/>
        </w:rPr>
        <w:t xml:space="preserve"> both the remote and office workers</w:t>
      </w:r>
      <w:r>
        <w:rPr>
          <w:rFonts w:ascii="Times New Roman" w:cs="Times New Roman" w:hAnsi="Times New Roman"/>
          <w:sz w:val="24"/>
          <w:szCs w:val="24"/>
          <w:lang w:val="en-GB"/>
        </w:rPr>
        <w:t>.</w:t>
      </w:r>
    </w:p>
    <w:bookmarkStart w:id="17" w:name="_Toc220239793"/>
    <w:p>
      <w:pPr>
        <w:pStyle w:val="style3"/>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4.5 Data Analysis</w:t>
      </w:r>
      <w:bookmarkEnd w:id="17"/>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Descriptive statistics, correlation analysis and multiple regression analysis will be employed to analyse quantitative data in order to determine the relationship between variables. The mediation analysis will be used to evaluate the hypothesis that employee engagement explains the relationship existing between hybrid working practices and turnover intention. Such a way of analysis can give </w:t>
      </w:r>
      <w:r>
        <w:rPr>
          <w:rFonts w:ascii="Times New Roman" w:cs="Times New Roman" w:hAnsi="Times New Roman"/>
          <w:sz w:val="24"/>
          <w:szCs w:val="24"/>
          <w:lang w:val="en-GB"/>
        </w:rPr>
        <w:t xml:space="preserve">a </w:t>
      </w:r>
      <w:r>
        <w:rPr>
          <w:rFonts w:ascii="Times New Roman" w:cs="Times New Roman" w:hAnsi="Times New Roman"/>
          <w:sz w:val="24"/>
          <w:szCs w:val="24"/>
          <w:lang w:val="en-GB"/>
        </w:rPr>
        <w:t>deeper understanding of underlying mechanisms, as opposed to mere association testing.</w:t>
      </w:r>
    </w:p>
    <w:bookmarkStart w:id="18" w:name="_Toc220239794"/>
    <w:p>
      <w:pPr>
        <w:pStyle w:val="style3"/>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4.6 Research Ethics, Reliability, and Validity</w:t>
      </w:r>
      <w:bookmarkEnd w:id="18"/>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This study revolves around moral issues. The involvement will be voluntary, and informed consent will be acquired, and confidentiality will be ensured following the recommendations of the British Psychological </w:t>
      </w:r>
      <w:r>
        <w:rPr>
          <w:rFonts w:ascii="Times New Roman" w:cs="Times New Roman" w:hAnsi="Times New Roman"/>
          <w:sz w:val="24"/>
          <w:szCs w:val="24"/>
          <w:lang w:val="en-GB"/>
        </w:rPr>
        <w:t>Society's</w:t>
      </w:r>
      <w:r>
        <w:rPr>
          <w:rFonts w:ascii="Times New Roman" w:cs="Times New Roman" w:hAnsi="Times New Roman"/>
          <w:sz w:val="24"/>
          <w:szCs w:val="24"/>
          <w:lang w:val="en-GB"/>
        </w:rPr>
        <w:t xml:space="preserve"> codes of ethics (BPS, 2021). The reliability will be ensured by using the established scales that have high internal consistency, whereas validity will be affirmed by operationalisation of constructs and pilot testing of the survey tool.</w:t>
      </w:r>
    </w:p>
    <w:bookmarkStart w:id="19" w:name="_Toc220239795"/>
    <w:p>
      <w:pPr>
        <w:pStyle w:val="style2"/>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5. Business Relevance and Practical Implications</w:t>
      </w:r>
      <w:bookmarkEnd w:id="19"/>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There is a strong practical value of the proposed research to the senior management. Offering quantitative data </w:t>
      </w:r>
      <w:r>
        <w:rPr>
          <w:rFonts w:ascii="Times New Roman" w:cs="Times New Roman" w:hAnsi="Times New Roman"/>
          <w:sz w:val="24"/>
          <w:szCs w:val="24"/>
          <w:lang w:val="en-GB"/>
        </w:rPr>
        <w:t xml:space="preserve">on the impact of hybrid working practices on engagement and retention, the study can shape the decisions related to further optimisation of </w:t>
      </w:r>
      <w:r>
        <w:rPr>
          <w:rFonts w:ascii="Times New Roman" w:cs="Times New Roman" w:hAnsi="Times New Roman"/>
          <w:sz w:val="24"/>
          <w:szCs w:val="24"/>
          <w:lang w:val="en-GB"/>
        </w:rPr>
        <w:t>hybrid work practices and management. Possible solutions cannot be ruled out</w:t>
      </w:r>
      <w:r>
        <w:rPr>
          <w:rFonts w:ascii="Times New Roman" w:cs="Times New Roman" w:hAnsi="Times New Roman"/>
          <w:sz w:val="24"/>
          <w:szCs w:val="24"/>
          <w:lang w:val="en-GB"/>
        </w:rPr>
        <w:t>, such as specific training of the line managers, more evident communication systems, and more supportive structures for</w:t>
      </w:r>
      <w:r>
        <w:rPr>
          <w:rFonts w:ascii="Times New Roman" w:cs="Times New Roman" w:hAnsi="Times New Roman"/>
          <w:sz w:val="24"/>
          <w:szCs w:val="24"/>
          <w:lang w:val="en-GB"/>
        </w:rPr>
        <w:t xml:space="preserve"> the remote workers.</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The findings may assist organisations to cut costs on turnover, build employee commitment, and maintain quality of services in competitive markets, strategically. On the academic level, the research improves the knowledge on the applied business research techniques and shows how empirical evidence could be used to guide managerial decision-making</w:t>
      </w:r>
      <w:r>
        <w:rPr>
          <w:rFonts w:ascii="Times New Roman" w:cs="Times New Roman" w:hAnsi="Times New Roman"/>
          <w:sz w:val="24"/>
          <w:szCs w:val="24"/>
          <w:lang w:val="en-GB"/>
        </w:rPr>
        <w:t>.</w:t>
      </w:r>
    </w:p>
    <w:p>
      <w:pPr>
        <w:pStyle w:val="style0"/>
        <w:spacing w:lineRule="auto" w:line="360"/>
        <w:rPr>
          <w:rFonts w:ascii="Times New Roman" w:cs="Times New Roman" w:eastAsia="Times New Roman" w:hAnsi="Times New Roman"/>
          <w:b/>
          <w:bCs/>
          <w:sz w:val="24"/>
          <w:szCs w:val="24"/>
          <w:lang w:val="en-GB"/>
        </w:rPr>
      </w:pPr>
      <w:r>
        <w:rPr>
          <w:rFonts w:ascii="Times New Roman" w:cs="Times New Roman" w:hAnsi="Times New Roman"/>
          <w:sz w:val="24"/>
          <w:szCs w:val="24"/>
          <w:lang w:val="en-GB"/>
        </w:rPr>
        <w:br w:type="page"/>
      </w:r>
    </w:p>
    <w:bookmarkStart w:id="20" w:name="_Toc220239796"/>
    <w:p>
      <w:pPr>
        <w:pStyle w:val="style2"/>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Reference</w:t>
      </w:r>
      <w:bookmarkEnd w:id="20"/>
      <w:r>
        <w:rPr>
          <w:rFonts w:ascii="Times New Roman" w:cs="Times New Roman" w:hAnsi="Times New Roman"/>
          <w:sz w:val="24"/>
          <w:szCs w:val="24"/>
          <w:lang w:val="en-GB"/>
        </w:rPr>
        <w:t xml:space="preserve"> </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 xml:space="preserve">Allen, D.G., Bryant, P.C. and </w:t>
      </w:r>
      <w:r>
        <w:rPr>
          <w:rFonts w:ascii="Times New Roman" w:cs="Times New Roman" w:hAnsi="Times New Roman"/>
          <w:color w:val="222222"/>
          <w:shd w:val="clear" w:color="auto" w:fill="ffffff"/>
          <w:lang w:val="en-GB"/>
        </w:rPr>
        <w:t>Vardaman</w:t>
      </w:r>
      <w:r>
        <w:rPr>
          <w:rFonts w:ascii="Times New Roman" w:cs="Times New Roman" w:hAnsi="Times New Roman"/>
          <w:color w:val="222222"/>
          <w:shd w:val="clear" w:color="auto" w:fill="ffffff"/>
          <w:lang w:val="en-GB"/>
        </w:rPr>
        <w:t>, J.M., 2010. Retaining talent: Replacing misconceptions with evidence-based strategies. </w:t>
      </w:r>
      <w:r>
        <w:rPr>
          <w:rFonts w:ascii="Times New Roman" w:cs="Times New Roman" w:hAnsi="Times New Roman"/>
          <w:i/>
          <w:iCs/>
          <w:color w:val="222222"/>
          <w:shd w:val="clear" w:color="auto" w:fill="ffffff"/>
          <w:lang w:val="en-GB"/>
        </w:rPr>
        <w:t xml:space="preserve">Academy of </w:t>
      </w:r>
      <w:r>
        <w:rPr>
          <w:rFonts w:ascii="Times New Roman" w:cs="Times New Roman" w:hAnsi="Times New Roman"/>
          <w:i/>
          <w:iCs/>
          <w:color w:val="222222"/>
          <w:shd w:val="clear" w:color="auto" w:fill="ffffff"/>
          <w:lang w:val="en-GB"/>
        </w:rPr>
        <w:t>Management</w:t>
      </w:r>
      <w:r>
        <w:rPr>
          <w:rFonts w:ascii="Times New Roman" w:cs="Times New Roman" w:hAnsi="Times New Roman"/>
          <w:i/>
          <w:iCs/>
          <w:color w:val="222222"/>
          <w:shd w:val="clear" w:color="auto" w:fill="ffffff"/>
          <w:lang w:val="en-GB"/>
        </w:rPr>
        <w:t xml:space="preserve"> Perspectives</w:t>
      </w:r>
      <w:r>
        <w:rPr>
          <w:rFonts w:ascii="Times New Roman" w:cs="Times New Roman" w:hAnsi="Times New Roman"/>
          <w:color w:val="222222"/>
          <w:shd w:val="clear" w:color="auto" w:fill="ffffff"/>
          <w:lang w:val="en-GB"/>
        </w:rPr>
        <w:t>, </w:t>
      </w:r>
      <w:r>
        <w:rPr>
          <w:rFonts w:ascii="Times New Roman" w:cs="Times New Roman" w:hAnsi="Times New Roman"/>
          <w:i/>
          <w:iCs/>
          <w:color w:val="222222"/>
          <w:shd w:val="clear" w:color="auto" w:fill="ffffff"/>
          <w:lang w:val="en-GB"/>
        </w:rPr>
        <w:t>24</w:t>
      </w:r>
      <w:r>
        <w:rPr>
          <w:rFonts w:ascii="Times New Roman" w:cs="Times New Roman" w:hAnsi="Times New Roman"/>
          <w:color w:val="222222"/>
          <w:shd w:val="clear" w:color="auto" w:fill="ffffff"/>
          <w:lang w:val="en-GB"/>
        </w:rPr>
        <w:t>(2), pp.48-64.</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Allen, T.D., Golden, T.D. and Shockley, K.M., 2015. How effective is telecommuting? Assessing the status of our scientific findings. </w:t>
      </w:r>
      <w:r>
        <w:rPr>
          <w:rFonts w:ascii="Times New Roman" w:cs="Times New Roman" w:hAnsi="Times New Roman"/>
          <w:i/>
          <w:iCs/>
          <w:color w:val="222222"/>
          <w:shd w:val="clear" w:color="auto" w:fill="ffffff"/>
          <w:lang w:val="en-GB"/>
        </w:rPr>
        <w:t xml:space="preserve">Psychological </w:t>
      </w:r>
      <w:r>
        <w:rPr>
          <w:rFonts w:ascii="Times New Roman" w:cs="Times New Roman" w:hAnsi="Times New Roman"/>
          <w:i/>
          <w:iCs/>
          <w:color w:val="222222"/>
          <w:shd w:val="clear" w:color="auto" w:fill="ffffff"/>
          <w:lang w:val="en-GB"/>
        </w:rPr>
        <w:t>Science in the Public Interest</w:t>
      </w:r>
      <w:r>
        <w:rPr>
          <w:rFonts w:ascii="Times New Roman" w:cs="Times New Roman" w:hAnsi="Times New Roman"/>
          <w:color w:val="222222"/>
          <w:shd w:val="clear" w:color="auto" w:fill="ffffff"/>
          <w:lang w:val="en-GB"/>
        </w:rPr>
        <w:t>, </w:t>
      </w:r>
      <w:r>
        <w:rPr>
          <w:rFonts w:ascii="Times New Roman" w:cs="Times New Roman" w:hAnsi="Times New Roman"/>
          <w:i/>
          <w:iCs/>
          <w:color w:val="222222"/>
          <w:shd w:val="clear" w:color="auto" w:fill="ffffff"/>
          <w:lang w:val="en-GB"/>
        </w:rPr>
        <w:t>16</w:t>
      </w:r>
      <w:r>
        <w:rPr>
          <w:rFonts w:ascii="Times New Roman" w:cs="Times New Roman" w:hAnsi="Times New Roman"/>
          <w:color w:val="222222"/>
          <w:shd w:val="clear" w:color="auto" w:fill="ffffff"/>
          <w:lang w:val="en-GB"/>
        </w:rPr>
        <w:t>(2), pp.40-68.</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 xml:space="preserve">Bakker, A.B. and </w:t>
      </w:r>
      <w:r>
        <w:rPr>
          <w:rFonts w:ascii="Times New Roman" w:cs="Times New Roman" w:hAnsi="Times New Roman"/>
          <w:color w:val="222222"/>
          <w:shd w:val="clear" w:color="auto" w:fill="ffffff"/>
          <w:lang w:val="en-GB"/>
        </w:rPr>
        <w:t>Demerouti</w:t>
      </w:r>
      <w:r>
        <w:rPr>
          <w:rFonts w:ascii="Times New Roman" w:cs="Times New Roman" w:hAnsi="Times New Roman"/>
          <w:color w:val="222222"/>
          <w:shd w:val="clear" w:color="auto" w:fill="ffffff"/>
          <w:lang w:val="en-GB"/>
        </w:rPr>
        <w:t>, E., 2014. Job demands–resources theory. </w:t>
      </w:r>
      <w:r>
        <w:rPr>
          <w:rFonts w:ascii="Times New Roman" w:cs="Times New Roman" w:hAnsi="Times New Roman"/>
          <w:i/>
          <w:iCs/>
          <w:color w:val="222222"/>
          <w:shd w:val="clear" w:color="auto" w:fill="ffffff"/>
          <w:lang w:val="en-GB"/>
        </w:rPr>
        <w:t>Wellbeing: A complete reference guide</w:t>
      </w:r>
      <w:r>
        <w:rPr>
          <w:rFonts w:ascii="Times New Roman" w:cs="Times New Roman" w:hAnsi="Times New Roman"/>
          <w:color w:val="222222"/>
          <w:shd w:val="clear" w:color="auto" w:fill="ffffff"/>
          <w:lang w:val="en-GB"/>
        </w:rPr>
        <w:t>, pp.1-28.</w:t>
      </w:r>
    </w:p>
    <w:p>
      <w:pPr>
        <w:pStyle w:val="style94"/>
        <w:spacing w:lineRule="auto" w:line="360"/>
        <w:ind w:left="720" w:hanging="720"/>
        <w:rPr>
          <w:rFonts w:ascii="Times New Roman" w:cs="Times New Roman" w:hAnsi="Times New Roman"/>
          <w:lang w:val="en-GB"/>
        </w:rPr>
      </w:pPr>
      <w:r>
        <w:rPr>
          <w:rFonts w:ascii="Times New Roman" w:cs="Times New Roman" w:hAnsi="Times New Roman"/>
          <w:lang w:val="en-GB"/>
        </w:rPr>
        <w:t xml:space="preserve">British Psychological Society (BPS), 2021. </w:t>
      </w:r>
      <w:r>
        <w:rPr>
          <w:rStyle w:val="style88"/>
          <w:rFonts w:ascii="Times New Roman" w:cs="Times New Roman" w:hAnsi="Times New Roman"/>
          <w:lang w:val="en-GB"/>
        </w:rPr>
        <w:t>Ethics Guidelines for Internet-mediated Research</w:t>
      </w:r>
      <w:r>
        <w:rPr>
          <w:rFonts w:ascii="Times New Roman" w:cs="Times New Roman" w:hAnsi="Times New Roman"/>
          <w:lang w:val="en-GB"/>
        </w:rPr>
        <w:t>. Leicester: BPS.</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Bryman</w:t>
      </w:r>
      <w:r>
        <w:rPr>
          <w:rFonts w:ascii="Times New Roman" w:cs="Times New Roman" w:hAnsi="Times New Roman"/>
          <w:color w:val="222222"/>
          <w:shd w:val="clear" w:color="auto" w:fill="ffffff"/>
          <w:lang w:val="en-GB"/>
        </w:rPr>
        <w:t>, A., 2016. </w:t>
      </w:r>
      <w:r>
        <w:rPr>
          <w:rFonts w:ascii="Times New Roman" w:cs="Times New Roman" w:hAnsi="Times New Roman"/>
          <w:i/>
          <w:iCs/>
          <w:color w:val="222222"/>
          <w:shd w:val="clear" w:color="auto" w:fill="ffffff"/>
          <w:lang w:val="en-GB"/>
        </w:rPr>
        <w:t>Social research methods</w:t>
      </w:r>
      <w:r>
        <w:rPr>
          <w:rFonts w:ascii="Times New Roman" w:cs="Times New Roman" w:hAnsi="Times New Roman"/>
          <w:color w:val="222222"/>
          <w:shd w:val="clear" w:color="auto" w:fill="ffffff"/>
          <w:lang w:val="en-GB"/>
        </w:rPr>
        <w:t xml:space="preserve">. Oxford </w:t>
      </w:r>
      <w:r>
        <w:rPr>
          <w:rFonts w:ascii="Times New Roman" w:cs="Times New Roman" w:hAnsi="Times New Roman"/>
          <w:color w:val="222222"/>
          <w:shd w:val="clear" w:color="auto" w:fill="ffffff"/>
          <w:lang w:val="en-GB"/>
        </w:rPr>
        <w:t>University Press</w:t>
      </w:r>
      <w:r>
        <w:rPr>
          <w:rFonts w:ascii="Times New Roman" w:cs="Times New Roman" w:hAnsi="Times New Roman"/>
          <w:color w:val="222222"/>
          <w:shd w:val="clear" w:color="auto" w:fill="ffffff"/>
          <w:lang w:val="en-GB"/>
        </w:rPr>
        <w:t>.</w:t>
      </w:r>
    </w:p>
    <w:p>
      <w:pPr>
        <w:pStyle w:val="style94"/>
        <w:spacing w:lineRule="auto" w:line="360"/>
        <w:ind w:left="720" w:hanging="720"/>
        <w:rPr>
          <w:rFonts w:ascii="Times New Roman" w:cs="Times New Roman" w:hAnsi="Times New Roman"/>
          <w:lang w:val="en-GB"/>
        </w:rPr>
      </w:pPr>
      <w:r>
        <w:rPr>
          <w:rFonts w:ascii="Times New Roman" w:cs="Times New Roman" w:hAnsi="Times New Roman"/>
          <w:lang w:val="en-GB"/>
        </w:rPr>
        <w:t xml:space="preserve">Chartered Institute of Personnel and Development (CIPD), 2023. </w:t>
      </w:r>
      <w:r>
        <w:rPr>
          <w:rStyle w:val="style88"/>
          <w:rFonts w:ascii="Times New Roman" w:cs="Times New Roman" w:hAnsi="Times New Roman"/>
          <w:lang w:val="en-GB"/>
        </w:rPr>
        <w:t>Flexible and Hybrid Working Practices</w:t>
      </w:r>
      <w:r>
        <w:rPr>
          <w:rFonts w:ascii="Times New Roman" w:cs="Times New Roman" w:hAnsi="Times New Roman"/>
          <w:lang w:val="en-GB"/>
        </w:rPr>
        <w:t>. London: CIPD. https://www.cipd.org/globalassets/media/knowledge/knowledge-hub/reports/2023-pdfs/2023-flexible-hybrid-working-practices-report-8392.pdf</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Chimienti</w:t>
      </w:r>
      <w:r>
        <w:rPr>
          <w:rFonts w:ascii="Times New Roman" w:cs="Times New Roman" w:hAnsi="Times New Roman"/>
          <w:color w:val="222222"/>
          <w:shd w:val="clear" w:color="auto" w:fill="ffffff"/>
          <w:lang w:val="en-GB"/>
        </w:rPr>
        <w:t>, S., 2022. Control dynamics in the context of remote work arrangements.</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Coelho, R., 2024. Reasons for Employees to Leave an Organization.</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 xml:space="preserve">Contreras, F., Baykal, E. and </w:t>
      </w:r>
      <w:r>
        <w:rPr>
          <w:rFonts w:ascii="Times New Roman" w:cs="Times New Roman" w:hAnsi="Times New Roman"/>
          <w:color w:val="222222"/>
          <w:shd w:val="clear" w:color="auto" w:fill="ffffff"/>
          <w:lang w:val="en-GB"/>
        </w:rPr>
        <w:t>Abid</w:t>
      </w:r>
      <w:r>
        <w:rPr>
          <w:rFonts w:ascii="Times New Roman" w:cs="Times New Roman" w:hAnsi="Times New Roman"/>
          <w:color w:val="222222"/>
          <w:shd w:val="clear" w:color="auto" w:fill="ffffff"/>
          <w:lang w:val="en-GB"/>
        </w:rPr>
        <w:t>, G., 2020. E-leadership and teleworking in times of COVID-19 and beyond: What we know and where do we go. </w:t>
      </w:r>
      <w:r>
        <w:rPr>
          <w:rFonts w:ascii="Times New Roman" w:cs="Times New Roman" w:hAnsi="Times New Roman"/>
          <w:i/>
          <w:iCs/>
          <w:color w:val="222222"/>
          <w:shd w:val="clear" w:color="auto" w:fill="ffffff"/>
          <w:lang w:val="en-GB"/>
        </w:rPr>
        <w:t>Frontiers in psychology</w:t>
      </w:r>
      <w:r>
        <w:rPr>
          <w:rFonts w:ascii="Times New Roman" w:cs="Times New Roman" w:hAnsi="Times New Roman"/>
          <w:color w:val="222222"/>
          <w:shd w:val="clear" w:color="auto" w:fill="ffffff"/>
          <w:lang w:val="en-GB"/>
        </w:rPr>
        <w:t>, </w:t>
      </w:r>
      <w:r>
        <w:rPr>
          <w:rFonts w:ascii="Times New Roman" w:cs="Times New Roman" w:hAnsi="Times New Roman"/>
          <w:i/>
          <w:iCs/>
          <w:color w:val="222222"/>
          <w:shd w:val="clear" w:color="auto" w:fill="ffffff"/>
          <w:lang w:val="en-GB"/>
        </w:rPr>
        <w:t>11</w:t>
      </w:r>
      <w:r>
        <w:rPr>
          <w:rFonts w:ascii="Times New Roman" w:cs="Times New Roman" w:hAnsi="Times New Roman"/>
          <w:color w:val="222222"/>
          <w:shd w:val="clear" w:color="auto" w:fill="ffffff"/>
          <w:lang w:val="en-GB"/>
        </w:rPr>
        <w:t>, p.590271.</w:t>
      </w:r>
    </w:p>
    <w:p>
      <w:pPr>
        <w:pStyle w:val="style94"/>
        <w:spacing w:lineRule="auto" w:line="360"/>
        <w:ind w:left="720" w:hanging="720"/>
        <w:rPr>
          <w:rFonts w:ascii="Times New Roman" w:cs="Times New Roman" w:hAnsi="Times New Roman"/>
          <w:lang w:val="en-GB"/>
        </w:rPr>
      </w:pPr>
      <w:r>
        <w:rPr>
          <w:rFonts w:ascii="Times New Roman" w:cs="Times New Roman" w:hAnsi="Times New Roman"/>
          <w:lang w:val="en-GB"/>
        </w:rPr>
        <w:t>Felstead</w:t>
      </w:r>
      <w:r>
        <w:rPr>
          <w:rFonts w:ascii="Times New Roman" w:cs="Times New Roman" w:hAnsi="Times New Roman"/>
          <w:lang w:val="en-GB"/>
        </w:rPr>
        <w:t xml:space="preserve">, A. and </w:t>
      </w:r>
      <w:r>
        <w:rPr>
          <w:rFonts w:ascii="Times New Roman" w:cs="Times New Roman" w:hAnsi="Times New Roman"/>
          <w:lang w:val="en-GB"/>
        </w:rPr>
        <w:t>Reuschke</w:t>
      </w:r>
      <w:r>
        <w:rPr>
          <w:rFonts w:ascii="Times New Roman" w:cs="Times New Roman" w:hAnsi="Times New Roman"/>
          <w:lang w:val="en-GB"/>
        </w:rPr>
        <w:t xml:space="preserve">, D. (2020) ‘Homeworking in the UK’, </w:t>
      </w:r>
      <w:r>
        <w:rPr>
          <w:rStyle w:val="style88"/>
          <w:rFonts w:ascii="Times New Roman" w:cs="Times New Roman" w:hAnsi="Times New Roman"/>
          <w:lang w:val="en-GB"/>
        </w:rPr>
        <w:t>Journal of Social Policy</w:t>
      </w:r>
      <w:r>
        <w:rPr>
          <w:rFonts w:ascii="Times New Roman" w:cs="Times New Roman" w:hAnsi="Times New Roman"/>
          <w:lang w:val="en-GB"/>
        </w:rPr>
        <w:t>, 49(2), pp. 379–400.</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Gajendran</w:t>
      </w:r>
      <w:r>
        <w:rPr>
          <w:rFonts w:ascii="Times New Roman" w:cs="Times New Roman" w:hAnsi="Times New Roman"/>
          <w:color w:val="222222"/>
          <w:shd w:val="clear" w:color="auto" w:fill="ffffff"/>
          <w:lang w:val="en-GB"/>
        </w:rPr>
        <w:t>, R.S. and Harrison, D.A., 2007. The good, the bad, and the unknown about telecommuting: meta-analysis of psychological mediators and individual consequences. </w:t>
      </w:r>
      <w:r>
        <w:rPr>
          <w:rFonts w:ascii="Times New Roman" w:cs="Times New Roman" w:hAnsi="Times New Roman"/>
          <w:i/>
          <w:iCs/>
          <w:color w:val="222222"/>
          <w:shd w:val="clear" w:color="auto" w:fill="ffffff"/>
          <w:lang w:val="en-GB"/>
        </w:rPr>
        <w:t xml:space="preserve">Journal of </w:t>
      </w:r>
      <w:r>
        <w:rPr>
          <w:rFonts w:ascii="Times New Roman" w:cs="Times New Roman" w:hAnsi="Times New Roman"/>
          <w:i/>
          <w:iCs/>
          <w:color w:val="222222"/>
          <w:shd w:val="clear" w:color="auto" w:fill="ffffff"/>
          <w:lang w:val="en-GB"/>
        </w:rPr>
        <w:t>Applied Psychology</w:t>
      </w:r>
      <w:r>
        <w:rPr>
          <w:rFonts w:ascii="Times New Roman" w:cs="Times New Roman" w:hAnsi="Times New Roman"/>
          <w:color w:val="222222"/>
          <w:shd w:val="clear" w:color="auto" w:fill="ffffff"/>
          <w:lang w:val="en-GB"/>
        </w:rPr>
        <w:t>, </w:t>
      </w:r>
      <w:r>
        <w:rPr>
          <w:rFonts w:ascii="Times New Roman" w:cs="Times New Roman" w:hAnsi="Times New Roman"/>
          <w:i/>
          <w:iCs/>
          <w:color w:val="222222"/>
          <w:shd w:val="clear" w:color="auto" w:fill="ffffff"/>
          <w:lang w:val="en-GB"/>
        </w:rPr>
        <w:t>92</w:t>
      </w:r>
      <w:r>
        <w:rPr>
          <w:rFonts w:ascii="Times New Roman" w:cs="Times New Roman" w:hAnsi="Times New Roman"/>
          <w:color w:val="222222"/>
          <w:shd w:val="clear" w:color="auto" w:fill="ffffff"/>
          <w:lang w:val="en-GB"/>
        </w:rPr>
        <w:t>(6), p.1524.</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Gajendran</w:t>
      </w:r>
      <w:r>
        <w:rPr>
          <w:rFonts w:ascii="Times New Roman" w:cs="Times New Roman" w:hAnsi="Times New Roman"/>
          <w:color w:val="222222"/>
          <w:shd w:val="clear" w:color="auto" w:fill="ffffff"/>
          <w:lang w:val="en-GB"/>
        </w:rPr>
        <w:t>, R.S., Harrison, D.A. and Delaney</w:t>
      </w:r>
      <w:r>
        <w:rPr>
          <w:rFonts w:ascii="Cambria Math" w:cs="Times New Roman" w:hAnsi="Cambria Math"/>
          <w:color w:val="222222"/>
          <w:shd w:val="clear" w:color="auto" w:fill="ffffff"/>
          <w:lang w:val="en-GB"/>
        </w:rPr>
        <w:t>‐</w:t>
      </w:r>
      <w:r>
        <w:rPr>
          <w:rFonts w:ascii="Times New Roman" w:cs="Times New Roman" w:hAnsi="Times New Roman"/>
          <w:color w:val="222222"/>
          <w:shd w:val="clear" w:color="auto" w:fill="ffffff"/>
          <w:lang w:val="en-GB"/>
        </w:rPr>
        <w:t>Klinger, K., 2015. Are telecommuters remotely good citizens? Unpacking telecommuting's effects on performance via i</w:t>
      </w:r>
      <w:r>
        <w:rPr>
          <w:rFonts w:ascii="Cambria Math" w:cs="Times New Roman" w:hAnsi="Cambria Math"/>
          <w:color w:val="222222"/>
          <w:shd w:val="clear" w:color="auto" w:fill="ffffff"/>
          <w:lang w:val="en-GB"/>
        </w:rPr>
        <w:t>‐</w:t>
      </w:r>
      <w:r>
        <w:rPr>
          <w:rFonts w:ascii="Times New Roman" w:cs="Times New Roman" w:hAnsi="Times New Roman"/>
          <w:color w:val="222222"/>
          <w:shd w:val="clear" w:color="auto" w:fill="ffffff"/>
          <w:lang w:val="en-GB"/>
        </w:rPr>
        <w:t>deals and job resources. </w:t>
      </w:r>
      <w:r>
        <w:rPr>
          <w:rFonts w:ascii="Times New Roman" w:cs="Times New Roman" w:hAnsi="Times New Roman"/>
          <w:i/>
          <w:iCs/>
          <w:color w:val="222222"/>
          <w:shd w:val="clear" w:color="auto" w:fill="ffffff"/>
          <w:lang w:val="en-GB"/>
        </w:rPr>
        <w:t>Personnel psychology</w:t>
      </w:r>
      <w:r>
        <w:rPr>
          <w:rFonts w:ascii="Times New Roman" w:cs="Times New Roman" w:hAnsi="Times New Roman"/>
          <w:color w:val="222222"/>
          <w:shd w:val="clear" w:color="auto" w:fill="ffffff"/>
          <w:lang w:val="en-GB"/>
        </w:rPr>
        <w:t>, </w:t>
      </w:r>
      <w:r>
        <w:rPr>
          <w:rFonts w:ascii="Times New Roman" w:cs="Times New Roman" w:hAnsi="Times New Roman"/>
          <w:i/>
          <w:iCs/>
          <w:color w:val="222222"/>
          <w:shd w:val="clear" w:color="auto" w:fill="ffffff"/>
          <w:lang w:val="en-GB"/>
        </w:rPr>
        <w:t>68</w:t>
      </w:r>
      <w:r>
        <w:rPr>
          <w:rFonts w:ascii="Times New Roman" w:cs="Times New Roman" w:hAnsi="Times New Roman"/>
          <w:color w:val="222222"/>
          <w:shd w:val="clear" w:color="auto" w:fill="ffffff"/>
          <w:lang w:val="en-GB"/>
        </w:rPr>
        <w:t>(2), pp.353-393.</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Harter, J.K., Schmidt, F.L. and Hayes, T.L., 2002. Business-unit-level relationship between employee satisfaction, employee engagement, and business outcomes: a meta-analysis. </w:t>
      </w:r>
      <w:r>
        <w:rPr>
          <w:rFonts w:ascii="Times New Roman" w:cs="Times New Roman" w:hAnsi="Times New Roman"/>
          <w:i/>
          <w:iCs/>
          <w:color w:val="222222"/>
          <w:shd w:val="clear" w:color="auto" w:fill="ffffff"/>
          <w:lang w:val="en-GB"/>
        </w:rPr>
        <w:t xml:space="preserve">Journal of </w:t>
      </w:r>
      <w:r>
        <w:rPr>
          <w:rFonts w:ascii="Times New Roman" w:cs="Times New Roman" w:hAnsi="Times New Roman"/>
          <w:i/>
          <w:iCs/>
          <w:color w:val="222222"/>
          <w:shd w:val="clear" w:color="auto" w:fill="ffffff"/>
          <w:lang w:val="en-GB"/>
        </w:rPr>
        <w:t>Applied Psychology</w:t>
      </w:r>
      <w:r>
        <w:rPr>
          <w:rFonts w:ascii="Times New Roman" w:cs="Times New Roman" w:hAnsi="Times New Roman"/>
          <w:color w:val="222222"/>
          <w:shd w:val="clear" w:color="auto" w:fill="ffffff"/>
          <w:lang w:val="en-GB"/>
        </w:rPr>
        <w:t>, </w:t>
      </w:r>
      <w:r>
        <w:rPr>
          <w:rFonts w:ascii="Times New Roman" w:cs="Times New Roman" w:hAnsi="Times New Roman"/>
          <w:i/>
          <w:iCs/>
          <w:color w:val="222222"/>
          <w:shd w:val="clear" w:color="auto" w:fill="ffffff"/>
          <w:lang w:val="en-GB"/>
        </w:rPr>
        <w:t>87</w:t>
      </w:r>
      <w:r>
        <w:rPr>
          <w:rFonts w:ascii="Times New Roman" w:cs="Times New Roman" w:hAnsi="Times New Roman"/>
          <w:color w:val="222222"/>
          <w:shd w:val="clear" w:color="auto" w:fill="ffffff"/>
          <w:lang w:val="en-GB"/>
        </w:rPr>
        <w:t>(2), p.268.</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Jindain</w:t>
      </w:r>
      <w:r>
        <w:rPr>
          <w:rFonts w:ascii="Times New Roman" w:cs="Times New Roman" w:hAnsi="Times New Roman"/>
          <w:color w:val="222222"/>
          <w:shd w:val="clear" w:color="auto" w:fill="ffffff"/>
          <w:lang w:val="en-GB"/>
        </w:rPr>
        <w:t xml:space="preserve">, C. and </w:t>
      </w:r>
      <w:r>
        <w:rPr>
          <w:rFonts w:ascii="Times New Roman" w:cs="Times New Roman" w:hAnsi="Times New Roman"/>
          <w:color w:val="222222"/>
          <w:shd w:val="clear" w:color="auto" w:fill="ffffff"/>
          <w:lang w:val="en-GB"/>
        </w:rPr>
        <w:t>Gilitwala</w:t>
      </w:r>
      <w:r>
        <w:rPr>
          <w:rFonts w:ascii="Times New Roman" w:cs="Times New Roman" w:hAnsi="Times New Roman"/>
          <w:color w:val="222222"/>
          <w:shd w:val="clear" w:color="auto" w:fill="ffffff"/>
          <w:lang w:val="en-GB"/>
        </w:rPr>
        <w:t xml:space="preserve">, B., 2024. The factors impacting the intermediating variable of employee engagement toward employee performance in a hybrid working model. </w:t>
      </w:r>
      <w:r>
        <w:rPr>
          <w:rFonts w:ascii="Times New Roman" w:cs="Times New Roman" w:hAnsi="Times New Roman"/>
          <w:color w:val="222222"/>
          <w:shd w:val="clear" w:color="auto" w:fill="ffffff"/>
          <w:lang w:val="en-GB"/>
        </w:rPr>
        <w:t>Rajagiri</w:t>
      </w:r>
      <w:r>
        <w:rPr>
          <w:rFonts w:ascii="Times New Roman" w:cs="Times New Roman" w:hAnsi="Times New Roman"/>
          <w:color w:val="222222"/>
          <w:shd w:val="clear" w:color="auto" w:fill="ffffff"/>
          <w:lang w:val="en-GB"/>
        </w:rPr>
        <w:t xml:space="preserve"> Management Journal, 18(2), pp.167-179.</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Mujtaba</w:t>
      </w:r>
      <w:r>
        <w:rPr>
          <w:rFonts w:ascii="Times New Roman" w:cs="Times New Roman" w:hAnsi="Times New Roman"/>
          <w:color w:val="222222"/>
          <w:shd w:val="clear" w:color="auto" w:fill="ffffff"/>
          <w:lang w:val="en-GB"/>
        </w:rPr>
        <w:t xml:space="preserve">, B.G. and Lawrence, E.T., 2024. Workplaces of today and tomorrow to attract and retain top talent: challenges and opportunities with remote/hybrid practices. </w:t>
      </w:r>
      <w:r>
        <w:rPr>
          <w:rFonts w:ascii="Times New Roman" w:cs="Times New Roman" w:hAnsi="Times New Roman"/>
          <w:color w:val="222222"/>
          <w:shd w:val="clear" w:color="auto" w:fill="ffffff"/>
          <w:lang w:val="en-GB"/>
        </w:rPr>
        <w:t>SocioEconomic</w:t>
      </w:r>
      <w:r>
        <w:rPr>
          <w:rFonts w:ascii="Times New Roman" w:cs="Times New Roman" w:hAnsi="Times New Roman"/>
          <w:color w:val="222222"/>
          <w:shd w:val="clear" w:color="auto" w:fill="ffffff"/>
          <w:lang w:val="en-GB"/>
        </w:rPr>
        <w:t xml:space="preserve"> Challenges, 8(2), pp.12-30.</w:t>
      </w:r>
    </w:p>
    <w:p>
      <w:pPr>
        <w:pStyle w:val="style94"/>
        <w:spacing w:lineRule="auto" w:line="360"/>
        <w:ind w:left="720" w:hanging="720"/>
        <w:rPr>
          <w:rFonts w:ascii="Times New Roman" w:cs="Times New Roman" w:hAnsi="Times New Roman"/>
          <w:lang w:val="en-GB"/>
        </w:rPr>
      </w:pPr>
      <w:r>
        <w:rPr>
          <w:rFonts w:ascii="Times New Roman" w:cs="Times New Roman" w:hAnsi="Times New Roman"/>
          <w:lang w:val="en-GB"/>
        </w:rPr>
        <w:t xml:space="preserve">Office for National Statistics (ONS), 2023. </w:t>
      </w:r>
      <w:r>
        <w:rPr>
          <w:rStyle w:val="style88"/>
          <w:rFonts w:ascii="Times New Roman" w:cs="Times New Roman" w:hAnsi="Times New Roman"/>
          <w:lang w:val="en-GB"/>
        </w:rPr>
        <w:t>Is hybrid working here to stay?</w:t>
      </w:r>
      <w:r>
        <w:rPr>
          <w:rFonts w:ascii="Times New Roman" w:cs="Times New Roman" w:hAnsi="Times New Roman"/>
          <w:lang w:val="en-GB"/>
        </w:rPr>
        <w:t xml:space="preserve"> London: ONS. https://www.ons.gov.uk/employmentandlabourmarket/peopleinwork/employmentandemployeetypes/articles/ishybridworkingheretostay/2022-05-23</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Peltokorpi</w:t>
      </w:r>
      <w:r>
        <w:rPr>
          <w:rFonts w:ascii="Times New Roman" w:cs="Times New Roman" w:hAnsi="Times New Roman"/>
          <w:color w:val="222222"/>
          <w:shd w:val="clear" w:color="auto" w:fill="ffffff"/>
          <w:lang w:val="en-GB"/>
        </w:rPr>
        <w:t xml:space="preserve">, V. and Allen, D.G., 2024. Job embeddedness and voluntary turnover in the face of job insecurity. Journal of Organizational </w:t>
      </w:r>
      <w:r>
        <w:rPr>
          <w:rFonts w:ascii="Times New Roman" w:cs="Times New Roman" w:hAnsi="Times New Roman"/>
          <w:color w:val="222222"/>
          <w:shd w:val="clear" w:color="auto" w:fill="ffffff"/>
          <w:lang w:val="en-GB"/>
        </w:rPr>
        <w:t>Behavior</w:t>
      </w:r>
      <w:r>
        <w:rPr>
          <w:rFonts w:ascii="Times New Roman" w:cs="Times New Roman" w:hAnsi="Times New Roman"/>
          <w:color w:val="222222"/>
          <w:shd w:val="clear" w:color="auto" w:fill="ffffff"/>
          <w:lang w:val="en-GB"/>
        </w:rPr>
        <w:t>, 45(3), pp.416-433.</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 xml:space="preserve">Roy, S.K., </w:t>
      </w:r>
      <w:r>
        <w:rPr>
          <w:rFonts w:ascii="Times New Roman" w:cs="Times New Roman" w:hAnsi="Times New Roman"/>
          <w:color w:val="222222"/>
          <w:shd w:val="clear" w:color="auto" w:fill="ffffff"/>
          <w:lang w:val="en-GB"/>
        </w:rPr>
        <w:t>Gruner</w:t>
      </w:r>
      <w:r>
        <w:rPr>
          <w:rFonts w:ascii="Times New Roman" w:cs="Times New Roman" w:hAnsi="Times New Roman"/>
          <w:color w:val="222222"/>
          <w:shd w:val="clear" w:color="auto" w:fill="ffffff"/>
          <w:lang w:val="en-GB"/>
        </w:rPr>
        <w:t xml:space="preserve">, R.L. and </w:t>
      </w:r>
      <w:r>
        <w:rPr>
          <w:rFonts w:ascii="Times New Roman" w:cs="Times New Roman" w:hAnsi="Times New Roman"/>
          <w:color w:val="222222"/>
          <w:shd w:val="clear" w:color="auto" w:fill="ffffff"/>
          <w:lang w:val="en-GB"/>
        </w:rPr>
        <w:t>Guo</w:t>
      </w:r>
      <w:r>
        <w:rPr>
          <w:rFonts w:ascii="Times New Roman" w:cs="Times New Roman" w:hAnsi="Times New Roman"/>
          <w:color w:val="222222"/>
          <w:shd w:val="clear" w:color="auto" w:fill="ffffff"/>
          <w:lang w:val="en-GB"/>
        </w:rPr>
        <w:t>, J., 2022. Exploring customer experience, commitment, and engagement behaviours. Journal of Strategic Marketing, 30(1), pp.45-68.</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Schaufeli</w:t>
      </w:r>
      <w:r>
        <w:rPr>
          <w:rFonts w:ascii="Times New Roman" w:cs="Times New Roman" w:hAnsi="Times New Roman"/>
          <w:color w:val="222222"/>
          <w:shd w:val="clear" w:color="auto" w:fill="ffffff"/>
          <w:lang w:val="en-GB"/>
        </w:rPr>
        <w:t xml:space="preserve">, W.B., </w:t>
      </w:r>
      <w:r>
        <w:rPr>
          <w:rFonts w:ascii="Times New Roman" w:cs="Times New Roman" w:hAnsi="Times New Roman"/>
          <w:color w:val="222222"/>
          <w:shd w:val="clear" w:color="auto" w:fill="ffffff"/>
          <w:lang w:val="en-GB"/>
        </w:rPr>
        <w:t>Salanova</w:t>
      </w:r>
      <w:r>
        <w:rPr>
          <w:rFonts w:ascii="Times New Roman" w:cs="Times New Roman" w:hAnsi="Times New Roman"/>
          <w:color w:val="222222"/>
          <w:shd w:val="clear" w:color="auto" w:fill="ffffff"/>
          <w:lang w:val="en-GB"/>
        </w:rPr>
        <w:t>, M., González-</w:t>
      </w:r>
      <w:r>
        <w:rPr>
          <w:rFonts w:ascii="Times New Roman" w:cs="Times New Roman" w:hAnsi="Times New Roman"/>
          <w:color w:val="222222"/>
          <w:shd w:val="clear" w:color="auto" w:fill="ffffff"/>
          <w:lang w:val="en-GB"/>
        </w:rPr>
        <w:t>Romá</w:t>
      </w:r>
      <w:r>
        <w:rPr>
          <w:rFonts w:ascii="Times New Roman" w:cs="Times New Roman" w:hAnsi="Times New Roman"/>
          <w:color w:val="222222"/>
          <w:shd w:val="clear" w:color="auto" w:fill="ffffff"/>
          <w:lang w:val="en-GB"/>
        </w:rPr>
        <w:t>, V. and Bakker, A.B., 2002. The measurement of engagement and burnout: A two sample confirmatory factor analytic approach. </w:t>
      </w:r>
      <w:r>
        <w:rPr>
          <w:rFonts w:ascii="Times New Roman" w:cs="Times New Roman" w:hAnsi="Times New Roman"/>
          <w:i/>
          <w:iCs/>
          <w:color w:val="222222"/>
          <w:shd w:val="clear" w:color="auto" w:fill="ffffff"/>
          <w:lang w:val="en-GB"/>
        </w:rPr>
        <w:t xml:space="preserve">Journal of Happiness </w:t>
      </w:r>
      <w:r>
        <w:rPr>
          <w:rFonts w:ascii="Times New Roman" w:cs="Times New Roman" w:hAnsi="Times New Roman"/>
          <w:i/>
          <w:iCs/>
          <w:color w:val="222222"/>
          <w:shd w:val="clear" w:color="auto" w:fill="ffffff"/>
          <w:lang w:val="en-GB"/>
        </w:rPr>
        <w:t>Studies</w:t>
      </w:r>
      <w:r>
        <w:rPr>
          <w:rFonts w:ascii="Times New Roman" w:cs="Times New Roman" w:hAnsi="Times New Roman"/>
          <w:color w:val="222222"/>
          <w:shd w:val="clear" w:color="auto" w:fill="ffffff"/>
          <w:lang w:val="en-GB"/>
        </w:rPr>
        <w:t>, </w:t>
      </w:r>
      <w:r>
        <w:rPr>
          <w:rFonts w:ascii="Times New Roman" w:cs="Times New Roman" w:hAnsi="Times New Roman"/>
          <w:i/>
          <w:iCs/>
          <w:color w:val="222222"/>
          <w:shd w:val="clear" w:color="auto" w:fill="ffffff"/>
          <w:lang w:val="en-GB"/>
        </w:rPr>
        <w:t>3</w:t>
      </w:r>
      <w:r>
        <w:rPr>
          <w:rFonts w:ascii="Times New Roman" w:cs="Times New Roman" w:hAnsi="Times New Roman"/>
          <w:color w:val="222222"/>
          <w:shd w:val="clear" w:color="auto" w:fill="ffffff"/>
          <w:lang w:val="en-GB"/>
        </w:rPr>
        <w:t>(1), pp.71-92.</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 xml:space="preserve">Singh, S. and </w:t>
      </w:r>
      <w:r>
        <w:rPr>
          <w:rFonts w:ascii="Times New Roman" w:cs="Times New Roman" w:hAnsi="Times New Roman"/>
          <w:color w:val="222222"/>
          <w:shd w:val="clear" w:color="auto" w:fill="ffffff"/>
          <w:lang w:val="en-GB"/>
        </w:rPr>
        <w:t>Sant</w:t>
      </w:r>
      <w:r>
        <w:rPr>
          <w:rFonts w:ascii="Times New Roman" w:cs="Times New Roman" w:hAnsi="Times New Roman"/>
          <w:color w:val="222222"/>
          <w:shd w:val="clear" w:color="auto" w:fill="ffffff"/>
          <w:lang w:val="en-GB"/>
        </w:rPr>
        <w:t>, S., 2023. The moderating role of workplace (hybrid/remote) on employee engagement and employee turnover intention. Employee responsibilities and rights journal, pp.1-16.</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Wang, B., Liu, Y., Qian, J. and Parker, S.K., 2021. Achieving effective remote working during the COVID</w:t>
      </w:r>
      <w:r>
        <w:rPr>
          <w:rFonts w:ascii="Cambria Math" w:cs="Times New Roman" w:hAnsi="Cambria Math"/>
          <w:color w:val="222222"/>
          <w:shd w:val="clear" w:color="auto" w:fill="ffffff"/>
          <w:lang w:val="en-GB"/>
        </w:rPr>
        <w:t>‐</w:t>
      </w:r>
      <w:r>
        <w:rPr>
          <w:rFonts w:ascii="Times New Roman" w:cs="Times New Roman" w:hAnsi="Times New Roman"/>
          <w:color w:val="222222"/>
          <w:shd w:val="clear" w:color="auto" w:fill="ffffff"/>
          <w:lang w:val="en-GB"/>
        </w:rPr>
        <w:t>19 pandemic: A work design perspective. </w:t>
      </w:r>
      <w:r>
        <w:rPr>
          <w:rFonts w:ascii="Times New Roman" w:cs="Times New Roman" w:hAnsi="Times New Roman"/>
          <w:i/>
          <w:iCs/>
          <w:color w:val="222222"/>
          <w:shd w:val="clear" w:color="auto" w:fill="ffffff"/>
          <w:lang w:val="en-GB"/>
        </w:rPr>
        <w:t>Applied psychology</w:t>
      </w:r>
      <w:r>
        <w:rPr>
          <w:rFonts w:ascii="Times New Roman" w:cs="Times New Roman" w:hAnsi="Times New Roman"/>
          <w:color w:val="222222"/>
          <w:shd w:val="clear" w:color="auto" w:fill="ffffff"/>
          <w:lang w:val="en-GB"/>
        </w:rPr>
        <w:t>, </w:t>
      </w:r>
      <w:r>
        <w:rPr>
          <w:rFonts w:ascii="Times New Roman" w:cs="Times New Roman" w:hAnsi="Times New Roman"/>
          <w:i/>
          <w:iCs/>
          <w:color w:val="222222"/>
          <w:shd w:val="clear" w:color="auto" w:fill="ffffff"/>
          <w:lang w:val="en-GB"/>
        </w:rPr>
        <w:t>70</w:t>
      </w:r>
      <w:r>
        <w:rPr>
          <w:rFonts w:ascii="Times New Roman" w:cs="Times New Roman" w:hAnsi="Times New Roman"/>
          <w:color w:val="222222"/>
          <w:shd w:val="clear" w:color="auto" w:fill="ffffff"/>
          <w:lang w:val="en-GB"/>
        </w:rPr>
        <w:t>(1), pp.16-59.</w:t>
      </w:r>
    </w:p>
    <w:p>
      <w:pPr>
        <w:pStyle w:val="style94"/>
        <w:spacing w:lineRule="auto" w:line="360"/>
        <w:ind w:left="720" w:hanging="720"/>
        <w:rPr>
          <w:rFonts w:ascii="Times New Roman" w:cs="Times New Roman" w:hAnsi="Times New Roman"/>
          <w:color w:val="222222"/>
          <w:shd w:val="clear" w:color="auto" w:fill="ffffff"/>
          <w:lang w:val="en-GB"/>
        </w:rPr>
      </w:pPr>
      <w:r>
        <w:rPr>
          <w:rFonts w:ascii="Times New Roman" w:cs="Times New Roman" w:hAnsi="Times New Roman"/>
          <w:color w:val="222222"/>
          <w:shd w:val="clear" w:color="auto" w:fill="ffffff"/>
          <w:lang w:val="en-GB"/>
        </w:rPr>
        <w:t xml:space="preserve">Yang, L., Holtz, D., Jaffe, S., Suri, S., Sinha, S., Weston, J., Joyce, C., Shah, N., Sherman, K., Hecht, B. and </w:t>
      </w:r>
      <w:r>
        <w:rPr>
          <w:rFonts w:ascii="Times New Roman" w:cs="Times New Roman" w:hAnsi="Times New Roman"/>
          <w:color w:val="222222"/>
          <w:shd w:val="clear" w:color="auto" w:fill="ffffff"/>
          <w:lang w:val="en-GB"/>
        </w:rPr>
        <w:t>Teevan</w:t>
      </w:r>
      <w:r>
        <w:rPr>
          <w:rFonts w:ascii="Times New Roman" w:cs="Times New Roman" w:hAnsi="Times New Roman"/>
          <w:color w:val="222222"/>
          <w:shd w:val="clear" w:color="auto" w:fill="ffffff"/>
          <w:lang w:val="en-GB"/>
        </w:rPr>
        <w:t>, J., 2022. The effects of remote work on collaboration among information workers. </w:t>
      </w:r>
      <w:r>
        <w:rPr>
          <w:rFonts w:ascii="Times New Roman" w:cs="Times New Roman" w:hAnsi="Times New Roman"/>
          <w:i/>
          <w:iCs/>
          <w:color w:val="222222"/>
          <w:shd w:val="clear" w:color="auto" w:fill="ffffff"/>
          <w:lang w:val="en-GB"/>
        </w:rPr>
        <w:t>Nature human behaviour</w:t>
      </w:r>
      <w:r>
        <w:rPr>
          <w:rFonts w:ascii="Times New Roman" w:cs="Times New Roman" w:hAnsi="Times New Roman"/>
          <w:color w:val="222222"/>
          <w:shd w:val="clear" w:color="auto" w:fill="ffffff"/>
          <w:lang w:val="en-GB"/>
        </w:rPr>
        <w:t>, </w:t>
      </w:r>
      <w:r>
        <w:rPr>
          <w:rFonts w:ascii="Times New Roman" w:cs="Times New Roman" w:hAnsi="Times New Roman"/>
          <w:i/>
          <w:iCs/>
          <w:color w:val="222222"/>
          <w:shd w:val="clear" w:color="auto" w:fill="ffffff"/>
          <w:lang w:val="en-GB"/>
        </w:rPr>
        <w:t>6</w:t>
      </w:r>
      <w:r>
        <w:rPr>
          <w:rFonts w:ascii="Times New Roman" w:cs="Times New Roman" w:hAnsi="Times New Roman"/>
          <w:color w:val="222222"/>
          <w:shd w:val="clear" w:color="auto" w:fill="ffffff"/>
          <w:lang w:val="en-GB"/>
        </w:rPr>
        <w:t>(1), pp.43-54.</w:t>
      </w:r>
    </w:p>
    <w:p>
      <w:pPr>
        <w:pStyle w:val="style94"/>
        <w:spacing w:lineRule="auto" w:line="360"/>
        <w:rPr>
          <w:rFonts w:ascii="Times New Roman" w:cs="Times New Roman" w:hAnsi="Times New Roman"/>
          <w:lang w:val="en-GB"/>
        </w:rPr>
      </w:pP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Tahoma">
    <w:altName w:val="Tahoma"/>
    <w:panose1 w:val="020b0604030005040204"/>
    <w:charset w:val="00"/>
    <w:family w:val="swiss"/>
    <w:pitch w:val="variable"/>
    <w:sig w:usb0="E1002EFF" w:usb1="C000605B" w:usb2="00000029" w:usb3="00000000" w:csb0="000101FF" w:csb1="00000000"/>
  </w:font>
  <w:font w:name="Cambria Math">
    <w:altName w:val="Cambria Math"/>
    <w:panose1 w:val="02040503050004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B2C81A1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E984EF86"/>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5F84C524"/>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3">
    <w:nsid w:val="00000003"/>
    <w:multiLevelType w:val="multilevel"/>
    <w:tmpl w:val="1AFC7AA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multilevel"/>
    <w:tmpl w:val="D6EA78A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
    <w:nsid w:val="00000005"/>
    <w:multiLevelType w:val="multilevel"/>
    <w:tmpl w:val="B5FE888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6">
    <w:nsid w:val="00000006"/>
    <w:multiLevelType w:val="multilevel"/>
    <w:tmpl w:val="685E767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7">
    <w:nsid w:val="00000007"/>
    <w:multiLevelType w:val="multilevel"/>
    <w:tmpl w:val="5FF240A2"/>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8">
    <w:nsid w:val="00000008"/>
    <w:multiLevelType w:val="multilevel"/>
    <w:tmpl w:val="0990174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9">
    <w:nsid w:val="00000009"/>
    <w:multiLevelType w:val="multilevel"/>
    <w:tmpl w:val="773EE49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0">
    <w:nsid w:val="0000000A"/>
    <w:multiLevelType w:val="multilevel"/>
    <w:tmpl w:val="CC264B5C"/>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1">
    <w:nsid w:val="0000000B"/>
    <w:multiLevelType w:val="multilevel"/>
    <w:tmpl w:val="8C983FFE"/>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2">
    <w:nsid w:val="0000000C"/>
    <w:multiLevelType w:val="multilevel"/>
    <w:tmpl w:val="2EDACA7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3">
    <w:nsid w:val="0000000D"/>
    <w:multiLevelType w:val="multilevel"/>
    <w:tmpl w:val="D73EFEC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11"/>
  </w:num>
  <w:num w:numId="2">
    <w:abstractNumId w:val="0"/>
  </w:num>
  <w:num w:numId="3">
    <w:abstractNumId w:val="13"/>
  </w:num>
  <w:num w:numId="4">
    <w:abstractNumId w:val="2"/>
  </w:num>
  <w:num w:numId="5">
    <w:abstractNumId w:val="8"/>
  </w:num>
  <w:num w:numId="6">
    <w:abstractNumId w:val="3"/>
  </w:num>
  <w:num w:numId="7">
    <w:abstractNumId w:val="4"/>
  </w:num>
  <w:num w:numId="8">
    <w:abstractNumId w:val="1"/>
  </w:num>
  <w:num w:numId="9">
    <w:abstractNumId w:val="9"/>
  </w:num>
  <w:num w:numId="10">
    <w:abstractNumId w:val="12"/>
  </w:num>
  <w:num w:numId="11">
    <w:abstractNumId w:val="10"/>
  </w:num>
  <w:num w:numId="12">
    <w:abstractNumId w:val="6"/>
  </w:num>
  <w:num w:numId="13">
    <w:abstractNumId w:val="7"/>
  </w:num>
  <w:num w:numId="14">
    <w:abstractNumId w:val="5"/>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4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Calibri" w:hAnsi="Calibri"/>
        <w:sz w:val="22"/>
        <w:szCs w:val="22"/>
        <w:lang w:val="en-US" w:bidi="ar-SA" w:eastAsia="en-US"/>
      </w:rPr>
    </w:rPrDefault>
    <w:pPrDefault>
      <w:pPr>
        <w:spacing w:after="200" w:lineRule="auto" w:line="276"/>
      </w:pPr>
    </w:pPrDefault>
  </w:docDefaults>
  <w:style w:type="paragraph" w:default="1" w:styleId="style0">
    <w:name w:val="Normal"/>
    <w:next w:val="style0"/>
    <w:qFormat/>
    <w:pPr/>
  </w:style>
  <w:style w:type="paragraph" w:styleId="style1">
    <w:name w:val="heading 1"/>
    <w:basedOn w:val="style0"/>
    <w:next w:val="style0"/>
    <w:link w:val="style4099"/>
    <w:qFormat/>
    <w:uiPriority w:val="9"/>
    <w:pPr>
      <w:keepNext/>
      <w:keepLines/>
      <w:spacing w:before="480" w:after="0"/>
      <w:outlineLvl w:val="0"/>
    </w:pPr>
    <w:rPr>
      <w:rFonts w:ascii="Cambria" w:cs="Times New Roman" w:eastAsia="宋体" w:hAnsi="Cambria"/>
      <w:b/>
      <w:bCs/>
      <w:color w:val="365f91"/>
      <w:sz w:val="28"/>
      <w:szCs w:val="28"/>
    </w:rPr>
  </w:style>
  <w:style w:type="paragraph" w:styleId="style2">
    <w:name w:val="heading 2"/>
    <w:basedOn w:val="style0"/>
    <w:next w:val="style2"/>
    <w:link w:val="style4097"/>
    <w:qFormat/>
    <w:uiPriority w:val="9"/>
    <w:pPr>
      <w:spacing w:before="100" w:beforeAutospacing="true" w:after="100" w:afterAutospacing="true" w:lineRule="auto" w:line="240"/>
      <w:outlineLvl w:val="1"/>
    </w:pPr>
    <w:rPr>
      <w:rFonts w:ascii="Times New Roman" w:cs="Times New Roman" w:eastAsia="Times New Roman" w:hAnsi="Times New Roman"/>
      <w:b/>
      <w:bCs/>
      <w:sz w:val="36"/>
      <w:szCs w:val="36"/>
    </w:rPr>
  </w:style>
  <w:style w:type="paragraph" w:styleId="style3">
    <w:name w:val="heading 3"/>
    <w:basedOn w:val="style0"/>
    <w:next w:val="style3"/>
    <w:link w:val="style4098"/>
    <w:qFormat/>
    <w:uiPriority w:val="9"/>
    <w:pPr>
      <w:spacing w:before="100" w:beforeAutospacing="true" w:after="100" w:afterAutospacing="true" w:lineRule="auto" w:line="240"/>
      <w:outlineLvl w:val="2"/>
    </w:pPr>
    <w:rPr>
      <w:rFonts w:ascii="Times New Roman" w:cs="Times New Roman" w:eastAsia="Times New Roman" w:hAnsi="Times New Roman"/>
      <w:b/>
      <w:bCs/>
      <w:sz w:val="27"/>
      <w:szCs w:val="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2 Char_9c1fec95-6753-4f31-a8d0-c2f2b4e73870"/>
    <w:basedOn w:val="style65"/>
    <w:next w:val="style4097"/>
    <w:link w:val="style2"/>
    <w:uiPriority w:val="9"/>
    <w:rPr>
      <w:rFonts w:ascii="Times New Roman" w:cs="Times New Roman" w:eastAsia="Times New Roman" w:hAnsi="Times New Roman"/>
      <w:b/>
      <w:bCs/>
      <w:sz w:val="36"/>
      <w:szCs w:val="36"/>
    </w:rPr>
  </w:style>
  <w:style w:type="character" w:customStyle="1" w:styleId="style4098">
    <w:name w:val="Heading 3 Char_97ef0e88-6fe2-429f-a86b-3bcaaccf972c"/>
    <w:basedOn w:val="style65"/>
    <w:next w:val="style4098"/>
    <w:link w:val="style3"/>
    <w:uiPriority w:val="9"/>
    <w:rPr>
      <w:rFonts w:ascii="Times New Roman" w:cs="Times New Roman" w:eastAsia="Times New Roman" w:hAnsi="Times New Roman"/>
      <w:b/>
      <w:bCs/>
      <w:sz w:val="27"/>
      <w:szCs w:val="27"/>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rPr>
  </w:style>
  <w:style w:type="character" w:styleId="style87">
    <w:name w:val="Strong"/>
    <w:basedOn w:val="style65"/>
    <w:next w:val="style87"/>
    <w:qFormat/>
    <w:uiPriority w:val="22"/>
    <w:rPr>
      <w:b/>
      <w:bCs/>
    </w:rPr>
  </w:style>
  <w:style w:type="character" w:customStyle="1" w:styleId="style4099">
    <w:name w:val="Heading 1 Char_ae5da46f-fb8a-4eae-bd88-addb51ad2714"/>
    <w:basedOn w:val="style65"/>
    <w:next w:val="style4099"/>
    <w:link w:val="style1"/>
    <w:uiPriority w:val="9"/>
    <w:rPr>
      <w:rFonts w:ascii="Cambria" w:cs="Times New Roman" w:eastAsia="宋体" w:hAnsi="Cambria"/>
      <w:b/>
      <w:bCs/>
      <w:color w:val="365f91"/>
      <w:sz w:val="28"/>
      <w:szCs w:val="28"/>
    </w:rPr>
  </w:style>
  <w:style w:type="character" w:styleId="style88">
    <w:name w:val="Emphasis"/>
    <w:basedOn w:val="style65"/>
    <w:next w:val="style88"/>
    <w:qFormat/>
    <w:uiPriority w:val="20"/>
    <w:rPr>
      <w:i/>
      <w:iCs/>
    </w:rPr>
  </w:style>
  <w:style w:type="paragraph" w:styleId="style153">
    <w:name w:val="Balloon Text"/>
    <w:basedOn w:val="style0"/>
    <w:next w:val="style153"/>
    <w:link w:val="style4100"/>
    <w:uiPriority w:val="99"/>
    <w:pPr>
      <w:spacing w:after="0" w:lineRule="auto" w:line="240"/>
    </w:pPr>
    <w:rPr>
      <w:rFonts w:ascii="Tahoma" w:cs="Tahoma" w:hAnsi="Tahoma"/>
      <w:sz w:val="16"/>
      <w:szCs w:val="16"/>
    </w:rPr>
  </w:style>
  <w:style w:type="character" w:customStyle="1" w:styleId="style4100">
    <w:name w:val="Balloon Text Char"/>
    <w:basedOn w:val="style65"/>
    <w:next w:val="style4100"/>
    <w:link w:val="style153"/>
    <w:uiPriority w:val="99"/>
    <w:rPr>
      <w:rFonts w:ascii="Tahoma" w:cs="Tahoma" w:hAnsi="Tahoma"/>
      <w:sz w:val="16"/>
      <w:szCs w:val="16"/>
    </w:rPr>
  </w:style>
  <w:style w:type="paragraph" w:styleId="style34">
    <w:name w:val="caption"/>
    <w:basedOn w:val="style0"/>
    <w:next w:val="style0"/>
    <w:qFormat/>
    <w:uiPriority w:val="35"/>
    <w:pPr>
      <w:spacing w:lineRule="auto" w:line="240"/>
    </w:pPr>
    <w:rPr>
      <w:b/>
      <w:bCs/>
      <w:color w:val="4f81bd"/>
      <w:sz w:val="18"/>
      <w:szCs w:val="18"/>
    </w:rPr>
  </w:style>
  <w:style w:type="paragraph" w:styleId="style266">
    <w:name w:val="TOC Heading"/>
    <w:basedOn w:val="style1"/>
    <w:next w:val="style0"/>
    <w:qFormat/>
    <w:uiPriority w:val="39"/>
    <w:pPr>
      <w:outlineLvl w:val="9"/>
    </w:pPr>
    <w:rPr/>
  </w:style>
  <w:style w:type="paragraph" w:styleId="style20">
    <w:name w:val="toc 2"/>
    <w:basedOn w:val="style0"/>
    <w:next w:val="style0"/>
    <w:uiPriority w:val="39"/>
    <w:pPr>
      <w:spacing w:after="100"/>
      <w:ind w:left="220"/>
    </w:pPr>
    <w:rPr/>
  </w:style>
  <w:style w:type="paragraph" w:styleId="style21">
    <w:name w:val="toc 3"/>
    <w:basedOn w:val="style0"/>
    <w:next w:val="style0"/>
    <w:uiPriority w:val="39"/>
    <w:pPr>
      <w:spacing w:after="100"/>
      <w:ind w:left="44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1" Type="http://schemas.openxmlformats.org/officeDocument/2006/relationships/fontTable" Target="fontTable.xml"/><Relationship Id="rId10" Type="http://schemas.openxmlformats.org/officeDocument/2006/relationships/styles" Target="styles.xml"/><Relationship Id="rId13" Type="http://schemas.microsoft.com/office/2007/relationships/diagramDrawing" Target="diagrams/drawing1.xml"/><Relationship Id="rId12"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diagramColors" Target="diagrams/colors1.xml"/><Relationship Id="rId15" Type="http://schemas.openxmlformats.org/officeDocument/2006/relationships/customXml" Target="../customXml/item1.xml"/><Relationship Id="rId14" Type="http://schemas.openxmlformats.org/officeDocument/2006/relationships/theme" Target="theme/theme1.xml"/><Relationship Id="rId6" Type="http://schemas.openxmlformats.org/officeDocument/2006/relationships/diagramData" Target="diagrams/data1.xml"/><Relationship Id="rId7" Type="http://schemas.openxmlformats.org/officeDocument/2006/relationships/diagramLayout" Target="diagrams/layout1.xml"/><Relationship Id="rId8"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18D8061-DA86-4A17-A611-6813AF17916C}" type="doc">
      <dgm:prSet loTypeId="urn:microsoft.com/office/officeart/2005/8/layout/radial4" loCatId="relationship" qsTypeId="urn:microsoft.com/office/officeart/2005/8/quickstyle/simple1" qsCatId="simple" csTypeId="urn:microsoft.com/office/officeart/2005/8/colors/accent1_2" csCatId="accent1" phldr="1"/>
      <dgm:spPr/>
      <dgm:t>
        <a:bodyPr/>
        <a:lstStyle/>
        <a:p>
          <a:endParaRPr lang="en-US"/>
        </a:p>
      </dgm:t>
    </dgm:pt>
    <dgm:pt modelId="{2E68734E-E70B-41AB-B121-BB2EC09B608F}">
      <dgm:prSet phldrT="[Text]"/>
      <dgm:spPr/>
      <dgm:t>
        <a:bodyPr/>
        <a:lstStyle/>
        <a:p>
          <a:r>
            <a:rPr lang="en-US"/>
            <a:t>Hybrid working Practices (IV)</a:t>
          </a:r>
        </a:p>
      </dgm:t>
    </dgm:pt>
    <dgm:pt modelId="{B281B4FE-283A-4A2A-B5FC-18F1FDAD0852}" type="parTrans" cxnId="{3DD62776-8165-4D24-B632-32A553FE3C78}">
      <dgm:prSet/>
      <dgm:spPr/>
      <dgm:t>
        <a:bodyPr/>
        <a:lstStyle/>
        <a:p>
          <a:endParaRPr lang="en-US"/>
        </a:p>
      </dgm:t>
    </dgm:pt>
    <dgm:pt modelId="{2144D319-6EB1-45DD-A47B-B22871AA2BFF}" type="sibTrans" cxnId="{3DD62776-8165-4D24-B632-32A553FE3C78}">
      <dgm:prSet/>
      <dgm:spPr/>
      <dgm:t>
        <a:bodyPr/>
        <a:lstStyle/>
        <a:p>
          <a:endParaRPr lang="en-US"/>
        </a:p>
      </dgm:t>
    </dgm:pt>
    <dgm:pt modelId="{489CA7B9-13A6-4C23-9614-266C4E705C1E}">
      <dgm:prSet phldrT="[Text]"/>
      <dgm:spPr/>
      <dgm:t>
        <a:bodyPr/>
        <a:lstStyle/>
        <a:p>
          <a:r>
            <a:rPr lang="en-US"/>
            <a:t>Employee Engagement (DV1)</a:t>
          </a:r>
        </a:p>
      </dgm:t>
    </dgm:pt>
    <dgm:pt modelId="{EC6E1298-BA0D-4F21-9766-3C431386CA3A}" type="parTrans" cxnId="{3A934A7A-BBB9-4BBE-B578-F9D9805D02AF}">
      <dgm:prSet/>
      <dgm:spPr/>
      <dgm:t>
        <a:bodyPr/>
        <a:lstStyle/>
        <a:p>
          <a:endParaRPr lang="en-US"/>
        </a:p>
      </dgm:t>
    </dgm:pt>
    <dgm:pt modelId="{C5972A4E-189D-4985-A3CE-B4AF2BB0E3F7}" type="sibTrans" cxnId="{3A934A7A-BBB9-4BBE-B578-F9D9805D02AF}">
      <dgm:prSet/>
      <dgm:spPr/>
      <dgm:t>
        <a:bodyPr/>
        <a:lstStyle/>
        <a:p>
          <a:endParaRPr lang="en-US"/>
        </a:p>
      </dgm:t>
    </dgm:pt>
    <dgm:pt modelId="{BE68220A-13DA-4064-B7AB-2F71AAD64A34}">
      <dgm:prSet phldrT="[Text]"/>
      <dgm:spPr/>
      <dgm:t>
        <a:bodyPr/>
        <a:lstStyle/>
        <a:p>
          <a:r>
            <a:rPr lang="en-US"/>
            <a:t>Turnover Intention (DV2)</a:t>
          </a:r>
        </a:p>
      </dgm:t>
    </dgm:pt>
    <dgm:pt modelId="{43ACECB0-9EEF-441E-90EF-E3C2A38872E3}" type="parTrans" cxnId="{21A1CF10-5785-4DD9-A32F-980CD596CA1E}">
      <dgm:prSet/>
      <dgm:spPr/>
      <dgm:t>
        <a:bodyPr/>
        <a:lstStyle/>
        <a:p>
          <a:endParaRPr lang="en-US"/>
        </a:p>
      </dgm:t>
    </dgm:pt>
    <dgm:pt modelId="{00915BFF-37CD-4687-A9C8-A1EAFC3FE876}" type="sibTrans" cxnId="{21A1CF10-5785-4DD9-A32F-980CD596CA1E}">
      <dgm:prSet/>
      <dgm:spPr/>
      <dgm:t>
        <a:bodyPr/>
        <a:lstStyle/>
        <a:p>
          <a:endParaRPr lang="en-US"/>
        </a:p>
      </dgm:t>
    </dgm:pt>
    <dgm:pt modelId="{479ED44F-43BC-4EAD-99D1-915EEC060A3F}" type="pres">
      <dgm:prSet presAssocID="{D18D8061-DA86-4A17-A611-6813AF17916C}" presName="cycle" presStyleCnt="0">
        <dgm:presLayoutVars>
          <dgm:chMax val="1"/>
          <dgm:dir/>
          <dgm:animLvl val="ctr"/>
          <dgm:resizeHandles val="exact"/>
        </dgm:presLayoutVars>
      </dgm:prSet>
      <dgm:spPr/>
      <dgm:t>
        <a:bodyPr/>
        <a:lstStyle/>
        <a:p>
          <a:endParaRPr lang="en-US"/>
        </a:p>
      </dgm:t>
    </dgm:pt>
    <dgm:pt modelId="{68F29AC2-5DA9-4CBA-B801-DB05290A05ED}" type="pres">
      <dgm:prSet presAssocID="{2E68734E-E70B-41AB-B121-BB2EC09B608F}" presName="centerShape" presStyleLbl="node0" presStyleIdx="0" presStyleCnt="1"/>
      <dgm:spPr/>
      <dgm:t>
        <a:bodyPr/>
        <a:lstStyle/>
        <a:p>
          <a:endParaRPr lang="en-US"/>
        </a:p>
      </dgm:t>
    </dgm:pt>
    <dgm:pt modelId="{B30A2E1D-165C-43CF-A1EF-9F233E58079D}" type="pres">
      <dgm:prSet presAssocID="{EC6E1298-BA0D-4F21-9766-3C431386CA3A}" presName="parTrans" presStyleLbl="bgSibTrans2D1" presStyleIdx="0" presStyleCnt="2"/>
      <dgm:spPr/>
      <dgm:t>
        <a:bodyPr/>
        <a:lstStyle/>
        <a:p>
          <a:endParaRPr lang="en-US"/>
        </a:p>
      </dgm:t>
    </dgm:pt>
    <dgm:pt modelId="{6BBAFA1E-B793-48C1-838F-E776FC6B28D2}" type="pres">
      <dgm:prSet presAssocID="{489CA7B9-13A6-4C23-9614-266C4E705C1E}" presName="node" presStyleLbl="node1" presStyleIdx="0" presStyleCnt="2">
        <dgm:presLayoutVars>
          <dgm:bulletEnabled val="1"/>
        </dgm:presLayoutVars>
      </dgm:prSet>
      <dgm:spPr/>
      <dgm:t>
        <a:bodyPr/>
        <a:lstStyle/>
        <a:p>
          <a:endParaRPr lang="en-US"/>
        </a:p>
      </dgm:t>
    </dgm:pt>
    <dgm:pt modelId="{AEB3682D-0213-4F7B-9B64-C9A5535BC176}" type="pres">
      <dgm:prSet presAssocID="{43ACECB0-9EEF-441E-90EF-E3C2A38872E3}" presName="parTrans" presStyleLbl="bgSibTrans2D1" presStyleIdx="1" presStyleCnt="2"/>
      <dgm:spPr/>
      <dgm:t>
        <a:bodyPr/>
        <a:lstStyle/>
        <a:p>
          <a:endParaRPr lang="en-US"/>
        </a:p>
      </dgm:t>
    </dgm:pt>
    <dgm:pt modelId="{5BBA252A-178A-4377-B9B9-B5288288C556}" type="pres">
      <dgm:prSet presAssocID="{BE68220A-13DA-4064-B7AB-2F71AAD64A34}" presName="node" presStyleLbl="node1" presStyleIdx="1" presStyleCnt="2">
        <dgm:presLayoutVars>
          <dgm:bulletEnabled val="1"/>
        </dgm:presLayoutVars>
      </dgm:prSet>
      <dgm:spPr/>
      <dgm:t>
        <a:bodyPr/>
        <a:lstStyle/>
        <a:p>
          <a:endParaRPr lang="en-US"/>
        </a:p>
      </dgm:t>
    </dgm:pt>
  </dgm:ptLst>
  <dgm:cxnLst>
    <dgm:cxn modelId="{3A934A7A-BBB9-4BBE-B578-F9D9805D02AF}" srcId="{2E68734E-E70B-41AB-B121-BB2EC09B608F}" destId="{489CA7B9-13A6-4C23-9614-266C4E705C1E}" srcOrd="0" destOrd="0" parTransId="{EC6E1298-BA0D-4F21-9766-3C431386CA3A}" sibTransId="{C5972A4E-189D-4985-A3CE-B4AF2BB0E3F7}"/>
    <dgm:cxn modelId="{77033E27-33AE-43CA-AC4B-43FAE67FFFD4}" type="presOf" srcId="{489CA7B9-13A6-4C23-9614-266C4E705C1E}" destId="{6BBAFA1E-B793-48C1-838F-E776FC6B28D2}" srcOrd="0" destOrd="0" presId="urn:microsoft.com/office/officeart/2005/8/layout/radial4"/>
    <dgm:cxn modelId="{7B6E8D91-5988-4CB3-8288-873F4A2BDC56}" type="presOf" srcId="{BE68220A-13DA-4064-B7AB-2F71AAD64A34}" destId="{5BBA252A-178A-4377-B9B9-B5288288C556}" srcOrd="0" destOrd="0" presId="urn:microsoft.com/office/officeart/2005/8/layout/radial4"/>
    <dgm:cxn modelId="{21A1CF10-5785-4DD9-A32F-980CD596CA1E}" srcId="{2E68734E-E70B-41AB-B121-BB2EC09B608F}" destId="{BE68220A-13DA-4064-B7AB-2F71AAD64A34}" srcOrd="1" destOrd="0" parTransId="{43ACECB0-9EEF-441E-90EF-E3C2A38872E3}" sibTransId="{00915BFF-37CD-4687-A9C8-A1EAFC3FE876}"/>
    <dgm:cxn modelId="{B28D4284-962C-4ECE-BA0D-EE1B037A7E7C}" type="presOf" srcId="{D18D8061-DA86-4A17-A611-6813AF17916C}" destId="{479ED44F-43BC-4EAD-99D1-915EEC060A3F}" srcOrd="0" destOrd="0" presId="urn:microsoft.com/office/officeart/2005/8/layout/radial4"/>
    <dgm:cxn modelId="{170B8C25-7CD4-4989-852F-755503C8A45E}" type="presOf" srcId="{2E68734E-E70B-41AB-B121-BB2EC09B608F}" destId="{68F29AC2-5DA9-4CBA-B801-DB05290A05ED}" srcOrd="0" destOrd="0" presId="urn:microsoft.com/office/officeart/2005/8/layout/radial4"/>
    <dgm:cxn modelId="{874FA90D-9770-4E87-BBB4-1C9A6A64FF02}" type="presOf" srcId="{EC6E1298-BA0D-4F21-9766-3C431386CA3A}" destId="{B30A2E1D-165C-43CF-A1EF-9F233E58079D}" srcOrd="0" destOrd="0" presId="urn:microsoft.com/office/officeart/2005/8/layout/radial4"/>
    <dgm:cxn modelId="{E8D97FBC-8009-45AF-994C-383CC529A269}" type="presOf" srcId="{43ACECB0-9EEF-441E-90EF-E3C2A38872E3}" destId="{AEB3682D-0213-4F7B-9B64-C9A5535BC176}" srcOrd="0" destOrd="0" presId="urn:microsoft.com/office/officeart/2005/8/layout/radial4"/>
    <dgm:cxn modelId="{3DD62776-8165-4D24-B632-32A553FE3C78}" srcId="{D18D8061-DA86-4A17-A611-6813AF17916C}" destId="{2E68734E-E70B-41AB-B121-BB2EC09B608F}" srcOrd="0" destOrd="0" parTransId="{B281B4FE-283A-4A2A-B5FC-18F1FDAD0852}" sibTransId="{2144D319-6EB1-45DD-A47B-B22871AA2BFF}"/>
    <dgm:cxn modelId="{934B56D8-18B1-42AF-A616-60F7DB1112E4}" type="presParOf" srcId="{479ED44F-43BC-4EAD-99D1-915EEC060A3F}" destId="{68F29AC2-5DA9-4CBA-B801-DB05290A05ED}" srcOrd="0" destOrd="0" presId="urn:microsoft.com/office/officeart/2005/8/layout/radial4"/>
    <dgm:cxn modelId="{CD4B6EE3-8363-47B3-8C65-C0E9DCB2FAA6}" type="presParOf" srcId="{479ED44F-43BC-4EAD-99D1-915EEC060A3F}" destId="{B30A2E1D-165C-43CF-A1EF-9F233E58079D}" srcOrd="1" destOrd="0" presId="urn:microsoft.com/office/officeart/2005/8/layout/radial4"/>
    <dgm:cxn modelId="{B8A5231F-FEF5-4649-B1BA-532F0F8A14F8}" type="presParOf" srcId="{479ED44F-43BC-4EAD-99D1-915EEC060A3F}" destId="{6BBAFA1E-B793-48C1-838F-E776FC6B28D2}" srcOrd="2" destOrd="0" presId="urn:microsoft.com/office/officeart/2005/8/layout/radial4"/>
    <dgm:cxn modelId="{B4C892F7-9426-4E31-8165-69B336DC0648}" type="presParOf" srcId="{479ED44F-43BC-4EAD-99D1-915EEC060A3F}" destId="{AEB3682D-0213-4F7B-9B64-C9A5535BC176}" srcOrd="3" destOrd="0" presId="urn:microsoft.com/office/officeart/2005/8/layout/radial4"/>
    <dgm:cxn modelId="{ECF03626-FC89-4845-8E13-7AC5213F36A3}" type="presParOf" srcId="{479ED44F-43BC-4EAD-99D1-915EEC060A3F}" destId="{5BBA252A-178A-4377-B9B9-B5288288C556}" srcOrd="4" destOrd="0" presId="urn:microsoft.com/office/officeart/2005/8/layout/radial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F29AC2-5DA9-4CBA-B801-DB05290A05ED}">
      <dsp:nvSpPr>
        <dsp:cNvPr id="0" name=""/>
        <dsp:cNvSpPr/>
      </dsp:nvSpPr>
      <dsp:spPr>
        <a:xfrm>
          <a:off x="1877377" y="1301954"/>
          <a:ext cx="1731645" cy="173164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lvl="0" algn="ctr" defTabSz="933450">
            <a:lnSpc>
              <a:spcPct val="90000"/>
            </a:lnSpc>
            <a:spcBef>
              <a:spcPct val="0"/>
            </a:spcBef>
            <a:spcAft>
              <a:spcPct val="35000"/>
            </a:spcAft>
          </a:pPr>
          <a:r>
            <a:rPr lang="en-US" sz="2100" kern="1200"/>
            <a:t>Hybrid working Practices (IV)</a:t>
          </a:r>
        </a:p>
      </dsp:txBody>
      <dsp:txXfrm>
        <a:off x="2130971" y="1555548"/>
        <a:ext cx="1224457" cy="1224457"/>
      </dsp:txXfrm>
    </dsp:sp>
    <dsp:sp modelId="{B30A2E1D-165C-43CF-A1EF-9F233E58079D}">
      <dsp:nvSpPr>
        <dsp:cNvPr id="0" name=""/>
        <dsp:cNvSpPr/>
      </dsp:nvSpPr>
      <dsp:spPr>
        <a:xfrm rot="12900000">
          <a:off x="699180" y="977959"/>
          <a:ext cx="1394386" cy="493518"/>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BBAFA1E-B793-48C1-838F-E776FC6B28D2}">
      <dsp:nvSpPr>
        <dsp:cNvPr id="0" name=""/>
        <dsp:cNvSpPr/>
      </dsp:nvSpPr>
      <dsp:spPr>
        <a:xfrm>
          <a:off x="2735" y="166800"/>
          <a:ext cx="1645062" cy="13160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3815" tIns="43815" rIns="43815" bIns="43815" numCol="1" spcCol="1270" anchor="ctr" anchorCtr="0">
          <a:noAutofit/>
        </a:bodyPr>
        <a:lstStyle/>
        <a:p>
          <a:pPr lvl="0" algn="ctr" defTabSz="1022350">
            <a:lnSpc>
              <a:spcPct val="90000"/>
            </a:lnSpc>
            <a:spcBef>
              <a:spcPct val="0"/>
            </a:spcBef>
            <a:spcAft>
              <a:spcPct val="35000"/>
            </a:spcAft>
          </a:pPr>
          <a:r>
            <a:rPr lang="en-US" sz="2300" kern="1200"/>
            <a:t>Employee Engagement (DV1)</a:t>
          </a:r>
        </a:p>
      </dsp:txBody>
      <dsp:txXfrm>
        <a:off x="41281" y="205346"/>
        <a:ext cx="1567970" cy="1238958"/>
      </dsp:txXfrm>
    </dsp:sp>
    <dsp:sp modelId="{AEB3682D-0213-4F7B-9B64-C9A5535BC176}">
      <dsp:nvSpPr>
        <dsp:cNvPr id="0" name=""/>
        <dsp:cNvSpPr/>
      </dsp:nvSpPr>
      <dsp:spPr>
        <a:xfrm rot="19500000">
          <a:off x="3392832" y="977959"/>
          <a:ext cx="1394386" cy="493518"/>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BBA252A-178A-4377-B9B9-B5288288C556}">
      <dsp:nvSpPr>
        <dsp:cNvPr id="0" name=""/>
        <dsp:cNvSpPr/>
      </dsp:nvSpPr>
      <dsp:spPr>
        <a:xfrm>
          <a:off x="3838601" y="166800"/>
          <a:ext cx="1645062" cy="13160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3815" tIns="43815" rIns="43815" bIns="43815" numCol="1" spcCol="1270" anchor="ctr" anchorCtr="0">
          <a:noAutofit/>
        </a:bodyPr>
        <a:lstStyle/>
        <a:p>
          <a:pPr lvl="0" algn="ctr" defTabSz="1022350">
            <a:lnSpc>
              <a:spcPct val="90000"/>
            </a:lnSpc>
            <a:spcBef>
              <a:spcPct val="0"/>
            </a:spcBef>
            <a:spcAft>
              <a:spcPct val="35000"/>
            </a:spcAft>
          </a:pPr>
          <a:r>
            <a:rPr lang="en-US" sz="2300" kern="1200"/>
            <a:t>Turnover Intention (DV2)</a:t>
          </a:r>
        </a:p>
      </dsp:txBody>
      <dsp:txXfrm>
        <a:off x="3877147" y="205346"/>
        <a:ext cx="1567970" cy="1238958"/>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4EF1A2-0048-4634-B9F0-581C11059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1141</TotalTime>
  <Words>2883</Words>
  <Pages>15</Pages>
  <Characters>17880</Characters>
  <Application>WPS Office</Application>
  <DocSecurity>0</DocSecurity>
  <Paragraphs>123</Paragraphs>
  <ScaleCrop>false</ScaleCrop>
  <LinksUpToDate>false</LinksUpToDate>
  <CharactersWithSpaces>20658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2026-01-24T12:59:00Z</dcterms:created>
  <dc:creator>WPS Office</dc:creator>
  <lastModifiedBy>Infinix X6850</lastModifiedBy>
  <dcterms:modified xsi:type="dcterms:W3CDTF">2026-03-12T12:25:02Z</dcterms:modified>
  <revision>24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7e1d8c7b-4e4c-4a0d-a6f2-c7b5110acff0</vt:lpwstr>
  </property>
  <property fmtid="{D5CDD505-2E9C-101B-9397-08002B2CF9AE}" pid="3" name="ICV">
    <vt:lpwstr>59a885a3b584462ba4cb80359d9fb50c</vt:lpwstr>
  </property>
</Properties>
</file>