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830308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B18AB">
              <w:rPr>
                <w:rFonts w:ascii="Times New Roman" w:hAnsi="Times New Roman" w:cs="Times New Roman"/>
                <w:b/>
                <w:color w:val="auto"/>
                <w:sz w:val="48"/>
              </w:rPr>
              <w:t>Ffion Mai Howells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526FEB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B18AB">
              <w:rPr>
                <w:rFonts w:ascii="Times New Roman" w:hAnsi="Times New Roman" w:cs="Times New Roman"/>
                <w:b/>
                <w:color w:val="auto"/>
                <w:sz w:val="48"/>
              </w:rPr>
              <w:t xml:space="preserve">   </w:t>
            </w:r>
            <w:hyperlink r:id="rId12" w:history="1">
              <w:r w:rsidR="002B18AB" w:rsidRPr="00A67779">
                <w:rPr>
                  <w:rStyle w:val="Hyperlink"/>
                  <w:rFonts w:ascii="Times New Roman" w:hAnsi="Times New Roman" w:cs="Times New Roman"/>
                  <w:b/>
                  <w:sz w:val="48"/>
                </w:rPr>
                <w:t>FMHowells@carmarthenshire.gov.uk</w:t>
              </w:r>
            </w:hyperlink>
            <w:r w:rsidR="002B18AB">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43A3DAE" w:rsidR="0085230E" w:rsidRDefault="002B18A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1702897 </w:t>
            </w:r>
          </w:p>
          <w:p w14:paraId="09F1B41A" w14:textId="77777777" w:rsidR="002B18AB" w:rsidRPr="005D3F07" w:rsidRDefault="002B18AB"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r w:rsidR="002B18AB" w:rsidRPr="005D3F07" w14:paraId="4C818F4A" w14:textId="77777777" w:rsidTr="005D3F07">
        <w:tc>
          <w:tcPr>
            <w:tcW w:w="10368" w:type="dxa"/>
            <w:shd w:val="clear" w:color="auto" w:fill="auto"/>
          </w:tcPr>
          <w:p w14:paraId="558438BD" w14:textId="77777777" w:rsidR="002B18AB" w:rsidRDefault="002B18AB"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656E9326" w14:textId="73DEF67D" w:rsidR="00151DA6" w:rsidRPr="002B18AB" w:rsidRDefault="00151DA6" w:rsidP="002B18AB">
      <w:pPr>
        <w:rPr>
          <w:b/>
          <w:sz w:val="24"/>
          <w:szCs w:val="24"/>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394AD59A" w14:textId="77777777" w:rsidR="002B18AB" w:rsidRDefault="002B18AB" w:rsidP="002B18AB">
      <w:pPr>
        <w:spacing w:line="360" w:lineRule="auto"/>
        <w:ind w:hanging="720"/>
      </w:pPr>
      <w:r>
        <w:t xml:space="preserve">Age Cymru. (2024. Safeguarding older people in Wales from abuse and neglect. (online). Available at: </w:t>
      </w:r>
      <w:hyperlink r:id="rId13" w:history="1">
        <w:r>
          <w:rPr>
            <w:rStyle w:val="Hyperlink"/>
          </w:rPr>
          <w:t>Microsoft Word - FS78w - November 2024</w:t>
        </w:r>
      </w:hyperlink>
      <w:r>
        <w:t>. (Accessed: 13</w:t>
      </w:r>
      <w:r w:rsidRPr="006142AD">
        <w:rPr>
          <w:vertAlign w:val="superscript"/>
        </w:rPr>
        <w:t>th</w:t>
      </w:r>
      <w:r>
        <w:t xml:space="preserve"> June 2025). </w:t>
      </w:r>
    </w:p>
    <w:p w14:paraId="06F14160" w14:textId="77777777" w:rsidR="002B18AB" w:rsidRDefault="002B18AB" w:rsidP="002B18AB">
      <w:pPr>
        <w:spacing w:line="360" w:lineRule="auto"/>
        <w:ind w:hanging="720"/>
      </w:pPr>
      <w:r>
        <w:t xml:space="preserve">Appleton, J., &amp; Sidebotham, P. (2018). Safeguarding children and young people is everyone’s responsibility. Child abuse review, 27(6), pp 423-428. </w:t>
      </w:r>
    </w:p>
    <w:p w14:paraId="7065BDD7" w14:textId="77777777" w:rsidR="002B18AB" w:rsidRDefault="002B18AB" w:rsidP="002B18AB">
      <w:pPr>
        <w:spacing w:line="360" w:lineRule="auto"/>
        <w:ind w:hanging="720"/>
      </w:pPr>
      <w:r>
        <w:t>Banks, S. (2012). Ethics and values in social work. 4</w:t>
      </w:r>
      <w:r w:rsidRPr="00A25126">
        <w:rPr>
          <w:vertAlign w:val="superscript"/>
        </w:rPr>
        <w:t>th</w:t>
      </w:r>
      <w:r>
        <w:t xml:space="preserve"> ed. Basingstoke: Palgrave Macmillan. </w:t>
      </w:r>
    </w:p>
    <w:p w14:paraId="0A30C344" w14:textId="77777777" w:rsidR="002B18AB" w:rsidRDefault="002B18AB" w:rsidP="002B18AB">
      <w:pPr>
        <w:spacing w:line="360" w:lineRule="auto"/>
        <w:ind w:hanging="720"/>
      </w:pPr>
      <w:r>
        <w:t>Barker, R.L. (2014). The social work dictionary. 6</w:t>
      </w:r>
      <w:r w:rsidRPr="0065788C">
        <w:rPr>
          <w:vertAlign w:val="superscript"/>
        </w:rPr>
        <w:t>th</w:t>
      </w:r>
      <w:r>
        <w:t xml:space="preserve"> ed. Washington, DC: NASW press. </w:t>
      </w:r>
    </w:p>
    <w:p w14:paraId="0BBFB962" w14:textId="77777777" w:rsidR="002B18AB" w:rsidRDefault="002B18AB" w:rsidP="002B18AB">
      <w:pPr>
        <w:spacing w:line="360" w:lineRule="auto"/>
        <w:ind w:hanging="720"/>
      </w:pPr>
      <w:r>
        <w:t>Beckett, C., &amp; Maynard, A. (2005). Power in the helping professions. 2</w:t>
      </w:r>
      <w:r w:rsidRPr="0065788C">
        <w:rPr>
          <w:vertAlign w:val="superscript"/>
        </w:rPr>
        <w:t>nd</w:t>
      </w:r>
      <w:r>
        <w:t xml:space="preserve"> ed. Basingstoke: Palgrave Macmillan.</w:t>
      </w:r>
    </w:p>
    <w:p w14:paraId="5537A87C" w14:textId="77777777" w:rsidR="002B18AB" w:rsidRDefault="002B18AB" w:rsidP="002B18AB">
      <w:pPr>
        <w:spacing w:line="360" w:lineRule="auto"/>
        <w:ind w:hanging="720"/>
      </w:pPr>
      <w:r>
        <w:t xml:space="preserve">Beresford, P., Croft, S., &amp; Adshead, L. (2017). We don’t see her as a social worker: a service user study of the importance of the social workers relationship and humanity. British Journal of Social Work, 38(7), pp 1388-1407. </w:t>
      </w:r>
    </w:p>
    <w:p w14:paraId="53478C9D" w14:textId="77777777" w:rsidR="002B18AB" w:rsidRDefault="002B18AB" w:rsidP="002B18AB">
      <w:pPr>
        <w:spacing w:line="360" w:lineRule="auto"/>
        <w:ind w:hanging="720"/>
      </w:pPr>
      <w:r>
        <w:t xml:space="preserve">Bunn, A. (2013). Signs of safety in England: An NSPCC commissioned report on the signs of safety model in child protection. London: NSPCC. </w:t>
      </w:r>
    </w:p>
    <w:p w14:paraId="7AEA4EA1" w14:textId="77777777" w:rsidR="002B18AB" w:rsidRDefault="002B18AB" w:rsidP="002B18AB">
      <w:pPr>
        <w:spacing w:line="360" w:lineRule="auto"/>
        <w:ind w:hanging="720"/>
      </w:pPr>
      <w:r>
        <w:t>Carr, H., &amp; Goosey, D. (2021). Law for social workers. (16</w:t>
      </w:r>
      <w:r w:rsidRPr="006801C0">
        <w:rPr>
          <w:vertAlign w:val="superscript"/>
        </w:rPr>
        <w:t>th</w:t>
      </w:r>
      <w:r>
        <w:t xml:space="preserve"> ed). Oxford university press. </w:t>
      </w:r>
    </w:p>
    <w:p w14:paraId="09D77066" w14:textId="77777777" w:rsidR="002B18AB" w:rsidRDefault="002B18AB" w:rsidP="002B18AB">
      <w:pPr>
        <w:spacing w:line="360" w:lineRule="auto"/>
        <w:ind w:hanging="720"/>
      </w:pPr>
      <w:r>
        <w:t xml:space="preserve">Clements, L. (2019). Safeguarding. (online). Available at: </w:t>
      </w:r>
      <w:hyperlink r:id="rId14" w:history="1">
        <w:r>
          <w:rPr>
            <w:rStyle w:val="Hyperlink"/>
          </w:rPr>
          <w:t>Safeguarding – Luke Clements</w:t>
        </w:r>
      </w:hyperlink>
      <w:r>
        <w:t>. (Accessed: 15</w:t>
      </w:r>
      <w:r w:rsidRPr="006142AD">
        <w:rPr>
          <w:vertAlign w:val="superscript"/>
        </w:rPr>
        <w:t>th</w:t>
      </w:r>
      <w:r>
        <w:t xml:space="preserve"> June 2025). </w:t>
      </w:r>
    </w:p>
    <w:p w14:paraId="28FFC0EA" w14:textId="77777777" w:rsidR="002B18AB" w:rsidRDefault="002B18AB" w:rsidP="002B18AB">
      <w:pPr>
        <w:spacing w:line="360" w:lineRule="auto"/>
        <w:ind w:hanging="720"/>
      </w:pPr>
      <w:r>
        <w:t xml:space="preserve">Clements, L. (2025). The social services and wellbeing Wales Act 2014: an overview. (Online). Available at: </w:t>
      </w:r>
      <w:hyperlink r:id="rId15" w:history="1">
        <w:r>
          <w:rPr>
            <w:rStyle w:val="Hyperlink"/>
          </w:rPr>
          <w:t>Wales-SS-Well-being-Act-35-2022.pdf</w:t>
        </w:r>
      </w:hyperlink>
      <w:r>
        <w:t>. (Accessed: 15</w:t>
      </w:r>
      <w:r w:rsidRPr="006142AD">
        <w:rPr>
          <w:vertAlign w:val="superscript"/>
        </w:rPr>
        <w:t>th</w:t>
      </w:r>
      <w:r>
        <w:t xml:space="preserve"> June 2025). </w:t>
      </w:r>
    </w:p>
    <w:p w14:paraId="76988BE6" w14:textId="77777777" w:rsidR="002B18AB" w:rsidRDefault="002B18AB" w:rsidP="002B18AB">
      <w:pPr>
        <w:spacing w:line="360" w:lineRule="auto"/>
        <w:ind w:hanging="720"/>
      </w:pPr>
      <w:r>
        <w:t xml:space="preserve">Davies, E. (2009) Different worlds, different words. (online). Available at: </w:t>
      </w:r>
      <w:hyperlink r:id="rId16" w:history="1">
        <w:r>
          <w:rPr>
            <w:rStyle w:val="Hyperlink"/>
          </w:rPr>
          <w:t>Different-Words-Different-Worlds.pdf</w:t>
        </w:r>
      </w:hyperlink>
      <w:r>
        <w:t>. (Accessed: 11</w:t>
      </w:r>
      <w:r w:rsidRPr="00817859">
        <w:rPr>
          <w:vertAlign w:val="superscript"/>
        </w:rPr>
        <w:t>th</w:t>
      </w:r>
      <w:r>
        <w:t xml:space="preserve"> July 2025). </w:t>
      </w:r>
    </w:p>
    <w:p w14:paraId="553BEDEA" w14:textId="77777777" w:rsidR="002B18AB" w:rsidRDefault="002B18AB" w:rsidP="002B18AB">
      <w:pPr>
        <w:spacing w:line="360" w:lineRule="auto"/>
        <w:ind w:hanging="720"/>
      </w:pPr>
      <w:r>
        <w:t xml:space="preserve">Department for Education. (2018). Working together to safeguard Children. (online) Available at: </w:t>
      </w:r>
      <w:hyperlink r:id="rId17" w:history="1">
        <w:r w:rsidRPr="003E484B">
          <w:rPr>
            <w:rStyle w:val="Hyperlink"/>
          </w:rPr>
          <w:t>https://www.gov.uk/government/publications/working-together-to-safeguard-children</w:t>
        </w:r>
      </w:hyperlink>
      <w:r>
        <w:t>. (Accessed: 14</w:t>
      </w:r>
      <w:r w:rsidRPr="006801C0">
        <w:rPr>
          <w:vertAlign w:val="superscript"/>
        </w:rPr>
        <w:t>th</w:t>
      </w:r>
      <w:r>
        <w:t xml:space="preserve"> August 2025). </w:t>
      </w:r>
    </w:p>
    <w:p w14:paraId="7723117B" w14:textId="77777777" w:rsidR="002B18AB" w:rsidRDefault="002B18AB" w:rsidP="002B18AB">
      <w:pPr>
        <w:spacing w:line="360" w:lineRule="auto"/>
        <w:ind w:hanging="720"/>
      </w:pPr>
      <w:r>
        <w:t xml:space="preserve">Ferguson, H. (2017). How children become invisible in child protection work: findings, from research into day to day social work practice. British Journal of social work, 47(4), pp 1007-1023. </w:t>
      </w:r>
    </w:p>
    <w:p w14:paraId="176295F8" w14:textId="77777777" w:rsidR="002B18AB" w:rsidRDefault="002B18AB" w:rsidP="002B18AB">
      <w:pPr>
        <w:spacing w:line="360" w:lineRule="auto"/>
        <w:ind w:hanging="720"/>
      </w:pPr>
      <w:r>
        <w:t xml:space="preserve">Griffith, R. (2015) What is Gillick competence?. Human Vaccines and Immunotherapeutics, 30(12), pp 244-247. </w:t>
      </w:r>
    </w:p>
    <w:p w14:paraId="3C200F5B" w14:textId="77777777" w:rsidR="002B18AB" w:rsidRDefault="002B18AB" w:rsidP="002B18AB">
      <w:pPr>
        <w:spacing w:line="360" w:lineRule="auto"/>
        <w:ind w:hanging="720"/>
      </w:pPr>
      <w:r>
        <w:t>Harman, A., &amp; Sanderson, H. (2009). How person centred is active support?. Journal of intellectual and developmental disability 33(3), pp 271-273.</w:t>
      </w:r>
    </w:p>
    <w:p w14:paraId="34F9DBBE" w14:textId="77777777" w:rsidR="002B18AB" w:rsidRDefault="002B18AB" w:rsidP="002B18AB">
      <w:pPr>
        <w:spacing w:line="360" w:lineRule="auto"/>
        <w:ind w:hanging="720"/>
      </w:pPr>
      <w:r>
        <w:t xml:space="preserve">Henke, R.,  Shepherd, L., &amp; O’Callaghan, A. (2018). A practitioners guide: Basic legal principles. (Online) Available at: </w:t>
      </w:r>
      <w:hyperlink r:id="rId18" w:history="1">
        <w:r>
          <w:rPr>
            <w:rStyle w:val="Hyperlink"/>
          </w:rPr>
          <w:t>NISB-Practitioners-Guide-final.pdf</w:t>
        </w:r>
      </w:hyperlink>
      <w:r>
        <w:t>. (Accessed: 13</w:t>
      </w:r>
      <w:r w:rsidRPr="00350ED2">
        <w:rPr>
          <w:vertAlign w:val="superscript"/>
        </w:rPr>
        <w:t>th</w:t>
      </w:r>
      <w:r>
        <w:t xml:space="preserve"> June 2025). </w:t>
      </w:r>
    </w:p>
    <w:p w14:paraId="706FDF03" w14:textId="77777777" w:rsidR="002B18AB" w:rsidRDefault="002B18AB" w:rsidP="002B18AB">
      <w:pPr>
        <w:spacing w:line="360" w:lineRule="auto"/>
        <w:ind w:hanging="720"/>
      </w:pPr>
      <w:r>
        <w:lastRenderedPageBreak/>
        <w:t xml:space="preserve">Human Rights Act. (1998). The Human rights act 1998. (online) Available at: </w:t>
      </w:r>
      <w:hyperlink r:id="rId19" w:history="1">
        <w:r>
          <w:rPr>
            <w:rStyle w:val="Hyperlink"/>
          </w:rPr>
          <w:t>Human Rights Act 1998</w:t>
        </w:r>
      </w:hyperlink>
      <w:r>
        <w:t>. (Accessed: 8</w:t>
      </w:r>
      <w:r w:rsidRPr="00741EAA">
        <w:rPr>
          <w:vertAlign w:val="superscript"/>
        </w:rPr>
        <w:t>th</w:t>
      </w:r>
      <w:r>
        <w:t xml:space="preserve"> June). </w:t>
      </w:r>
    </w:p>
    <w:p w14:paraId="0ECB71E0" w14:textId="77777777" w:rsidR="002B18AB" w:rsidRDefault="002B18AB" w:rsidP="002B18AB">
      <w:pPr>
        <w:spacing w:line="360" w:lineRule="auto"/>
        <w:ind w:hanging="720"/>
      </w:pPr>
      <w:r>
        <w:t xml:space="preserve">Ingram, R.  (2013). Emotions, social work practice and supervision an uneasy alliance?. Journal of social work practice, 27(1), pp 5-19. </w:t>
      </w:r>
    </w:p>
    <w:p w14:paraId="2DDC548D" w14:textId="77777777" w:rsidR="002B18AB" w:rsidRDefault="002B18AB" w:rsidP="002B18AB">
      <w:pPr>
        <w:spacing w:line="360" w:lineRule="auto"/>
        <w:ind w:hanging="720"/>
      </w:pPr>
      <w:r>
        <w:t>Kadushin, A., &amp; Harkness, D. (2014). Supervision in social work. 5</w:t>
      </w:r>
      <w:r w:rsidRPr="00A25126">
        <w:rPr>
          <w:vertAlign w:val="superscript"/>
        </w:rPr>
        <w:t>th</w:t>
      </w:r>
      <w:r>
        <w:t xml:space="preserve"> ed. New York: Columbia university press. </w:t>
      </w:r>
    </w:p>
    <w:p w14:paraId="78A46535" w14:textId="77777777" w:rsidR="002B18AB" w:rsidRDefault="002B18AB" w:rsidP="002B18AB">
      <w:pPr>
        <w:spacing w:line="360" w:lineRule="auto"/>
        <w:ind w:hanging="720"/>
      </w:pPr>
      <w:r>
        <w:t xml:space="preserve">Krause, G., Johnson, E., &amp; Deerfield, K. (2024). Communicating with families in difficult situations: an evidence summary. Social Care Wales- Research, Date and Innovation. (online) Available at: </w:t>
      </w:r>
      <w:hyperlink r:id="rId20" w:history="1">
        <w:r>
          <w:rPr>
            <w:rStyle w:val="Hyperlink"/>
          </w:rPr>
          <w:t>Communicating with families in difficult situations: an evidence summary - Social Care Wales - Research, Data &amp; Innovation</w:t>
        </w:r>
      </w:hyperlink>
      <w:r>
        <w:t>. (Accessed: 15</w:t>
      </w:r>
      <w:r w:rsidRPr="0065788C">
        <w:rPr>
          <w:vertAlign w:val="superscript"/>
        </w:rPr>
        <w:t>th</w:t>
      </w:r>
      <w:r>
        <w:t xml:space="preserve"> August 2025). </w:t>
      </w:r>
    </w:p>
    <w:p w14:paraId="55CBA71A" w14:textId="77777777" w:rsidR="002B18AB" w:rsidRDefault="002B18AB" w:rsidP="002B18AB">
      <w:pPr>
        <w:spacing w:line="360" w:lineRule="auto"/>
        <w:ind w:hanging="720"/>
      </w:pPr>
      <w:r>
        <w:t xml:space="preserve">Laming, H. (2003). The Victoria Climbie inquiry: report of an inquiry by Lord Laming. London: The stationary office. </w:t>
      </w:r>
    </w:p>
    <w:p w14:paraId="00D66C3D" w14:textId="77777777" w:rsidR="002B18AB" w:rsidRDefault="002B18AB" w:rsidP="002B18AB">
      <w:pPr>
        <w:spacing w:line="360" w:lineRule="auto"/>
        <w:ind w:hanging="720"/>
      </w:pPr>
      <w:r>
        <w:t xml:space="preserve">Marshall, H., &amp; Sprung, S. (2018). The Mental Capacity Act: 10 years on. The Key learning for healthcare professionals. Nursing: Research and Reviews, 8, pp 29-38. </w:t>
      </w:r>
    </w:p>
    <w:p w14:paraId="3D0300D4" w14:textId="77777777" w:rsidR="002B18AB" w:rsidRDefault="002B18AB" w:rsidP="002B18AB">
      <w:pPr>
        <w:spacing w:line="360" w:lineRule="auto"/>
        <w:ind w:hanging="720"/>
      </w:pPr>
      <w:r>
        <w:t>McLeod, J. (2013). An introduction to counselling. 5</w:t>
      </w:r>
      <w:r w:rsidRPr="0065788C">
        <w:rPr>
          <w:vertAlign w:val="superscript"/>
        </w:rPr>
        <w:t>th</w:t>
      </w:r>
      <w:r>
        <w:t xml:space="preserve"> ed. Maidenhead: Oxford university Press. </w:t>
      </w:r>
    </w:p>
    <w:p w14:paraId="3743A659" w14:textId="77777777" w:rsidR="002B18AB" w:rsidRDefault="002B18AB" w:rsidP="002B18AB">
      <w:pPr>
        <w:spacing w:line="360" w:lineRule="auto"/>
        <w:ind w:hanging="720"/>
      </w:pPr>
      <w:r>
        <w:t xml:space="preserve">Mental Capcity Act. (2005). The mental capacity act 2005. (online) Available at: </w:t>
      </w:r>
      <w:hyperlink r:id="rId21" w:history="1">
        <w:r>
          <w:rPr>
            <w:rStyle w:val="Hyperlink"/>
          </w:rPr>
          <w:t>Mental Capacity Act 2005</w:t>
        </w:r>
      </w:hyperlink>
      <w:r>
        <w:t>. (Accessed: 5</w:t>
      </w:r>
      <w:r w:rsidRPr="00741EAA">
        <w:rPr>
          <w:vertAlign w:val="superscript"/>
        </w:rPr>
        <w:t>th</w:t>
      </w:r>
      <w:r>
        <w:t xml:space="preserve"> June 2025). </w:t>
      </w:r>
    </w:p>
    <w:p w14:paraId="395187C3" w14:textId="77777777" w:rsidR="002B18AB" w:rsidRDefault="002B18AB" w:rsidP="002B18AB">
      <w:pPr>
        <w:spacing w:line="360" w:lineRule="auto"/>
        <w:ind w:hanging="720"/>
      </w:pPr>
      <w:r>
        <w:t xml:space="preserve">More than Just words. (2023). More than just words: Annual report 2022- 2023. (online). Available at: </w:t>
      </w:r>
      <w:hyperlink r:id="rId22" w:history="1">
        <w:r>
          <w:rPr>
            <w:rStyle w:val="Hyperlink"/>
          </w:rPr>
          <w:t>More than just words: annual report 2022 to 2023 | GOV.WALES</w:t>
        </w:r>
      </w:hyperlink>
      <w:r>
        <w:t>. (Accessed: 10</w:t>
      </w:r>
      <w:r w:rsidRPr="00817859">
        <w:rPr>
          <w:vertAlign w:val="superscript"/>
        </w:rPr>
        <w:t>th</w:t>
      </w:r>
      <w:r>
        <w:t xml:space="preserve"> July 2025). </w:t>
      </w:r>
    </w:p>
    <w:p w14:paraId="07D21F1B" w14:textId="77777777" w:rsidR="002B18AB" w:rsidRDefault="002B18AB" w:rsidP="002B18AB">
      <w:pPr>
        <w:spacing w:line="360" w:lineRule="auto"/>
        <w:ind w:hanging="720"/>
      </w:pPr>
      <w:r>
        <w:t xml:space="preserve">Morris, K. (2018). ‘The language of social work: the impact of jargon on families’, journal of social work practice, 32(3), pp 243-256. DOI: 10.1080/02650533.2018.1468497. </w:t>
      </w:r>
    </w:p>
    <w:p w14:paraId="23000B6D" w14:textId="77777777" w:rsidR="002B18AB" w:rsidRDefault="002B18AB" w:rsidP="002B18AB">
      <w:pPr>
        <w:spacing w:line="360" w:lineRule="auto"/>
        <w:ind w:hanging="720"/>
      </w:pPr>
      <w:r>
        <w:t>Morrison, T. (2007). The social work skills workbook. 6</w:t>
      </w:r>
      <w:r w:rsidRPr="0065788C">
        <w:rPr>
          <w:vertAlign w:val="superscript"/>
        </w:rPr>
        <w:t>th</w:t>
      </w:r>
      <w:r>
        <w:t xml:space="preserve"> ed. Basingstoke: Palgrave Macmillan. </w:t>
      </w:r>
    </w:p>
    <w:p w14:paraId="53C32C6A" w14:textId="77777777" w:rsidR="002B18AB" w:rsidRDefault="002B18AB" w:rsidP="002B18AB">
      <w:pPr>
        <w:spacing w:line="360" w:lineRule="auto"/>
        <w:ind w:hanging="720"/>
      </w:pPr>
      <w:r>
        <w:t xml:space="preserve">Munro, E. (2011). The Munro review of child protection: final report: A child centred system. London: Department for Education. </w:t>
      </w:r>
    </w:p>
    <w:p w14:paraId="018BB3DB" w14:textId="77777777" w:rsidR="002B18AB" w:rsidRDefault="002B18AB" w:rsidP="002B18AB">
      <w:pPr>
        <w:spacing w:line="360" w:lineRule="auto"/>
        <w:ind w:hanging="720"/>
      </w:pPr>
      <w:r>
        <w:t xml:space="preserve">NHS Safeguarding. (2023). Child protection medical assessments. (Online) Available at: </w:t>
      </w:r>
      <w:hyperlink r:id="rId23" w:history="1">
        <w:r>
          <w:rPr>
            <w:rStyle w:val="Hyperlink"/>
          </w:rPr>
          <w:t>For parents and carers - Child protection medical assessment</w:t>
        </w:r>
      </w:hyperlink>
      <w:r>
        <w:t>. (Accessed: 28</w:t>
      </w:r>
      <w:r w:rsidRPr="006801C0">
        <w:rPr>
          <w:vertAlign w:val="superscript"/>
        </w:rPr>
        <w:t>th</w:t>
      </w:r>
      <w:r>
        <w:t xml:space="preserve"> August 2025). </w:t>
      </w:r>
    </w:p>
    <w:p w14:paraId="677F87C3" w14:textId="77777777" w:rsidR="002B18AB" w:rsidRDefault="002B18AB" w:rsidP="002B18AB">
      <w:pPr>
        <w:spacing w:line="360" w:lineRule="auto"/>
        <w:ind w:hanging="720"/>
      </w:pPr>
      <w:r>
        <w:t xml:space="preserve">NHS. (2024). Mental Capacity act- Social care support and guidance. (online) Available at: </w:t>
      </w:r>
      <w:hyperlink r:id="rId24" w:history="1">
        <w:r>
          <w:rPr>
            <w:rStyle w:val="Hyperlink"/>
          </w:rPr>
          <w:t>Mental Capacity Act - Social care and support guide - NHS</w:t>
        </w:r>
      </w:hyperlink>
      <w:r>
        <w:t>. (Accessed: 15</w:t>
      </w:r>
      <w:r w:rsidRPr="006142AD">
        <w:rPr>
          <w:vertAlign w:val="superscript"/>
        </w:rPr>
        <w:t>th</w:t>
      </w:r>
      <w:r>
        <w:t xml:space="preserve"> June 2025). </w:t>
      </w:r>
    </w:p>
    <w:p w14:paraId="22882E51" w14:textId="77777777" w:rsidR="002B18AB" w:rsidRDefault="002B18AB" w:rsidP="002B18AB">
      <w:pPr>
        <w:spacing w:line="360" w:lineRule="auto"/>
        <w:ind w:hanging="720"/>
      </w:pPr>
      <w:r>
        <w:t xml:space="preserve">NSPCC. (2025). Gillick competence and Fraser guidelines. (online). Available at: </w:t>
      </w:r>
      <w:hyperlink r:id="rId25" w:history="1">
        <w:r>
          <w:rPr>
            <w:rStyle w:val="Hyperlink"/>
          </w:rPr>
          <w:t>Gillick competence and Fraser guidelines | NSPCC Learning</w:t>
        </w:r>
      </w:hyperlink>
      <w:r>
        <w:t>. (Accessed: 14</w:t>
      </w:r>
      <w:r w:rsidRPr="006142AD">
        <w:rPr>
          <w:vertAlign w:val="superscript"/>
        </w:rPr>
        <w:t>th</w:t>
      </w:r>
      <w:r>
        <w:t xml:space="preserve"> June 2025). </w:t>
      </w:r>
    </w:p>
    <w:p w14:paraId="5D659CA3" w14:textId="77777777" w:rsidR="002B18AB" w:rsidRDefault="002B18AB" w:rsidP="002B18AB">
      <w:pPr>
        <w:spacing w:line="360" w:lineRule="auto"/>
        <w:ind w:hanging="720"/>
      </w:pPr>
      <w:r>
        <w:t xml:space="preserve">O’Loghlin, M., &amp; O’Loghlin, S. (2016). Social work with children and families. London: Sage. </w:t>
      </w:r>
    </w:p>
    <w:p w14:paraId="1E36F06F" w14:textId="77777777" w:rsidR="002B18AB" w:rsidRDefault="002B18AB" w:rsidP="002B18AB">
      <w:pPr>
        <w:spacing w:line="360" w:lineRule="auto"/>
        <w:ind w:hanging="720"/>
      </w:pPr>
      <w:r>
        <w:t>Parton, N., Thorpe, D., &amp; Wattam, C. (2000). Child protection: contemporary themes and practice. 2</w:t>
      </w:r>
      <w:r w:rsidRPr="004D2380">
        <w:rPr>
          <w:vertAlign w:val="superscript"/>
        </w:rPr>
        <w:t>nd</w:t>
      </w:r>
      <w:r>
        <w:t xml:space="preserve"> ed. London: Routledge. </w:t>
      </w:r>
    </w:p>
    <w:p w14:paraId="3CB29649" w14:textId="77777777" w:rsidR="002B18AB" w:rsidRDefault="002B18AB" w:rsidP="002B18AB">
      <w:pPr>
        <w:spacing w:line="360" w:lineRule="auto"/>
        <w:ind w:hanging="720"/>
      </w:pPr>
      <w:r>
        <w:t>Payne, M. (2014). Modern social work theory. 4</w:t>
      </w:r>
      <w:r w:rsidRPr="00842BDD">
        <w:rPr>
          <w:vertAlign w:val="superscript"/>
        </w:rPr>
        <w:t>th</w:t>
      </w:r>
      <w:r>
        <w:t xml:space="preserve"> ed. Basingstoke: Palgrave Macmillan. </w:t>
      </w:r>
    </w:p>
    <w:p w14:paraId="2A3C3EB2" w14:textId="77777777" w:rsidR="002B18AB" w:rsidRDefault="002B18AB" w:rsidP="002B18AB">
      <w:pPr>
        <w:spacing w:line="360" w:lineRule="auto"/>
        <w:ind w:hanging="720"/>
      </w:pPr>
      <w:r>
        <w:t>Payne, M. (2020). Modern social work theory. 5</w:t>
      </w:r>
      <w:r w:rsidRPr="006801C0">
        <w:rPr>
          <w:vertAlign w:val="superscript"/>
        </w:rPr>
        <w:t>th</w:t>
      </w:r>
      <w:r>
        <w:t xml:space="preserve"> ed. London: Red globe press. </w:t>
      </w:r>
    </w:p>
    <w:p w14:paraId="643DF3C6" w14:textId="77777777" w:rsidR="002B18AB" w:rsidRDefault="002B18AB" w:rsidP="002B18AB">
      <w:pPr>
        <w:spacing w:line="360" w:lineRule="auto"/>
        <w:ind w:hanging="720"/>
      </w:pPr>
      <w:r>
        <w:t>Payne, M. (2020). Modern Social work Theory. 5</w:t>
      </w:r>
      <w:r w:rsidRPr="004D2380">
        <w:rPr>
          <w:vertAlign w:val="superscript"/>
        </w:rPr>
        <w:t>th</w:t>
      </w:r>
      <w:r>
        <w:t xml:space="preserve"> ed. London: Red globe press. </w:t>
      </w:r>
    </w:p>
    <w:p w14:paraId="37BDED37" w14:textId="77777777" w:rsidR="002B18AB" w:rsidRDefault="002B18AB" w:rsidP="002B18AB">
      <w:pPr>
        <w:spacing w:line="360" w:lineRule="auto"/>
        <w:ind w:hanging="720"/>
      </w:pPr>
      <w:r>
        <w:t xml:space="preserve">Rogers, C. (1957). The necessary and sufficient conditions of therapeutic personality change. Journal of consulting psychology, 21(2), pp 95-103. </w:t>
      </w:r>
    </w:p>
    <w:p w14:paraId="0C421B3E" w14:textId="77777777" w:rsidR="002B18AB" w:rsidRDefault="002B18AB" w:rsidP="002B18AB">
      <w:pPr>
        <w:spacing w:line="360" w:lineRule="auto"/>
        <w:ind w:hanging="720"/>
      </w:pPr>
      <w:r>
        <w:t>Saleebey, D. (2013). The strengths perspective in social work practice. 6</w:t>
      </w:r>
      <w:r w:rsidRPr="004D2380">
        <w:rPr>
          <w:vertAlign w:val="superscript"/>
        </w:rPr>
        <w:t>th</w:t>
      </w:r>
      <w:r>
        <w:t xml:space="preserve"> ed. Boston: Pearson. </w:t>
      </w:r>
    </w:p>
    <w:p w14:paraId="5F1BDF35" w14:textId="77777777" w:rsidR="002B18AB" w:rsidRDefault="002B18AB" w:rsidP="002B18AB">
      <w:pPr>
        <w:spacing w:line="360" w:lineRule="auto"/>
        <w:ind w:hanging="720"/>
      </w:pPr>
      <w:r>
        <w:lastRenderedPageBreak/>
        <w:t xml:space="preserve">Social Care Wales. (2025). Code of professional practice for social care. (online). Available at: </w:t>
      </w:r>
      <w:hyperlink r:id="rId26" w:history="1">
        <w:r>
          <w:rPr>
            <w:rStyle w:val="Hyperlink"/>
          </w:rPr>
          <w:t>untitled</w:t>
        </w:r>
      </w:hyperlink>
      <w:r>
        <w:t>. (Accessed: 10</w:t>
      </w:r>
      <w:r w:rsidRPr="00F16467">
        <w:rPr>
          <w:vertAlign w:val="superscript"/>
        </w:rPr>
        <w:t>th</w:t>
      </w:r>
      <w:r>
        <w:t xml:space="preserve"> July). </w:t>
      </w:r>
    </w:p>
    <w:p w14:paraId="4B4ECB3F" w14:textId="77777777" w:rsidR="002B18AB" w:rsidRDefault="002B18AB" w:rsidP="002B18AB">
      <w:pPr>
        <w:spacing w:line="360" w:lineRule="auto"/>
        <w:ind w:hanging="720"/>
      </w:pPr>
      <w:r>
        <w:t xml:space="preserve">Social Services and Wellbeing (Wales) Act. (2014). Social Services and Wellbeing (wales) act 2014. (online). Available at: </w:t>
      </w:r>
      <w:hyperlink r:id="rId27" w:history="1">
        <w:r>
          <w:rPr>
            <w:rStyle w:val="Hyperlink"/>
          </w:rPr>
          <w:t>Social Services and Well-being (Wales) Act 2014</w:t>
        </w:r>
      </w:hyperlink>
      <w:r>
        <w:t xml:space="preserve">. </w:t>
      </w:r>
    </w:p>
    <w:p w14:paraId="28D8054F" w14:textId="77777777" w:rsidR="002B18AB" w:rsidRDefault="002B18AB" w:rsidP="002B18AB">
      <w:pPr>
        <w:spacing w:line="360" w:lineRule="auto"/>
        <w:ind w:hanging="720"/>
      </w:pPr>
      <w:r>
        <w:t xml:space="preserve">The Children Act. (1989). Children Act 1989. (online). Available at: </w:t>
      </w:r>
      <w:hyperlink r:id="rId28" w:history="1">
        <w:r>
          <w:rPr>
            <w:rStyle w:val="Hyperlink"/>
          </w:rPr>
          <w:t>Children Act 1989</w:t>
        </w:r>
      </w:hyperlink>
      <w:r>
        <w:t>. (Accessed: 10</w:t>
      </w:r>
      <w:r w:rsidRPr="00741EAA">
        <w:rPr>
          <w:vertAlign w:val="superscript"/>
        </w:rPr>
        <w:t>th</w:t>
      </w:r>
      <w:r>
        <w:t xml:space="preserve"> July 2025). </w:t>
      </w:r>
    </w:p>
    <w:p w14:paraId="02505DE0" w14:textId="77777777" w:rsidR="002B18AB" w:rsidRDefault="002B18AB" w:rsidP="002B18AB">
      <w:pPr>
        <w:spacing w:line="360" w:lineRule="auto"/>
        <w:ind w:hanging="720"/>
      </w:pPr>
      <w:r>
        <w:t>Thompson, N. (2016). Anti-discriminatory practice: Equality, diversity and social justice. 6</w:t>
      </w:r>
      <w:r w:rsidRPr="004D2380">
        <w:rPr>
          <w:vertAlign w:val="superscript"/>
        </w:rPr>
        <w:t>th</w:t>
      </w:r>
      <w:r>
        <w:t xml:space="preserve"> ed. London: Red globe press. </w:t>
      </w:r>
    </w:p>
    <w:p w14:paraId="602E1A5D" w14:textId="77777777" w:rsidR="002B18AB" w:rsidRDefault="002B18AB" w:rsidP="002B18AB">
      <w:pPr>
        <w:spacing w:line="360" w:lineRule="auto"/>
        <w:ind w:hanging="720"/>
      </w:pPr>
      <w:r>
        <w:t>Trevithick, P. (2011). Understanding empathy. British Journal of Social work, 41(5), pp935-953.</w:t>
      </w:r>
    </w:p>
    <w:p w14:paraId="63B64045" w14:textId="77777777" w:rsidR="002B18AB" w:rsidRDefault="002B18AB" w:rsidP="002B18AB">
      <w:pPr>
        <w:spacing w:line="360" w:lineRule="auto"/>
        <w:ind w:hanging="720"/>
      </w:pPr>
      <w:r>
        <w:t>Trevithick, P. (2012). Social work skills and knowledge: a practice handbook. 3</w:t>
      </w:r>
      <w:r w:rsidRPr="00A25126">
        <w:rPr>
          <w:vertAlign w:val="superscript"/>
        </w:rPr>
        <w:t>rd</w:t>
      </w:r>
      <w:r>
        <w:t xml:space="preserve"> ed. Maidenhead: open university press. </w:t>
      </w:r>
    </w:p>
    <w:p w14:paraId="61CC89C8" w14:textId="77777777" w:rsidR="002B18AB" w:rsidRDefault="002B18AB" w:rsidP="002B18AB">
      <w:pPr>
        <w:spacing w:line="360" w:lineRule="auto"/>
        <w:ind w:hanging="720"/>
      </w:pPr>
      <w:r>
        <w:t xml:space="preserve">Turnell, A., &amp; Edwards, S. (1999). Signs of safety: a solution and safety orientated approach to child protection casework. Wiley. </w:t>
      </w:r>
    </w:p>
    <w:p w14:paraId="7ECE9B03" w14:textId="77777777" w:rsidR="002B18AB" w:rsidRDefault="002B18AB" w:rsidP="002B18AB">
      <w:pPr>
        <w:spacing w:line="360" w:lineRule="auto"/>
        <w:ind w:hanging="720"/>
      </w:pPr>
      <w:r>
        <w:t>Turnell, A., &amp; Essex, S. (2018). Signs of safety: a comprehensive guide to  working with children and families. 2</w:t>
      </w:r>
      <w:r w:rsidRPr="004D2380">
        <w:rPr>
          <w:vertAlign w:val="superscript"/>
        </w:rPr>
        <w:t>nd</w:t>
      </w:r>
      <w:r>
        <w:t xml:space="preserve"> ed. New York, Norton and company. </w:t>
      </w:r>
    </w:p>
    <w:p w14:paraId="571DCEBB" w14:textId="77777777" w:rsidR="002B18AB" w:rsidRDefault="002B18AB" w:rsidP="002B18AB">
      <w:pPr>
        <w:spacing w:line="360" w:lineRule="auto"/>
        <w:ind w:hanging="720"/>
      </w:pPr>
      <w:r>
        <w:t xml:space="preserve">UNCRC. (1989). Convention on the rights of the child. (online) Available at: </w:t>
      </w:r>
      <w:hyperlink r:id="rId29" w:history="1">
        <w:r>
          <w:rPr>
            <w:rStyle w:val="Hyperlink"/>
          </w:rPr>
          <w:t>Children's rights in Wales | GOV.WALES</w:t>
        </w:r>
      </w:hyperlink>
      <w:r>
        <w:t>. Accessed: 17</w:t>
      </w:r>
      <w:r w:rsidRPr="00741EAA">
        <w:rPr>
          <w:vertAlign w:val="superscript"/>
        </w:rPr>
        <w:t>th</w:t>
      </w:r>
      <w:r>
        <w:t xml:space="preserve"> June 2025. </w:t>
      </w:r>
    </w:p>
    <w:p w14:paraId="2D90B387" w14:textId="77777777" w:rsidR="002B18AB" w:rsidRDefault="002B18AB" w:rsidP="002B18AB">
      <w:pPr>
        <w:spacing w:line="360" w:lineRule="auto"/>
        <w:ind w:hanging="720"/>
      </w:pPr>
      <w:r>
        <w:t xml:space="preserve">Wales Safeguarding Procedures. (2025). S47 enquries: key considerations. (Online) Available at: </w:t>
      </w:r>
      <w:hyperlink r:id="rId30" w:history="1">
        <w:r>
          <w:rPr>
            <w:rStyle w:val="Hyperlink"/>
          </w:rPr>
          <w:t>Safeguarding Wales</w:t>
        </w:r>
      </w:hyperlink>
      <w:r>
        <w:t>. (Accessed: 14</w:t>
      </w:r>
      <w:r w:rsidRPr="0065788C">
        <w:rPr>
          <w:vertAlign w:val="superscript"/>
        </w:rPr>
        <w:t>t</w:t>
      </w:r>
      <w:r>
        <w:rPr>
          <w:vertAlign w:val="superscript"/>
        </w:rPr>
        <w:t xml:space="preserve">h </w:t>
      </w:r>
      <w:r>
        <w:t xml:space="preserve">May 2025). </w:t>
      </w:r>
    </w:p>
    <w:p w14:paraId="2344027C" w14:textId="77777777" w:rsidR="002B18AB" w:rsidRDefault="002B18AB" w:rsidP="002B18AB">
      <w:pPr>
        <w:spacing w:line="360" w:lineRule="auto"/>
        <w:ind w:hanging="720"/>
      </w:pPr>
      <w:r>
        <w:t xml:space="preserve">Wales Safeguarding Procedures. (2025). The strategy discussion/meeting. (online) Available at: </w:t>
      </w:r>
      <w:hyperlink r:id="rId31" w:history="1">
        <w:r>
          <w:rPr>
            <w:rStyle w:val="Hyperlink"/>
          </w:rPr>
          <w:t>Safeguarding Wales</w:t>
        </w:r>
      </w:hyperlink>
      <w:r>
        <w:t>. (Accessed: 10</w:t>
      </w:r>
      <w:r w:rsidRPr="006801C0">
        <w:rPr>
          <w:vertAlign w:val="superscript"/>
        </w:rPr>
        <w:t>th</w:t>
      </w:r>
      <w:r>
        <w:t xml:space="preserve"> August 2025).</w:t>
      </w:r>
    </w:p>
    <w:p w14:paraId="03200A9E" w14:textId="77777777" w:rsidR="002B18AB" w:rsidRDefault="002B18AB" w:rsidP="002B18AB">
      <w:pPr>
        <w:spacing w:line="360" w:lineRule="auto"/>
        <w:ind w:hanging="720"/>
      </w:pPr>
      <w:r>
        <w:t xml:space="preserve">Welsh Government (2016). More than Just words: </w:t>
      </w:r>
      <w:r>
        <w:rPr>
          <w:rStyle w:val="Emphasis"/>
        </w:rPr>
        <w:t>: Follow-on strategic framework for Welsh language services in health, social services and social care 2016–2019</w:t>
      </w:r>
      <w:r>
        <w:t>. Cardiff: Welsh Government. Available at: https://www.gov.wales/more-just-words-follow-strategic-framework-welsh-language-services-health-social-services-and (Accessed: 30 August 2025).</w:t>
      </w:r>
    </w:p>
    <w:p w14:paraId="7F441261" w14:textId="77777777" w:rsidR="002B18AB" w:rsidRDefault="002B18AB" w:rsidP="002B18AB">
      <w:pPr>
        <w:spacing w:line="360" w:lineRule="auto"/>
        <w:ind w:hanging="720"/>
      </w:pPr>
      <w:r>
        <w:t xml:space="preserve">Welsh Government. (2012). More than just words: strategic framework for Welsh language services in health, social services and social care. Cardiff: Welsh Government. </w:t>
      </w:r>
    </w:p>
    <w:p w14:paraId="71822247" w14:textId="77777777" w:rsidR="002B18AB" w:rsidRDefault="002B18AB" w:rsidP="002B18AB">
      <w:pPr>
        <w:spacing w:line="360" w:lineRule="auto"/>
        <w:ind w:hanging="720"/>
      </w:pPr>
      <w:r>
        <w:t xml:space="preserve">Welsh Government. (2025). Social Services and Wellbeing Wales Act 2014. (Online). Available at: </w:t>
      </w:r>
      <w:hyperlink r:id="rId32" w:history="1">
        <w:r>
          <w:rPr>
            <w:rStyle w:val="Hyperlink"/>
          </w:rPr>
          <w:t>Social Services and Well-being (Wales) Act 2014 | Law Wales</w:t>
        </w:r>
      </w:hyperlink>
      <w:r>
        <w:t>. (Accessed: 13</w:t>
      </w:r>
      <w:r w:rsidRPr="006142AD">
        <w:rPr>
          <w:vertAlign w:val="superscript"/>
        </w:rPr>
        <w:t>th</w:t>
      </w:r>
      <w:r>
        <w:t xml:space="preserve"> June 2025). </w:t>
      </w:r>
    </w:p>
    <w:p w14:paraId="2869E51F" w14:textId="77777777" w:rsidR="002B18AB" w:rsidRDefault="002B18AB" w:rsidP="002B18AB">
      <w:pPr>
        <w:spacing w:line="360" w:lineRule="auto"/>
        <w:ind w:hanging="720"/>
      </w:pPr>
      <w:r>
        <w:t xml:space="preserve">Welsh Language Wales Measure. (2011). Welsh Language Wales Measure. (Online). Available at: </w:t>
      </w:r>
      <w:hyperlink r:id="rId33" w:history="1">
        <w:r>
          <w:rPr>
            <w:rStyle w:val="Hyperlink"/>
          </w:rPr>
          <w:t>Welsh Language (Wales) Measure 2011 | Law Wales</w:t>
        </w:r>
      </w:hyperlink>
      <w:r>
        <w:t>. (Accessed: 10</w:t>
      </w:r>
      <w:r w:rsidRPr="00817859">
        <w:rPr>
          <w:vertAlign w:val="superscript"/>
        </w:rPr>
        <w:t>th</w:t>
      </w:r>
      <w:r>
        <w:t xml:space="preserve"> July 2025). </w:t>
      </w:r>
    </w:p>
    <w:p w14:paraId="01879C53" w14:textId="77777777" w:rsidR="002B18AB" w:rsidRDefault="002B18AB" w:rsidP="002B18AB">
      <w:pPr>
        <w:spacing w:line="360" w:lineRule="auto"/>
        <w:ind w:hanging="720"/>
      </w:pPr>
      <w:r>
        <w:t xml:space="preserve">Wilkins, D. (2015). Balancing risk and protective factors. How do social work managers analyse referrals that may indicate children are at risk of suffering significant harm. British Journal of Social Work, 45 (1), 395-411. </w:t>
      </w:r>
    </w:p>
    <w:p w14:paraId="4A84C942" w14:textId="77777777" w:rsidR="002B18AB" w:rsidRDefault="002B18AB" w:rsidP="002B18AB">
      <w:pPr>
        <w:spacing w:line="360" w:lineRule="auto"/>
        <w:ind w:hanging="720"/>
      </w:pPr>
      <w:r>
        <w:t xml:space="preserve">Williams, J. (2017). Adult safeguarding in Wales: one step in the right direction. The journal of adult protection, 19(1), pp 175-186 </w:t>
      </w:r>
    </w:p>
    <w:p w14:paraId="6329D027" w14:textId="77777777" w:rsidR="002B18AB" w:rsidRDefault="002B18AB" w:rsidP="002B18AB">
      <w:pPr>
        <w:spacing w:line="360" w:lineRule="auto"/>
        <w:ind w:hanging="720"/>
      </w:pPr>
      <w:r>
        <w:t xml:space="preserve">X county Council. (2023). X strategic overview.(online) </w:t>
      </w:r>
      <w:hyperlink r:id="rId34" w:history="1">
        <w:r>
          <w:rPr>
            <w:rStyle w:val="Hyperlink"/>
          </w:rPr>
          <w:t>X- X County Council</w:t>
        </w:r>
      </w:hyperlink>
      <w:r>
        <w:t>. (Accessed: 19</w:t>
      </w:r>
      <w:r w:rsidRPr="004D2380">
        <w:rPr>
          <w:vertAlign w:val="superscript"/>
        </w:rPr>
        <w:t>th</w:t>
      </w:r>
      <w:r>
        <w:t xml:space="preserve"> August 2025)</w:t>
      </w: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7047BA81" w14:textId="77777777" w:rsidR="002A1A44" w:rsidRPr="00EE5BC3" w:rsidRDefault="002A1A44" w:rsidP="002B18AB">
      <w:pP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F31BAFD" w:rsidR="00E559CE" w:rsidRPr="00B17FA0" w:rsidRDefault="004E2D7E" w:rsidP="00B94443">
            <w:pPr>
              <w:jc w:val="both"/>
              <w:rPr>
                <w:sz w:val="24"/>
                <w:szCs w:val="24"/>
              </w:rPr>
            </w:pPr>
            <w:r>
              <w:rPr>
                <w:sz w:val="24"/>
                <w:szCs w:val="24"/>
              </w:rPr>
              <w:t>27/11/24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364F8C6" w:rsidR="00E559CE" w:rsidRPr="00B17FA0" w:rsidRDefault="004E2D7E" w:rsidP="00B94443">
            <w:pPr>
              <w:jc w:val="both"/>
              <w:rPr>
                <w:sz w:val="24"/>
                <w:szCs w:val="24"/>
              </w:rPr>
            </w:pPr>
            <w:r>
              <w:rPr>
                <w:sz w:val="24"/>
                <w:szCs w:val="24"/>
              </w:rPr>
              <w:t>23/01/25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BB1A1D0" w:rsidR="00E559CE" w:rsidRPr="00B17FA0" w:rsidRDefault="00196CFA" w:rsidP="00B94443">
            <w:pPr>
              <w:jc w:val="both"/>
              <w:rPr>
                <w:sz w:val="24"/>
                <w:szCs w:val="24"/>
              </w:rPr>
            </w:pPr>
            <w:r>
              <w:rPr>
                <w:sz w:val="24"/>
                <w:szCs w:val="24"/>
              </w:rPr>
              <w:t>20/03/25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29F4D3E" w:rsidR="00E559CE" w:rsidRPr="00B17FA0" w:rsidRDefault="00196CFA" w:rsidP="00B94443">
            <w:pPr>
              <w:jc w:val="both"/>
              <w:rPr>
                <w:sz w:val="24"/>
                <w:szCs w:val="24"/>
              </w:rPr>
            </w:pPr>
            <w:r>
              <w:rPr>
                <w:sz w:val="24"/>
                <w:szCs w:val="24"/>
              </w:rPr>
              <w:t>12/06/25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4D998036" w14:textId="77777777" w:rsidR="002B18AB" w:rsidRPr="00AC5340" w:rsidRDefault="002B18AB" w:rsidP="002B18AB">
            <w:pPr>
              <w:rPr>
                <w:color w:val="000000" w:themeColor="text1"/>
              </w:rPr>
            </w:pPr>
            <w:r w:rsidRPr="00AC5340">
              <w:rPr>
                <w:color w:val="000000" w:themeColor="text1"/>
              </w:rPr>
              <w:t>At the time of me joining the team, Ffion was starting her CPEL and had been supervised by the previous Assistant Team Manager. I</w:t>
            </w:r>
            <w:r>
              <w:rPr>
                <w:color w:val="000000" w:themeColor="text1"/>
              </w:rPr>
              <w:t xml:space="preserve">n addition to taking </w:t>
            </w:r>
            <w:r w:rsidRPr="00AC5340">
              <w:rPr>
                <w:color w:val="000000" w:themeColor="text1"/>
              </w:rPr>
              <w:t>over the responsibility of Mentor</w:t>
            </w:r>
            <w:r>
              <w:rPr>
                <w:color w:val="000000" w:themeColor="text1"/>
              </w:rPr>
              <w:t>ing Ffion, I also took over the role of supervising her</w:t>
            </w:r>
            <w:r w:rsidRPr="00AC5340">
              <w:rPr>
                <w:color w:val="000000" w:themeColor="text1"/>
              </w:rPr>
              <w:t xml:space="preserve">. Ffion and I had regular supervision where I quickly learnt of the experiences that she had already gained following transferring from a student to newly qualified Social Worker within the team. It </w:t>
            </w:r>
            <w:r>
              <w:rPr>
                <w:color w:val="000000" w:themeColor="text1"/>
              </w:rPr>
              <w:t xml:space="preserve">very quickly became </w:t>
            </w:r>
            <w:r w:rsidRPr="00AC5340">
              <w:rPr>
                <w:color w:val="000000" w:themeColor="text1"/>
              </w:rPr>
              <w:t xml:space="preserve">clear that Ffion had been managing some complex cases very early on in her career in social work. </w:t>
            </w:r>
          </w:p>
          <w:p w14:paraId="14D86B3D" w14:textId="77777777" w:rsidR="002B18AB" w:rsidRPr="00AC5340" w:rsidRDefault="002B18AB" w:rsidP="002B18AB">
            <w:pPr>
              <w:rPr>
                <w:color w:val="FF0000"/>
              </w:rPr>
            </w:pPr>
          </w:p>
          <w:p w14:paraId="4D96D1E9" w14:textId="77777777" w:rsidR="002B18AB" w:rsidRPr="007F0490" w:rsidRDefault="002B18AB" w:rsidP="002B18AB">
            <w:pPr>
              <w:rPr>
                <w:color w:val="000000" w:themeColor="text1"/>
              </w:rPr>
            </w:pPr>
            <w:r w:rsidRPr="007F0490">
              <w:rPr>
                <w:color w:val="000000" w:themeColor="text1"/>
              </w:rPr>
              <w:t>Ffion had gained a significant amount of experience in her first year of practice, however, she presented as being keen to further develop her knowledge in all areas of social work practice. She held a varied caseload that reflected this desire to learn and develop her skills. Ffion worked with children and families whereby domestic abuse had been a feature, and this allowed her to work collaboratively with the domestic abuse worker based within the team and advocate for the family. Ffion also worked with a number of families where substance misuse and mental health had been contributing factors to family issues; this allowed Ffion to further build professional relationships within a range of services and work in a multi-disciplinary way and utilise her evolving professional judgement whilst developing collaborative safety plans.</w:t>
            </w:r>
          </w:p>
          <w:p w14:paraId="2DFFADD0" w14:textId="77777777" w:rsidR="002B18AB" w:rsidRPr="00AC5340" w:rsidRDefault="002B18AB" w:rsidP="002B18AB">
            <w:pPr>
              <w:rPr>
                <w:color w:val="FF0000"/>
              </w:rPr>
            </w:pPr>
            <w:r w:rsidRPr="00AC5340">
              <w:rPr>
                <w:color w:val="FF0000"/>
              </w:rPr>
              <w:t xml:space="preserve"> </w:t>
            </w:r>
          </w:p>
          <w:p w14:paraId="44BBDA0E" w14:textId="77777777" w:rsidR="002B18AB" w:rsidRPr="000948CA" w:rsidRDefault="002B18AB" w:rsidP="002B18AB">
            <w:pPr>
              <w:rPr>
                <w:color w:val="000000" w:themeColor="text1"/>
              </w:rPr>
            </w:pPr>
            <w:r w:rsidRPr="000948CA">
              <w:rPr>
                <w:color w:val="000000" w:themeColor="text1"/>
              </w:rPr>
              <w:t xml:space="preserve">Ffion has been observed to have a sound understanding of the legislation underpinning children’s services, and the statutory requirements for working with Children in need of care and support, Child Protection and Looked After Children. Over the course of her first year in practice, Ffion has had the opportunity of working with children/young people who fall under these categories. This has especially evident when working with cases which have met the threshold for Section 47 Child Protection investigations. Ffion has grown in confidence </w:t>
            </w:r>
            <w:r w:rsidRPr="000948CA">
              <w:rPr>
                <w:color w:val="000000" w:themeColor="text1"/>
              </w:rPr>
              <w:lastRenderedPageBreak/>
              <w:t>when undertaking these investigations and has shown a developing knowledge of the law in often complex and challenging circumstances.</w:t>
            </w:r>
          </w:p>
          <w:p w14:paraId="75A92E96" w14:textId="77777777" w:rsidR="002B18AB" w:rsidRPr="00AC5340" w:rsidRDefault="002B18AB" w:rsidP="002B18AB">
            <w:pPr>
              <w:rPr>
                <w:color w:val="FF0000"/>
              </w:rPr>
            </w:pPr>
            <w:r w:rsidRPr="000948CA">
              <w:rPr>
                <w:color w:val="000000" w:themeColor="text1"/>
              </w:rPr>
              <w:t xml:space="preserve">Ffion has, within her portfolio, identified an area within her practice she wanted to develop was the robustness of her assessments. It has been clear that Ffion wants to ensure that children are at the heart of all she does and wants her assessments to advocate on their behalf whilst helping to identify the appropriate support. Ffion has certainly gained confidence in this area, and this is evident in her analysis and understanding of a family’s needs when completing her assessments. Over the last year, I have seen Ffion’s confidence grow in her practice, specifically her confidence in her own decision making and judgement which was an identified learning objective from her first year. </w:t>
            </w:r>
            <w:r w:rsidRPr="00DA4803">
              <w:rPr>
                <w:color w:val="000000" w:themeColor="text1"/>
              </w:rPr>
              <w:t xml:space="preserve">Ffion highlights within her portfolio that when starting out in social work role, at times she felt overwhelmed. Whilst it is observed that she can at times still feel this way, the feeling of being overwhelmed is clearly seen to be replaced with a much more confident and resilient worker.  </w:t>
            </w:r>
          </w:p>
          <w:p w14:paraId="766D3915" w14:textId="77777777" w:rsidR="002B18AB" w:rsidRPr="00AC5340" w:rsidRDefault="002B18AB" w:rsidP="002B18AB">
            <w:pPr>
              <w:rPr>
                <w:color w:val="FF0000"/>
              </w:rPr>
            </w:pPr>
          </w:p>
          <w:p w14:paraId="5733DFED" w14:textId="77777777" w:rsidR="002B18AB" w:rsidRPr="00AB6759" w:rsidRDefault="002B18AB" w:rsidP="002B18AB">
            <w:pPr>
              <w:rPr>
                <w:color w:val="000000" w:themeColor="text1"/>
              </w:rPr>
            </w:pPr>
            <w:r w:rsidRPr="00AB6759">
              <w:rPr>
                <w:color w:val="000000" w:themeColor="text1"/>
              </w:rPr>
              <w:t>Ffion is clearly passionate about her role as a social worker and is keen to develop her practice wherever possible. She has endeavoured to utilise a Signs of Safety approach which encourages parents to identify risks; come up with their own Safety Plan, and to set their own objectives to address those risks. This is a model whereby outcomes are agreed in partnership and collaboration with families and the required changes are realistic and achievable. Ffion highlighted a need to develop her skills with this approach and continues to learn and develop. Her dedication to collaborative working was highlighted within the Direct Observation where a mother helped to develop the child protection plan with Ffion whilst also acknowledging the identified risks. Despite the challenges, Ffion’s approach to working collaboratively with the family helped to start a process toward positive change which is the ethos of a Signs of Safety approach</w:t>
            </w:r>
          </w:p>
          <w:p w14:paraId="7C226654" w14:textId="77777777" w:rsidR="002B18AB" w:rsidRPr="00AC5340" w:rsidRDefault="002B18AB" w:rsidP="002B18AB">
            <w:pPr>
              <w:rPr>
                <w:color w:val="FF0000"/>
              </w:rPr>
            </w:pPr>
            <w:r w:rsidRPr="00AC5340">
              <w:rPr>
                <w:color w:val="FF0000"/>
              </w:rPr>
              <w:t xml:space="preserve"> </w:t>
            </w:r>
          </w:p>
          <w:p w14:paraId="4EBC9F8C" w14:textId="77777777" w:rsidR="002B18AB" w:rsidRPr="00D76219" w:rsidRDefault="002B18AB" w:rsidP="002B18AB">
            <w:pPr>
              <w:rPr>
                <w:color w:val="000000" w:themeColor="text1"/>
              </w:rPr>
            </w:pPr>
            <w:r w:rsidRPr="00D76219">
              <w:rPr>
                <w:color w:val="000000" w:themeColor="text1"/>
              </w:rPr>
              <w:t>Working in a busy assessment team requires social workers to develop their professional judgement to provide effective advice and support for the families we work with. It has been evident in my time in the team that Ffion has clearly developed her decision making and professional judgment and is able to effectively manage her caseload and identify support early which is imperative for the families we support.  Ffion is a highly thought of in the team and is very much a team player. She will help colleagues out when required and is appreciated for her willingness to do so.</w:t>
            </w:r>
          </w:p>
          <w:p w14:paraId="3541A197" w14:textId="77777777" w:rsidR="002B18AB" w:rsidRPr="00AC5340" w:rsidRDefault="002B18AB" w:rsidP="002B18AB">
            <w:pPr>
              <w:rPr>
                <w:color w:val="FF0000"/>
              </w:rPr>
            </w:pPr>
          </w:p>
          <w:p w14:paraId="31E0EEA1" w14:textId="77777777" w:rsidR="002B18AB" w:rsidRPr="00DC5522" w:rsidRDefault="002B18AB" w:rsidP="002B18AB">
            <w:pPr>
              <w:rPr>
                <w:color w:val="000000" w:themeColor="text1"/>
              </w:rPr>
            </w:pPr>
            <w:r w:rsidRPr="00DC5522">
              <w:rPr>
                <w:color w:val="000000" w:themeColor="text1"/>
              </w:rPr>
              <w:t xml:space="preserve">Upon completion of Ffion’s first year in practice, an identified need for future development was to undertake Section 47 training allowing her to carry out joint child protection enquiries alongside the Police. Ffion has undertaken several Section 47 investigations and as a result feels more confident in terms of implementing immediate safeguarding measures where necessary. Ffion continues to seek assurance and clarity when needed, however her confidence in decision making is evidently growing as a result of her ongoing experience. Ffion is currently one of a small number of Social Workers in the team who are Section 47 trained. This has at times placed additional pressure on Ffion as she has had to balance completing assessments within timescales, whilst undertaking investigations to identify more immediately where children may be at risk. Despite these challenges, Ffion appears to manage well in what are at times stressful situations. </w:t>
            </w:r>
          </w:p>
          <w:p w14:paraId="1D2F68FD" w14:textId="77777777" w:rsidR="002B18AB" w:rsidRPr="00AC5340" w:rsidRDefault="002B18AB" w:rsidP="002B18AB">
            <w:pPr>
              <w:rPr>
                <w:color w:val="FF0000"/>
              </w:rPr>
            </w:pPr>
          </w:p>
          <w:p w14:paraId="3EDB64DD" w14:textId="77777777" w:rsidR="002B18AB" w:rsidRPr="006270D6" w:rsidRDefault="002B18AB" w:rsidP="002B18AB">
            <w:pPr>
              <w:rPr>
                <w:color w:val="000000" w:themeColor="text1"/>
              </w:rPr>
            </w:pPr>
            <w:r w:rsidRPr="006270D6">
              <w:rPr>
                <w:color w:val="000000" w:themeColor="text1"/>
              </w:rPr>
              <w:t>Ffion continues to work hard and strives to further develop her knowledge and skills. Areas of development which have been identified through supervision and Ffion’s annual appraisal are to continue to develop skills of chairing network meetings; to continue to work with families utilising the signs of safety approach ensuring plans are outcome focussed; to gain further Court experience such as report writing; and recently Ffion has expressed an interest in having the opportunity to facilitate a student with the view of doing the Practice Assessor Award in the future.</w:t>
            </w: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08297E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B18AB">
        <w:rPr>
          <w:b/>
          <w:sz w:val="24"/>
          <w:szCs w:val="24"/>
        </w:rPr>
        <w:t xml:space="preserve">Ffion Mai Howells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AE8251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B18AB">
        <w:rPr>
          <w:b/>
          <w:sz w:val="24"/>
          <w:szCs w:val="24"/>
        </w:rPr>
        <w:t xml:space="preserve"> 1702897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573A4F84" w14:textId="183DE8FD" w:rsidR="002B18AB" w:rsidRDefault="002B18A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138 Ffordd y Glowyr</w:t>
      </w:r>
    </w:p>
    <w:p w14:paraId="578FB787" w14:textId="48800674" w:rsidR="002B18AB" w:rsidRDefault="002B18A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Betws</w:t>
      </w:r>
    </w:p>
    <w:p w14:paraId="5EF93BCD" w14:textId="4C756905" w:rsidR="002B18AB" w:rsidRDefault="002B18A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Ammanford</w:t>
      </w:r>
    </w:p>
    <w:p w14:paraId="046F42F4" w14:textId="6D20A4C9" w:rsidR="002B18AB" w:rsidRPr="008B28E7" w:rsidRDefault="002B18A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SA18 2FL</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5B9F6C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B18AB">
        <w:rPr>
          <w:b/>
          <w:sz w:val="24"/>
          <w:szCs w:val="24"/>
        </w:rPr>
        <w:t xml:space="preserve"> 07807580092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A7CA6F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B18AB">
        <w:rPr>
          <w:b/>
          <w:sz w:val="24"/>
          <w:szCs w:val="24"/>
        </w:rPr>
        <w:t xml:space="preserve"> Fmhowells@carmarthenshire.gov.uk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62AF43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94344">
        <w:rPr>
          <w:b/>
          <w:sz w:val="24"/>
          <w:szCs w:val="24"/>
        </w:rPr>
        <w:t xml:space="preserve"> 31/07/23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010454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94344">
        <w:rPr>
          <w:b/>
          <w:sz w:val="24"/>
          <w:szCs w:val="24"/>
        </w:rPr>
        <w:t>15/08/23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FD84DF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B18AB">
        <w:rPr>
          <w:b/>
          <w:sz w:val="24"/>
          <w:szCs w:val="24"/>
        </w:rPr>
        <w:t xml:space="preserve"> Llanelli Assessment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F17450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2B18AB">
        <w:rPr>
          <w:b/>
          <w:sz w:val="24"/>
          <w:szCs w:val="24"/>
        </w:rPr>
        <w:t xml:space="preserve"> Ty Elwyn, Llanelli, SA15 3AP</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0D8E0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2B18AB">
        <w:rPr>
          <w:b/>
          <w:sz w:val="24"/>
          <w:szCs w:val="24"/>
        </w:rPr>
        <w:t xml:space="preserve"> 01554 742343</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16408ED"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2B18AB">
        <w:rPr>
          <w:b/>
          <w:sz w:val="24"/>
          <w:szCs w:val="24"/>
        </w:rPr>
        <w:t>fmhowells@carmarthenshire.gov.uk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B1F1F6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2B18AB">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47AE3E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2B18AB">
        <w:rPr>
          <w:b/>
          <w:sz w:val="24"/>
          <w:szCs w:val="24"/>
        </w:rPr>
        <w:t xml:space="preserve"> Andrew Peters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2DA3006" w14:textId="4EAC2E54" w:rsidR="002B18AB" w:rsidRDefault="002B18A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Llanelli Assessment Team</w:t>
      </w:r>
    </w:p>
    <w:p w14:paraId="71DE830B" w14:textId="3CCEEB84" w:rsidR="002B18AB" w:rsidRDefault="002B18A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Ty Elwyn </w:t>
      </w:r>
    </w:p>
    <w:p w14:paraId="23B08B21" w14:textId="05877FF4" w:rsidR="002B18AB" w:rsidRDefault="002B18A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Llanelli </w:t>
      </w:r>
    </w:p>
    <w:p w14:paraId="6C79E3F9" w14:textId="23FB422A" w:rsidR="002B18AB" w:rsidRPr="008B28E7" w:rsidRDefault="002B18A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SA15 3AP</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E88465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2B18AB">
        <w:rPr>
          <w:b/>
          <w:sz w:val="24"/>
          <w:szCs w:val="24"/>
        </w:rPr>
        <w:t xml:space="preserve"> 01554 742343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6A49F5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2B18AB">
        <w:rPr>
          <w:b/>
          <w:sz w:val="24"/>
          <w:szCs w:val="24"/>
        </w:rPr>
        <w:t>: APeters@carmarthenshire.gov.uk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587B652" w:rsidR="004923DA" w:rsidRDefault="004923DA" w:rsidP="00FF7EBB">
            <w:pPr>
              <w:jc w:val="both"/>
              <w:rPr>
                <w:b/>
                <w:sz w:val="24"/>
                <w:szCs w:val="24"/>
              </w:rPr>
            </w:pPr>
            <w:r w:rsidRPr="008B28E7">
              <w:rPr>
                <w:b/>
                <w:sz w:val="24"/>
                <w:szCs w:val="24"/>
              </w:rPr>
              <w:t>Name:</w:t>
            </w:r>
            <w:r w:rsidR="002B18AB">
              <w:rPr>
                <w:b/>
                <w:sz w:val="24"/>
                <w:szCs w:val="24"/>
              </w:rPr>
              <w:t xml:space="preserve"> Andrew Peters </w:t>
            </w:r>
          </w:p>
          <w:p w14:paraId="4EF4A770" w14:textId="77777777" w:rsidR="004923DA" w:rsidRPr="008B28E7" w:rsidRDefault="004923DA" w:rsidP="00FF7EBB">
            <w:pPr>
              <w:jc w:val="both"/>
              <w:rPr>
                <w:b/>
                <w:sz w:val="24"/>
                <w:szCs w:val="24"/>
              </w:rPr>
            </w:pPr>
          </w:p>
          <w:p w14:paraId="5E4D232D" w14:textId="77777777" w:rsidR="002B18AB" w:rsidRDefault="004923DA" w:rsidP="002B18A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r w:rsidR="002B18AB">
              <w:rPr>
                <w:b/>
                <w:sz w:val="24"/>
                <w:szCs w:val="24"/>
              </w:rPr>
              <w:t>Llanelli Assessment Team</w:t>
            </w:r>
          </w:p>
          <w:p w14:paraId="504B54E1" w14:textId="77777777" w:rsidR="002B18AB" w:rsidRDefault="002B18AB" w:rsidP="002B18A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Ty Elwyn </w:t>
            </w:r>
          </w:p>
          <w:p w14:paraId="75042C47" w14:textId="77777777" w:rsidR="002B18AB" w:rsidRDefault="002B18AB" w:rsidP="002B18A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Llanelli </w:t>
            </w:r>
          </w:p>
          <w:p w14:paraId="42BF3097" w14:textId="24EA1FF4" w:rsidR="009D59C2" w:rsidRDefault="002B18AB" w:rsidP="002B18A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SA15 3AP</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2014F50F" w:rsidR="004923DA" w:rsidRDefault="009D59C2" w:rsidP="00FF7EBB">
            <w:pPr>
              <w:jc w:val="both"/>
              <w:rPr>
                <w:b/>
                <w:sz w:val="24"/>
                <w:szCs w:val="24"/>
              </w:rPr>
            </w:pPr>
            <w:r>
              <w:rPr>
                <w:b/>
                <w:sz w:val="24"/>
                <w:szCs w:val="24"/>
              </w:rPr>
              <w:t>T</w:t>
            </w:r>
            <w:r w:rsidR="004923DA" w:rsidRPr="008B28E7">
              <w:rPr>
                <w:b/>
                <w:sz w:val="24"/>
                <w:szCs w:val="24"/>
              </w:rPr>
              <w:t>elephone number:</w:t>
            </w:r>
            <w:r w:rsidR="00794344">
              <w:rPr>
                <w:b/>
                <w:sz w:val="24"/>
                <w:szCs w:val="24"/>
              </w:rPr>
              <w:t>01554 742343</w:t>
            </w:r>
          </w:p>
          <w:p w14:paraId="0BB87919" w14:textId="548A11EF" w:rsidR="009D59C2" w:rsidRDefault="009D59C2" w:rsidP="00FF7EBB">
            <w:pPr>
              <w:jc w:val="both"/>
              <w:rPr>
                <w:b/>
                <w:sz w:val="24"/>
                <w:szCs w:val="24"/>
              </w:rPr>
            </w:pPr>
          </w:p>
          <w:p w14:paraId="4346D2ED" w14:textId="3C6E9876" w:rsidR="00B17FA0" w:rsidRPr="008B28E7" w:rsidRDefault="009D59C2" w:rsidP="000E38C3">
            <w:pPr>
              <w:jc w:val="both"/>
              <w:rPr>
                <w:b/>
                <w:sz w:val="24"/>
                <w:szCs w:val="24"/>
              </w:rPr>
            </w:pPr>
            <w:r>
              <w:rPr>
                <w:b/>
                <w:sz w:val="24"/>
                <w:szCs w:val="24"/>
              </w:rPr>
              <w:t>Email address:</w:t>
            </w:r>
            <w:r w:rsidR="00794344">
              <w:rPr>
                <w:b/>
                <w:sz w:val="24"/>
                <w:szCs w:val="24"/>
              </w:rPr>
              <w:t xml:space="preserve"> APeters@carmarthenshire.gov.uk</w:t>
            </w: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5637DA6" w14:textId="77777777" w:rsidR="0024636C"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p>
    <w:p w14:paraId="754FD703" w14:textId="77777777" w:rsidR="0024636C" w:rsidRDefault="0024636C" w:rsidP="00FF7EBB">
      <w:pPr>
        <w:pBdr>
          <w:top w:val="single" w:sz="6" w:space="1" w:color="auto"/>
          <w:left w:val="single" w:sz="6" w:space="1" w:color="auto"/>
          <w:bottom w:val="single" w:sz="6" w:space="1" w:color="auto"/>
          <w:right w:val="single" w:sz="6" w:space="1" w:color="auto"/>
        </w:pBdr>
        <w:jc w:val="both"/>
        <w:rPr>
          <w:sz w:val="24"/>
          <w:szCs w:val="24"/>
        </w:rPr>
      </w:pPr>
    </w:p>
    <w:p w14:paraId="636C5118" w14:textId="02D18100" w:rsidR="0024636C" w:rsidRDefault="0024636C"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inline distT="0" distB="0" distL="0" distR="0" wp14:anchorId="55364C80" wp14:editId="0EBA7862">
            <wp:extent cx="1379529" cy="724376"/>
            <wp:effectExtent l="0" t="0" r="0" b="0"/>
            <wp:docPr id="1411889143" name="Picture 5"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889143" name="Picture 5" descr="A close up of a paper&#10;&#10;AI-generated content may be incorrect."/>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21359" r="-21359"/>
                    <a:stretch>
                      <a:fillRect/>
                    </a:stretch>
                  </pic:blipFill>
                  <pic:spPr bwMode="auto">
                    <a:xfrm>
                      <a:off x="0" y="0"/>
                      <a:ext cx="1384484" cy="726978"/>
                    </a:xfrm>
                    <a:prstGeom prst="rect">
                      <a:avLst/>
                    </a:prstGeom>
                    <a:noFill/>
                    <a:ln>
                      <a:noFill/>
                    </a:ln>
                  </pic:spPr>
                </pic:pic>
              </a:graphicData>
            </a:graphic>
          </wp:inline>
        </w:drawing>
      </w:r>
    </w:p>
    <w:p w14:paraId="59D74BFD" w14:textId="77777777" w:rsidR="0024636C" w:rsidRDefault="0024636C"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D6FECA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0DD770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94344">
        <w:rPr>
          <w:sz w:val="24"/>
          <w:szCs w:val="24"/>
        </w:rPr>
        <w:t>06/10/25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875D82B" w14:textId="04552DA2" w:rsidR="004E2D7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p>
    <w:p w14:paraId="0F98F65F" w14:textId="77777777" w:rsidR="004E2D7E" w:rsidRDefault="004E2D7E" w:rsidP="00FF7EBB">
      <w:pPr>
        <w:pBdr>
          <w:top w:val="single" w:sz="6" w:space="1" w:color="auto"/>
          <w:left w:val="single" w:sz="6" w:space="1" w:color="auto"/>
          <w:bottom w:val="single" w:sz="6" w:space="1" w:color="auto"/>
          <w:right w:val="single" w:sz="6" w:space="1" w:color="auto"/>
        </w:pBdr>
        <w:jc w:val="both"/>
        <w:rPr>
          <w:sz w:val="24"/>
          <w:szCs w:val="24"/>
        </w:rPr>
      </w:pPr>
    </w:p>
    <w:p w14:paraId="2CB6575B" w14:textId="77777777" w:rsidR="004E2D7E" w:rsidRDefault="004E2D7E" w:rsidP="00FF7EBB">
      <w:pPr>
        <w:pBdr>
          <w:top w:val="single" w:sz="6" w:space="1" w:color="auto"/>
          <w:left w:val="single" w:sz="6" w:space="1" w:color="auto"/>
          <w:bottom w:val="single" w:sz="6" w:space="1" w:color="auto"/>
          <w:right w:val="single" w:sz="6" w:space="1" w:color="auto"/>
        </w:pBdr>
        <w:jc w:val="both"/>
        <w:rPr>
          <w:sz w:val="24"/>
          <w:szCs w:val="24"/>
        </w:rPr>
      </w:pPr>
    </w:p>
    <w:p w14:paraId="02F2375F" w14:textId="6248F090" w:rsidR="004E2D7E" w:rsidRDefault="004E2D7E" w:rsidP="00FF7EBB">
      <w:pPr>
        <w:pBdr>
          <w:top w:val="single" w:sz="6" w:space="1" w:color="auto"/>
          <w:left w:val="single" w:sz="6" w:space="1" w:color="auto"/>
          <w:bottom w:val="single" w:sz="6" w:space="1" w:color="auto"/>
          <w:right w:val="single" w:sz="6" w:space="1" w:color="auto"/>
        </w:pBdr>
        <w:jc w:val="both"/>
        <w:rPr>
          <w:sz w:val="24"/>
          <w:szCs w:val="24"/>
        </w:rPr>
      </w:pPr>
      <w:r>
        <w:rPr>
          <w:noProof/>
        </w:rPr>
        <w:lastRenderedPageBreak/>
        <w:drawing>
          <wp:inline distT="0" distB="0" distL="0" distR="0" wp14:anchorId="475B009E" wp14:editId="4A5D9FD3">
            <wp:extent cx="1442720" cy="512698"/>
            <wp:effectExtent l="0" t="0" r="5080" b="1905"/>
            <wp:docPr id="304704350"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04350" name="Picture 1" descr="A close-up of a signature&#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497228" cy="532069"/>
                    </a:xfrm>
                    <a:prstGeom prst="rect">
                      <a:avLst/>
                    </a:prstGeom>
                    <a:noFill/>
                    <a:ln>
                      <a:noFill/>
                    </a:ln>
                  </pic:spPr>
                </pic:pic>
              </a:graphicData>
            </a:graphic>
          </wp:inline>
        </w:drawing>
      </w:r>
    </w:p>
    <w:p w14:paraId="1E970516" w14:textId="77777777" w:rsidR="004E2D7E" w:rsidRDefault="004E2D7E" w:rsidP="00FF7EBB">
      <w:pPr>
        <w:pBdr>
          <w:top w:val="single" w:sz="6" w:space="1" w:color="auto"/>
          <w:left w:val="single" w:sz="6" w:space="1" w:color="auto"/>
          <w:bottom w:val="single" w:sz="6" w:space="1" w:color="auto"/>
          <w:right w:val="single" w:sz="6" w:space="1" w:color="auto"/>
        </w:pBdr>
        <w:jc w:val="both"/>
        <w:rPr>
          <w:sz w:val="24"/>
          <w:szCs w:val="24"/>
        </w:rPr>
      </w:pPr>
    </w:p>
    <w:p w14:paraId="0F43EE71" w14:textId="3BBD3545" w:rsidR="004E2D7E" w:rsidRDefault="004E2D7E"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820A0C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w:t>
      </w:r>
      <w:r>
        <w:rPr>
          <w:sz w:val="24"/>
          <w:szCs w:val="24"/>
        </w:rPr>
        <w:t>Observer</w:t>
      </w:r>
      <w:r w:rsidRPr="008B28E7">
        <w:rPr>
          <w:sz w:val="24"/>
          <w:szCs w:val="24"/>
        </w:rPr>
        <w:t>)</w:t>
      </w:r>
    </w:p>
    <w:p w14:paraId="3ECBE8B7" w14:textId="401CF55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09F9BC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94344">
        <w:rPr>
          <w:sz w:val="24"/>
          <w:szCs w:val="24"/>
        </w:rPr>
        <w:t>06/10/25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22AF1732" w:rsidR="001B331A" w:rsidRDefault="001B331A" w:rsidP="00FF7EBB">
      <w:pPr>
        <w:ind w:right="180"/>
        <w:jc w:val="both"/>
        <w:rPr>
          <w:b/>
          <w:sz w:val="24"/>
          <w:szCs w:val="24"/>
        </w:rPr>
      </w:pPr>
    </w:p>
    <w:p w14:paraId="06645966" w14:textId="412C5106" w:rsidR="00335C41" w:rsidRDefault="00335C41" w:rsidP="00FF7EBB">
      <w:pPr>
        <w:ind w:right="180"/>
        <w:jc w:val="both"/>
        <w:rPr>
          <w:b/>
          <w:sz w:val="24"/>
          <w:szCs w:val="24"/>
        </w:rPr>
      </w:pPr>
    </w:p>
    <w:p w14:paraId="56D0616E" w14:textId="15FAC44D"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25F43B56" w14:textId="46DBBBC5" w:rsidR="004E2D7E" w:rsidRDefault="00335C41" w:rsidP="00335C41">
            <w:pPr>
              <w:ind w:right="180"/>
              <w:jc w:val="both"/>
              <w:rPr>
                <w:sz w:val="24"/>
                <w:szCs w:val="24"/>
              </w:rPr>
            </w:pPr>
            <w:r w:rsidRPr="00D3203C">
              <w:rPr>
                <w:sz w:val="24"/>
                <w:szCs w:val="24"/>
              </w:rPr>
              <w:t>Signed</w:t>
            </w:r>
            <w:r w:rsidR="00794344">
              <w:rPr>
                <w:sz w:val="24"/>
                <w:szCs w:val="24"/>
              </w:rPr>
              <w:t xml:space="preserve">: </w:t>
            </w:r>
            <w:r w:rsidR="004E2D7E">
              <w:rPr>
                <w:noProof/>
                <w:sz w:val="24"/>
                <w:szCs w:val="24"/>
              </w:rPr>
              <w:drawing>
                <wp:inline distT="0" distB="0" distL="0" distR="0" wp14:anchorId="1C05D917" wp14:editId="260271FD">
                  <wp:extent cx="1444625" cy="511810"/>
                  <wp:effectExtent l="0" t="0" r="3175" b="2540"/>
                  <wp:docPr id="440594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444625" cy="511810"/>
                          </a:xfrm>
                          <a:prstGeom prst="rect">
                            <a:avLst/>
                          </a:prstGeom>
                          <a:noFill/>
                        </pic:spPr>
                      </pic:pic>
                    </a:graphicData>
                  </a:graphic>
                </wp:inline>
              </w:drawing>
            </w:r>
          </w:p>
          <w:p w14:paraId="6198EF0C" w14:textId="77777777" w:rsidR="004E2D7E" w:rsidRDefault="004E2D7E" w:rsidP="00335C41">
            <w:pPr>
              <w:ind w:right="180"/>
              <w:jc w:val="both"/>
              <w:rPr>
                <w:sz w:val="24"/>
                <w:szCs w:val="24"/>
              </w:rPr>
            </w:pPr>
          </w:p>
          <w:p w14:paraId="12F66D0C" w14:textId="25950977" w:rsidR="00335C41" w:rsidRPr="00D3203C" w:rsidRDefault="00335C41" w:rsidP="00335C41">
            <w:pPr>
              <w:ind w:right="180"/>
              <w:jc w:val="both"/>
              <w:rPr>
                <w:sz w:val="24"/>
                <w:szCs w:val="24"/>
              </w:rPr>
            </w:pP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50BE4F86" w:rsidR="00335C41" w:rsidRPr="00D3203C" w:rsidRDefault="00335C41" w:rsidP="00335C41">
            <w:pPr>
              <w:ind w:right="180"/>
              <w:jc w:val="both"/>
              <w:rPr>
                <w:sz w:val="24"/>
                <w:szCs w:val="24"/>
              </w:rPr>
            </w:pPr>
            <w:r w:rsidRPr="00D3203C">
              <w:rPr>
                <w:sz w:val="24"/>
                <w:szCs w:val="24"/>
              </w:rPr>
              <w:t xml:space="preserve">Date </w:t>
            </w:r>
            <w:r w:rsidR="00794344">
              <w:rPr>
                <w:sz w:val="24"/>
                <w:szCs w:val="24"/>
              </w:rPr>
              <w:t xml:space="preserve"> 06/10/25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44BB4C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20896">
        <w:rPr>
          <w:caps/>
          <w:sz w:val="24"/>
          <w:szCs w:val="24"/>
        </w:rPr>
        <w:t>nicola Evans</w:t>
      </w:r>
    </w:p>
    <w:p w14:paraId="7C11F360" w14:textId="0683F5D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4E2D7E">
        <w:rPr>
          <w:noProof/>
        </w:rPr>
        <w:drawing>
          <wp:inline distT="0" distB="0" distL="0" distR="0" wp14:anchorId="1796D30C" wp14:editId="4929242D">
            <wp:extent cx="544412" cy="533476"/>
            <wp:effectExtent l="0" t="0" r="0" b="0"/>
            <wp:docPr id="1543243009" name="Picture 3" descr="image16218462147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awing 0" descr="image1621846214726.png"/>
                    <pic:cNvPicPr>
                      <a:picLocks noChangeAspect="1" noChangeArrowheads="1"/>
                    </pic:cNvPicPr>
                  </pic:nvPicPr>
                  <pic:blipFill>
                    <a:blip r:embed="rId38" r:link="rId39" cstate="print">
                      <a:extLst>
                        <a:ext uri="{28A0092B-C50C-407E-A947-70E740481C1C}">
                          <a14:useLocalDpi xmlns:a14="http://schemas.microsoft.com/office/drawing/2010/main" val="0"/>
                        </a:ext>
                      </a:extLst>
                    </a:blip>
                    <a:srcRect/>
                    <a:stretch>
                      <a:fillRect/>
                    </a:stretch>
                  </pic:blipFill>
                  <pic:spPr bwMode="auto">
                    <a:xfrm>
                      <a:off x="0" y="0"/>
                      <a:ext cx="550385" cy="539329"/>
                    </a:xfrm>
                    <a:prstGeom prst="rect">
                      <a:avLst/>
                    </a:prstGeom>
                    <a:noFill/>
                    <a:ln>
                      <a:noFill/>
                    </a:ln>
                  </pic:spPr>
                </pic:pic>
              </a:graphicData>
            </a:graphic>
          </wp:inline>
        </w:drawing>
      </w:r>
    </w:p>
    <w:p w14:paraId="57B2A00A" w14:textId="73459982"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20896">
        <w:rPr>
          <w:sz w:val="24"/>
          <w:szCs w:val="24"/>
        </w:rPr>
        <w:t>06/10/2025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AAE2A5D" w:rsidR="00D05A5D" w:rsidRPr="00DA5682" w:rsidRDefault="00794344" w:rsidP="00CC14B6">
            <w:pPr>
              <w:rPr>
                <w:sz w:val="24"/>
                <w:szCs w:val="24"/>
              </w:rPr>
            </w:pPr>
            <w:r>
              <w:rPr>
                <w:sz w:val="24"/>
                <w:szCs w:val="24"/>
              </w:rPr>
              <w:t xml:space="preserve">Ffion Howells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F1DF712" w:rsidR="00D05A5D" w:rsidRPr="00DA5682" w:rsidRDefault="00794344" w:rsidP="00CC14B6">
            <w:pPr>
              <w:rPr>
                <w:sz w:val="24"/>
                <w:szCs w:val="24"/>
              </w:rPr>
            </w:pPr>
            <w:r>
              <w:rPr>
                <w:sz w:val="24"/>
                <w:szCs w:val="24"/>
              </w:rPr>
              <w:t xml:space="preserve">Llanelli Assessment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61CB9EE" w:rsidR="00D05A5D" w:rsidRPr="00DA5682" w:rsidRDefault="00794344" w:rsidP="00CC14B6">
            <w:pPr>
              <w:rPr>
                <w:sz w:val="24"/>
                <w:szCs w:val="24"/>
              </w:rPr>
            </w:pPr>
            <w:r>
              <w:rPr>
                <w:sz w:val="24"/>
                <w:szCs w:val="24"/>
              </w:rPr>
              <w:t>Andrew Peters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871C39A" w:rsidR="00D05A5D" w:rsidRPr="00DA5682" w:rsidRDefault="00B20896" w:rsidP="00CC14B6">
            <w:pPr>
              <w:rPr>
                <w:sz w:val="24"/>
                <w:szCs w:val="24"/>
              </w:rPr>
            </w:pPr>
            <w:r>
              <w:rPr>
                <w:sz w:val="24"/>
                <w:szCs w:val="24"/>
              </w:rPr>
              <w:t xml:space="preserve">Nicola Evans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6C2CA05A" w14:textId="4327FD3F" w:rsidR="0024636C" w:rsidRDefault="00D05A5D" w:rsidP="00D05A5D">
      <w:pPr>
        <w:rPr>
          <w:sz w:val="24"/>
          <w:szCs w:val="24"/>
        </w:rPr>
      </w:pPr>
      <w:r w:rsidRPr="00DA5682">
        <w:rPr>
          <w:sz w:val="24"/>
          <w:szCs w:val="24"/>
        </w:rPr>
        <w:t>Signed</w:t>
      </w:r>
      <w:r w:rsidR="00B20896">
        <w:rPr>
          <w:sz w:val="24"/>
          <w:szCs w:val="24"/>
        </w:rPr>
        <w:t xml:space="preserve">: </w:t>
      </w:r>
      <w:r w:rsidR="0024636C">
        <w:rPr>
          <w:noProof/>
        </w:rPr>
        <w:drawing>
          <wp:inline distT="0" distB="0" distL="0" distR="0" wp14:anchorId="702B385E" wp14:editId="2ADD816A">
            <wp:extent cx="1379529" cy="724376"/>
            <wp:effectExtent l="0" t="0" r="0" b="0"/>
            <wp:docPr id="453175197" name="Picture 5"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889143" name="Picture 5" descr="A close up of a paper&#10;&#10;AI-generated content may be incorrect."/>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21359" r="-21359"/>
                    <a:stretch>
                      <a:fillRect/>
                    </a:stretch>
                  </pic:blipFill>
                  <pic:spPr bwMode="auto">
                    <a:xfrm>
                      <a:off x="0" y="0"/>
                      <a:ext cx="1384484" cy="726978"/>
                    </a:xfrm>
                    <a:prstGeom prst="rect">
                      <a:avLst/>
                    </a:prstGeom>
                    <a:noFill/>
                    <a:ln>
                      <a:noFill/>
                    </a:ln>
                  </pic:spPr>
                </pic:pic>
              </a:graphicData>
            </a:graphic>
          </wp:inline>
        </w:drawing>
      </w:r>
    </w:p>
    <w:p w14:paraId="22F59A2A" w14:textId="77777777" w:rsidR="0024636C" w:rsidRDefault="0024636C" w:rsidP="00D05A5D">
      <w:pPr>
        <w:rPr>
          <w:sz w:val="24"/>
          <w:szCs w:val="24"/>
        </w:rPr>
      </w:pPr>
    </w:p>
    <w:p w14:paraId="54445E51" w14:textId="07109A21" w:rsidR="004E2D7E" w:rsidRDefault="00B20896" w:rsidP="00D05A5D">
      <w:pPr>
        <w:rPr>
          <w:sz w:val="24"/>
          <w:szCs w:val="24"/>
        </w:rPr>
      </w:pPr>
      <w:r>
        <w:rPr>
          <w:sz w:val="24"/>
          <w:szCs w:val="24"/>
        </w:rPr>
        <w:t xml:space="preserve">    </w:t>
      </w:r>
    </w:p>
    <w:p w14:paraId="78BCB30F" w14:textId="4A024601" w:rsidR="00D05A5D" w:rsidRPr="00DA5682" w:rsidRDefault="00D05A5D" w:rsidP="00D05A5D">
      <w:pPr>
        <w:rPr>
          <w:sz w:val="24"/>
          <w:szCs w:val="24"/>
        </w:rPr>
      </w:pPr>
      <w:r w:rsidRPr="00DA5682">
        <w:rPr>
          <w:sz w:val="24"/>
          <w:szCs w:val="24"/>
        </w:rPr>
        <w:t>Print Name</w:t>
      </w:r>
      <w:r w:rsidR="00B20896">
        <w:rPr>
          <w:sz w:val="24"/>
          <w:szCs w:val="24"/>
        </w:rPr>
        <w:t xml:space="preserve">: Ffion Mai Howells </w:t>
      </w:r>
      <w:r w:rsidRPr="00DA5682">
        <w:rPr>
          <w:sz w:val="24"/>
          <w:szCs w:val="24"/>
        </w:rPr>
        <w:t xml:space="preserve"> Date</w:t>
      </w:r>
      <w:r w:rsidR="00B20896">
        <w:rPr>
          <w:sz w:val="24"/>
          <w:szCs w:val="24"/>
        </w:rPr>
        <w:t>: 09/10/25</w:t>
      </w:r>
    </w:p>
    <w:p w14:paraId="7A2E2EC8" w14:textId="2A84693A" w:rsidR="00D05A5D" w:rsidRDefault="00D05A5D" w:rsidP="00D05A5D">
      <w:pPr>
        <w:rPr>
          <w:sz w:val="24"/>
          <w:szCs w:val="24"/>
        </w:rPr>
      </w:pPr>
      <w:r w:rsidRPr="00DA5682">
        <w:rPr>
          <w:sz w:val="24"/>
          <w:szCs w:val="24"/>
        </w:rPr>
        <w:t>(Learner)</w:t>
      </w:r>
    </w:p>
    <w:p w14:paraId="584AD60B" w14:textId="77777777" w:rsidR="004E2D7E" w:rsidRPr="00DA5682" w:rsidRDefault="004E2D7E" w:rsidP="00D05A5D">
      <w:pPr>
        <w:rPr>
          <w:sz w:val="24"/>
          <w:szCs w:val="24"/>
        </w:rPr>
      </w:pPr>
    </w:p>
    <w:p w14:paraId="58C5A890" w14:textId="34C59828" w:rsidR="00D05A5D" w:rsidRPr="00DA5682" w:rsidRDefault="004E2D7E" w:rsidP="00D05A5D">
      <w:pPr>
        <w:rPr>
          <w:sz w:val="24"/>
          <w:szCs w:val="24"/>
        </w:rPr>
      </w:pPr>
      <w:r>
        <w:rPr>
          <w:noProof/>
        </w:rPr>
        <w:drawing>
          <wp:anchor distT="0" distB="0" distL="114300" distR="114300" simplePos="0" relativeHeight="251658240" behindDoc="1" locked="0" layoutInCell="1" allowOverlap="1" wp14:anchorId="00BE7703" wp14:editId="13A8AE08">
            <wp:simplePos x="0" y="0"/>
            <wp:positionH relativeFrom="column">
              <wp:posOffset>904900</wp:posOffset>
            </wp:positionH>
            <wp:positionV relativeFrom="paragraph">
              <wp:posOffset>86676</wp:posOffset>
            </wp:positionV>
            <wp:extent cx="570230" cy="558800"/>
            <wp:effectExtent l="0" t="0" r="0" b="0"/>
            <wp:wrapTight wrapText="bothSides">
              <wp:wrapPolygon edited="0">
                <wp:start x="2886" y="4418"/>
                <wp:lineTo x="0" y="8100"/>
                <wp:lineTo x="0" y="10309"/>
                <wp:lineTo x="18040" y="10309"/>
                <wp:lineTo x="18762" y="6627"/>
                <wp:lineTo x="5773" y="4418"/>
                <wp:lineTo x="2886" y="4418"/>
              </wp:wrapPolygon>
            </wp:wrapTight>
            <wp:docPr id="1568609160" name="Picture 4" descr="image16218462147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awing 0" descr="image1621846214726.png"/>
                    <pic:cNvPicPr>
                      <a:picLocks noChangeAspect="1" noChangeArrowheads="1"/>
                    </pic:cNvPicPr>
                  </pic:nvPicPr>
                  <pic:blipFill>
                    <a:blip r:embed="rId40" r:link="rId39" cstate="print">
                      <a:extLst>
                        <a:ext uri="{28A0092B-C50C-407E-A947-70E740481C1C}">
                          <a14:useLocalDpi xmlns:a14="http://schemas.microsoft.com/office/drawing/2010/main" val="0"/>
                        </a:ext>
                      </a:extLst>
                    </a:blip>
                    <a:srcRect/>
                    <a:stretch>
                      <a:fillRect/>
                    </a:stretch>
                  </pic:blipFill>
                  <pic:spPr bwMode="auto">
                    <a:xfrm>
                      <a:off x="0" y="0"/>
                      <a:ext cx="570230" cy="558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3FA4E6" w14:textId="4EC7DB51" w:rsidR="004E2D7E" w:rsidRDefault="00D05A5D" w:rsidP="00D05A5D">
      <w:pPr>
        <w:rPr>
          <w:sz w:val="24"/>
          <w:szCs w:val="24"/>
        </w:rPr>
      </w:pPr>
      <w:r w:rsidRPr="00DA5682">
        <w:rPr>
          <w:sz w:val="24"/>
          <w:szCs w:val="24"/>
        </w:rPr>
        <w:t>Signed</w:t>
      </w:r>
      <w:r w:rsidR="00B20896">
        <w:rPr>
          <w:sz w:val="24"/>
          <w:szCs w:val="24"/>
        </w:rPr>
        <w:t xml:space="preserve">: </w:t>
      </w:r>
    </w:p>
    <w:p w14:paraId="2497CE4A" w14:textId="77777777" w:rsidR="004E2D7E" w:rsidRDefault="004E2D7E" w:rsidP="00D05A5D">
      <w:pPr>
        <w:rPr>
          <w:sz w:val="24"/>
          <w:szCs w:val="24"/>
        </w:rPr>
      </w:pPr>
    </w:p>
    <w:p w14:paraId="31E08A88" w14:textId="37641B41" w:rsidR="00D05A5D" w:rsidRPr="00DA5682" w:rsidRDefault="00D05A5D" w:rsidP="00D05A5D">
      <w:pPr>
        <w:rPr>
          <w:sz w:val="24"/>
          <w:szCs w:val="24"/>
        </w:rPr>
      </w:pPr>
      <w:r w:rsidRPr="00DA5682">
        <w:rPr>
          <w:sz w:val="24"/>
          <w:szCs w:val="24"/>
        </w:rPr>
        <w:t>Print Name</w:t>
      </w:r>
      <w:r w:rsidR="00B20896">
        <w:rPr>
          <w:sz w:val="24"/>
          <w:szCs w:val="24"/>
        </w:rPr>
        <w:t xml:space="preserve">: Nicola Evans   </w:t>
      </w:r>
      <w:r w:rsidR="00B20896" w:rsidRPr="00DA5682">
        <w:rPr>
          <w:sz w:val="24"/>
          <w:szCs w:val="24"/>
        </w:rPr>
        <w:t xml:space="preserve"> </w:t>
      </w:r>
      <w:r w:rsidRPr="00DA5682">
        <w:rPr>
          <w:sz w:val="24"/>
          <w:szCs w:val="24"/>
        </w:rPr>
        <w:t>Date:</w:t>
      </w:r>
      <w:r w:rsidR="00B20896">
        <w:rPr>
          <w:sz w:val="24"/>
          <w:szCs w:val="24"/>
        </w:rPr>
        <w:t xml:space="preserve"> 09/10/24</w:t>
      </w:r>
    </w:p>
    <w:p w14:paraId="0E2F64AB" w14:textId="77777777" w:rsidR="00D05A5D" w:rsidRDefault="00D05A5D" w:rsidP="00D05A5D">
      <w:pPr>
        <w:rPr>
          <w:sz w:val="24"/>
          <w:szCs w:val="24"/>
        </w:rPr>
      </w:pPr>
      <w:r w:rsidRPr="00DA5682">
        <w:rPr>
          <w:sz w:val="24"/>
          <w:szCs w:val="24"/>
        </w:rPr>
        <w:t>(Line Manager/Mentor)</w:t>
      </w:r>
    </w:p>
    <w:p w14:paraId="6F67C6E1" w14:textId="77777777" w:rsidR="004E2D7E" w:rsidRPr="00DA5682" w:rsidRDefault="004E2D7E" w:rsidP="00D05A5D">
      <w:pPr>
        <w:rPr>
          <w:sz w:val="24"/>
          <w:szCs w:val="24"/>
        </w:rPr>
      </w:pPr>
    </w:p>
    <w:p w14:paraId="4B359EC1" w14:textId="77777777" w:rsidR="00D05A5D" w:rsidRPr="00DA5682" w:rsidRDefault="00D05A5D" w:rsidP="00D05A5D">
      <w:pPr>
        <w:rPr>
          <w:sz w:val="24"/>
          <w:szCs w:val="24"/>
        </w:rPr>
      </w:pPr>
    </w:p>
    <w:p w14:paraId="43E3CA73" w14:textId="12DB827E" w:rsidR="004E2D7E" w:rsidRDefault="00D05A5D" w:rsidP="00D05A5D">
      <w:pPr>
        <w:rPr>
          <w:sz w:val="24"/>
          <w:szCs w:val="24"/>
        </w:rPr>
      </w:pPr>
      <w:r w:rsidRPr="00DA5682">
        <w:rPr>
          <w:sz w:val="24"/>
          <w:szCs w:val="24"/>
        </w:rPr>
        <w:t>Signed:</w:t>
      </w:r>
      <w:r w:rsidR="00B20896">
        <w:rPr>
          <w:sz w:val="24"/>
          <w:szCs w:val="24"/>
        </w:rPr>
        <w:t xml:space="preserve"> </w:t>
      </w:r>
      <w:r w:rsidR="004E2D7E">
        <w:rPr>
          <w:noProof/>
          <w:sz w:val="24"/>
          <w:szCs w:val="24"/>
        </w:rPr>
        <w:drawing>
          <wp:inline distT="0" distB="0" distL="0" distR="0" wp14:anchorId="0A29DC71" wp14:editId="392FFBFE">
            <wp:extent cx="1444625" cy="511810"/>
            <wp:effectExtent l="0" t="0" r="3175" b="2540"/>
            <wp:docPr id="2102227483" name="Picture 2" descr="A letter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27483" name="Picture 2" descr="A letter on a white surface&#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444625" cy="511810"/>
                    </a:xfrm>
                    <a:prstGeom prst="rect">
                      <a:avLst/>
                    </a:prstGeom>
                    <a:noFill/>
                  </pic:spPr>
                </pic:pic>
              </a:graphicData>
            </a:graphic>
          </wp:inline>
        </w:drawing>
      </w:r>
    </w:p>
    <w:p w14:paraId="41F5EEEB" w14:textId="77777777" w:rsidR="004E2D7E" w:rsidRDefault="004E2D7E" w:rsidP="00D05A5D">
      <w:pPr>
        <w:rPr>
          <w:sz w:val="24"/>
          <w:szCs w:val="24"/>
        </w:rPr>
      </w:pPr>
    </w:p>
    <w:p w14:paraId="63183983" w14:textId="484CC30E" w:rsidR="00D05A5D" w:rsidRPr="00DA5682" w:rsidRDefault="00D05A5D" w:rsidP="00D05A5D">
      <w:pPr>
        <w:rPr>
          <w:sz w:val="24"/>
          <w:szCs w:val="24"/>
        </w:rPr>
      </w:pPr>
      <w:r w:rsidRPr="00DA5682">
        <w:rPr>
          <w:sz w:val="24"/>
          <w:szCs w:val="24"/>
        </w:rPr>
        <w:t xml:space="preserve"> Print Name:</w:t>
      </w:r>
      <w:r w:rsidR="00B20896">
        <w:rPr>
          <w:sz w:val="24"/>
          <w:szCs w:val="24"/>
        </w:rPr>
        <w:t xml:space="preserve"> Andrew Peters </w:t>
      </w:r>
      <w:r w:rsidRPr="00DA5682">
        <w:rPr>
          <w:sz w:val="24"/>
          <w:szCs w:val="24"/>
        </w:rPr>
        <w:t>Date</w:t>
      </w:r>
      <w:r w:rsidR="00B20896">
        <w:rPr>
          <w:sz w:val="24"/>
          <w:szCs w:val="24"/>
        </w:rPr>
        <w:t>: 09/10/24</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1"/>
      <w:footerReference w:type="default" r:id="rId4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77B07"/>
    <w:rsid w:val="0019496C"/>
    <w:rsid w:val="001961CF"/>
    <w:rsid w:val="00196CFA"/>
    <w:rsid w:val="001A59BB"/>
    <w:rsid w:val="001A607E"/>
    <w:rsid w:val="001A6A51"/>
    <w:rsid w:val="001A79C4"/>
    <w:rsid w:val="001B331A"/>
    <w:rsid w:val="001C0237"/>
    <w:rsid w:val="001C0E74"/>
    <w:rsid w:val="001C4DB8"/>
    <w:rsid w:val="001C50B8"/>
    <w:rsid w:val="001D229F"/>
    <w:rsid w:val="001D5C63"/>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636C"/>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18AB"/>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2D7E"/>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4344"/>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0896"/>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1924"/>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3053"/>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1140"/>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0813"/>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2B18AB"/>
    <w:rPr>
      <w:color w:val="605E5C"/>
      <w:shd w:val="clear" w:color="auto" w:fill="E1DFDD"/>
    </w:rPr>
  </w:style>
  <w:style w:type="character" w:styleId="Emphasis">
    <w:name w:val="Emphasis"/>
    <w:basedOn w:val="DefaultParagraphFont"/>
    <w:uiPriority w:val="20"/>
    <w:qFormat/>
    <w:rsid w:val="002B18A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9331849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4179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gecymru.wales/siteassets/documents/information-guides-and-factsheets/fs78w.pdf" TargetMode="External"/><Relationship Id="rId18" Type="http://schemas.openxmlformats.org/officeDocument/2006/relationships/hyperlink" Target="https://safeguardingboard.wales/wp-content/uploads/sites/8/2018/12/NISB-Practitioners-Guide-final.pdf" TargetMode="External"/><Relationship Id="rId26" Type="http://schemas.openxmlformats.org/officeDocument/2006/relationships/hyperlink" Target="https://socialcare.wales/cms-assets/documents/Code-of-Professional-Practice-for-Social-Care-web-version.pdf" TargetMode="External"/><Relationship Id="rId39" Type="http://schemas.openxmlformats.org/officeDocument/2006/relationships/image" Target="cid:image001.png@01DC376E.92CFBB90" TargetMode="External"/><Relationship Id="rId3" Type="http://schemas.openxmlformats.org/officeDocument/2006/relationships/customXml" Target="../customXml/item3.xml"/><Relationship Id="rId21" Type="http://schemas.openxmlformats.org/officeDocument/2006/relationships/hyperlink" Target="https://www.legislation.gov.uk/ukpga/2005/9/contents" TargetMode="External"/><Relationship Id="rId34" Type="http://schemas.openxmlformats.org/officeDocument/2006/relationships/hyperlink" Target="https://www.carmarthenshire.gov.wales/business/development-and-investment/town-centres/llanelli/" TargetMode="External"/><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FMHowells@carmarthenshire.gov.uk" TargetMode="External"/><Relationship Id="rId17" Type="http://schemas.openxmlformats.org/officeDocument/2006/relationships/hyperlink" Target="https://www.gov.uk/government/publications/working-together-to-safeguard-children" TargetMode="External"/><Relationship Id="rId25" Type="http://schemas.openxmlformats.org/officeDocument/2006/relationships/hyperlink" Target="https://learning.nspcc.org.uk/child-protection-system/gillick-competence-fraser-guidelines" TargetMode="External"/><Relationship Id="rId33" Type="http://schemas.openxmlformats.org/officeDocument/2006/relationships/hyperlink" Target="https://law.gov.wales/culture/welsh-language/welsh-language-wales-measure-2011" TargetMode="External"/><Relationship Id="rId38"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socialcare.wales/cms-assets/documents/Different-Words-Different-Worlds.pdf" TargetMode="External"/><Relationship Id="rId20" Type="http://schemas.openxmlformats.org/officeDocument/2006/relationships/hyperlink" Target="https://insightcollective.socialcare.wales/evidence-summaries/communicating-with-families-in-difficult-situations" TargetMode="External"/><Relationship Id="rId29" Type="http://schemas.openxmlformats.org/officeDocument/2006/relationships/hyperlink" Target="https://www.gov.wales/childrens-rights-in-wales"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social-care-and-support/making-decisions-for-someone-else/mental-capacity-act/" TargetMode="External"/><Relationship Id="rId32" Type="http://schemas.openxmlformats.org/officeDocument/2006/relationships/hyperlink" Target="https://law.gov.wales/public-services/social-care/social-services-and-well-being-wales-act-2014?utm_source=chatgpt.com" TargetMode="External"/><Relationship Id="rId37" Type="http://schemas.openxmlformats.org/officeDocument/2006/relationships/image" Target="media/image4.png"/><Relationship Id="rId40"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hyperlink" Target="https://www.lukeclements.co.uk/wp-content/uploads/2023/09/Wales-SS-Well-being-Act-35-2022.pdf" TargetMode="External"/><Relationship Id="rId23" Type="http://schemas.openxmlformats.org/officeDocument/2006/relationships/hyperlink" Target="https://cambspborochildrenshealth.nhs.uk/services/cambridgeshire-and-peterborough-safeguarding-people/for-parents-and-carers-child-protection-medical-assessment/" TargetMode="External"/><Relationship Id="rId28" Type="http://schemas.openxmlformats.org/officeDocument/2006/relationships/hyperlink" Target="https://www.legislation.gov.uk/ukpga/1989/41/contents" TargetMode="External"/><Relationship Id="rId36"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hyperlink" Target="https://www.legislation.gov.uk/ukpga/1998/42/contents" TargetMode="External"/><Relationship Id="rId31" Type="http://schemas.openxmlformats.org/officeDocument/2006/relationships/hyperlink" Target="https://www.safeguarding.wales/en/chi-i/chi-i-c3pt1/c3pt1-p8/"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ukeclements.co.uk/rhydian-social-welfare-law-in-wales/safeguarding/" TargetMode="External"/><Relationship Id="rId22" Type="http://schemas.openxmlformats.org/officeDocument/2006/relationships/hyperlink" Target="https://www.gov.wales/more-just-words-annual-report-2022-2023" TargetMode="External"/><Relationship Id="rId27" Type="http://schemas.openxmlformats.org/officeDocument/2006/relationships/hyperlink" Target="https://www.legislation.gov.uk/anaw/2014/4/contents" TargetMode="External"/><Relationship Id="rId30" Type="http://schemas.openxmlformats.org/officeDocument/2006/relationships/hyperlink" Target="https://www.safeguarding.wales/en/chi-i/chi-i-c3pt1/c3pt1-p10/" TargetMode="External"/><Relationship Id="rId35" Type="http://schemas.openxmlformats.org/officeDocument/2006/relationships/image" Target="media/image2.jpe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8F2F36C0-40F8-4498-AA6B-A85691B72482}">
  <ds:schemaRefs>
    <ds:schemaRef ds:uri="http://purl.org/dc/dcmitype/"/>
    <ds:schemaRef ds:uri="http://schemas.microsoft.com/office/infopath/2007/PartnerControls"/>
    <ds:schemaRef ds:uri="http://purl.org/dc/elements/1.1/"/>
    <ds:schemaRef ds:uri="http://schemas.microsoft.com/office/2006/documentManagement/types"/>
    <ds:schemaRef ds:uri="26efbe58-47b3-4718-9b64-083ac342c32b"/>
    <ds:schemaRef ds:uri="http://purl.org/dc/terms/"/>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BFC7E3D-8FFB-47AD-B2E9-39E9590209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4544</Words>
  <Characters>28056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Ffion M Howells</cp:lastModifiedBy>
  <cp:revision>2</cp:revision>
  <cp:lastPrinted>2020-02-11T19:20:00Z</cp:lastPrinted>
  <dcterms:created xsi:type="dcterms:W3CDTF">2025-10-07T09:04:00Z</dcterms:created>
  <dcterms:modified xsi:type="dcterms:W3CDTF">2025-10-07T09:04:00Z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