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9DE" w:rsidRPr="00CD39DE" w:rsidRDefault="00CD39DE" w:rsidP="00CD39DE">
      <w:pPr>
        <w:spacing w:before="100" w:beforeAutospacing="1" w:after="100" w:afterAutospacing="1"/>
        <w:jc w:val="center"/>
        <w:rPr>
          <w:rFonts w:ascii="Arial" w:eastAsia="Times New Roman" w:hAnsi="Arial" w:cs="Arial"/>
        </w:rPr>
      </w:pPr>
      <w:bookmarkStart w:id="0" w:name="_GoBack"/>
      <w:r w:rsidRPr="00CD39DE">
        <w:rPr>
          <w:rFonts w:ascii="Arial" w:eastAsia="Times New Roman" w:hAnsi="Arial" w:cs="Arial"/>
          <w:b/>
          <w:bCs/>
          <w:color w:val="FF914D"/>
          <w:spacing w:val="-5"/>
          <w:sz w:val="64"/>
          <w:szCs w:val="64"/>
        </w:rPr>
        <w:t>About Me...</w:t>
      </w:r>
    </w:p>
    <w:p w:rsidR="00CD39DE" w:rsidRPr="00CD39DE" w:rsidRDefault="00CD39DE" w:rsidP="00CD39DE">
      <w:pPr>
        <w:spacing w:before="100" w:beforeAutospacing="1" w:after="100" w:afterAutospacing="1"/>
        <w:jc w:val="center"/>
        <w:rPr>
          <w:rFonts w:ascii="Arial" w:eastAsia="Times New Roman" w:hAnsi="Arial" w:cs="Arial"/>
        </w:rPr>
      </w:pPr>
      <w:r w:rsidRPr="00CD39DE">
        <w:rPr>
          <w:rFonts w:ascii="Arial" w:eastAsia="Times New Roman" w:hAnsi="Arial" w:cs="Arial"/>
          <w:color w:val="000000"/>
        </w:rPr>
        <w:t xml:space="preserve">Hi, I'm Amy. I am a 25 year old from South Wales. </w:t>
      </w:r>
      <w:r w:rsidRPr="00CD39DE">
        <w:rPr>
          <w:rFonts w:ascii="Apple Color Emoji" w:eastAsia="Times New Roman" w:hAnsi="Apple Color Emoji" w:cs="Apple Color Emoji"/>
          <w:color w:val="000000"/>
        </w:rPr>
        <w:t>🏴󠁧󠁢󠁷󠁬󠁳󠁿</w:t>
      </w:r>
    </w:p>
    <w:p w:rsidR="00CD39DE" w:rsidRPr="00CD39DE" w:rsidRDefault="00CD39DE" w:rsidP="00CD39DE">
      <w:pPr>
        <w:spacing w:before="100" w:beforeAutospacing="1" w:after="100" w:afterAutospacing="1"/>
        <w:jc w:val="center"/>
        <w:rPr>
          <w:rFonts w:ascii="Arial" w:eastAsia="Times New Roman" w:hAnsi="Arial" w:cs="Arial"/>
        </w:rPr>
      </w:pPr>
      <w:r w:rsidRPr="00CD39DE">
        <w:rPr>
          <w:rFonts w:ascii="Arial" w:eastAsia="Times New Roman" w:hAnsi="Arial" w:cs="Arial"/>
          <w:color w:val="000000"/>
        </w:rPr>
        <w:t xml:space="preserve">I currently work in HR as a HR Officer for a food manufacturer after completing my Human Resource Management degree in 2020. </w:t>
      </w:r>
      <w:r w:rsidRPr="00CD39DE">
        <w:rPr>
          <w:rFonts w:ascii="Apple Color Emoji" w:eastAsia="Times New Roman" w:hAnsi="Apple Color Emoji" w:cs="Apple Color Emoji"/>
          <w:color w:val="000000"/>
        </w:rPr>
        <w:t>🎓</w:t>
      </w:r>
    </w:p>
    <w:p w:rsidR="00CD39DE" w:rsidRPr="00CD39DE" w:rsidRDefault="00CD39DE" w:rsidP="00CD39DE">
      <w:pPr>
        <w:spacing w:before="100" w:beforeAutospacing="1" w:after="100" w:afterAutospacing="1"/>
        <w:jc w:val="center"/>
        <w:rPr>
          <w:rFonts w:ascii="Arial" w:eastAsia="Times New Roman" w:hAnsi="Arial" w:cs="Arial"/>
        </w:rPr>
      </w:pPr>
      <w:r w:rsidRPr="00CD39DE">
        <w:rPr>
          <w:rFonts w:ascii="Arial" w:eastAsia="Times New Roman" w:hAnsi="Arial" w:cs="Arial"/>
          <w:color w:val="000000"/>
        </w:rPr>
        <w:t xml:space="preserve">I have been working in HR in some capacity for around 6 years and am looking to progress in my career. I am currently studying to achieve me CIPD Level 7 to help me do so. </w:t>
      </w:r>
      <w:r w:rsidRPr="00CD39DE">
        <w:rPr>
          <w:rFonts w:ascii="Apple Color Emoji" w:eastAsia="Times New Roman" w:hAnsi="Apple Color Emoji" w:cs="Apple Color Emoji"/>
          <w:color w:val="000000"/>
        </w:rPr>
        <w:t>📚</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64"/>
          <w:szCs w:val="64"/>
        </w:rPr>
        <w:t>Gibbs Reflective Model</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As part of this reflective portfolio, I have used Gibbs' Model of reflection to demonstrate I have used the core behaviours from the CIPD.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The eight core behaviours are:</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Ethical Practice.</w:t>
      </w:r>
      <w:r w:rsidRPr="00CD39DE">
        <w:rPr>
          <w:rFonts w:ascii="Arial" w:eastAsia="Times New Roman" w:hAnsi="Arial" w:cs="Arial"/>
          <w:color w:val="000000"/>
        </w:rPr>
        <w:t> </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Professional Courage and Influence</w:t>
      </w:r>
      <w:r w:rsidRPr="00CD39DE">
        <w:rPr>
          <w:rFonts w:ascii="Arial" w:eastAsia="Times New Roman" w:hAnsi="Arial" w:cs="Arial"/>
          <w:color w:val="000000"/>
        </w:rPr>
        <w:t>.  </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hyperlink r:id="rId5" w:history="1">
        <w:r w:rsidRPr="00CD39DE">
          <w:rPr>
            <w:rFonts w:ascii="Arial" w:eastAsia="Times New Roman" w:hAnsi="Arial" w:cs="Arial"/>
            <w:i/>
            <w:iCs/>
            <w:color w:val="000000"/>
            <w:u w:val="single"/>
          </w:rPr>
          <w:t>Valuing People</w:t>
        </w:r>
      </w:hyperlink>
      <w:r w:rsidRPr="00CD39DE">
        <w:rPr>
          <w:rFonts w:ascii="Arial" w:eastAsia="Times New Roman" w:hAnsi="Arial" w:cs="Arial"/>
          <w:i/>
          <w:iCs/>
          <w:color w:val="000000"/>
        </w:rPr>
        <w:t>.</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Working Inclusively.</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Passion for Learning.</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 Insights Focused.</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Situational Decision-making.</w:t>
      </w:r>
    </w:p>
    <w:p w:rsidR="00CD39DE" w:rsidRPr="00CD39DE" w:rsidRDefault="00CD39DE" w:rsidP="00CD39DE">
      <w:pPr>
        <w:numPr>
          <w:ilvl w:val="0"/>
          <w:numId w:val="1"/>
        </w:numPr>
        <w:spacing w:before="100" w:beforeAutospacing="1" w:after="100" w:afterAutospacing="1"/>
        <w:ind w:left="0"/>
        <w:rPr>
          <w:rFonts w:ascii="Arial" w:eastAsia="Times New Roman" w:hAnsi="Arial" w:cs="Arial"/>
        </w:rPr>
      </w:pPr>
      <w:r w:rsidRPr="00CD39DE">
        <w:rPr>
          <w:rFonts w:ascii="Arial" w:eastAsia="Times New Roman" w:hAnsi="Arial" w:cs="Arial"/>
          <w:i/>
          <w:iCs/>
          <w:color w:val="000000"/>
        </w:rPr>
        <w:t>Commercial Drive.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What Happened?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Conducting a staff forum for employees to express their concerns and opinions on their role and the business, encourages voice and well-being (CIPD D, 2022). Last month I conducted a staff forum for the employees, obtaining representatives from each shift to feedback thoughts and issues employees are facing. This will allow the business to delve deeper into these issues and attempt to improve them for employee engagement as well as encouraging inclusivity with workplace decisions (ACAS, 2022). This included staff from the production team, warehouse team, offices as well as a number of the management team.</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How did I Feel?</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As this was the first staff forum of the year, I was conscious that there may be a low turnout of staff and had the worry that they may not contribute to the meeting, listening only to the presentation that was given. I also felt nervous that the staff may have a negative attitude towards the meeting as they are unaware of what to expect and what would be the outcome of the meeting. As this was one of the first staff </w:t>
      </w:r>
      <w:r w:rsidRPr="00CD39DE">
        <w:rPr>
          <w:rFonts w:ascii="Arial" w:eastAsia="Times New Roman" w:hAnsi="Arial" w:cs="Arial"/>
          <w:color w:val="000000"/>
        </w:rPr>
        <w:lastRenderedPageBreak/>
        <w:t xml:space="preserve">forums, I was aware that the employees attending the forum would likely demonstrate a lack of trust in the business. However, as member of the HR department, that has a regular shop floor presence, I went into the forum feeling positive that I could engage with the employees so I could understand their needs and potential ways in which I could improve their workplace experience, changing their mindset (CIPD, 2022).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What was Good and Bad?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Reflecting on the forum, I feel that it was engaging, with the topics of discussion sparking a number of conversations regarding improvements within the factory that would make staff feel more engaged and have a better working environment. During these discussions, I was reassuring staff and encouraging them to be completely honest during the forum as this is an environment where the business can look at addressing issues within the factory. Staff were then open and honest about problems they would like resolving within the business. This can help build the relationship between employer and employee as improvements based on these suggestions can encourage employees to trust and have confidence in the business (ACAS, 2022). However, not all of the representatives from the business attended the meeting, meaning we could have missed out on some key insights to how other departments feel about the given topics.</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Even though there was a positive turnout from the employees, there were only a small number who wanted to contribute ideas and thoughts to the forum. As they are representatives for their shifts, any information shared is on behalf of all employees within the factory. Naturally, the more contributions to the forum we get, the more beneficial it will become.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How can Theory Relate?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Within the situation where employees are raising problems to you, it is important to categorise those problems in the correct way before providing them with an answer (Snowden &amp; Boone, 2007). Many of the problems raised would not be categorised into the simple contexts as per the </w:t>
      </w:r>
      <w:proofErr w:type="spellStart"/>
      <w:r w:rsidRPr="00CD39DE">
        <w:rPr>
          <w:rFonts w:ascii="Arial" w:eastAsia="Times New Roman" w:hAnsi="Arial" w:cs="Arial"/>
          <w:color w:val="000000"/>
        </w:rPr>
        <w:t>Cynefin</w:t>
      </w:r>
      <w:proofErr w:type="spellEnd"/>
      <w:r w:rsidRPr="00CD39DE">
        <w:rPr>
          <w:rFonts w:ascii="Arial" w:eastAsia="Times New Roman" w:hAnsi="Arial" w:cs="Arial"/>
          <w:color w:val="000000"/>
        </w:rPr>
        <w:t xml:space="preserve"> Framework. “The </w:t>
      </w:r>
      <w:proofErr w:type="spellStart"/>
      <w:r w:rsidRPr="00CD39DE">
        <w:rPr>
          <w:rFonts w:ascii="Arial" w:eastAsia="Times New Roman" w:hAnsi="Arial" w:cs="Arial"/>
          <w:color w:val="000000"/>
        </w:rPr>
        <w:t>Cynefin</w:t>
      </w:r>
      <w:proofErr w:type="spellEnd"/>
      <w:r w:rsidRPr="00CD39DE">
        <w:rPr>
          <w:rFonts w:ascii="Arial" w:eastAsia="Times New Roman" w:hAnsi="Arial" w:cs="Arial"/>
          <w:color w:val="000000"/>
        </w:rPr>
        <w:t xml:space="preserve"> Framework is a model that helps to identify and implement appropriate procedures in different situations” (Stuart, 2020, p.25). There are four categories that problems can be divided into, Simple, complicated, complex and chaotic and each have different solutions (Snowden &amp; Boone, 2007)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As I am a HR professional and do not work within the production environment, a number of the problems raised would fall within the complicated contexts of the framework meaning I would need to obtain advice and feedback from management within the production team in order to respond correctly to the employees. This left me feeling uneasy and nervous as I was not able to give the employees a straight answer to some of their questions and problems. However, it was important to reassure the employees I would take their feedback and obtain answers from the relevant managers ahead of the next forum. This would hopefully give them trust in me that I will act on their feedback.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lastRenderedPageBreak/>
        <w:t xml:space="preserve">On the next forum, I think it would be beneficial to have the Operations manager there as he is an expert in that field. This means that he would be able to give more detailed feedback on some of the issues that were raised than a HR professional that does not work within the production environment. Lee et al., (2010) suggests that involving a number of stakeholders in meetings can result in improved organisational performance by encouraging trust amongst stakeholders such as the employees at the forum.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Conclusion</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The staff forum enables me to create a ‘sense of team spirit and purpose’ within the group and allow them to have a voice when discussing their wellbeing (CIPD A, 2022). I was able to encourage that issues raised at the forum will be taken into consideration and feedback will be given at the next forum. This will give the employees the confidence and trust in me that the business will implement change based on their feedback (Edwards &amp; Peccei, 2010).</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What Would I do Different Next Time?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By conducting this staff forum, I have learnt it is important to give employees the opportunity in an open room with their colleagues and the management team to discuss their frustrations within the business. Without this forum, the issues may not have been brought to the attention of the HR and management team and therefore not creating value (CIPD, 2022). While being in this meeting, it allowed me to focus on what the issues were and link them to how they impact overall business performance as a HR professional (CIPD, 2022).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Based on the fact that not all employees contributed to the meeting, it may have been an idea to ask each shift representatives separately if there was anything they wanted to discuss as opposed to the whole room, </w:t>
      </w:r>
      <w:proofErr w:type="spellStart"/>
      <w:r w:rsidRPr="00CD39DE">
        <w:rPr>
          <w:rFonts w:ascii="Arial" w:eastAsia="Times New Roman" w:hAnsi="Arial" w:cs="Arial"/>
          <w:color w:val="000000"/>
        </w:rPr>
        <w:t>give</w:t>
      </w:r>
      <w:proofErr w:type="spellEnd"/>
      <w:r w:rsidRPr="00CD39DE">
        <w:rPr>
          <w:rFonts w:ascii="Arial" w:eastAsia="Times New Roman" w:hAnsi="Arial" w:cs="Arial"/>
          <w:color w:val="000000"/>
        </w:rPr>
        <w:t xml:space="preserve"> the option to email me privately or even offer a drop in session in my office provided they wanted to discuss anything further. Furthermore, the operations manager was not at the meeting but it would have been very beneficial for me as a HR professional to obtain his feedback on a number of the points raised as well as the employees from production. This is something that can be introduced at the next staff forum.</w:t>
      </w:r>
    </w:p>
    <w:bookmarkEnd w:id="0"/>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000000"/>
          <w:sz w:val="36"/>
          <w:szCs w:val="36"/>
        </w:rPr>
        <w:t>References</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ACAS. (2022) </w:t>
      </w:r>
      <w:r w:rsidRPr="00CD39DE">
        <w:rPr>
          <w:rFonts w:ascii="Arial" w:eastAsia="Times New Roman" w:hAnsi="Arial" w:cs="Arial"/>
          <w:i/>
          <w:iCs/>
          <w:color w:val="000000"/>
          <w:sz w:val="20"/>
          <w:szCs w:val="20"/>
        </w:rPr>
        <w:t xml:space="preserve">Using workplace forums to discuss important matters at work. </w:t>
      </w:r>
      <w:r w:rsidRPr="00CD39DE">
        <w:rPr>
          <w:rFonts w:ascii="Arial" w:eastAsia="Times New Roman" w:hAnsi="Arial" w:cs="Arial"/>
          <w:color w:val="000000"/>
          <w:sz w:val="20"/>
          <w:szCs w:val="20"/>
        </w:rPr>
        <w:t xml:space="preserve">Available at: </w:t>
      </w:r>
      <w:hyperlink r:id="rId6" w:history="1">
        <w:r w:rsidRPr="00CD39DE">
          <w:rPr>
            <w:rFonts w:ascii="Arial" w:eastAsia="Times New Roman" w:hAnsi="Arial" w:cs="Arial"/>
            <w:color w:val="000000"/>
            <w:sz w:val="20"/>
            <w:szCs w:val="20"/>
            <w:u w:val="single"/>
          </w:rPr>
          <w:t>https://www.acas.org.uk/using-workplace-forums</w:t>
        </w:r>
      </w:hyperlink>
      <w:r w:rsidRPr="00CD39DE">
        <w:rPr>
          <w:rFonts w:ascii="Arial" w:eastAsia="Times New Roman" w:hAnsi="Arial" w:cs="Arial"/>
          <w:color w:val="000000"/>
          <w:sz w:val="20"/>
          <w:szCs w:val="20"/>
        </w:rPr>
        <w:t xml:space="preserve"> (Accessed: 6 Feb.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CIPD. (2022) </w:t>
      </w:r>
      <w:r w:rsidRPr="00CD39DE">
        <w:rPr>
          <w:rFonts w:ascii="Arial" w:eastAsia="Times New Roman" w:hAnsi="Arial" w:cs="Arial"/>
          <w:i/>
          <w:iCs/>
          <w:color w:val="000000"/>
          <w:sz w:val="20"/>
          <w:szCs w:val="20"/>
        </w:rPr>
        <w:t xml:space="preserve">Commercial Drive. </w:t>
      </w:r>
      <w:r w:rsidRPr="00CD39DE">
        <w:rPr>
          <w:rFonts w:ascii="Arial" w:eastAsia="Times New Roman" w:hAnsi="Arial" w:cs="Arial"/>
          <w:color w:val="000000"/>
          <w:sz w:val="20"/>
          <w:szCs w:val="20"/>
        </w:rPr>
        <w:t xml:space="preserve">Available at: </w:t>
      </w:r>
      <w:hyperlink r:id="rId7" w:history="1">
        <w:r w:rsidRPr="00CD39DE">
          <w:rPr>
            <w:rFonts w:ascii="Arial" w:eastAsia="Times New Roman" w:hAnsi="Arial" w:cs="Arial"/>
            <w:color w:val="000000"/>
            <w:sz w:val="20"/>
            <w:szCs w:val="20"/>
            <w:u w:val="single"/>
          </w:rPr>
          <w:t>https://peopleprofession.cipd.org/profession-map/core-behaviours/commercial-drive</w:t>
        </w:r>
      </w:hyperlink>
      <w:r w:rsidRPr="00CD39DE">
        <w:rPr>
          <w:rFonts w:ascii="Arial" w:eastAsia="Times New Roman" w:hAnsi="Arial" w:cs="Arial"/>
          <w:color w:val="000000"/>
          <w:sz w:val="20"/>
          <w:szCs w:val="20"/>
        </w:rPr>
        <w:t xml:space="preserve"> (Accessed: 1 Feb.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CIPD A. (2022) </w:t>
      </w:r>
      <w:r w:rsidRPr="00CD39DE">
        <w:rPr>
          <w:rFonts w:ascii="Arial" w:eastAsia="Times New Roman" w:hAnsi="Arial" w:cs="Arial"/>
          <w:i/>
          <w:iCs/>
          <w:color w:val="000000"/>
          <w:sz w:val="20"/>
          <w:szCs w:val="20"/>
        </w:rPr>
        <w:t xml:space="preserve">Valuing People. </w:t>
      </w:r>
      <w:r w:rsidRPr="00CD39DE">
        <w:rPr>
          <w:rFonts w:ascii="Arial" w:eastAsia="Times New Roman" w:hAnsi="Arial" w:cs="Arial"/>
          <w:color w:val="000000"/>
          <w:sz w:val="20"/>
          <w:szCs w:val="20"/>
        </w:rPr>
        <w:t xml:space="preserve">Available at: </w:t>
      </w:r>
      <w:hyperlink r:id="rId8" w:history="1">
        <w:r w:rsidRPr="00CD39DE">
          <w:rPr>
            <w:rFonts w:ascii="Arial" w:eastAsia="Times New Roman" w:hAnsi="Arial" w:cs="Arial"/>
            <w:color w:val="000000"/>
            <w:sz w:val="20"/>
            <w:szCs w:val="20"/>
            <w:u w:val="single"/>
          </w:rPr>
          <w:t>https://peopleprofession.cipd.org/profession-map/core-behaviours/valuing-people</w:t>
        </w:r>
      </w:hyperlink>
      <w:r w:rsidRPr="00CD39DE">
        <w:rPr>
          <w:rFonts w:ascii="Arial" w:eastAsia="Times New Roman" w:hAnsi="Arial" w:cs="Arial"/>
          <w:color w:val="000000"/>
          <w:sz w:val="20"/>
          <w:szCs w:val="20"/>
        </w:rPr>
        <w:t xml:space="preserve"> (Accessed: 1 Feb.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CIPD D. (2022) </w:t>
      </w:r>
      <w:r w:rsidRPr="00CD39DE">
        <w:rPr>
          <w:rFonts w:ascii="Arial" w:eastAsia="Times New Roman" w:hAnsi="Arial" w:cs="Arial"/>
          <w:i/>
          <w:iCs/>
          <w:color w:val="000000"/>
          <w:sz w:val="20"/>
          <w:szCs w:val="20"/>
        </w:rPr>
        <w:t xml:space="preserve">Employee Voice. </w:t>
      </w:r>
      <w:r w:rsidRPr="00CD39DE">
        <w:rPr>
          <w:rFonts w:ascii="Arial" w:eastAsia="Times New Roman" w:hAnsi="Arial" w:cs="Arial"/>
          <w:color w:val="000000"/>
          <w:sz w:val="20"/>
          <w:szCs w:val="20"/>
        </w:rPr>
        <w:t xml:space="preserve">Available at: </w:t>
      </w:r>
      <w:hyperlink r:id="rId9" w:history="1">
        <w:r w:rsidRPr="00CD39DE">
          <w:rPr>
            <w:rFonts w:ascii="Arial" w:eastAsia="Times New Roman" w:hAnsi="Arial" w:cs="Arial"/>
            <w:color w:val="000000"/>
            <w:sz w:val="20"/>
            <w:szCs w:val="20"/>
            <w:u w:val="single"/>
          </w:rPr>
          <w:t>https://www.cipd.co.uk/knowledge/fundamentals/relations/communication/voice-factsheet</w:t>
        </w:r>
      </w:hyperlink>
      <w:r w:rsidRPr="00CD39DE">
        <w:rPr>
          <w:rFonts w:ascii="Arial" w:eastAsia="Times New Roman" w:hAnsi="Arial" w:cs="Arial"/>
          <w:color w:val="000000"/>
          <w:sz w:val="20"/>
          <w:szCs w:val="20"/>
        </w:rPr>
        <w:t xml:space="preserve"> (Accessed: 10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lastRenderedPageBreak/>
        <w:t xml:space="preserve">Edwards, M. R., &amp; Peccei, R. (2010) </w:t>
      </w:r>
      <w:r w:rsidRPr="00CD39DE">
        <w:rPr>
          <w:rFonts w:ascii="Arial" w:eastAsia="Times New Roman" w:hAnsi="Arial" w:cs="Arial"/>
          <w:i/>
          <w:iCs/>
          <w:color w:val="000000"/>
          <w:sz w:val="20"/>
          <w:szCs w:val="20"/>
        </w:rPr>
        <w:t>Organizational trust and management communication as antecedents of employee involvement and participation.</w:t>
      </w:r>
      <w:r w:rsidRPr="00CD39DE">
        <w:rPr>
          <w:rFonts w:ascii="Arial" w:eastAsia="Times New Roman" w:hAnsi="Arial" w:cs="Arial"/>
          <w:color w:val="000000"/>
          <w:sz w:val="20"/>
          <w:szCs w:val="20"/>
        </w:rPr>
        <w:t xml:space="preserve"> Journal of Applied </w:t>
      </w:r>
      <w:proofErr w:type="spellStart"/>
      <w:r w:rsidRPr="00CD39DE">
        <w:rPr>
          <w:rFonts w:ascii="Arial" w:eastAsia="Times New Roman" w:hAnsi="Arial" w:cs="Arial"/>
          <w:color w:val="000000"/>
          <w:sz w:val="20"/>
          <w:szCs w:val="20"/>
        </w:rPr>
        <w:t>Behavioral</w:t>
      </w:r>
      <w:proofErr w:type="spellEnd"/>
      <w:r w:rsidRPr="00CD39DE">
        <w:rPr>
          <w:rFonts w:ascii="Arial" w:eastAsia="Times New Roman" w:hAnsi="Arial" w:cs="Arial"/>
          <w:color w:val="000000"/>
          <w:sz w:val="20"/>
          <w:szCs w:val="20"/>
        </w:rPr>
        <w:t xml:space="preserve"> Science, 46(3), 300-327</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Lee, K., Yoon, H., &amp; Lee, S. M. (2010) </w:t>
      </w:r>
      <w:r w:rsidRPr="00CD39DE">
        <w:rPr>
          <w:rFonts w:ascii="Arial" w:eastAsia="Times New Roman" w:hAnsi="Arial" w:cs="Arial"/>
          <w:i/>
          <w:iCs/>
          <w:color w:val="000000"/>
          <w:sz w:val="20"/>
          <w:szCs w:val="20"/>
        </w:rPr>
        <w:t>Stakeholder participation in strategic decision making: A service</w:t>
      </w:r>
      <w:r w:rsidRPr="00CD39DE">
        <w:rPr>
          <w:rFonts w:ascii="Cambria Math" w:eastAsia="Times New Roman" w:hAnsi="Cambria Math" w:cs="Cambria Math"/>
          <w:i/>
          <w:iCs/>
          <w:color w:val="000000"/>
          <w:sz w:val="20"/>
          <w:szCs w:val="20"/>
        </w:rPr>
        <w:t>‐</w:t>
      </w:r>
      <w:r w:rsidRPr="00CD39DE">
        <w:rPr>
          <w:rFonts w:ascii="Arial" w:eastAsia="Times New Roman" w:hAnsi="Arial" w:cs="Arial"/>
          <w:i/>
          <w:iCs/>
          <w:color w:val="000000"/>
          <w:sz w:val="20"/>
          <w:szCs w:val="20"/>
        </w:rPr>
        <w:t>dominant logic</w:t>
      </w:r>
      <w:r w:rsidRPr="00CD39DE">
        <w:rPr>
          <w:rFonts w:ascii="Cambria Math" w:eastAsia="Times New Roman" w:hAnsi="Cambria Math" w:cs="Cambria Math"/>
          <w:i/>
          <w:iCs/>
          <w:color w:val="000000"/>
          <w:sz w:val="20"/>
          <w:szCs w:val="20"/>
        </w:rPr>
        <w:t>‐</w:t>
      </w:r>
      <w:r w:rsidRPr="00CD39DE">
        <w:rPr>
          <w:rFonts w:ascii="Arial" w:eastAsia="Times New Roman" w:hAnsi="Arial" w:cs="Arial"/>
          <w:i/>
          <w:iCs/>
          <w:color w:val="000000"/>
          <w:sz w:val="20"/>
          <w:szCs w:val="20"/>
        </w:rPr>
        <w:t>based framework.</w:t>
      </w:r>
      <w:r w:rsidRPr="00CD39DE">
        <w:rPr>
          <w:rFonts w:ascii="Arial" w:eastAsia="Times New Roman" w:hAnsi="Arial" w:cs="Arial"/>
          <w:color w:val="000000"/>
          <w:sz w:val="20"/>
          <w:szCs w:val="20"/>
        </w:rPr>
        <w:t xml:space="preserve"> Journal of Service Management, 21(5), 629-649</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Snowden, D. &amp; Boone, E. (2007) </w:t>
      </w:r>
      <w:r w:rsidRPr="00CD39DE">
        <w:rPr>
          <w:rFonts w:ascii="Arial" w:eastAsia="Times New Roman" w:hAnsi="Arial" w:cs="Arial"/>
          <w:i/>
          <w:iCs/>
          <w:color w:val="000000"/>
          <w:sz w:val="20"/>
          <w:szCs w:val="20"/>
        </w:rPr>
        <w:t>A Leader’s Framework for Decision Making.</w:t>
      </w:r>
      <w:r w:rsidRPr="00CD39DE">
        <w:rPr>
          <w:rFonts w:ascii="Arial" w:eastAsia="Times New Roman" w:hAnsi="Arial" w:cs="Arial"/>
          <w:color w:val="000000"/>
          <w:sz w:val="20"/>
          <w:szCs w:val="20"/>
        </w:rPr>
        <w:t xml:space="preserve"> Available at: </w:t>
      </w:r>
      <w:hyperlink r:id="rId10" w:history="1">
        <w:r w:rsidRPr="00CD39DE">
          <w:rPr>
            <w:rFonts w:ascii="Arial" w:eastAsia="Times New Roman" w:hAnsi="Arial" w:cs="Arial"/>
            <w:color w:val="000000"/>
            <w:sz w:val="20"/>
            <w:szCs w:val="20"/>
            <w:u w:val="single"/>
          </w:rPr>
          <w:t>https://hbr.org/2007/11/a-leaders-framework-for-decision-making</w:t>
        </w:r>
      </w:hyperlink>
      <w:r w:rsidRPr="00CD39DE">
        <w:rPr>
          <w:rFonts w:ascii="Arial" w:eastAsia="Times New Roman" w:hAnsi="Arial" w:cs="Arial"/>
          <w:color w:val="000000"/>
          <w:sz w:val="20"/>
          <w:szCs w:val="20"/>
        </w:rPr>
        <w:t xml:space="preserve"> (Accessed: 7 Feb. 2023)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Stuart, C. (2020) </w:t>
      </w:r>
      <w:proofErr w:type="spellStart"/>
      <w:r w:rsidRPr="00CD39DE">
        <w:rPr>
          <w:rFonts w:ascii="Arial" w:eastAsia="Times New Roman" w:hAnsi="Arial" w:cs="Arial"/>
          <w:i/>
          <w:iCs/>
          <w:color w:val="000000"/>
          <w:sz w:val="20"/>
          <w:szCs w:val="20"/>
        </w:rPr>
        <w:t>Cynefin</w:t>
      </w:r>
      <w:proofErr w:type="spellEnd"/>
      <w:r w:rsidRPr="00CD39DE">
        <w:rPr>
          <w:rFonts w:ascii="Arial" w:eastAsia="Times New Roman" w:hAnsi="Arial" w:cs="Arial"/>
          <w:i/>
          <w:iCs/>
          <w:color w:val="000000"/>
          <w:sz w:val="20"/>
          <w:szCs w:val="20"/>
        </w:rPr>
        <w:t xml:space="preserve">-Framework as a Guide to Agile Leadership. </w:t>
      </w:r>
      <w:r w:rsidRPr="00CD39DE">
        <w:rPr>
          <w:rFonts w:ascii="Arial" w:eastAsia="Times New Roman" w:hAnsi="Arial" w:cs="Arial"/>
          <w:color w:val="000000"/>
          <w:sz w:val="20"/>
          <w:szCs w:val="20"/>
        </w:rPr>
        <w:t>Germany : Books on Demand.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DE59"/>
          <w:sz w:val="36"/>
          <w:szCs w:val="36"/>
        </w:rPr>
        <w:t>What Happened?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I have had to make effective and pragmatic decisions based on a situation where an employee was brought to the office after making some distressing comments. By using situational decision making I had to adapt to the situation that was in front of me, thinking on the spot and avoiding an approach that is used across a number of situations (CIPD B, 2022). They were refusing to continue carrying out their role and seemed very distressed and upset. Without upsetting the employee further, I tried to ask the right questions so I could gain full understanding, explore issues and gain an insight into what they were going through and what it is that had caused this distress before making any decisions as to what I was going to do next (CIPD C, 2022).</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It was important to do this as there was the potential the employee would lose engagement with me and get more upset if I had asked what they deemed as a poor question. The questions asked included, “why don’t you want to continue your role?”, “What is causing you to feel this way?” to name a few. While using a lessened tone to ask the employee those questions, it enabled me to be reassuring and create the feeling of a safe environment so the employee would open up and explain more about the way they were feeling (Riggio, 2013). At the end of the situation, I was able to call the employee’s family member and they left site safely.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DE59"/>
          <w:sz w:val="36"/>
          <w:szCs w:val="36"/>
        </w:rPr>
        <w:t>How Did I Feel?</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At this time, I was feeling very stressed as I did not want to say the wrong thing or ask a question that may cause the employee to become even more distressed. I did not know the employee well and people react in different ways during times of stress (</w:t>
      </w:r>
      <w:proofErr w:type="spellStart"/>
      <w:r w:rsidRPr="00CD39DE">
        <w:rPr>
          <w:rFonts w:ascii="Arial" w:eastAsia="Times New Roman" w:hAnsi="Arial" w:cs="Arial"/>
          <w:color w:val="000000"/>
        </w:rPr>
        <w:t>Zeidner</w:t>
      </w:r>
      <w:proofErr w:type="spellEnd"/>
      <w:r w:rsidRPr="00CD39DE">
        <w:rPr>
          <w:rFonts w:ascii="Arial" w:eastAsia="Times New Roman" w:hAnsi="Arial" w:cs="Arial"/>
          <w:color w:val="000000"/>
        </w:rPr>
        <w:t>, 2021). I was also feeling worried for the employee and wanted to show them that I was only there to help them as opposed to disciplining them for refusing to carry out their role. I knew I needed to sound calm to the employee so they would feel a reassurance and want to relay information to me. Throughout this, I was trying to plan ahead, thinking of the next steps as I was on my own in the department and knew the employee was unlikely to go back to work that day based on situational judgement.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DE59"/>
          <w:sz w:val="36"/>
          <w:szCs w:val="36"/>
        </w:rPr>
        <w:t>What was Good and Bad?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I managed to remain calm and reassure the employee that whatever they told me was confidential and that I could help them throughout the meeting. I was trying to </w:t>
      </w:r>
      <w:r w:rsidRPr="00CD39DE">
        <w:rPr>
          <w:rFonts w:ascii="Arial" w:eastAsia="Times New Roman" w:hAnsi="Arial" w:cs="Arial"/>
          <w:color w:val="000000"/>
        </w:rPr>
        <w:lastRenderedPageBreak/>
        <w:t xml:space="preserve">create a safe environment for the employee in order for them to open up to me. If the employee was communicating with me, it meant I could attempt to resolve the issue quicker. However, the employee had very little engagement with me and remained very quiet throughout the interaction. I was also the only one in the department meaning I could not ask colleagues for support which made this situation more complicated.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One positive aspect was that any questions asked to the employee did not seem to trigger any more distress, meaning that I was potentially gaining a small level of trust and making the employee feel at ease. It was important to help the employee relax and ensure I was listening well to what they were saying in an attempt to resolve the issue (Mind, 2022). Once the employee was more relaxed, I was able to convince the employee to allow me to contact a member of their family to collect them from site. This ensured their safety and the safety of my other employees in the factory.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DE59"/>
          <w:sz w:val="36"/>
          <w:szCs w:val="36"/>
        </w:rPr>
        <w:t>How can Theory Relate?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The Johari Window Model represents ‘personal information, feelings, motivation and whether information is known or unknown to oneself or others’ (Communication Theory, 2023). This can help explain the situation as the distress the employee was feeling was part of the hidden area aspect of the window model as this represents information that the individual knows about themselves but is hesitant to release. This of course made it difficult  for me to help as they would not release the information (Baker, 2011). By studying the model I can see that the employee may also venture into the unknown areas of the model along with the hidden areas. This means that their thoughts, feelings or information may be unknown to them as well as it was unknown to me. Encouraging communication can be a helpful way of reducing the unknown area as the issues will become more clear for both parties (Communication Theory,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DE59"/>
          <w:sz w:val="36"/>
          <w:szCs w:val="36"/>
        </w:rPr>
        <w:t>Conclusion</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On reflection of the situation, I could have called another member of the management team to support me. However, it could have been possible that having another member of management there may have caused the employee more distress. In hindsight, I could have asked the employee if they wanted one of their colleagues with them to support them or asked if they would rather speak with someone else rather than myself.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DE59"/>
          <w:sz w:val="36"/>
          <w:szCs w:val="36"/>
        </w:rPr>
        <w:t>What Would I do Different Next Time?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If this situation was to happen again, I would take the employee to a more private office as the HR office can be relatively busy with employees in and out with queries. As mentioned above, I would ask the employee if they would like a colleague to be with them or if they would rather it be a 1 on 1 conversation. This may have made the employee feel more at ease when in discussion with myself. I need to have more confidence in my abilities as I dealt this this in the correct way, however felt very uncomfortable and nervous I was wrong.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000000"/>
          <w:sz w:val="36"/>
          <w:szCs w:val="36"/>
        </w:rPr>
        <w:lastRenderedPageBreak/>
        <w:t>References</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Baker, T,E. (2011) </w:t>
      </w:r>
      <w:r w:rsidRPr="00CD39DE">
        <w:rPr>
          <w:rFonts w:ascii="Arial" w:eastAsia="Times New Roman" w:hAnsi="Arial" w:cs="Arial"/>
          <w:i/>
          <w:iCs/>
          <w:color w:val="000000"/>
          <w:sz w:val="20"/>
          <w:szCs w:val="20"/>
        </w:rPr>
        <w:t xml:space="preserve">Effective Police Leadership. </w:t>
      </w:r>
      <w:r w:rsidRPr="00CD39DE">
        <w:rPr>
          <w:rFonts w:ascii="Arial" w:eastAsia="Times New Roman" w:hAnsi="Arial" w:cs="Arial"/>
          <w:color w:val="000000"/>
          <w:sz w:val="20"/>
          <w:szCs w:val="20"/>
        </w:rPr>
        <w:t xml:space="preserve">USA : </w:t>
      </w:r>
      <w:proofErr w:type="spellStart"/>
      <w:r w:rsidRPr="00CD39DE">
        <w:rPr>
          <w:rFonts w:ascii="Arial" w:eastAsia="Times New Roman" w:hAnsi="Arial" w:cs="Arial"/>
          <w:color w:val="000000"/>
          <w:sz w:val="20"/>
          <w:szCs w:val="20"/>
        </w:rPr>
        <w:t>Looseleaf</w:t>
      </w:r>
      <w:proofErr w:type="spellEnd"/>
      <w:r w:rsidRPr="00CD39DE">
        <w:rPr>
          <w:rFonts w:ascii="Arial" w:eastAsia="Times New Roman" w:hAnsi="Arial" w:cs="Arial"/>
          <w:color w:val="000000"/>
          <w:sz w:val="20"/>
          <w:szCs w:val="20"/>
        </w:rPr>
        <w:t xml:space="preserve"> Law Publications</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CIPD B. (2022) </w:t>
      </w:r>
      <w:r w:rsidRPr="00CD39DE">
        <w:rPr>
          <w:rFonts w:ascii="Arial" w:eastAsia="Times New Roman" w:hAnsi="Arial" w:cs="Arial"/>
          <w:i/>
          <w:iCs/>
          <w:color w:val="000000"/>
          <w:sz w:val="20"/>
          <w:szCs w:val="20"/>
        </w:rPr>
        <w:t>Situational Decision Making.</w:t>
      </w:r>
      <w:r w:rsidRPr="00CD39DE">
        <w:rPr>
          <w:rFonts w:ascii="Arial" w:eastAsia="Times New Roman" w:hAnsi="Arial" w:cs="Arial"/>
          <w:color w:val="000000"/>
          <w:sz w:val="20"/>
          <w:szCs w:val="20"/>
        </w:rPr>
        <w:t xml:space="preserve"> Available at: </w:t>
      </w:r>
      <w:hyperlink r:id="rId11" w:history="1">
        <w:r w:rsidRPr="00CD39DE">
          <w:rPr>
            <w:rFonts w:ascii="Arial" w:eastAsia="Times New Roman" w:hAnsi="Arial" w:cs="Arial"/>
            <w:color w:val="000000"/>
            <w:sz w:val="20"/>
            <w:szCs w:val="20"/>
            <w:u w:val="single"/>
          </w:rPr>
          <w:t>https://peopleprofession.cipd.org/profession-map/core-behaviours/situational-decision-making</w:t>
        </w:r>
      </w:hyperlink>
      <w:r w:rsidRPr="00CD39DE">
        <w:rPr>
          <w:rFonts w:ascii="Arial" w:eastAsia="Times New Roman" w:hAnsi="Arial" w:cs="Arial"/>
          <w:color w:val="000000"/>
          <w:sz w:val="20"/>
          <w:szCs w:val="20"/>
        </w:rPr>
        <w:t xml:space="preserve"> (Accessed: 8 Feb.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CIPD C. (2022) </w:t>
      </w:r>
      <w:r w:rsidRPr="00CD39DE">
        <w:rPr>
          <w:rFonts w:ascii="Arial" w:eastAsia="Times New Roman" w:hAnsi="Arial" w:cs="Arial"/>
          <w:i/>
          <w:iCs/>
          <w:color w:val="000000"/>
          <w:sz w:val="20"/>
          <w:szCs w:val="20"/>
        </w:rPr>
        <w:t>Insights Focussed.</w:t>
      </w:r>
      <w:r w:rsidRPr="00CD39DE">
        <w:rPr>
          <w:rFonts w:ascii="Arial" w:eastAsia="Times New Roman" w:hAnsi="Arial" w:cs="Arial"/>
          <w:color w:val="000000"/>
          <w:sz w:val="20"/>
          <w:szCs w:val="20"/>
        </w:rPr>
        <w:t xml:space="preserve"> Available at: </w:t>
      </w:r>
      <w:hyperlink r:id="rId12" w:history="1">
        <w:r w:rsidRPr="00CD39DE">
          <w:rPr>
            <w:rFonts w:ascii="Arial" w:eastAsia="Times New Roman" w:hAnsi="Arial" w:cs="Arial"/>
            <w:color w:val="000000"/>
            <w:sz w:val="20"/>
            <w:szCs w:val="20"/>
            <w:u w:val="single"/>
          </w:rPr>
          <w:t>https://peopleprofession.cipd.org/profession-map/core-behaviours/insights-focused</w:t>
        </w:r>
      </w:hyperlink>
      <w:r w:rsidRPr="00CD39DE">
        <w:rPr>
          <w:rFonts w:ascii="Arial" w:eastAsia="Times New Roman" w:hAnsi="Arial" w:cs="Arial"/>
          <w:color w:val="000000"/>
          <w:sz w:val="20"/>
          <w:szCs w:val="20"/>
        </w:rPr>
        <w:t xml:space="preserve"> (Accessed: 8 Feb.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Communication Theory. (2023) </w:t>
      </w:r>
      <w:r w:rsidRPr="00CD39DE">
        <w:rPr>
          <w:rFonts w:ascii="Arial" w:eastAsia="Times New Roman" w:hAnsi="Arial" w:cs="Arial"/>
          <w:i/>
          <w:iCs/>
          <w:color w:val="000000"/>
          <w:sz w:val="20"/>
          <w:szCs w:val="20"/>
        </w:rPr>
        <w:t xml:space="preserve">The Johari Window Model. </w:t>
      </w:r>
      <w:r w:rsidRPr="00CD39DE">
        <w:rPr>
          <w:rFonts w:ascii="Arial" w:eastAsia="Times New Roman" w:hAnsi="Arial" w:cs="Arial"/>
          <w:color w:val="000000"/>
          <w:sz w:val="20"/>
          <w:szCs w:val="20"/>
        </w:rPr>
        <w:t xml:space="preserve">Available at: </w:t>
      </w:r>
      <w:hyperlink r:id="rId13" w:history="1">
        <w:r w:rsidRPr="00CD39DE">
          <w:rPr>
            <w:rFonts w:ascii="Arial" w:eastAsia="Times New Roman" w:hAnsi="Arial" w:cs="Arial"/>
            <w:color w:val="000000"/>
            <w:sz w:val="20"/>
            <w:szCs w:val="20"/>
            <w:u w:val="single"/>
          </w:rPr>
          <w:t>https://www.communicationtheory.org/the-johari-window-model/</w:t>
        </w:r>
      </w:hyperlink>
      <w:r w:rsidRPr="00CD39DE">
        <w:rPr>
          <w:rFonts w:ascii="Arial" w:eastAsia="Times New Roman" w:hAnsi="Arial" w:cs="Arial"/>
          <w:color w:val="000000"/>
          <w:sz w:val="20"/>
          <w:szCs w:val="20"/>
        </w:rPr>
        <w:t xml:space="preserve"> (Accessed: 8 Feb.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Mind. (2022) </w:t>
      </w:r>
      <w:r w:rsidRPr="00CD39DE">
        <w:rPr>
          <w:rFonts w:ascii="Arial" w:eastAsia="Times New Roman" w:hAnsi="Arial" w:cs="Arial"/>
          <w:i/>
          <w:iCs/>
          <w:color w:val="000000"/>
          <w:sz w:val="20"/>
          <w:szCs w:val="20"/>
        </w:rPr>
        <w:t xml:space="preserve">Stress. </w:t>
      </w:r>
      <w:r w:rsidRPr="00CD39DE">
        <w:rPr>
          <w:rFonts w:ascii="Arial" w:eastAsia="Times New Roman" w:hAnsi="Arial" w:cs="Arial"/>
          <w:color w:val="000000"/>
          <w:sz w:val="20"/>
          <w:szCs w:val="20"/>
        </w:rPr>
        <w:t xml:space="preserve">Available at: </w:t>
      </w:r>
      <w:hyperlink r:id="rId14" w:history="1">
        <w:r w:rsidRPr="00CD39DE">
          <w:rPr>
            <w:rFonts w:ascii="Arial" w:eastAsia="Times New Roman" w:hAnsi="Arial" w:cs="Arial"/>
            <w:color w:val="000000"/>
            <w:sz w:val="20"/>
            <w:szCs w:val="20"/>
            <w:u w:val="single"/>
          </w:rPr>
          <w:t>https://www.mind.org.uk/information-support/types-of-mental-health-problems/stress/for-friends-and-family/</w:t>
        </w:r>
      </w:hyperlink>
      <w:r w:rsidRPr="00CD39DE">
        <w:rPr>
          <w:rFonts w:ascii="Arial" w:eastAsia="Times New Roman" w:hAnsi="Arial" w:cs="Arial"/>
          <w:color w:val="000000"/>
          <w:sz w:val="20"/>
          <w:szCs w:val="20"/>
        </w:rPr>
        <w:t xml:space="preserve"> (Accessed: 12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Riggio, R. E. (2013) </w:t>
      </w:r>
      <w:r w:rsidRPr="00CD39DE">
        <w:rPr>
          <w:rFonts w:ascii="Arial" w:eastAsia="Times New Roman" w:hAnsi="Arial" w:cs="Arial"/>
          <w:i/>
          <w:iCs/>
          <w:color w:val="000000"/>
          <w:sz w:val="20"/>
          <w:szCs w:val="20"/>
        </w:rPr>
        <w:t>The importance of tone in creating safe spaces.</w:t>
      </w:r>
      <w:r w:rsidRPr="00CD39DE">
        <w:rPr>
          <w:rFonts w:ascii="Arial" w:eastAsia="Times New Roman" w:hAnsi="Arial" w:cs="Arial"/>
          <w:color w:val="000000"/>
          <w:sz w:val="20"/>
          <w:szCs w:val="20"/>
        </w:rPr>
        <w:t xml:space="preserve"> New Directions for Student Services, 2013(141), 13-22.</w:t>
      </w:r>
    </w:p>
    <w:p w:rsidR="00CD39DE" w:rsidRPr="00CD39DE" w:rsidRDefault="00CD39DE" w:rsidP="00CD39DE">
      <w:pPr>
        <w:spacing w:before="100" w:beforeAutospacing="1" w:after="100" w:afterAutospacing="1"/>
        <w:rPr>
          <w:rFonts w:ascii="Arial" w:eastAsia="Times New Roman" w:hAnsi="Arial" w:cs="Arial"/>
        </w:rPr>
      </w:pPr>
      <w:proofErr w:type="spellStart"/>
      <w:r w:rsidRPr="00CD39DE">
        <w:rPr>
          <w:rFonts w:ascii="Arial" w:eastAsia="Times New Roman" w:hAnsi="Arial" w:cs="Arial"/>
          <w:color w:val="000000"/>
          <w:sz w:val="20"/>
          <w:szCs w:val="20"/>
        </w:rPr>
        <w:t>Zeidner</w:t>
      </w:r>
      <w:proofErr w:type="spellEnd"/>
      <w:r w:rsidRPr="00CD39DE">
        <w:rPr>
          <w:rFonts w:ascii="Arial" w:eastAsia="Times New Roman" w:hAnsi="Arial" w:cs="Arial"/>
          <w:color w:val="000000"/>
          <w:sz w:val="20"/>
          <w:szCs w:val="20"/>
        </w:rPr>
        <w:t xml:space="preserve">, M. (2021) </w:t>
      </w:r>
      <w:r w:rsidRPr="00CD39DE">
        <w:rPr>
          <w:rFonts w:ascii="Arial" w:eastAsia="Times New Roman" w:hAnsi="Arial" w:cs="Arial"/>
          <w:i/>
          <w:iCs/>
          <w:color w:val="000000"/>
          <w:sz w:val="20"/>
          <w:szCs w:val="20"/>
        </w:rPr>
        <w:t xml:space="preserve">Emotional intelligence, stress reactivity, and coping in the 21st century. </w:t>
      </w:r>
      <w:r w:rsidRPr="00CD39DE">
        <w:rPr>
          <w:rFonts w:ascii="Arial" w:eastAsia="Times New Roman" w:hAnsi="Arial" w:cs="Arial"/>
          <w:color w:val="000000"/>
          <w:sz w:val="20"/>
          <w:szCs w:val="20"/>
        </w:rPr>
        <w:t>Frontiers in Psychology, 11, 3467.</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BD59"/>
          <w:sz w:val="36"/>
          <w:szCs w:val="36"/>
        </w:rPr>
        <w:t>What Happened?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I have had to build trust by role modelling ethical behaviours, applying principles and values within decision making during an issue where a member of staff was using language that isn’t acceptable within the workplace. I was called down to the factory floor to discuss a member of staff’s language and behaviour around their colleagues as it was deemed inappropriate and unacceptable. I identified the best way to approach the staff member was to be calm and honest with them regarding their behaviour, making clear the impact they were having on their colleagues and highlighting the importance of maintaining an inclusive and respectful environment at work. This was done by taking the employee into the office on the production floor as it was more private. I also had to explain that their language and behaviour did not fall under the business’ values. This was important to explain to the employee so they could understand their decision to act in this way could have been having a significant impact on their colleagues (CIPD E, 2022).  Ensuring good communication skills with the employee meant I was able to influence them so they make better decisions in the future regarding the way they behave (CIPD,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BD59"/>
          <w:sz w:val="36"/>
          <w:szCs w:val="36"/>
        </w:rPr>
        <w:t>How Did I Feel?</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After outlining the rules and explaining I needed this behaviour to change, the employee started to get angry explaining all they had done was swearing around colleagues which wasn’t that bad. I remained calm and again explained the importance of maintaining an inclusive and respectful working environment for employees. It was important I remained calm during this as it avoided further conflict, as well as demonstrating a good example of how to handle situations against opposition (MindTools, 2022). I listened to the responses the employee had and </w:t>
      </w:r>
      <w:r w:rsidRPr="00CD39DE">
        <w:rPr>
          <w:rFonts w:ascii="Arial" w:eastAsia="Times New Roman" w:hAnsi="Arial" w:cs="Arial"/>
          <w:color w:val="000000"/>
        </w:rPr>
        <w:lastRenderedPageBreak/>
        <w:t xml:space="preserve">ensured they understood the reasons they were being spoken with before allowing them to return to work.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After taking the call to go and speak with the employee, I felt very anxious as I was not given full context as to how the individual was behaving. This would have been helpful to me as I could have prepared myself for the situation and how I was going to apply principles and defuse the situation. I also felt very rushed to speak with the employee to ensure they did not disrupt and offend their colleagues further. I thought the employee would be relatively irate, shouting and swearing at the team leaders on the shop floor and assumed that when I spoke with the individual that they would be the same. This thought also made me nervous as I was put in the situation where I had to deal with this alone and was unsure whether I would know how to effectively deal with this behaviour.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BD59"/>
          <w:sz w:val="36"/>
          <w:szCs w:val="36"/>
        </w:rPr>
        <w:t>What Was Good and Bad?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Calling the employee into the office within the factory was good as I could get them away from their colleagues and team leader to speak with them alone, however there are a number of windows in the office where other employees could see the meeting taking place. This may have enabled the employee to become distracted while engaging with me, with the potential of them using the language they were previously and behaving unacceptably. Taking the meeting outside of the factory may have helped the employee feel more at ease while speaking with HR. The employee’s behaviour and language caused other employees to feel demotivated which would have lowered their productivity levels that shift (Kimball &amp; </w:t>
      </w:r>
      <w:proofErr w:type="spellStart"/>
      <w:r w:rsidRPr="00CD39DE">
        <w:rPr>
          <w:rFonts w:ascii="Arial" w:eastAsia="Times New Roman" w:hAnsi="Arial" w:cs="Arial"/>
          <w:color w:val="000000"/>
        </w:rPr>
        <w:t>Nink</w:t>
      </w:r>
      <w:proofErr w:type="spellEnd"/>
      <w:r w:rsidRPr="00CD39DE">
        <w:rPr>
          <w:rFonts w:ascii="Arial" w:eastAsia="Times New Roman" w:hAnsi="Arial" w:cs="Arial"/>
          <w:color w:val="000000"/>
        </w:rPr>
        <w:t>, 2006).</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BD59"/>
          <w:sz w:val="36"/>
          <w:szCs w:val="36"/>
        </w:rPr>
        <w:t>How Can Theory Relate?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The Thomas &amp; Kilmann model (2008, P.2) “assesses an individual’s behaviour in conflict situations”. The model describes the five ways in which to handle conflict. They are Competing, Collaborating, Compromising, Avoiding and Accommodating (Thomas &amp; </w:t>
      </w:r>
      <w:proofErr w:type="spellStart"/>
      <w:r w:rsidRPr="00CD39DE">
        <w:rPr>
          <w:rFonts w:ascii="Arial" w:eastAsia="Times New Roman" w:hAnsi="Arial" w:cs="Arial"/>
          <w:color w:val="000000"/>
        </w:rPr>
        <w:t>Kilman</w:t>
      </w:r>
      <w:proofErr w:type="spellEnd"/>
      <w:r w:rsidRPr="00CD39DE">
        <w:rPr>
          <w:rFonts w:ascii="Arial" w:eastAsia="Times New Roman" w:hAnsi="Arial" w:cs="Arial"/>
          <w:color w:val="000000"/>
        </w:rPr>
        <w:t xml:space="preserve">, 2008). The model argues that during a situation where quick decision making is needed or where action such a discipline may arise, competing is the better course of action for dealing with conflict. Where the employee was behaving unacceptably around colleagues and using poor language, I agree that the model’s competing category is more suited.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During this situation, I could approached it in a more avoiding way. This would have meant either getting another member of staff to diffuse the situation as opposed to me as they resolve more effectively, or I could have left the employee cool down to reduce the pressure of the situation (McGrath &amp; Bates, 2017). However, I believe reacting in a more avoiding way during the situation would create the wrong impression for the other employees, meaning they may potentially feel it is acceptable to react like this in future as it is not dealt with effectively. Based on this, I believe I acted in the correct way and gave off the right impression to other employees within the business.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BD59"/>
          <w:sz w:val="36"/>
          <w:szCs w:val="36"/>
        </w:rPr>
        <w:t>Conclusion</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lastRenderedPageBreak/>
        <w:t xml:space="preserve">From this scenario arising, I have learnt it is vital to stay calm and listen to the employee’s concerns first before pulling them up on their behaviour straight away. This allows them to calm down while discussing their issues before having a discussion around their unacceptable language and behaviour. In order to be able to deal with this better, I would need to have more confidence in my abilities in the way I deal with situations like this one as well as more training on how to deal with conflicts. I was feeling nervous and apprehensive about how to deal with it, feeling I was not dealing with the situation in the correct way.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BD59"/>
          <w:sz w:val="36"/>
          <w:szCs w:val="36"/>
        </w:rPr>
        <w:t>What Would I Do Different Next Time?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If this situation was to happen again, I would take the employee to an office outside the factory environment so it was more private and the employee felt more relaxed. I would also ask someone to be with me as a witness just as a precaution in case the meeting got heated and I needed some help with dealing with the employee.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000000"/>
          <w:sz w:val="36"/>
          <w:szCs w:val="36"/>
        </w:rPr>
        <w:t>References</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CIPD. (2023) </w:t>
      </w:r>
      <w:r w:rsidRPr="00CD39DE">
        <w:rPr>
          <w:rFonts w:ascii="Arial" w:eastAsia="Times New Roman" w:hAnsi="Arial" w:cs="Arial"/>
          <w:i/>
          <w:iCs/>
          <w:color w:val="000000"/>
          <w:sz w:val="20"/>
          <w:szCs w:val="20"/>
        </w:rPr>
        <w:t xml:space="preserve">Professional Courage and Influence Introductory Programme. </w:t>
      </w:r>
      <w:r w:rsidRPr="00CD39DE">
        <w:rPr>
          <w:rFonts w:ascii="Arial" w:eastAsia="Times New Roman" w:hAnsi="Arial" w:cs="Arial"/>
          <w:color w:val="000000"/>
          <w:sz w:val="20"/>
          <w:szCs w:val="20"/>
        </w:rPr>
        <w:t xml:space="preserve">Available at: </w:t>
      </w:r>
      <w:hyperlink r:id="rId15" w:anchor="gref" w:history="1">
        <w:r w:rsidRPr="00CD39DE">
          <w:rPr>
            <w:rFonts w:ascii="Arial" w:eastAsia="Times New Roman" w:hAnsi="Arial" w:cs="Arial"/>
            <w:color w:val="000000"/>
            <w:sz w:val="20"/>
            <w:szCs w:val="20"/>
            <w:u w:val="single"/>
          </w:rPr>
          <w:t>https://shop.cipd.org/product?catalog=Professional-Courage-and-Influence-Introductory-Programme#gref</w:t>
        </w:r>
      </w:hyperlink>
      <w:r w:rsidRPr="00CD39DE">
        <w:rPr>
          <w:rFonts w:ascii="Arial" w:eastAsia="Times New Roman" w:hAnsi="Arial" w:cs="Arial"/>
          <w:color w:val="000000"/>
          <w:sz w:val="20"/>
          <w:szCs w:val="20"/>
        </w:rPr>
        <w:t xml:space="preserve"> (Accessed: 12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 CIPD E. (2022) </w:t>
      </w:r>
      <w:r w:rsidRPr="00CD39DE">
        <w:rPr>
          <w:rFonts w:ascii="Arial" w:eastAsia="Times New Roman" w:hAnsi="Arial" w:cs="Arial"/>
          <w:i/>
          <w:iCs/>
          <w:color w:val="000000"/>
          <w:sz w:val="20"/>
          <w:szCs w:val="20"/>
        </w:rPr>
        <w:t xml:space="preserve">Ethical Practice. </w:t>
      </w:r>
      <w:r w:rsidRPr="00CD39DE">
        <w:rPr>
          <w:rFonts w:ascii="Arial" w:eastAsia="Times New Roman" w:hAnsi="Arial" w:cs="Arial"/>
          <w:color w:val="000000"/>
          <w:sz w:val="20"/>
          <w:szCs w:val="20"/>
        </w:rPr>
        <w:t xml:space="preserve">Available at: </w:t>
      </w:r>
      <w:hyperlink r:id="rId16" w:history="1">
        <w:r w:rsidRPr="00CD39DE">
          <w:rPr>
            <w:rFonts w:ascii="Arial" w:eastAsia="Times New Roman" w:hAnsi="Arial" w:cs="Arial"/>
            <w:color w:val="000000"/>
            <w:sz w:val="20"/>
            <w:szCs w:val="20"/>
            <w:u w:val="single"/>
          </w:rPr>
          <w:t>https://peopleprofession.cipd.org/profession-map/core-behaviours/ethical-practice</w:t>
        </w:r>
      </w:hyperlink>
      <w:r w:rsidRPr="00CD39DE">
        <w:rPr>
          <w:rFonts w:ascii="Arial" w:eastAsia="Times New Roman" w:hAnsi="Arial" w:cs="Arial"/>
          <w:color w:val="000000"/>
          <w:sz w:val="20"/>
          <w:szCs w:val="20"/>
        </w:rPr>
        <w:t xml:space="preserve"> (Accessed: 12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 Kimball, S. L. &amp; </w:t>
      </w:r>
      <w:proofErr w:type="spellStart"/>
      <w:r w:rsidRPr="00CD39DE">
        <w:rPr>
          <w:rFonts w:ascii="Arial" w:eastAsia="Times New Roman" w:hAnsi="Arial" w:cs="Arial"/>
          <w:color w:val="000000"/>
          <w:sz w:val="20"/>
          <w:szCs w:val="20"/>
        </w:rPr>
        <w:t>Nink</w:t>
      </w:r>
      <w:proofErr w:type="spellEnd"/>
      <w:r w:rsidRPr="00CD39DE">
        <w:rPr>
          <w:rFonts w:ascii="Arial" w:eastAsia="Times New Roman" w:hAnsi="Arial" w:cs="Arial"/>
          <w:color w:val="000000"/>
          <w:sz w:val="20"/>
          <w:szCs w:val="20"/>
        </w:rPr>
        <w:t xml:space="preserve">, C. E. (2006) </w:t>
      </w:r>
      <w:r w:rsidRPr="00CD39DE">
        <w:rPr>
          <w:rFonts w:ascii="Arial" w:eastAsia="Times New Roman" w:hAnsi="Arial" w:cs="Arial"/>
          <w:i/>
          <w:iCs/>
          <w:color w:val="000000"/>
          <w:sz w:val="20"/>
          <w:szCs w:val="20"/>
        </w:rPr>
        <w:t>How to Improve Employee Motivation, Commitment, Productivity, Well-Being and Safety.</w:t>
      </w:r>
      <w:r w:rsidRPr="00CD39DE">
        <w:rPr>
          <w:rFonts w:ascii="Arial" w:eastAsia="Times New Roman" w:hAnsi="Arial" w:cs="Arial"/>
          <w:color w:val="000000"/>
          <w:sz w:val="20"/>
          <w:szCs w:val="20"/>
        </w:rPr>
        <w:t xml:space="preserve"> Corrections Today, 68(3), pp. 66-74.</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McGrath, J. &amp; Bates, B. (2017) </w:t>
      </w:r>
      <w:r w:rsidRPr="00CD39DE">
        <w:rPr>
          <w:rFonts w:ascii="Arial" w:eastAsia="Times New Roman" w:hAnsi="Arial" w:cs="Arial"/>
          <w:i/>
          <w:iCs/>
          <w:color w:val="000000"/>
          <w:sz w:val="20"/>
          <w:szCs w:val="20"/>
        </w:rPr>
        <w:t xml:space="preserve">The Little Book of Big Management Theories. </w:t>
      </w:r>
      <w:r w:rsidRPr="00CD39DE">
        <w:rPr>
          <w:rFonts w:ascii="Arial" w:eastAsia="Times New Roman" w:hAnsi="Arial" w:cs="Arial"/>
          <w:color w:val="000000"/>
          <w:sz w:val="20"/>
          <w:szCs w:val="20"/>
        </w:rPr>
        <w:t>London : Pearson Education Limited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 MindTools. (2022) </w:t>
      </w:r>
      <w:r w:rsidRPr="00CD39DE">
        <w:rPr>
          <w:rFonts w:ascii="Arial" w:eastAsia="Times New Roman" w:hAnsi="Arial" w:cs="Arial"/>
          <w:i/>
          <w:iCs/>
          <w:color w:val="000000"/>
          <w:sz w:val="20"/>
          <w:szCs w:val="20"/>
        </w:rPr>
        <w:t>Dealing with Angry People.</w:t>
      </w:r>
      <w:r w:rsidRPr="00CD39DE">
        <w:rPr>
          <w:rFonts w:ascii="Arial" w:eastAsia="Times New Roman" w:hAnsi="Arial" w:cs="Arial"/>
          <w:color w:val="000000"/>
          <w:sz w:val="20"/>
          <w:szCs w:val="20"/>
        </w:rPr>
        <w:t xml:space="preserve"> Available at: </w:t>
      </w:r>
      <w:hyperlink r:id="rId17" w:history="1">
        <w:r w:rsidRPr="00CD39DE">
          <w:rPr>
            <w:rFonts w:ascii="Arial" w:eastAsia="Times New Roman" w:hAnsi="Arial" w:cs="Arial"/>
            <w:color w:val="000000"/>
            <w:sz w:val="20"/>
            <w:szCs w:val="20"/>
            <w:u w:val="single"/>
          </w:rPr>
          <w:t>https://www.mindtools.com/a301oo7/dealing-with-angry-people</w:t>
        </w:r>
      </w:hyperlink>
      <w:r w:rsidRPr="00CD39DE">
        <w:rPr>
          <w:rFonts w:ascii="Arial" w:eastAsia="Times New Roman" w:hAnsi="Arial" w:cs="Arial"/>
          <w:color w:val="000000"/>
          <w:sz w:val="20"/>
          <w:szCs w:val="20"/>
        </w:rPr>
        <w:t xml:space="preserve"> (Accessed: 12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Thomas, K. &amp; Kilmann, R. (2008) </w:t>
      </w:r>
      <w:r w:rsidRPr="00CD39DE">
        <w:rPr>
          <w:rFonts w:ascii="Arial" w:eastAsia="Times New Roman" w:hAnsi="Arial" w:cs="Arial"/>
          <w:i/>
          <w:iCs/>
          <w:color w:val="000000"/>
          <w:sz w:val="20"/>
          <w:szCs w:val="20"/>
        </w:rPr>
        <w:t xml:space="preserve">Thomas- Kilmann Conflict Mode Instrument. </w:t>
      </w:r>
      <w:r w:rsidRPr="00CD39DE">
        <w:rPr>
          <w:rFonts w:ascii="Arial" w:eastAsia="Times New Roman" w:hAnsi="Arial" w:cs="Arial"/>
          <w:color w:val="000000"/>
          <w:sz w:val="20"/>
          <w:szCs w:val="20"/>
        </w:rPr>
        <w:t>Available at: http://www.organizationimpact.com/wp-content/uploads/2016/08/TKI_Sample_Report.pdf (Accessed: 12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What Happened?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I have had to collaborate across boundaries effectively and inclusively to achieve positive outcomes where an employee raised a grievance regarding the way they were being treated by their manager. After conducting an investigation into the matter, it was found there was a gap in one of the policies relating to the grievance. Based on this, I had to demonstrate curiosity and make the most of the opportunities to learn, improve and innovate by re-looking at the policy and discover a way to improve and update it to ensure that if a grievance was raised similar to this again, there would be no gaps.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I had to work collaboratively across departments to ensure the new policy was delivered to the managers and support them where needed taking into consideration </w:t>
      </w:r>
      <w:r w:rsidRPr="00CD39DE">
        <w:rPr>
          <w:rFonts w:ascii="Arial" w:eastAsia="Times New Roman" w:hAnsi="Arial" w:cs="Arial"/>
          <w:color w:val="000000"/>
        </w:rPr>
        <w:lastRenderedPageBreak/>
        <w:t>their thoughts on the policies (CIPD A, 2023).This was done by creating a presentation on what was different about the policy and their roles and responsibilities as managers in caring for their staff. This was then delivered by myself to the managers and supervisors of the business.</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How Did I Feel?</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Upon discovery of the potential gap in the policy, I felt positive that there was an easy solution and discussed with other colleagues within the department to ensure this was resolved as soon as possible. Discussing with other colleagues also made me feel more relaxed about the situation (Halbesleben &amp; Buckley, 2004). With regards to the presenting of the update, I was feeling very nervous as I am very fearful of presenting due to past experiences (Bodie et al., 2007). I do not have a lot of confidence when it comes to presenting to a number of people, with it being very prominent when in the situation.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What Was Good &amp; Bad?</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The discovery of the gap meant we could improve the policy further with the idea of delving deeper into the other policies within this topic to ensure they are all aligned, having a positive impact on the business (Indeed Editorial Team, 2022). However, in doing so it was time consuming for the department as this was now made the priority over other tasks. The delivery of the presentation to the managers could have been better as I was very uncomfortable and nervous throughout which may have made it more difficult to digest the information I was giving. With the line managers being the people who are leading these policies, it is vital that they understand the changes for future events.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How Can Theory Relate?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The Cognitive Load theory argues that training material should minimise cognitive load and aim to maximise the engagement and attention of its audience (</w:t>
      </w:r>
      <w:proofErr w:type="spellStart"/>
      <w:r w:rsidRPr="00CD39DE">
        <w:rPr>
          <w:rFonts w:ascii="Arial" w:eastAsia="Times New Roman" w:hAnsi="Arial" w:cs="Arial"/>
          <w:color w:val="000000"/>
        </w:rPr>
        <w:t>Sweller</w:t>
      </w:r>
      <w:proofErr w:type="spellEnd"/>
      <w:r w:rsidRPr="00CD39DE">
        <w:rPr>
          <w:rFonts w:ascii="Arial" w:eastAsia="Times New Roman" w:hAnsi="Arial" w:cs="Arial"/>
          <w:color w:val="000000"/>
        </w:rPr>
        <w:t>, 1988). Based on the importance of the information the line managers are learning, it is vital they understood the information being conveyed in the presentation. It is vital not to overload your audience with a number of different visuals as it can add to the ‘cognitive load’ (Mindtools A, 2022). With relation to the grievance and to comply with cognitive load theory, breaking the information down into sections helps your audience retain the information and will be able to use it in future scenarios (Mindtools A, 2022).</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Conclusion</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 xml:space="preserve">During this, there were opportunities to save time. I could have looked for external support with dealing with the policies as opposed to trying to book in a meeting with my line manager when they were free. As the business has more than one site, it is more difficult to find a time where both the line manager and myself are on the same site and available for a meeting. I also could have presented the new update to a smaller number of managers, it would have meant doing more than one </w:t>
      </w:r>
      <w:r w:rsidRPr="00CD39DE">
        <w:rPr>
          <w:rFonts w:ascii="Arial" w:eastAsia="Times New Roman" w:hAnsi="Arial" w:cs="Arial"/>
          <w:color w:val="000000"/>
        </w:rPr>
        <w:lastRenderedPageBreak/>
        <w:t>presentation, however the delivery may have been smoother and made me feel more confident (</w:t>
      </w:r>
      <w:proofErr w:type="spellStart"/>
      <w:r w:rsidRPr="00CD39DE">
        <w:rPr>
          <w:rFonts w:ascii="Arial" w:eastAsia="Times New Roman" w:hAnsi="Arial" w:cs="Arial"/>
          <w:color w:val="000000"/>
        </w:rPr>
        <w:t>Barnier</w:t>
      </w:r>
      <w:proofErr w:type="spellEnd"/>
      <w:r w:rsidRPr="00CD39DE">
        <w:rPr>
          <w:rFonts w:ascii="Arial" w:eastAsia="Times New Roman" w:hAnsi="Arial" w:cs="Arial"/>
          <w:color w:val="000000"/>
        </w:rPr>
        <w:t xml:space="preserve"> &amp; Sutton, 2008).</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FF914D"/>
          <w:sz w:val="36"/>
          <w:szCs w:val="36"/>
        </w:rPr>
        <w:t>What Would I do Different Next Time?</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rPr>
        <w:t>This type of scenario should not occur again for the business. As a result of this scenario occurring, the department made it priority to review and update the policies and procedures to ensure there were no gaps. The policies were also discussed with the managers from the shop floor so HR could obtain their feedback. Some feedback from the managers indicated they wanted more frequent training on the policies, so the business has been working with its managers to provide the extra support required with regards to grievances. If it did arise again, I would ensure that any updates that need presenting would be done to smaller groups to help me gain confidence when presenting. This would ensure the message is clear and concise, while keeping stakeholders engaged (Gallo, 2019).</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b/>
          <w:bCs/>
          <w:color w:val="000000"/>
          <w:sz w:val="36"/>
          <w:szCs w:val="36"/>
        </w:rPr>
        <w:t>References</w:t>
      </w:r>
    </w:p>
    <w:p w:rsidR="00CD39DE" w:rsidRPr="00CD39DE" w:rsidRDefault="00CD39DE" w:rsidP="00CD39DE">
      <w:pPr>
        <w:spacing w:before="100" w:beforeAutospacing="1" w:after="100" w:afterAutospacing="1"/>
        <w:rPr>
          <w:rFonts w:ascii="Arial" w:eastAsia="Times New Roman" w:hAnsi="Arial" w:cs="Arial"/>
        </w:rPr>
      </w:pPr>
      <w:proofErr w:type="spellStart"/>
      <w:r w:rsidRPr="00CD39DE">
        <w:rPr>
          <w:rFonts w:ascii="Arial" w:eastAsia="Times New Roman" w:hAnsi="Arial" w:cs="Arial"/>
          <w:color w:val="000000"/>
          <w:sz w:val="20"/>
          <w:szCs w:val="20"/>
        </w:rPr>
        <w:t>Barnier</w:t>
      </w:r>
      <w:proofErr w:type="spellEnd"/>
      <w:r w:rsidRPr="00CD39DE">
        <w:rPr>
          <w:rFonts w:ascii="Arial" w:eastAsia="Times New Roman" w:hAnsi="Arial" w:cs="Arial"/>
          <w:color w:val="000000"/>
          <w:sz w:val="20"/>
          <w:szCs w:val="20"/>
        </w:rPr>
        <w:t xml:space="preserve">, A. J., </w:t>
      </w:r>
      <w:proofErr w:type="spellStart"/>
      <w:r w:rsidRPr="00CD39DE">
        <w:rPr>
          <w:rFonts w:ascii="Arial" w:eastAsia="Times New Roman" w:hAnsi="Arial" w:cs="Arial"/>
          <w:color w:val="000000"/>
          <w:sz w:val="20"/>
          <w:szCs w:val="20"/>
        </w:rPr>
        <w:t>Colagiuri</w:t>
      </w:r>
      <w:proofErr w:type="spellEnd"/>
      <w:r w:rsidRPr="00CD39DE">
        <w:rPr>
          <w:rFonts w:ascii="Arial" w:eastAsia="Times New Roman" w:hAnsi="Arial" w:cs="Arial"/>
          <w:color w:val="000000"/>
          <w:sz w:val="20"/>
          <w:szCs w:val="20"/>
        </w:rPr>
        <w:t xml:space="preserve">, B., &amp; Sutton, J. (2008) </w:t>
      </w:r>
      <w:r w:rsidRPr="00CD39DE">
        <w:rPr>
          <w:rFonts w:ascii="Arial" w:eastAsia="Times New Roman" w:hAnsi="Arial" w:cs="Arial"/>
          <w:i/>
          <w:iCs/>
          <w:color w:val="000000"/>
          <w:sz w:val="20"/>
          <w:szCs w:val="20"/>
        </w:rPr>
        <w:t>The effects of presentation format and audience familiarity on cognitive resource allocation during a serial learning task.</w:t>
      </w:r>
      <w:r w:rsidRPr="00CD39DE">
        <w:rPr>
          <w:rFonts w:ascii="Arial" w:eastAsia="Times New Roman" w:hAnsi="Arial" w:cs="Arial"/>
          <w:color w:val="000000"/>
          <w:sz w:val="20"/>
          <w:szCs w:val="20"/>
        </w:rPr>
        <w:t xml:space="preserve"> Journal of Cognitive Psychology, 20(4), 557-569.</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Bodie, G. D., Worthington, D. L., &amp; </w:t>
      </w:r>
      <w:proofErr w:type="spellStart"/>
      <w:r w:rsidRPr="00CD39DE">
        <w:rPr>
          <w:rFonts w:ascii="Arial" w:eastAsia="Times New Roman" w:hAnsi="Arial" w:cs="Arial"/>
          <w:color w:val="000000"/>
          <w:sz w:val="20"/>
          <w:szCs w:val="20"/>
        </w:rPr>
        <w:t>Imhof</w:t>
      </w:r>
      <w:proofErr w:type="spellEnd"/>
      <w:r w:rsidRPr="00CD39DE">
        <w:rPr>
          <w:rFonts w:ascii="Arial" w:eastAsia="Times New Roman" w:hAnsi="Arial" w:cs="Arial"/>
          <w:color w:val="000000"/>
          <w:sz w:val="20"/>
          <w:szCs w:val="20"/>
        </w:rPr>
        <w:t xml:space="preserve">, M. (2007) </w:t>
      </w:r>
      <w:r w:rsidRPr="00CD39DE">
        <w:rPr>
          <w:rFonts w:ascii="Arial" w:eastAsia="Times New Roman" w:hAnsi="Arial" w:cs="Arial"/>
          <w:i/>
          <w:iCs/>
          <w:color w:val="000000"/>
          <w:sz w:val="20"/>
          <w:szCs w:val="20"/>
        </w:rPr>
        <w:t xml:space="preserve">Power in the classroom IV: Student and instructor perceptions of power in communication consulting relationships. </w:t>
      </w:r>
      <w:r w:rsidRPr="00CD39DE">
        <w:rPr>
          <w:rFonts w:ascii="Arial" w:eastAsia="Times New Roman" w:hAnsi="Arial" w:cs="Arial"/>
          <w:color w:val="000000"/>
          <w:sz w:val="20"/>
          <w:szCs w:val="20"/>
        </w:rPr>
        <w:t>Communication Education, 56(2), 172-191.</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 CIPD A. (2023) </w:t>
      </w:r>
      <w:r w:rsidRPr="00CD39DE">
        <w:rPr>
          <w:rFonts w:ascii="Arial" w:eastAsia="Times New Roman" w:hAnsi="Arial" w:cs="Arial"/>
          <w:i/>
          <w:iCs/>
          <w:color w:val="000000"/>
          <w:sz w:val="20"/>
          <w:szCs w:val="20"/>
        </w:rPr>
        <w:t>Working Inclusively.</w:t>
      </w:r>
      <w:r w:rsidRPr="00CD39DE">
        <w:rPr>
          <w:rFonts w:ascii="Arial" w:eastAsia="Times New Roman" w:hAnsi="Arial" w:cs="Arial"/>
          <w:color w:val="000000"/>
          <w:sz w:val="20"/>
          <w:szCs w:val="20"/>
        </w:rPr>
        <w:t xml:space="preserve"> Available at: </w:t>
      </w:r>
      <w:hyperlink r:id="rId18" w:anchor="gref" w:history="1">
        <w:r w:rsidRPr="00CD39DE">
          <w:rPr>
            <w:rFonts w:ascii="Arial" w:eastAsia="Times New Roman" w:hAnsi="Arial" w:cs="Arial"/>
            <w:color w:val="000000"/>
            <w:sz w:val="20"/>
            <w:szCs w:val="20"/>
            <w:u w:val="single"/>
          </w:rPr>
          <w:t xml:space="preserve">https://peopleprofession.cipd.org/profession-map/core-behaviours/working </w:t>
        </w:r>
        <w:proofErr w:type="spellStart"/>
        <w:r w:rsidRPr="00CD39DE">
          <w:rPr>
            <w:rFonts w:ascii="Arial" w:eastAsia="Times New Roman" w:hAnsi="Arial" w:cs="Arial"/>
            <w:color w:val="000000"/>
            <w:sz w:val="20"/>
            <w:szCs w:val="20"/>
            <w:u w:val="single"/>
          </w:rPr>
          <w:t>inclusively#gref</w:t>
        </w:r>
        <w:proofErr w:type="spellEnd"/>
      </w:hyperlink>
      <w:r w:rsidRPr="00CD39DE">
        <w:rPr>
          <w:rFonts w:ascii="Arial" w:eastAsia="Times New Roman" w:hAnsi="Arial" w:cs="Arial"/>
          <w:color w:val="000000"/>
          <w:sz w:val="20"/>
          <w:szCs w:val="20"/>
        </w:rPr>
        <w:t xml:space="preserve"> (Accessed: 23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Gallo, C. (2019) </w:t>
      </w:r>
      <w:r w:rsidRPr="00CD39DE">
        <w:rPr>
          <w:rFonts w:ascii="Arial" w:eastAsia="Times New Roman" w:hAnsi="Arial" w:cs="Arial"/>
          <w:i/>
          <w:iCs/>
          <w:color w:val="000000"/>
          <w:sz w:val="20"/>
          <w:szCs w:val="20"/>
        </w:rPr>
        <w:t>How to Look and Sound Confident During a Presentation.</w:t>
      </w:r>
      <w:r w:rsidRPr="00CD39DE">
        <w:rPr>
          <w:rFonts w:ascii="Arial" w:eastAsia="Times New Roman" w:hAnsi="Arial" w:cs="Arial"/>
          <w:color w:val="000000"/>
          <w:sz w:val="20"/>
          <w:szCs w:val="20"/>
        </w:rPr>
        <w:t xml:space="preserve"> Available at: </w:t>
      </w:r>
      <w:hyperlink r:id="rId19" w:history="1">
        <w:r w:rsidRPr="00CD39DE">
          <w:rPr>
            <w:rFonts w:ascii="Arial" w:eastAsia="Times New Roman" w:hAnsi="Arial" w:cs="Arial"/>
            <w:color w:val="000000"/>
            <w:sz w:val="20"/>
            <w:szCs w:val="20"/>
            <w:u w:val="single"/>
          </w:rPr>
          <w:t>https://hbr.org/2019/10/how-to-look-and-sound-confident-during-a-presentation</w:t>
        </w:r>
      </w:hyperlink>
      <w:r w:rsidRPr="00CD39DE">
        <w:rPr>
          <w:rFonts w:ascii="Arial" w:eastAsia="Times New Roman" w:hAnsi="Arial" w:cs="Arial"/>
          <w:color w:val="000000"/>
          <w:sz w:val="20"/>
          <w:szCs w:val="20"/>
        </w:rPr>
        <w:t xml:space="preserve"> (Accessed: 23 Apr. 2023) </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Halbesleben, J. R. B., &amp; Buckley, M. R. (2004) </w:t>
      </w:r>
      <w:r w:rsidRPr="00CD39DE">
        <w:rPr>
          <w:rFonts w:ascii="Arial" w:eastAsia="Times New Roman" w:hAnsi="Arial" w:cs="Arial"/>
          <w:i/>
          <w:iCs/>
          <w:color w:val="000000"/>
          <w:sz w:val="20"/>
          <w:szCs w:val="20"/>
        </w:rPr>
        <w:t>Burnout in organizational life.</w:t>
      </w:r>
      <w:r w:rsidRPr="00CD39DE">
        <w:rPr>
          <w:rFonts w:ascii="Arial" w:eastAsia="Times New Roman" w:hAnsi="Arial" w:cs="Arial"/>
          <w:color w:val="000000"/>
          <w:sz w:val="20"/>
          <w:szCs w:val="20"/>
        </w:rPr>
        <w:t xml:space="preserve"> Journal of Management, 30(6), 859-879.</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Indeed Editorial Team. (2022) </w:t>
      </w:r>
      <w:r w:rsidRPr="00CD39DE">
        <w:rPr>
          <w:rFonts w:ascii="Arial" w:eastAsia="Times New Roman" w:hAnsi="Arial" w:cs="Arial"/>
          <w:i/>
          <w:iCs/>
          <w:color w:val="000000"/>
          <w:sz w:val="20"/>
          <w:szCs w:val="20"/>
        </w:rPr>
        <w:t>15 Benefits of Business Alignment (With Examples)</w:t>
      </w:r>
      <w:r w:rsidRPr="00CD39DE">
        <w:rPr>
          <w:rFonts w:ascii="Arial" w:eastAsia="Times New Roman" w:hAnsi="Arial" w:cs="Arial"/>
          <w:color w:val="000000"/>
          <w:sz w:val="20"/>
          <w:szCs w:val="20"/>
        </w:rPr>
        <w:t xml:space="preserve">. Available at: </w:t>
      </w:r>
      <w:hyperlink r:id="rId20" w:history="1">
        <w:r w:rsidRPr="00CD39DE">
          <w:rPr>
            <w:rFonts w:ascii="Arial" w:eastAsia="Times New Roman" w:hAnsi="Arial" w:cs="Arial"/>
            <w:color w:val="000000"/>
            <w:sz w:val="20"/>
            <w:szCs w:val="20"/>
            <w:u w:val="single"/>
          </w:rPr>
          <w:t>https://www.indeed.com/career-advice/career-development/benefits-of-business-alignment</w:t>
        </w:r>
      </w:hyperlink>
      <w:r w:rsidRPr="00CD39DE">
        <w:rPr>
          <w:rFonts w:ascii="Arial" w:eastAsia="Times New Roman" w:hAnsi="Arial" w:cs="Arial"/>
          <w:color w:val="000000"/>
          <w:sz w:val="20"/>
          <w:szCs w:val="20"/>
        </w:rPr>
        <w:t xml:space="preserve"> (Accessed: 23 Apr. 2023)</w:t>
      </w:r>
    </w:p>
    <w:p w:rsidR="00CD39DE" w:rsidRPr="00CD39DE" w:rsidRDefault="00CD39DE" w:rsidP="00CD39DE">
      <w:pPr>
        <w:spacing w:before="100" w:beforeAutospacing="1" w:after="100" w:afterAutospacing="1"/>
        <w:rPr>
          <w:rFonts w:ascii="Arial" w:eastAsia="Times New Roman" w:hAnsi="Arial" w:cs="Arial"/>
        </w:rPr>
      </w:pPr>
      <w:r w:rsidRPr="00CD39DE">
        <w:rPr>
          <w:rFonts w:ascii="Arial" w:eastAsia="Times New Roman" w:hAnsi="Arial" w:cs="Arial"/>
          <w:color w:val="000000"/>
          <w:sz w:val="20"/>
          <w:szCs w:val="20"/>
        </w:rPr>
        <w:t xml:space="preserve">Mindtools A. (2022) </w:t>
      </w:r>
      <w:r w:rsidRPr="00CD39DE">
        <w:rPr>
          <w:rFonts w:ascii="Arial" w:eastAsia="Times New Roman" w:hAnsi="Arial" w:cs="Arial"/>
          <w:i/>
          <w:iCs/>
          <w:color w:val="000000"/>
          <w:sz w:val="20"/>
          <w:szCs w:val="20"/>
        </w:rPr>
        <w:t>Cognitive Load Theory.</w:t>
      </w:r>
      <w:r w:rsidRPr="00CD39DE">
        <w:rPr>
          <w:rFonts w:ascii="Arial" w:eastAsia="Times New Roman" w:hAnsi="Arial" w:cs="Arial"/>
          <w:color w:val="000000"/>
          <w:sz w:val="20"/>
          <w:szCs w:val="20"/>
        </w:rPr>
        <w:t xml:space="preserve"> Available at: </w:t>
      </w:r>
      <w:hyperlink r:id="rId21" w:history="1">
        <w:r w:rsidRPr="00CD39DE">
          <w:rPr>
            <w:rFonts w:ascii="Arial" w:eastAsia="Times New Roman" w:hAnsi="Arial" w:cs="Arial"/>
            <w:color w:val="000000"/>
            <w:sz w:val="20"/>
            <w:szCs w:val="20"/>
            <w:u w:val="single"/>
          </w:rPr>
          <w:t>https://www.mindtools.com/aqxwcpa/cognitive-load-theory</w:t>
        </w:r>
      </w:hyperlink>
      <w:r w:rsidRPr="00CD39DE">
        <w:rPr>
          <w:rFonts w:ascii="Arial" w:eastAsia="Times New Roman" w:hAnsi="Arial" w:cs="Arial"/>
          <w:color w:val="000000"/>
          <w:sz w:val="20"/>
          <w:szCs w:val="20"/>
        </w:rPr>
        <w:t xml:space="preserve"> (Accessed: 23 Arp. 2023)</w:t>
      </w:r>
    </w:p>
    <w:p w:rsidR="00CD39DE" w:rsidRPr="00CD39DE" w:rsidRDefault="00CD39DE" w:rsidP="00CD39DE">
      <w:pPr>
        <w:spacing w:before="100" w:beforeAutospacing="1" w:after="100" w:afterAutospacing="1"/>
        <w:rPr>
          <w:rFonts w:ascii="Arial" w:eastAsia="Times New Roman" w:hAnsi="Arial" w:cs="Arial"/>
        </w:rPr>
      </w:pPr>
      <w:proofErr w:type="spellStart"/>
      <w:r w:rsidRPr="00CD39DE">
        <w:rPr>
          <w:rFonts w:ascii="Arial" w:eastAsia="Times New Roman" w:hAnsi="Arial" w:cs="Arial"/>
          <w:color w:val="000000"/>
          <w:sz w:val="20"/>
          <w:szCs w:val="20"/>
        </w:rPr>
        <w:t>Sweller</w:t>
      </w:r>
      <w:proofErr w:type="spellEnd"/>
      <w:r w:rsidRPr="00CD39DE">
        <w:rPr>
          <w:rFonts w:ascii="Arial" w:eastAsia="Times New Roman" w:hAnsi="Arial" w:cs="Arial"/>
          <w:color w:val="000000"/>
          <w:sz w:val="20"/>
          <w:szCs w:val="20"/>
        </w:rPr>
        <w:t xml:space="preserve">, J. (1988) </w:t>
      </w:r>
      <w:r w:rsidRPr="00CD39DE">
        <w:rPr>
          <w:rFonts w:ascii="Arial" w:eastAsia="Times New Roman" w:hAnsi="Arial" w:cs="Arial"/>
          <w:i/>
          <w:iCs/>
          <w:color w:val="000000"/>
          <w:sz w:val="20"/>
          <w:szCs w:val="20"/>
        </w:rPr>
        <w:t>Cognitive Load During Problem Solving: Effects on Learning.</w:t>
      </w:r>
      <w:r w:rsidRPr="00CD39DE">
        <w:rPr>
          <w:rFonts w:ascii="Arial" w:eastAsia="Times New Roman" w:hAnsi="Arial" w:cs="Arial"/>
          <w:color w:val="000000"/>
          <w:sz w:val="20"/>
          <w:szCs w:val="20"/>
        </w:rPr>
        <w:t xml:space="preserve"> Cognitive Science, 12(2), pp.257–285. </w:t>
      </w:r>
    </w:p>
    <w:p w:rsidR="00DC6039" w:rsidRDefault="009D5060"/>
    <w:sectPr w:rsidR="00DC6039" w:rsidSect="00055A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E5B2B"/>
    <w:multiLevelType w:val="multilevel"/>
    <w:tmpl w:val="AEC67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9DE"/>
    <w:rsid w:val="00055AF5"/>
    <w:rsid w:val="009D5060"/>
    <w:rsid w:val="00CD39DE"/>
    <w:rsid w:val="00F460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ED9B8EDD-9F50-6749-BBBA-F2A5F8E96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39DE"/>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CD39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7359999">
      <w:bodyDiv w:val="1"/>
      <w:marLeft w:val="0"/>
      <w:marRight w:val="0"/>
      <w:marTop w:val="0"/>
      <w:marBottom w:val="0"/>
      <w:divBdr>
        <w:top w:val="none" w:sz="0" w:space="0" w:color="auto"/>
        <w:left w:val="none" w:sz="0" w:space="0" w:color="auto"/>
        <w:bottom w:val="none" w:sz="0" w:space="0" w:color="auto"/>
        <w:right w:val="none" w:sz="0" w:space="0" w:color="auto"/>
      </w:divBdr>
      <w:divsChild>
        <w:div w:id="5253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core-behaviours/valuing-people" TargetMode="External"/><Relationship Id="rId13" Type="http://schemas.openxmlformats.org/officeDocument/2006/relationships/hyperlink" Target="https://www.communicationtheory.org/the-johari-window-model/" TargetMode="External"/><Relationship Id="rId18" Type="http://schemas.openxmlformats.org/officeDocument/2006/relationships/hyperlink" Target="https://peopleprofession.cipd.org/profession-map/core-behaviours/working-inclusively" TargetMode="External"/><Relationship Id="rId3" Type="http://schemas.openxmlformats.org/officeDocument/2006/relationships/settings" Target="settings.xml"/><Relationship Id="rId21" Type="http://schemas.openxmlformats.org/officeDocument/2006/relationships/hyperlink" Target="https://www.mindtools.com/aqxwcpa/cognitive-load-theory" TargetMode="External"/><Relationship Id="rId7" Type="http://schemas.openxmlformats.org/officeDocument/2006/relationships/hyperlink" Target="https://peopleprofession.cipd.org/profession-map/core-behaviours/commercial-drive" TargetMode="External"/><Relationship Id="rId12" Type="http://schemas.openxmlformats.org/officeDocument/2006/relationships/hyperlink" Target="https://peopleprofession.cipd.org/profession-map/core-behaviours/insights-focused" TargetMode="External"/><Relationship Id="rId17" Type="http://schemas.openxmlformats.org/officeDocument/2006/relationships/hyperlink" Target="https://www.mindtools.com/a301oo7/dealing-with-angry-people" TargetMode="External"/><Relationship Id="rId2" Type="http://schemas.openxmlformats.org/officeDocument/2006/relationships/styles" Target="styles.xml"/><Relationship Id="rId16" Type="http://schemas.openxmlformats.org/officeDocument/2006/relationships/hyperlink" Target="https://peopleprofession.cipd.org/profession-map/core-behaviours/ethical-practice" TargetMode="External"/><Relationship Id="rId20" Type="http://schemas.openxmlformats.org/officeDocument/2006/relationships/hyperlink" Target="https://www.indeed.com/career-advice/career-development/benefits-of-business-alignment" TargetMode="External"/><Relationship Id="rId1" Type="http://schemas.openxmlformats.org/officeDocument/2006/relationships/numbering" Target="numbering.xml"/><Relationship Id="rId6" Type="http://schemas.openxmlformats.org/officeDocument/2006/relationships/hyperlink" Target="https://www.acas.org.uk/using-workplace-forums" TargetMode="External"/><Relationship Id="rId11" Type="http://schemas.openxmlformats.org/officeDocument/2006/relationships/hyperlink" Target="https://peopleprofession.cipd.org/profession-map/core-behaviours/situational-decision-making" TargetMode="External"/><Relationship Id="rId5" Type="http://schemas.openxmlformats.org/officeDocument/2006/relationships/hyperlink" Target="https://moodle.uwtsd.ac.uk/mod/url/view.php?id=396338" TargetMode="External"/><Relationship Id="rId15" Type="http://schemas.openxmlformats.org/officeDocument/2006/relationships/hyperlink" Target="https://shop.cipd.org/product?catalog=Professional-Courage-and-Influence-Introductory-Programme" TargetMode="External"/><Relationship Id="rId23" Type="http://schemas.openxmlformats.org/officeDocument/2006/relationships/theme" Target="theme/theme1.xml"/><Relationship Id="rId10" Type="http://schemas.openxmlformats.org/officeDocument/2006/relationships/hyperlink" Target="https://hbr.org/2007/11/a-leaders-framework-for-decision-making" TargetMode="External"/><Relationship Id="rId19" Type="http://schemas.openxmlformats.org/officeDocument/2006/relationships/hyperlink" Target="https://hbr.org/2019/10/how-to-look-and-sound-confident-during-a-presentation" TargetMode="External"/><Relationship Id="rId4" Type="http://schemas.openxmlformats.org/officeDocument/2006/relationships/webSettings" Target="webSettings.xml"/><Relationship Id="rId9" Type="http://schemas.openxmlformats.org/officeDocument/2006/relationships/hyperlink" Target="https://www.cipd.co.uk/knowledge/fundamentals/relations/communication/voice-factsheet" TargetMode="External"/><Relationship Id="rId14" Type="http://schemas.openxmlformats.org/officeDocument/2006/relationships/hyperlink" Target="https://www.mind.org.uk/information-support/types-of-mental-health-problems/stress/for-friends-and-famil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4318</Words>
  <Characters>24616</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Collins</dc:creator>
  <cp:keywords/>
  <dc:description/>
  <cp:lastModifiedBy>Amy Collins</cp:lastModifiedBy>
  <cp:revision>1</cp:revision>
  <dcterms:created xsi:type="dcterms:W3CDTF">2023-05-22T19:23:00Z</dcterms:created>
  <dcterms:modified xsi:type="dcterms:W3CDTF">2023-05-22T19:36:00Z</dcterms:modified>
</cp:coreProperties>
</file>