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C8D0A7" w14:textId="77777777" w:rsidR="003463D3" w:rsidRDefault="00000000">
      <w:pPr>
        <w:pStyle w:val="Title"/>
        <w:jc w:val="center"/>
        <w:rPr>
          <w:b/>
          <w:bCs/>
          <w:sz w:val="28"/>
          <w:szCs w:val="28"/>
        </w:rPr>
      </w:pPr>
      <w:bookmarkStart w:id="0" w:name="_heading=h.lxyw3ky8i0q9" w:colFirst="0" w:colLast="0"/>
      <w:bookmarkEnd w:id="0"/>
      <w:r>
        <w:rPr>
          <w:noProof/>
        </w:rPr>
        <w:drawing>
          <wp:anchor distT="0" distB="0" distL="114300" distR="114300" simplePos="0" relativeHeight="251658240" behindDoc="0" locked="0" layoutInCell="1" hidden="0" allowOverlap="1" wp14:anchorId="5961C43F" wp14:editId="16B29AAD">
            <wp:simplePos x="0" y="0"/>
            <wp:positionH relativeFrom="column">
              <wp:posOffset>1800225</wp:posOffset>
            </wp:positionH>
            <wp:positionV relativeFrom="paragraph">
              <wp:posOffset>246979</wp:posOffset>
            </wp:positionV>
            <wp:extent cx="1809750" cy="723900"/>
            <wp:effectExtent l="0" t="0" r="0" b="0"/>
            <wp:wrapSquare wrapText="bothSides" distT="0" distB="0" distL="114300" distR="114300"/>
            <wp:docPr id="10" name="image3.png"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0" name="image3.png" descr="Discover University of Wales Trinity Saint David"/>
                    <pic:cNvPicPr preferRelativeResize="0"/>
                  </pic:nvPicPr>
                  <pic:blipFill>
                    <a:blip r:embed="rId8"/>
                    <a:srcRect/>
                    <a:stretch>
                      <a:fillRect/>
                    </a:stretch>
                  </pic:blipFill>
                  <pic:spPr>
                    <a:xfrm>
                      <a:off x="0" y="0"/>
                      <a:ext cx="1809750" cy="723900"/>
                    </a:xfrm>
                    <a:prstGeom prst="rect">
                      <a:avLst/>
                    </a:prstGeom>
                    <a:ln/>
                  </pic:spPr>
                </pic:pic>
              </a:graphicData>
            </a:graphic>
          </wp:anchor>
        </w:drawing>
      </w:r>
    </w:p>
    <w:p w14:paraId="6EF98868" w14:textId="77777777" w:rsidR="003463D3" w:rsidRDefault="003463D3">
      <w:pPr>
        <w:spacing w:before="120" w:after="120"/>
        <w:jc w:val="center"/>
        <w:rPr>
          <w:b/>
          <w:bCs/>
          <w:sz w:val="32"/>
          <w:szCs w:val="32"/>
        </w:rPr>
      </w:pPr>
    </w:p>
    <w:p w14:paraId="75F2F3CA" w14:textId="77777777" w:rsidR="003463D3" w:rsidRDefault="003463D3">
      <w:pPr>
        <w:spacing w:before="120" w:after="120"/>
        <w:jc w:val="center"/>
        <w:rPr>
          <w:b/>
          <w:bCs/>
          <w:sz w:val="32"/>
          <w:szCs w:val="32"/>
        </w:rPr>
      </w:pPr>
    </w:p>
    <w:p w14:paraId="047F8FE3" w14:textId="77777777" w:rsidR="003463D3" w:rsidRDefault="00000000">
      <w:pPr>
        <w:spacing w:before="120" w:after="120"/>
        <w:jc w:val="center"/>
        <w:rPr>
          <w:b/>
          <w:bCs/>
          <w:sz w:val="32"/>
          <w:szCs w:val="32"/>
        </w:rPr>
      </w:pPr>
      <w:r>
        <w:rPr>
          <w:b/>
          <w:bCs/>
          <w:sz w:val="32"/>
          <w:szCs w:val="32"/>
        </w:rPr>
        <w:t xml:space="preserve">Programme: BSc (Hons) Health and Social Care </w:t>
      </w:r>
    </w:p>
    <w:p w14:paraId="2CBFA28D" w14:textId="77777777" w:rsidR="003463D3" w:rsidRDefault="00000000">
      <w:pPr>
        <w:spacing w:before="120" w:after="120"/>
        <w:jc w:val="center"/>
        <w:rPr>
          <w:b/>
          <w:bCs/>
          <w:sz w:val="32"/>
          <w:szCs w:val="32"/>
        </w:rPr>
      </w:pPr>
      <w:r>
        <w:rPr>
          <w:b/>
          <w:bCs/>
          <w:sz w:val="32"/>
          <w:szCs w:val="32"/>
        </w:rPr>
        <w:t>Module code: BMHP6020</w:t>
      </w:r>
    </w:p>
    <w:p w14:paraId="4ECBBFB5" w14:textId="77777777" w:rsidR="003463D3" w:rsidRDefault="00000000">
      <w:pPr>
        <w:spacing w:before="120" w:after="120"/>
        <w:jc w:val="center"/>
        <w:rPr>
          <w:b/>
          <w:bCs/>
          <w:sz w:val="32"/>
          <w:szCs w:val="32"/>
        </w:rPr>
      </w:pPr>
      <w:r>
        <w:rPr>
          <w:b/>
          <w:bCs/>
          <w:sz w:val="32"/>
          <w:szCs w:val="32"/>
        </w:rPr>
        <w:t>Assignment Title: Component 1: Portfolio (including 3 elements)</w:t>
      </w:r>
    </w:p>
    <w:p w14:paraId="79865D57" w14:textId="77777777" w:rsidR="003463D3" w:rsidRDefault="00000000">
      <w:pPr>
        <w:spacing w:before="120" w:after="120"/>
        <w:jc w:val="center"/>
        <w:rPr>
          <w:b/>
          <w:bCs/>
          <w:sz w:val="32"/>
          <w:szCs w:val="32"/>
        </w:rPr>
      </w:pPr>
      <w:r>
        <w:rPr>
          <w:b/>
          <w:bCs/>
          <w:sz w:val="32"/>
          <w:szCs w:val="32"/>
        </w:rPr>
        <w:t>Module: Independent Project</w:t>
      </w:r>
    </w:p>
    <w:p w14:paraId="32B7C399" w14:textId="77777777" w:rsidR="003463D3" w:rsidRDefault="00000000">
      <w:pPr>
        <w:spacing w:before="120" w:after="120"/>
        <w:jc w:val="center"/>
        <w:rPr>
          <w:b/>
          <w:bCs/>
          <w:sz w:val="32"/>
          <w:szCs w:val="32"/>
        </w:rPr>
      </w:pPr>
      <w:r>
        <w:rPr>
          <w:b/>
          <w:bCs/>
          <w:sz w:val="32"/>
          <w:szCs w:val="32"/>
        </w:rPr>
        <w:t>Student Name: Adela</w:t>
      </w:r>
    </w:p>
    <w:p w14:paraId="4ED79B20" w14:textId="77777777" w:rsidR="003463D3" w:rsidRDefault="00000000">
      <w:pPr>
        <w:spacing w:before="120" w:after="120"/>
        <w:jc w:val="center"/>
        <w:rPr>
          <w:b/>
          <w:bCs/>
          <w:sz w:val="32"/>
          <w:szCs w:val="32"/>
        </w:rPr>
      </w:pPr>
      <w:r>
        <w:rPr>
          <w:b/>
          <w:bCs/>
          <w:sz w:val="32"/>
          <w:szCs w:val="32"/>
        </w:rPr>
        <w:t xml:space="preserve">Student ID: </w:t>
      </w:r>
    </w:p>
    <w:p w14:paraId="4066EC99" w14:textId="77777777" w:rsidR="003463D3" w:rsidRDefault="003463D3">
      <w:pPr>
        <w:spacing w:before="120" w:after="120"/>
        <w:jc w:val="left"/>
        <w:rPr>
          <w:b/>
          <w:bCs/>
          <w:sz w:val="32"/>
          <w:szCs w:val="32"/>
        </w:rPr>
      </w:pPr>
    </w:p>
    <w:p w14:paraId="478F787B" w14:textId="77777777" w:rsidR="003463D3" w:rsidRDefault="00000000">
      <w:pPr>
        <w:jc w:val="center"/>
        <w:rPr>
          <w:b/>
          <w:bCs/>
          <w:sz w:val="32"/>
          <w:szCs w:val="32"/>
        </w:rPr>
      </w:pPr>
      <w:r>
        <w:rPr>
          <w:b/>
          <w:bCs/>
          <w:sz w:val="32"/>
          <w:szCs w:val="32"/>
        </w:rPr>
        <w:t>Selected Topic: 'Evaluation of the issue of staff burnout and its influences on the quality-of-care delivery within the UK health and social care sector.'</w:t>
      </w:r>
    </w:p>
    <w:p w14:paraId="660DEAC9" w14:textId="77777777" w:rsidR="003463D3" w:rsidRDefault="003463D3">
      <w:pPr>
        <w:jc w:val="center"/>
        <w:rPr>
          <w:b/>
          <w:bCs/>
          <w:sz w:val="32"/>
          <w:szCs w:val="32"/>
        </w:rPr>
      </w:pPr>
    </w:p>
    <w:p w14:paraId="3EF514A2" w14:textId="77777777" w:rsidR="003463D3" w:rsidRDefault="00000000">
      <w:pPr>
        <w:jc w:val="center"/>
        <w:rPr>
          <w:b/>
          <w:bCs/>
          <w:sz w:val="32"/>
          <w:szCs w:val="32"/>
        </w:rPr>
      </w:pPr>
      <w:r>
        <w:rPr>
          <w:b/>
          <w:bCs/>
          <w:sz w:val="32"/>
          <w:szCs w:val="32"/>
        </w:rPr>
        <w:t>Word Count: 9017</w:t>
      </w:r>
    </w:p>
    <w:p w14:paraId="5B256F1B" w14:textId="2FDBDB20" w:rsidR="003463D3" w:rsidRDefault="003463D3">
      <w:pPr>
        <w:pStyle w:val="Heading1"/>
        <w:rPr>
          <w:sz w:val="26"/>
          <w:szCs w:val="26"/>
        </w:rPr>
      </w:pPr>
      <w:bookmarkStart w:id="1" w:name="_heading=h.zfp58pmkqlrv" w:colFirst="0" w:colLast="0"/>
      <w:bookmarkEnd w:id="1"/>
    </w:p>
    <w:p w14:paraId="3E1FAA1B" w14:textId="77777777" w:rsidR="00C3615C" w:rsidRDefault="00C3615C">
      <w:pPr>
        <w:rPr>
          <w:b/>
          <w:bCs/>
          <w:sz w:val="26"/>
          <w:szCs w:val="26"/>
        </w:rPr>
      </w:pPr>
      <w:r>
        <w:rPr>
          <w:b/>
          <w:bCs/>
          <w:sz w:val="26"/>
          <w:szCs w:val="26"/>
        </w:rPr>
        <w:br w:type="page"/>
      </w:r>
    </w:p>
    <w:p w14:paraId="462439FF" w14:textId="354BF5C1" w:rsidR="003463D3" w:rsidRDefault="00000000">
      <w:pPr>
        <w:jc w:val="center"/>
        <w:rPr>
          <w:b/>
          <w:bCs/>
          <w:sz w:val="26"/>
          <w:szCs w:val="26"/>
        </w:rPr>
      </w:pPr>
      <w:r>
        <w:rPr>
          <w:b/>
          <w:bCs/>
          <w:sz w:val="26"/>
          <w:szCs w:val="26"/>
        </w:rPr>
        <w:lastRenderedPageBreak/>
        <w:t>Acknowledgement</w:t>
      </w:r>
    </w:p>
    <w:p w14:paraId="76D1C7A5" w14:textId="77777777" w:rsidR="003463D3" w:rsidRDefault="00000000">
      <w:r>
        <w:t>I would like to sincerely thank my supervisor for guidance and support, my family and friends for encouragement, and all participants who contributed their time and insights to this dissertation.</w:t>
      </w:r>
    </w:p>
    <w:p w14:paraId="68E5073D" w14:textId="77777777" w:rsidR="003463D3" w:rsidRDefault="00000000">
      <w:pPr>
        <w:jc w:val="center"/>
        <w:rPr>
          <w:b/>
          <w:bCs/>
          <w:sz w:val="28"/>
          <w:szCs w:val="28"/>
        </w:rPr>
      </w:pPr>
      <w:r>
        <w:br w:type="page"/>
      </w:r>
      <w:r>
        <w:rPr>
          <w:b/>
          <w:bCs/>
          <w:sz w:val="28"/>
          <w:szCs w:val="28"/>
        </w:rPr>
        <w:lastRenderedPageBreak/>
        <w:t xml:space="preserve">Declaration </w:t>
      </w:r>
    </w:p>
    <w:p w14:paraId="3553AA91" w14:textId="77777777" w:rsidR="003463D3" w:rsidRDefault="00000000">
      <w:pPr>
        <w:rPr>
          <w:rFonts w:ascii="Times New Roman" w:eastAsia="Times New Roman" w:hAnsi="Times New Roman" w:cs="Times New Roman"/>
          <w:b/>
          <w:bCs/>
          <w:sz w:val="28"/>
          <w:szCs w:val="28"/>
        </w:rPr>
      </w:pPr>
      <w:r>
        <w:rPr>
          <w:rFonts w:ascii="Times New Roman" w:eastAsia="Times New Roman" w:hAnsi="Times New Roman" w:cs="Times New Roman"/>
          <w:sz w:val="24"/>
          <w:szCs w:val="24"/>
        </w:rPr>
        <w:t>I hereby declare that this research is my own original work and has not submitted previously for any degree or academic qualification, except where properly acknowledged.</w:t>
      </w:r>
      <w:r>
        <w:rPr>
          <w:rFonts w:ascii="Times New Roman" w:eastAsia="Times New Roman" w:hAnsi="Times New Roman" w:cs="Times New Roman"/>
          <w:b/>
          <w:bCs/>
          <w:sz w:val="28"/>
          <w:szCs w:val="28"/>
        </w:rPr>
        <w:t xml:space="preserve"> </w:t>
      </w:r>
      <w:r>
        <w:br w:type="page"/>
      </w:r>
    </w:p>
    <w:p w14:paraId="65C35CBB" w14:textId="77777777" w:rsidR="003463D3" w:rsidRDefault="00000000">
      <w:pPr>
        <w:jc w:val="center"/>
        <w:rPr>
          <w:b/>
          <w:bCs/>
          <w:sz w:val="28"/>
          <w:szCs w:val="28"/>
        </w:rPr>
      </w:pPr>
      <w:r>
        <w:rPr>
          <w:b/>
          <w:bCs/>
          <w:sz w:val="28"/>
          <w:szCs w:val="28"/>
        </w:rPr>
        <w:lastRenderedPageBreak/>
        <w:t>Abstract</w:t>
      </w:r>
    </w:p>
    <w:p w14:paraId="12C96CE5" w14:textId="77777777" w:rsidR="003463D3" w:rsidRDefault="00000000">
      <w:r>
        <w:t xml:space="preserve">The study aimed to understand the primary issue of staff burnout as well as its impact on the care delivery quality in the context of the UK health and social care sector. Staff burnout is a major key issue in the health and social sector that directly impacts the patient experiences and reduces overall work productivity. Moreover, due to a limited workforce, the service provider cannot simplify the work and reduce the effectiveness of patient well-being. This research has collected secondary qualitative data from sources including previously published research articles, news articles, and industry reports. Thematic analysis technique has been used for interpreting information through developments of objective-specific themes. Thematic analysis technique includes a systematic process for analysing secondary qualitative data by familiarising with data, developing, defining, reviewing, and discussing themes in relation to research findings. The thematic analysis method of Braun and Clarke has been considered to systematically analyse the secondary results of 12 secondary sources in order to be in a position to describe the patterns with the evidence of the existing literature. The discussion portion is a decisive synthesis of the secondary findings to the existing body of literature, with theoretical integration that provides a vital and overall view of the issue. Since a higher level of mental exhaustion is reported, as well as feelings of anxiety, depression, and trauma among the care and social care workers, have been found among employees. </w:t>
      </w:r>
    </w:p>
    <w:p w14:paraId="54634370" w14:textId="77777777" w:rsidR="003463D3" w:rsidRDefault="003463D3">
      <w:pPr>
        <w:jc w:val="left"/>
        <w:rPr>
          <w:b/>
          <w:bCs/>
          <w:sz w:val="28"/>
          <w:szCs w:val="28"/>
        </w:rPr>
      </w:pPr>
    </w:p>
    <w:p w14:paraId="7F1F0D01" w14:textId="77777777" w:rsidR="003463D3" w:rsidRDefault="00000000">
      <w:pPr>
        <w:jc w:val="left"/>
      </w:pPr>
      <w:r>
        <w:br w:type="page"/>
      </w:r>
    </w:p>
    <w:p w14:paraId="6542E017" w14:textId="77777777" w:rsidR="003463D3" w:rsidRDefault="00000000">
      <w:pPr>
        <w:spacing w:before="200" w:after="200"/>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lastRenderedPageBreak/>
        <w:t>Table of Contents</w:t>
      </w:r>
    </w:p>
    <w:sdt>
      <w:sdtPr>
        <w:id w:val="1107313834"/>
        <w:docPartObj>
          <w:docPartGallery w:val="Table of Contents"/>
          <w:docPartUnique/>
        </w:docPartObj>
      </w:sdtPr>
      <w:sdtContent>
        <w:p w14:paraId="0396843F" w14:textId="1A31AB94" w:rsidR="00266549" w:rsidRDefault="00000000">
          <w:pPr>
            <w:pStyle w:val="TOC1"/>
            <w:tabs>
              <w:tab w:val="right" w:pos="9019"/>
            </w:tabs>
            <w:rPr>
              <w:rFonts w:asciiTheme="minorHAnsi" w:eastAsiaTheme="minorEastAsia" w:hAnsiTheme="minorHAnsi" w:cstheme="minorBidi"/>
              <w:noProof/>
              <w:kern w:val="2"/>
              <w:sz w:val="24"/>
              <w:szCs w:val="24"/>
              <w:lang w:val="en-US"/>
              <w14:ligatures w14:val="standardContextual"/>
            </w:rPr>
          </w:pPr>
          <w:r>
            <w:fldChar w:fldCharType="begin"/>
          </w:r>
          <w:r>
            <w:instrText xml:space="preserve"> TOC \h \u \z \t "Heading 1,1,Heading 2,2,Heading 3,3,Heading 6,6,"</w:instrText>
          </w:r>
          <w:r>
            <w:fldChar w:fldCharType="separate"/>
          </w:r>
          <w:hyperlink w:anchor="_Toc219841820" w:history="1">
            <w:r w:rsidR="00266549" w:rsidRPr="008509FB">
              <w:rPr>
                <w:rStyle w:val="Hyperlink"/>
                <w:noProof/>
              </w:rPr>
              <w:t>CHAPTER 1: Introduction</w:t>
            </w:r>
            <w:r w:rsidR="00266549">
              <w:rPr>
                <w:noProof/>
                <w:webHidden/>
              </w:rPr>
              <w:tab/>
            </w:r>
            <w:r w:rsidR="00266549">
              <w:rPr>
                <w:noProof/>
                <w:webHidden/>
              </w:rPr>
              <w:fldChar w:fldCharType="begin"/>
            </w:r>
            <w:r w:rsidR="00266549">
              <w:rPr>
                <w:noProof/>
                <w:webHidden/>
              </w:rPr>
              <w:instrText xml:space="preserve"> PAGEREF _Toc219841820 \h </w:instrText>
            </w:r>
            <w:r w:rsidR="00266549">
              <w:rPr>
                <w:noProof/>
                <w:webHidden/>
              </w:rPr>
            </w:r>
            <w:r w:rsidR="00266549">
              <w:rPr>
                <w:noProof/>
                <w:webHidden/>
              </w:rPr>
              <w:fldChar w:fldCharType="separate"/>
            </w:r>
            <w:r w:rsidR="00266549">
              <w:rPr>
                <w:noProof/>
                <w:webHidden/>
              </w:rPr>
              <w:t>9</w:t>
            </w:r>
            <w:r w:rsidR="00266549">
              <w:rPr>
                <w:noProof/>
                <w:webHidden/>
              </w:rPr>
              <w:fldChar w:fldCharType="end"/>
            </w:r>
          </w:hyperlink>
        </w:p>
        <w:p w14:paraId="405C040F" w14:textId="78F27353" w:rsidR="00266549" w:rsidRDefault="00266549">
          <w:pPr>
            <w:pStyle w:val="TOC2"/>
            <w:tabs>
              <w:tab w:val="right" w:pos="9019"/>
            </w:tabs>
            <w:rPr>
              <w:rFonts w:asciiTheme="minorHAnsi" w:eastAsiaTheme="minorEastAsia" w:hAnsiTheme="minorHAnsi" w:cstheme="minorBidi"/>
              <w:noProof/>
              <w:kern w:val="2"/>
              <w:sz w:val="24"/>
              <w:szCs w:val="24"/>
              <w:lang w:val="en-US"/>
              <w14:ligatures w14:val="standardContextual"/>
            </w:rPr>
          </w:pPr>
          <w:hyperlink w:anchor="_Toc219841821" w:history="1">
            <w:r w:rsidRPr="008509FB">
              <w:rPr>
                <w:rStyle w:val="Hyperlink"/>
                <w:noProof/>
              </w:rPr>
              <w:t>1.1 Introduction</w:t>
            </w:r>
            <w:r>
              <w:rPr>
                <w:noProof/>
                <w:webHidden/>
              </w:rPr>
              <w:tab/>
            </w:r>
            <w:r>
              <w:rPr>
                <w:noProof/>
                <w:webHidden/>
              </w:rPr>
              <w:fldChar w:fldCharType="begin"/>
            </w:r>
            <w:r>
              <w:rPr>
                <w:noProof/>
                <w:webHidden/>
              </w:rPr>
              <w:instrText xml:space="preserve"> PAGEREF _Toc219841821 \h </w:instrText>
            </w:r>
            <w:r>
              <w:rPr>
                <w:noProof/>
                <w:webHidden/>
              </w:rPr>
            </w:r>
            <w:r>
              <w:rPr>
                <w:noProof/>
                <w:webHidden/>
              </w:rPr>
              <w:fldChar w:fldCharType="separate"/>
            </w:r>
            <w:r>
              <w:rPr>
                <w:noProof/>
                <w:webHidden/>
              </w:rPr>
              <w:t>9</w:t>
            </w:r>
            <w:r>
              <w:rPr>
                <w:noProof/>
                <w:webHidden/>
              </w:rPr>
              <w:fldChar w:fldCharType="end"/>
            </w:r>
          </w:hyperlink>
        </w:p>
        <w:p w14:paraId="25147C82" w14:textId="7C806CB3" w:rsidR="00266549" w:rsidRDefault="00266549">
          <w:pPr>
            <w:pStyle w:val="TOC2"/>
            <w:tabs>
              <w:tab w:val="right" w:pos="9019"/>
            </w:tabs>
            <w:rPr>
              <w:rFonts w:asciiTheme="minorHAnsi" w:eastAsiaTheme="minorEastAsia" w:hAnsiTheme="minorHAnsi" w:cstheme="minorBidi"/>
              <w:noProof/>
              <w:kern w:val="2"/>
              <w:sz w:val="24"/>
              <w:szCs w:val="24"/>
              <w:lang w:val="en-US"/>
              <w14:ligatures w14:val="standardContextual"/>
            </w:rPr>
          </w:pPr>
          <w:hyperlink w:anchor="_Toc219841822" w:history="1">
            <w:r w:rsidRPr="008509FB">
              <w:rPr>
                <w:rStyle w:val="Hyperlink"/>
                <w:noProof/>
              </w:rPr>
              <w:t>1.2 Problem Statement</w:t>
            </w:r>
            <w:r>
              <w:rPr>
                <w:noProof/>
                <w:webHidden/>
              </w:rPr>
              <w:tab/>
            </w:r>
            <w:r>
              <w:rPr>
                <w:noProof/>
                <w:webHidden/>
              </w:rPr>
              <w:fldChar w:fldCharType="begin"/>
            </w:r>
            <w:r>
              <w:rPr>
                <w:noProof/>
                <w:webHidden/>
              </w:rPr>
              <w:instrText xml:space="preserve"> PAGEREF _Toc219841822 \h </w:instrText>
            </w:r>
            <w:r>
              <w:rPr>
                <w:noProof/>
                <w:webHidden/>
              </w:rPr>
            </w:r>
            <w:r>
              <w:rPr>
                <w:noProof/>
                <w:webHidden/>
              </w:rPr>
              <w:fldChar w:fldCharType="separate"/>
            </w:r>
            <w:r>
              <w:rPr>
                <w:noProof/>
                <w:webHidden/>
              </w:rPr>
              <w:t>9</w:t>
            </w:r>
            <w:r>
              <w:rPr>
                <w:noProof/>
                <w:webHidden/>
              </w:rPr>
              <w:fldChar w:fldCharType="end"/>
            </w:r>
          </w:hyperlink>
        </w:p>
        <w:p w14:paraId="1DF93E87" w14:textId="0417574A" w:rsidR="00266549" w:rsidRDefault="00266549">
          <w:pPr>
            <w:pStyle w:val="TOC2"/>
            <w:tabs>
              <w:tab w:val="right" w:pos="9019"/>
            </w:tabs>
            <w:rPr>
              <w:rFonts w:asciiTheme="minorHAnsi" w:eastAsiaTheme="minorEastAsia" w:hAnsiTheme="minorHAnsi" w:cstheme="minorBidi"/>
              <w:noProof/>
              <w:kern w:val="2"/>
              <w:sz w:val="24"/>
              <w:szCs w:val="24"/>
              <w:lang w:val="en-US"/>
              <w14:ligatures w14:val="standardContextual"/>
            </w:rPr>
          </w:pPr>
          <w:hyperlink w:anchor="_Toc219841823" w:history="1">
            <w:r w:rsidRPr="008509FB">
              <w:rPr>
                <w:rStyle w:val="Hyperlink"/>
                <w:noProof/>
              </w:rPr>
              <w:t>1.3 Research Aim and Research Objectives</w:t>
            </w:r>
            <w:r>
              <w:rPr>
                <w:noProof/>
                <w:webHidden/>
              </w:rPr>
              <w:tab/>
            </w:r>
            <w:r>
              <w:rPr>
                <w:noProof/>
                <w:webHidden/>
              </w:rPr>
              <w:fldChar w:fldCharType="begin"/>
            </w:r>
            <w:r>
              <w:rPr>
                <w:noProof/>
                <w:webHidden/>
              </w:rPr>
              <w:instrText xml:space="preserve"> PAGEREF _Toc219841823 \h </w:instrText>
            </w:r>
            <w:r>
              <w:rPr>
                <w:noProof/>
                <w:webHidden/>
              </w:rPr>
            </w:r>
            <w:r>
              <w:rPr>
                <w:noProof/>
                <w:webHidden/>
              </w:rPr>
              <w:fldChar w:fldCharType="separate"/>
            </w:r>
            <w:r>
              <w:rPr>
                <w:noProof/>
                <w:webHidden/>
              </w:rPr>
              <w:t>10</w:t>
            </w:r>
            <w:r>
              <w:rPr>
                <w:noProof/>
                <w:webHidden/>
              </w:rPr>
              <w:fldChar w:fldCharType="end"/>
            </w:r>
          </w:hyperlink>
        </w:p>
        <w:p w14:paraId="7DE07677" w14:textId="5426F928" w:rsidR="00266549" w:rsidRDefault="00266549">
          <w:pPr>
            <w:pStyle w:val="TOC2"/>
            <w:tabs>
              <w:tab w:val="right" w:pos="9019"/>
            </w:tabs>
            <w:rPr>
              <w:rFonts w:asciiTheme="minorHAnsi" w:eastAsiaTheme="minorEastAsia" w:hAnsiTheme="minorHAnsi" w:cstheme="minorBidi"/>
              <w:noProof/>
              <w:kern w:val="2"/>
              <w:sz w:val="24"/>
              <w:szCs w:val="24"/>
              <w:lang w:val="en-US"/>
              <w14:ligatures w14:val="standardContextual"/>
            </w:rPr>
          </w:pPr>
          <w:hyperlink w:anchor="_Toc219841824" w:history="1">
            <w:r w:rsidRPr="008509FB">
              <w:rPr>
                <w:rStyle w:val="Hyperlink"/>
                <w:noProof/>
              </w:rPr>
              <w:t>1.4 Research Questions</w:t>
            </w:r>
            <w:r>
              <w:rPr>
                <w:noProof/>
                <w:webHidden/>
              </w:rPr>
              <w:tab/>
            </w:r>
            <w:r>
              <w:rPr>
                <w:noProof/>
                <w:webHidden/>
              </w:rPr>
              <w:fldChar w:fldCharType="begin"/>
            </w:r>
            <w:r>
              <w:rPr>
                <w:noProof/>
                <w:webHidden/>
              </w:rPr>
              <w:instrText xml:space="preserve"> PAGEREF _Toc219841824 \h </w:instrText>
            </w:r>
            <w:r>
              <w:rPr>
                <w:noProof/>
                <w:webHidden/>
              </w:rPr>
            </w:r>
            <w:r>
              <w:rPr>
                <w:noProof/>
                <w:webHidden/>
              </w:rPr>
              <w:fldChar w:fldCharType="separate"/>
            </w:r>
            <w:r>
              <w:rPr>
                <w:noProof/>
                <w:webHidden/>
              </w:rPr>
              <w:t>11</w:t>
            </w:r>
            <w:r>
              <w:rPr>
                <w:noProof/>
                <w:webHidden/>
              </w:rPr>
              <w:fldChar w:fldCharType="end"/>
            </w:r>
          </w:hyperlink>
        </w:p>
        <w:p w14:paraId="272DA0A1" w14:textId="5B8371EB" w:rsidR="00266549" w:rsidRDefault="00266549">
          <w:pPr>
            <w:pStyle w:val="TOC2"/>
            <w:tabs>
              <w:tab w:val="right" w:pos="9019"/>
            </w:tabs>
            <w:rPr>
              <w:rFonts w:asciiTheme="minorHAnsi" w:eastAsiaTheme="minorEastAsia" w:hAnsiTheme="minorHAnsi" w:cstheme="minorBidi"/>
              <w:noProof/>
              <w:kern w:val="2"/>
              <w:sz w:val="24"/>
              <w:szCs w:val="24"/>
              <w:lang w:val="en-US"/>
              <w14:ligatures w14:val="standardContextual"/>
            </w:rPr>
          </w:pPr>
          <w:hyperlink w:anchor="_Toc219841825" w:history="1">
            <w:r w:rsidRPr="008509FB">
              <w:rPr>
                <w:rStyle w:val="Hyperlink"/>
                <w:noProof/>
              </w:rPr>
              <w:t>1.5 Rationale</w:t>
            </w:r>
            <w:r>
              <w:rPr>
                <w:noProof/>
                <w:webHidden/>
              </w:rPr>
              <w:tab/>
            </w:r>
            <w:r>
              <w:rPr>
                <w:noProof/>
                <w:webHidden/>
              </w:rPr>
              <w:fldChar w:fldCharType="begin"/>
            </w:r>
            <w:r>
              <w:rPr>
                <w:noProof/>
                <w:webHidden/>
              </w:rPr>
              <w:instrText xml:space="preserve"> PAGEREF _Toc219841825 \h </w:instrText>
            </w:r>
            <w:r>
              <w:rPr>
                <w:noProof/>
                <w:webHidden/>
              </w:rPr>
            </w:r>
            <w:r>
              <w:rPr>
                <w:noProof/>
                <w:webHidden/>
              </w:rPr>
              <w:fldChar w:fldCharType="separate"/>
            </w:r>
            <w:r>
              <w:rPr>
                <w:noProof/>
                <w:webHidden/>
              </w:rPr>
              <w:t>11</w:t>
            </w:r>
            <w:r>
              <w:rPr>
                <w:noProof/>
                <w:webHidden/>
              </w:rPr>
              <w:fldChar w:fldCharType="end"/>
            </w:r>
          </w:hyperlink>
        </w:p>
        <w:p w14:paraId="1C77FB76" w14:textId="5127D57F" w:rsidR="00266549" w:rsidRDefault="00266549">
          <w:pPr>
            <w:pStyle w:val="TOC2"/>
            <w:tabs>
              <w:tab w:val="right" w:pos="9019"/>
            </w:tabs>
            <w:rPr>
              <w:rFonts w:asciiTheme="minorHAnsi" w:eastAsiaTheme="minorEastAsia" w:hAnsiTheme="minorHAnsi" w:cstheme="minorBidi"/>
              <w:noProof/>
              <w:kern w:val="2"/>
              <w:sz w:val="24"/>
              <w:szCs w:val="24"/>
              <w:lang w:val="en-US"/>
              <w14:ligatures w14:val="standardContextual"/>
            </w:rPr>
          </w:pPr>
          <w:hyperlink w:anchor="_Toc219841826" w:history="1">
            <w:r w:rsidRPr="008509FB">
              <w:rPr>
                <w:rStyle w:val="Hyperlink"/>
                <w:noProof/>
              </w:rPr>
              <w:t>1.6 Significance of the study</w:t>
            </w:r>
            <w:r>
              <w:rPr>
                <w:noProof/>
                <w:webHidden/>
              </w:rPr>
              <w:tab/>
            </w:r>
            <w:r>
              <w:rPr>
                <w:noProof/>
                <w:webHidden/>
              </w:rPr>
              <w:fldChar w:fldCharType="begin"/>
            </w:r>
            <w:r>
              <w:rPr>
                <w:noProof/>
                <w:webHidden/>
              </w:rPr>
              <w:instrText xml:space="preserve"> PAGEREF _Toc219841826 \h </w:instrText>
            </w:r>
            <w:r>
              <w:rPr>
                <w:noProof/>
                <w:webHidden/>
              </w:rPr>
            </w:r>
            <w:r>
              <w:rPr>
                <w:noProof/>
                <w:webHidden/>
              </w:rPr>
              <w:fldChar w:fldCharType="separate"/>
            </w:r>
            <w:r>
              <w:rPr>
                <w:noProof/>
                <w:webHidden/>
              </w:rPr>
              <w:t>11</w:t>
            </w:r>
            <w:r>
              <w:rPr>
                <w:noProof/>
                <w:webHidden/>
              </w:rPr>
              <w:fldChar w:fldCharType="end"/>
            </w:r>
          </w:hyperlink>
        </w:p>
        <w:p w14:paraId="41F68F78" w14:textId="3D88F8EC" w:rsidR="00266549" w:rsidRDefault="00266549">
          <w:pPr>
            <w:pStyle w:val="TOC2"/>
            <w:tabs>
              <w:tab w:val="right" w:pos="9019"/>
            </w:tabs>
            <w:rPr>
              <w:rFonts w:asciiTheme="minorHAnsi" w:eastAsiaTheme="minorEastAsia" w:hAnsiTheme="minorHAnsi" w:cstheme="minorBidi"/>
              <w:noProof/>
              <w:kern w:val="2"/>
              <w:sz w:val="24"/>
              <w:szCs w:val="24"/>
              <w:lang w:val="en-US"/>
              <w14:ligatures w14:val="standardContextual"/>
            </w:rPr>
          </w:pPr>
          <w:hyperlink w:anchor="_Toc219841827" w:history="1">
            <w:r w:rsidRPr="008509FB">
              <w:rPr>
                <w:rStyle w:val="Hyperlink"/>
                <w:noProof/>
              </w:rPr>
              <w:t>1.7 Structure of the dissertation</w:t>
            </w:r>
            <w:r>
              <w:rPr>
                <w:noProof/>
                <w:webHidden/>
              </w:rPr>
              <w:tab/>
            </w:r>
            <w:r>
              <w:rPr>
                <w:noProof/>
                <w:webHidden/>
              </w:rPr>
              <w:fldChar w:fldCharType="begin"/>
            </w:r>
            <w:r>
              <w:rPr>
                <w:noProof/>
                <w:webHidden/>
              </w:rPr>
              <w:instrText xml:space="preserve"> PAGEREF _Toc219841827 \h </w:instrText>
            </w:r>
            <w:r>
              <w:rPr>
                <w:noProof/>
                <w:webHidden/>
              </w:rPr>
            </w:r>
            <w:r>
              <w:rPr>
                <w:noProof/>
                <w:webHidden/>
              </w:rPr>
              <w:fldChar w:fldCharType="separate"/>
            </w:r>
            <w:r>
              <w:rPr>
                <w:noProof/>
                <w:webHidden/>
              </w:rPr>
              <w:t>11</w:t>
            </w:r>
            <w:r>
              <w:rPr>
                <w:noProof/>
                <w:webHidden/>
              </w:rPr>
              <w:fldChar w:fldCharType="end"/>
            </w:r>
          </w:hyperlink>
        </w:p>
        <w:p w14:paraId="2AEAD1E0" w14:textId="1BAD17E0" w:rsidR="00266549" w:rsidRDefault="00266549">
          <w:pPr>
            <w:pStyle w:val="TOC1"/>
            <w:tabs>
              <w:tab w:val="right" w:pos="9019"/>
            </w:tabs>
            <w:rPr>
              <w:rFonts w:asciiTheme="minorHAnsi" w:eastAsiaTheme="minorEastAsia" w:hAnsiTheme="minorHAnsi" w:cstheme="minorBidi"/>
              <w:noProof/>
              <w:kern w:val="2"/>
              <w:sz w:val="24"/>
              <w:szCs w:val="24"/>
              <w:lang w:val="en-US"/>
              <w14:ligatures w14:val="standardContextual"/>
            </w:rPr>
          </w:pPr>
          <w:hyperlink w:anchor="_Toc219841828" w:history="1">
            <w:r w:rsidRPr="008509FB">
              <w:rPr>
                <w:rStyle w:val="Hyperlink"/>
                <w:noProof/>
              </w:rPr>
              <w:t>CHAPTER 2: Background</w:t>
            </w:r>
            <w:r>
              <w:rPr>
                <w:noProof/>
                <w:webHidden/>
              </w:rPr>
              <w:tab/>
            </w:r>
            <w:r>
              <w:rPr>
                <w:noProof/>
                <w:webHidden/>
              </w:rPr>
              <w:fldChar w:fldCharType="begin"/>
            </w:r>
            <w:r>
              <w:rPr>
                <w:noProof/>
                <w:webHidden/>
              </w:rPr>
              <w:instrText xml:space="preserve"> PAGEREF _Toc219841828 \h </w:instrText>
            </w:r>
            <w:r>
              <w:rPr>
                <w:noProof/>
                <w:webHidden/>
              </w:rPr>
            </w:r>
            <w:r>
              <w:rPr>
                <w:noProof/>
                <w:webHidden/>
              </w:rPr>
              <w:fldChar w:fldCharType="separate"/>
            </w:r>
            <w:r>
              <w:rPr>
                <w:noProof/>
                <w:webHidden/>
              </w:rPr>
              <w:t>13</w:t>
            </w:r>
            <w:r>
              <w:rPr>
                <w:noProof/>
                <w:webHidden/>
              </w:rPr>
              <w:fldChar w:fldCharType="end"/>
            </w:r>
          </w:hyperlink>
        </w:p>
        <w:p w14:paraId="0D824BB4" w14:textId="0B12508A" w:rsidR="00266549" w:rsidRDefault="00266549">
          <w:pPr>
            <w:pStyle w:val="TOC2"/>
            <w:tabs>
              <w:tab w:val="right" w:pos="9019"/>
            </w:tabs>
            <w:rPr>
              <w:rFonts w:asciiTheme="minorHAnsi" w:eastAsiaTheme="minorEastAsia" w:hAnsiTheme="minorHAnsi" w:cstheme="minorBidi"/>
              <w:noProof/>
              <w:kern w:val="2"/>
              <w:sz w:val="24"/>
              <w:szCs w:val="24"/>
              <w:lang w:val="en-US"/>
              <w14:ligatures w14:val="standardContextual"/>
            </w:rPr>
          </w:pPr>
          <w:hyperlink w:anchor="_Toc219841829" w:history="1">
            <w:r w:rsidRPr="008509FB">
              <w:rPr>
                <w:rStyle w:val="Hyperlink"/>
                <w:noProof/>
              </w:rPr>
              <w:t>2.1 Chapter Introduction</w:t>
            </w:r>
            <w:r>
              <w:rPr>
                <w:noProof/>
                <w:webHidden/>
              </w:rPr>
              <w:tab/>
            </w:r>
            <w:r>
              <w:rPr>
                <w:noProof/>
                <w:webHidden/>
              </w:rPr>
              <w:fldChar w:fldCharType="begin"/>
            </w:r>
            <w:r>
              <w:rPr>
                <w:noProof/>
                <w:webHidden/>
              </w:rPr>
              <w:instrText xml:space="preserve"> PAGEREF _Toc219841829 \h </w:instrText>
            </w:r>
            <w:r>
              <w:rPr>
                <w:noProof/>
                <w:webHidden/>
              </w:rPr>
            </w:r>
            <w:r>
              <w:rPr>
                <w:noProof/>
                <w:webHidden/>
              </w:rPr>
              <w:fldChar w:fldCharType="separate"/>
            </w:r>
            <w:r>
              <w:rPr>
                <w:noProof/>
                <w:webHidden/>
              </w:rPr>
              <w:t>13</w:t>
            </w:r>
            <w:r>
              <w:rPr>
                <w:noProof/>
                <w:webHidden/>
              </w:rPr>
              <w:fldChar w:fldCharType="end"/>
            </w:r>
          </w:hyperlink>
        </w:p>
        <w:p w14:paraId="5A9EFD40" w14:textId="4F385512" w:rsidR="00266549" w:rsidRDefault="00266549">
          <w:pPr>
            <w:pStyle w:val="TOC2"/>
            <w:tabs>
              <w:tab w:val="right" w:pos="9019"/>
            </w:tabs>
            <w:rPr>
              <w:rFonts w:asciiTheme="minorHAnsi" w:eastAsiaTheme="minorEastAsia" w:hAnsiTheme="minorHAnsi" w:cstheme="minorBidi"/>
              <w:noProof/>
              <w:kern w:val="2"/>
              <w:sz w:val="24"/>
              <w:szCs w:val="24"/>
              <w:lang w:val="en-US"/>
              <w14:ligatures w14:val="standardContextual"/>
            </w:rPr>
          </w:pPr>
          <w:hyperlink w:anchor="_Toc219841830" w:history="1">
            <w:r w:rsidRPr="008509FB">
              <w:rPr>
                <w:rStyle w:val="Hyperlink"/>
                <w:noProof/>
              </w:rPr>
              <w:t>2.2 Different causes and prevalence of employee Burnout</w:t>
            </w:r>
            <w:r>
              <w:rPr>
                <w:noProof/>
                <w:webHidden/>
              </w:rPr>
              <w:tab/>
            </w:r>
            <w:r>
              <w:rPr>
                <w:noProof/>
                <w:webHidden/>
              </w:rPr>
              <w:fldChar w:fldCharType="begin"/>
            </w:r>
            <w:r>
              <w:rPr>
                <w:noProof/>
                <w:webHidden/>
              </w:rPr>
              <w:instrText xml:space="preserve"> PAGEREF _Toc219841830 \h </w:instrText>
            </w:r>
            <w:r>
              <w:rPr>
                <w:noProof/>
                <w:webHidden/>
              </w:rPr>
            </w:r>
            <w:r>
              <w:rPr>
                <w:noProof/>
                <w:webHidden/>
              </w:rPr>
              <w:fldChar w:fldCharType="separate"/>
            </w:r>
            <w:r>
              <w:rPr>
                <w:noProof/>
                <w:webHidden/>
              </w:rPr>
              <w:t>13</w:t>
            </w:r>
            <w:r>
              <w:rPr>
                <w:noProof/>
                <w:webHidden/>
              </w:rPr>
              <w:fldChar w:fldCharType="end"/>
            </w:r>
          </w:hyperlink>
        </w:p>
        <w:p w14:paraId="20665752" w14:textId="73B8B194" w:rsidR="00266549" w:rsidRDefault="00266549">
          <w:pPr>
            <w:pStyle w:val="TOC2"/>
            <w:tabs>
              <w:tab w:val="right" w:pos="9019"/>
            </w:tabs>
            <w:rPr>
              <w:rFonts w:asciiTheme="minorHAnsi" w:eastAsiaTheme="minorEastAsia" w:hAnsiTheme="minorHAnsi" w:cstheme="minorBidi"/>
              <w:noProof/>
              <w:kern w:val="2"/>
              <w:sz w:val="24"/>
              <w:szCs w:val="24"/>
              <w:lang w:val="en-US"/>
              <w14:ligatures w14:val="standardContextual"/>
            </w:rPr>
          </w:pPr>
          <w:hyperlink w:anchor="_Toc219841831" w:history="1">
            <w:r w:rsidRPr="008509FB">
              <w:rPr>
                <w:rStyle w:val="Hyperlink"/>
                <w:noProof/>
              </w:rPr>
              <w:t>2.3 Impact of staff burnout on quality, safety, and continuity of effective care delivery</w:t>
            </w:r>
            <w:r>
              <w:rPr>
                <w:noProof/>
                <w:webHidden/>
              </w:rPr>
              <w:tab/>
            </w:r>
            <w:r>
              <w:rPr>
                <w:noProof/>
                <w:webHidden/>
              </w:rPr>
              <w:fldChar w:fldCharType="begin"/>
            </w:r>
            <w:r>
              <w:rPr>
                <w:noProof/>
                <w:webHidden/>
              </w:rPr>
              <w:instrText xml:space="preserve"> PAGEREF _Toc219841831 \h </w:instrText>
            </w:r>
            <w:r>
              <w:rPr>
                <w:noProof/>
                <w:webHidden/>
              </w:rPr>
            </w:r>
            <w:r>
              <w:rPr>
                <w:noProof/>
                <w:webHidden/>
              </w:rPr>
              <w:fldChar w:fldCharType="separate"/>
            </w:r>
            <w:r>
              <w:rPr>
                <w:noProof/>
                <w:webHidden/>
              </w:rPr>
              <w:t>14</w:t>
            </w:r>
            <w:r>
              <w:rPr>
                <w:noProof/>
                <w:webHidden/>
              </w:rPr>
              <w:fldChar w:fldCharType="end"/>
            </w:r>
          </w:hyperlink>
        </w:p>
        <w:p w14:paraId="11309AD1" w14:textId="75A7CA37" w:rsidR="00266549" w:rsidRDefault="00266549">
          <w:pPr>
            <w:pStyle w:val="TOC2"/>
            <w:tabs>
              <w:tab w:val="right" w:pos="9019"/>
            </w:tabs>
            <w:rPr>
              <w:rFonts w:asciiTheme="minorHAnsi" w:eastAsiaTheme="minorEastAsia" w:hAnsiTheme="minorHAnsi" w:cstheme="minorBidi"/>
              <w:noProof/>
              <w:kern w:val="2"/>
              <w:sz w:val="24"/>
              <w:szCs w:val="24"/>
              <w:lang w:val="en-US"/>
              <w14:ligatures w14:val="standardContextual"/>
            </w:rPr>
          </w:pPr>
          <w:hyperlink w:anchor="_Toc219841832" w:history="1">
            <w:r w:rsidRPr="008509FB">
              <w:rPr>
                <w:rStyle w:val="Hyperlink"/>
                <w:noProof/>
              </w:rPr>
              <w:t>2.4 Connection between burnout, employee performance, and workforce retention</w:t>
            </w:r>
            <w:r>
              <w:rPr>
                <w:noProof/>
                <w:webHidden/>
              </w:rPr>
              <w:tab/>
            </w:r>
            <w:r>
              <w:rPr>
                <w:noProof/>
                <w:webHidden/>
              </w:rPr>
              <w:fldChar w:fldCharType="begin"/>
            </w:r>
            <w:r>
              <w:rPr>
                <w:noProof/>
                <w:webHidden/>
              </w:rPr>
              <w:instrText xml:space="preserve"> PAGEREF _Toc219841832 \h </w:instrText>
            </w:r>
            <w:r>
              <w:rPr>
                <w:noProof/>
                <w:webHidden/>
              </w:rPr>
            </w:r>
            <w:r>
              <w:rPr>
                <w:noProof/>
                <w:webHidden/>
              </w:rPr>
              <w:fldChar w:fldCharType="separate"/>
            </w:r>
            <w:r>
              <w:rPr>
                <w:noProof/>
                <w:webHidden/>
              </w:rPr>
              <w:t>15</w:t>
            </w:r>
            <w:r>
              <w:rPr>
                <w:noProof/>
                <w:webHidden/>
              </w:rPr>
              <w:fldChar w:fldCharType="end"/>
            </w:r>
          </w:hyperlink>
        </w:p>
        <w:p w14:paraId="10AFF5FB" w14:textId="10CD922A" w:rsidR="00266549" w:rsidRDefault="00266549">
          <w:pPr>
            <w:pStyle w:val="TOC2"/>
            <w:tabs>
              <w:tab w:val="right" w:pos="9019"/>
            </w:tabs>
            <w:rPr>
              <w:rFonts w:asciiTheme="minorHAnsi" w:eastAsiaTheme="minorEastAsia" w:hAnsiTheme="minorHAnsi" w:cstheme="minorBidi"/>
              <w:noProof/>
              <w:kern w:val="2"/>
              <w:sz w:val="24"/>
              <w:szCs w:val="24"/>
              <w:lang w:val="en-US"/>
              <w14:ligatures w14:val="standardContextual"/>
            </w:rPr>
          </w:pPr>
          <w:hyperlink w:anchor="_Toc219841833" w:history="1">
            <w:r w:rsidRPr="008509FB">
              <w:rPr>
                <w:rStyle w:val="Hyperlink"/>
                <w:noProof/>
              </w:rPr>
              <w:t>2.5 Effective organisational approaches to decrease burnout and enhance care quality</w:t>
            </w:r>
            <w:r>
              <w:rPr>
                <w:noProof/>
                <w:webHidden/>
              </w:rPr>
              <w:tab/>
            </w:r>
            <w:r>
              <w:rPr>
                <w:noProof/>
                <w:webHidden/>
              </w:rPr>
              <w:fldChar w:fldCharType="begin"/>
            </w:r>
            <w:r>
              <w:rPr>
                <w:noProof/>
                <w:webHidden/>
              </w:rPr>
              <w:instrText xml:space="preserve"> PAGEREF _Toc219841833 \h </w:instrText>
            </w:r>
            <w:r>
              <w:rPr>
                <w:noProof/>
                <w:webHidden/>
              </w:rPr>
            </w:r>
            <w:r>
              <w:rPr>
                <w:noProof/>
                <w:webHidden/>
              </w:rPr>
              <w:fldChar w:fldCharType="separate"/>
            </w:r>
            <w:r>
              <w:rPr>
                <w:noProof/>
                <w:webHidden/>
              </w:rPr>
              <w:t>17</w:t>
            </w:r>
            <w:r>
              <w:rPr>
                <w:noProof/>
                <w:webHidden/>
              </w:rPr>
              <w:fldChar w:fldCharType="end"/>
            </w:r>
          </w:hyperlink>
        </w:p>
        <w:p w14:paraId="497C5E8C" w14:textId="2975E921" w:rsidR="00266549" w:rsidRDefault="00266549">
          <w:pPr>
            <w:pStyle w:val="TOC2"/>
            <w:tabs>
              <w:tab w:val="right" w:pos="9019"/>
            </w:tabs>
            <w:rPr>
              <w:rFonts w:asciiTheme="minorHAnsi" w:eastAsiaTheme="minorEastAsia" w:hAnsiTheme="minorHAnsi" w:cstheme="minorBidi"/>
              <w:noProof/>
              <w:kern w:val="2"/>
              <w:sz w:val="24"/>
              <w:szCs w:val="24"/>
              <w:lang w:val="en-US"/>
              <w14:ligatures w14:val="standardContextual"/>
            </w:rPr>
          </w:pPr>
          <w:hyperlink w:anchor="_Toc219841834" w:history="1">
            <w:r w:rsidRPr="008509FB">
              <w:rPr>
                <w:rStyle w:val="Hyperlink"/>
                <w:noProof/>
              </w:rPr>
              <w:t>2.6 Theoretical framework</w:t>
            </w:r>
            <w:r>
              <w:rPr>
                <w:noProof/>
                <w:webHidden/>
              </w:rPr>
              <w:tab/>
            </w:r>
            <w:r>
              <w:rPr>
                <w:noProof/>
                <w:webHidden/>
              </w:rPr>
              <w:fldChar w:fldCharType="begin"/>
            </w:r>
            <w:r>
              <w:rPr>
                <w:noProof/>
                <w:webHidden/>
              </w:rPr>
              <w:instrText xml:space="preserve"> PAGEREF _Toc219841834 \h </w:instrText>
            </w:r>
            <w:r>
              <w:rPr>
                <w:noProof/>
                <w:webHidden/>
              </w:rPr>
            </w:r>
            <w:r>
              <w:rPr>
                <w:noProof/>
                <w:webHidden/>
              </w:rPr>
              <w:fldChar w:fldCharType="separate"/>
            </w:r>
            <w:r>
              <w:rPr>
                <w:noProof/>
                <w:webHidden/>
              </w:rPr>
              <w:t>17</w:t>
            </w:r>
            <w:r>
              <w:rPr>
                <w:noProof/>
                <w:webHidden/>
              </w:rPr>
              <w:fldChar w:fldCharType="end"/>
            </w:r>
          </w:hyperlink>
        </w:p>
        <w:p w14:paraId="4343FBD3" w14:textId="068F247E" w:rsidR="00266549" w:rsidRDefault="00266549">
          <w:pPr>
            <w:pStyle w:val="TOC2"/>
            <w:tabs>
              <w:tab w:val="right" w:pos="9019"/>
            </w:tabs>
            <w:rPr>
              <w:rFonts w:asciiTheme="minorHAnsi" w:eastAsiaTheme="minorEastAsia" w:hAnsiTheme="minorHAnsi" w:cstheme="minorBidi"/>
              <w:noProof/>
              <w:kern w:val="2"/>
              <w:sz w:val="24"/>
              <w:szCs w:val="24"/>
              <w:lang w:val="en-US"/>
              <w14:ligatures w14:val="standardContextual"/>
            </w:rPr>
          </w:pPr>
          <w:hyperlink w:anchor="_Toc219841835" w:history="1">
            <w:r w:rsidRPr="008509FB">
              <w:rPr>
                <w:rStyle w:val="Hyperlink"/>
                <w:noProof/>
              </w:rPr>
              <w:t>2.7 Literature Gap</w:t>
            </w:r>
            <w:r>
              <w:rPr>
                <w:noProof/>
                <w:webHidden/>
              </w:rPr>
              <w:tab/>
            </w:r>
            <w:r>
              <w:rPr>
                <w:noProof/>
                <w:webHidden/>
              </w:rPr>
              <w:fldChar w:fldCharType="begin"/>
            </w:r>
            <w:r>
              <w:rPr>
                <w:noProof/>
                <w:webHidden/>
              </w:rPr>
              <w:instrText xml:space="preserve"> PAGEREF _Toc219841835 \h </w:instrText>
            </w:r>
            <w:r>
              <w:rPr>
                <w:noProof/>
                <w:webHidden/>
              </w:rPr>
            </w:r>
            <w:r>
              <w:rPr>
                <w:noProof/>
                <w:webHidden/>
              </w:rPr>
              <w:fldChar w:fldCharType="separate"/>
            </w:r>
            <w:r>
              <w:rPr>
                <w:noProof/>
                <w:webHidden/>
              </w:rPr>
              <w:t>18</w:t>
            </w:r>
            <w:r>
              <w:rPr>
                <w:noProof/>
                <w:webHidden/>
              </w:rPr>
              <w:fldChar w:fldCharType="end"/>
            </w:r>
          </w:hyperlink>
        </w:p>
        <w:p w14:paraId="222094C3" w14:textId="56936330" w:rsidR="00266549" w:rsidRDefault="00266549">
          <w:pPr>
            <w:pStyle w:val="TOC2"/>
            <w:tabs>
              <w:tab w:val="right" w:pos="9019"/>
            </w:tabs>
            <w:rPr>
              <w:rFonts w:asciiTheme="minorHAnsi" w:eastAsiaTheme="minorEastAsia" w:hAnsiTheme="minorHAnsi" w:cstheme="minorBidi"/>
              <w:noProof/>
              <w:kern w:val="2"/>
              <w:sz w:val="24"/>
              <w:szCs w:val="24"/>
              <w:lang w:val="en-US"/>
              <w14:ligatures w14:val="standardContextual"/>
            </w:rPr>
          </w:pPr>
          <w:hyperlink w:anchor="_Toc219841836" w:history="1">
            <w:r w:rsidRPr="008509FB">
              <w:rPr>
                <w:rStyle w:val="Hyperlink"/>
                <w:noProof/>
              </w:rPr>
              <w:t>2.8 Chapter Summary</w:t>
            </w:r>
            <w:r>
              <w:rPr>
                <w:noProof/>
                <w:webHidden/>
              </w:rPr>
              <w:tab/>
            </w:r>
            <w:r>
              <w:rPr>
                <w:noProof/>
                <w:webHidden/>
              </w:rPr>
              <w:fldChar w:fldCharType="begin"/>
            </w:r>
            <w:r>
              <w:rPr>
                <w:noProof/>
                <w:webHidden/>
              </w:rPr>
              <w:instrText xml:space="preserve"> PAGEREF _Toc219841836 \h </w:instrText>
            </w:r>
            <w:r>
              <w:rPr>
                <w:noProof/>
                <w:webHidden/>
              </w:rPr>
            </w:r>
            <w:r>
              <w:rPr>
                <w:noProof/>
                <w:webHidden/>
              </w:rPr>
              <w:fldChar w:fldCharType="separate"/>
            </w:r>
            <w:r>
              <w:rPr>
                <w:noProof/>
                <w:webHidden/>
              </w:rPr>
              <w:t>18</w:t>
            </w:r>
            <w:r>
              <w:rPr>
                <w:noProof/>
                <w:webHidden/>
              </w:rPr>
              <w:fldChar w:fldCharType="end"/>
            </w:r>
          </w:hyperlink>
        </w:p>
        <w:p w14:paraId="56F7BEC7" w14:textId="123B8AAF" w:rsidR="00266549" w:rsidRDefault="00266549">
          <w:pPr>
            <w:pStyle w:val="TOC1"/>
            <w:tabs>
              <w:tab w:val="right" w:pos="9019"/>
            </w:tabs>
            <w:rPr>
              <w:rFonts w:asciiTheme="minorHAnsi" w:eastAsiaTheme="minorEastAsia" w:hAnsiTheme="minorHAnsi" w:cstheme="minorBidi"/>
              <w:noProof/>
              <w:kern w:val="2"/>
              <w:sz w:val="24"/>
              <w:szCs w:val="24"/>
              <w:lang w:val="en-US"/>
              <w14:ligatures w14:val="standardContextual"/>
            </w:rPr>
          </w:pPr>
          <w:hyperlink w:anchor="_Toc219841837" w:history="1">
            <w:r w:rsidRPr="008509FB">
              <w:rPr>
                <w:rStyle w:val="Hyperlink"/>
                <w:noProof/>
              </w:rPr>
              <w:t>CHAPTER 3: Methods</w:t>
            </w:r>
            <w:r>
              <w:rPr>
                <w:noProof/>
                <w:webHidden/>
              </w:rPr>
              <w:tab/>
            </w:r>
            <w:r>
              <w:rPr>
                <w:noProof/>
                <w:webHidden/>
              </w:rPr>
              <w:fldChar w:fldCharType="begin"/>
            </w:r>
            <w:r>
              <w:rPr>
                <w:noProof/>
                <w:webHidden/>
              </w:rPr>
              <w:instrText xml:space="preserve"> PAGEREF _Toc219841837 \h </w:instrText>
            </w:r>
            <w:r>
              <w:rPr>
                <w:noProof/>
                <w:webHidden/>
              </w:rPr>
            </w:r>
            <w:r>
              <w:rPr>
                <w:noProof/>
                <w:webHidden/>
              </w:rPr>
              <w:fldChar w:fldCharType="separate"/>
            </w:r>
            <w:r>
              <w:rPr>
                <w:noProof/>
                <w:webHidden/>
              </w:rPr>
              <w:t>20</w:t>
            </w:r>
            <w:r>
              <w:rPr>
                <w:noProof/>
                <w:webHidden/>
              </w:rPr>
              <w:fldChar w:fldCharType="end"/>
            </w:r>
          </w:hyperlink>
        </w:p>
        <w:p w14:paraId="795EAC22" w14:textId="7B19365B" w:rsidR="00266549" w:rsidRDefault="00266549">
          <w:pPr>
            <w:pStyle w:val="TOC2"/>
            <w:tabs>
              <w:tab w:val="right" w:pos="9019"/>
            </w:tabs>
            <w:rPr>
              <w:rFonts w:asciiTheme="minorHAnsi" w:eastAsiaTheme="minorEastAsia" w:hAnsiTheme="minorHAnsi" w:cstheme="minorBidi"/>
              <w:noProof/>
              <w:kern w:val="2"/>
              <w:sz w:val="24"/>
              <w:szCs w:val="24"/>
              <w:lang w:val="en-US"/>
              <w14:ligatures w14:val="standardContextual"/>
            </w:rPr>
          </w:pPr>
          <w:hyperlink w:anchor="_Toc219841838" w:history="1">
            <w:r w:rsidRPr="008509FB">
              <w:rPr>
                <w:rStyle w:val="Hyperlink"/>
                <w:noProof/>
              </w:rPr>
              <w:t>3.1 Chapter Introduction</w:t>
            </w:r>
            <w:r>
              <w:rPr>
                <w:noProof/>
                <w:webHidden/>
              </w:rPr>
              <w:tab/>
            </w:r>
            <w:r>
              <w:rPr>
                <w:noProof/>
                <w:webHidden/>
              </w:rPr>
              <w:fldChar w:fldCharType="begin"/>
            </w:r>
            <w:r>
              <w:rPr>
                <w:noProof/>
                <w:webHidden/>
              </w:rPr>
              <w:instrText xml:space="preserve"> PAGEREF _Toc219841838 \h </w:instrText>
            </w:r>
            <w:r>
              <w:rPr>
                <w:noProof/>
                <w:webHidden/>
              </w:rPr>
            </w:r>
            <w:r>
              <w:rPr>
                <w:noProof/>
                <w:webHidden/>
              </w:rPr>
              <w:fldChar w:fldCharType="separate"/>
            </w:r>
            <w:r>
              <w:rPr>
                <w:noProof/>
                <w:webHidden/>
              </w:rPr>
              <w:t>20</w:t>
            </w:r>
            <w:r>
              <w:rPr>
                <w:noProof/>
                <w:webHidden/>
              </w:rPr>
              <w:fldChar w:fldCharType="end"/>
            </w:r>
          </w:hyperlink>
        </w:p>
        <w:p w14:paraId="3FFE9E5F" w14:textId="765D308C" w:rsidR="00266549" w:rsidRDefault="00266549">
          <w:pPr>
            <w:pStyle w:val="TOC2"/>
            <w:tabs>
              <w:tab w:val="right" w:pos="9019"/>
            </w:tabs>
            <w:rPr>
              <w:rFonts w:asciiTheme="minorHAnsi" w:eastAsiaTheme="minorEastAsia" w:hAnsiTheme="minorHAnsi" w:cstheme="minorBidi"/>
              <w:noProof/>
              <w:kern w:val="2"/>
              <w:sz w:val="24"/>
              <w:szCs w:val="24"/>
              <w:lang w:val="en-US"/>
              <w14:ligatures w14:val="standardContextual"/>
            </w:rPr>
          </w:pPr>
          <w:hyperlink w:anchor="_Toc219841839" w:history="1">
            <w:r w:rsidRPr="008509FB">
              <w:rPr>
                <w:rStyle w:val="Hyperlink"/>
                <w:noProof/>
              </w:rPr>
              <w:t>3.2 Research philosophy</w:t>
            </w:r>
            <w:r>
              <w:rPr>
                <w:noProof/>
                <w:webHidden/>
              </w:rPr>
              <w:tab/>
            </w:r>
            <w:r>
              <w:rPr>
                <w:noProof/>
                <w:webHidden/>
              </w:rPr>
              <w:fldChar w:fldCharType="begin"/>
            </w:r>
            <w:r>
              <w:rPr>
                <w:noProof/>
                <w:webHidden/>
              </w:rPr>
              <w:instrText xml:space="preserve"> PAGEREF _Toc219841839 \h </w:instrText>
            </w:r>
            <w:r>
              <w:rPr>
                <w:noProof/>
                <w:webHidden/>
              </w:rPr>
            </w:r>
            <w:r>
              <w:rPr>
                <w:noProof/>
                <w:webHidden/>
              </w:rPr>
              <w:fldChar w:fldCharType="separate"/>
            </w:r>
            <w:r>
              <w:rPr>
                <w:noProof/>
                <w:webHidden/>
              </w:rPr>
              <w:t>20</w:t>
            </w:r>
            <w:r>
              <w:rPr>
                <w:noProof/>
                <w:webHidden/>
              </w:rPr>
              <w:fldChar w:fldCharType="end"/>
            </w:r>
          </w:hyperlink>
        </w:p>
        <w:p w14:paraId="260E6C78" w14:textId="0DB9F12F" w:rsidR="00266549" w:rsidRDefault="00266549">
          <w:pPr>
            <w:pStyle w:val="TOC2"/>
            <w:tabs>
              <w:tab w:val="right" w:pos="9019"/>
            </w:tabs>
            <w:rPr>
              <w:rFonts w:asciiTheme="minorHAnsi" w:eastAsiaTheme="minorEastAsia" w:hAnsiTheme="minorHAnsi" w:cstheme="minorBidi"/>
              <w:noProof/>
              <w:kern w:val="2"/>
              <w:sz w:val="24"/>
              <w:szCs w:val="24"/>
              <w:lang w:val="en-US"/>
              <w14:ligatures w14:val="standardContextual"/>
            </w:rPr>
          </w:pPr>
          <w:hyperlink w:anchor="_Toc219841840" w:history="1">
            <w:r w:rsidRPr="008509FB">
              <w:rPr>
                <w:rStyle w:val="Hyperlink"/>
                <w:noProof/>
              </w:rPr>
              <w:t>3.3 Research approach</w:t>
            </w:r>
            <w:r>
              <w:rPr>
                <w:noProof/>
                <w:webHidden/>
              </w:rPr>
              <w:tab/>
            </w:r>
            <w:r>
              <w:rPr>
                <w:noProof/>
                <w:webHidden/>
              </w:rPr>
              <w:fldChar w:fldCharType="begin"/>
            </w:r>
            <w:r>
              <w:rPr>
                <w:noProof/>
                <w:webHidden/>
              </w:rPr>
              <w:instrText xml:space="preserve"> PAGEREF _Toc219841840 \h </w:instrText>
            </w:r>
            <w:r>
              <w:rPr>
                <w:noProof/>
                <w:webHidden/>
              </w:rPr>
            </w:r>
            <w:r>
              <w:rPr>
                <w:noProof/>
                <w:webHidden/>
              </w:rPr>
              <w:fldChar w:fldCharType="separate"/>
            </w:r>
            <w:r>
              <w:rPr>
                <w:noProof/>
                <w:webHidden/>
              </w:rPr>
              <w:t>20</w:t>
            </w:r>
            <w:r>
              <w:rPr>
                <w:noProof/>
                <w:webHidden/>
              </w:rPr>
              <w:fldChar w:fldCharType="end"/>
            </w:r>
          </w:hyperlink>
        </w:p>
        <w:p w14:paraId="1263F5CA" w14:textId="3FCB8B19" w:rsidR="00266549" w:rsidRDefault="00266549">
          <w:pPr>
            <w:pStyle w:val="TOC2"/>
            <w:tabs>
              <w:tab w:val="right" w:pos="9019"/>
            </w:tabs>
            <w:rPr>
              <w:rFonts w:asciiTheme="minorHAnsi" w:eastAsiaTheme="minorEastAsia" w:hAnsiTheme="minorHAnsi" w:cstheme="minorBidi"/>
              <w:noProof/>
              <w:kern w:val="2"/>
              <w:sz w:val="24"/>
              <w:szCs w:val="24"/>
              <w:lang w:val="en-US"/>
              <w14:ligatures w14:val="standardContextual"/>
            </w:rPr>
          </w:pPr>
          <w:hyperlink w:anchor="_Toc219841841" w:history="1">
            <w:r w:rsidRPr="008509FB">
              <w:rPr>
                <w:rStyle w:val="Hyperlink"/>
                <w:noProof/>
              </w:rPr>
              <w:t>3.4 Research design</w:t>
            </w:r>
            <w:r>
              <w:rPr>
                <w:noProof/>
                <w:webHidden/>
              </w:rPr>
              <w:tab/>
            </w:r>
            <w:r>
              <w:rPr>
                <w:noProof/>
                <w:webHidden/>
              </w:rPr>
              <w:fldChar w:fldCharType="begin"/>
            </w:r>
            <w:r>
              <w:rPr>
                <w:noProof/>
                <w:webHidden/>
              </w:rPr>
              <w:instrText xml:space="preserve"> PAGEREF _Toc219841841 \h </w:instrText>
            </w:r>
            <w:r>
              <w:rPr>
                <w:noProof/>
                <w:webHidden/>
              </w:rPr>
            </w:r>
            <w:r>
              <w:rPr>
                <w:noProof/>
                <w:webHidden/>
              </w:rPr>
              <w:fldChar w:fldCharType="separate"/>
            </w:r>
            <w:r>
              <w:rPr>
                <w:noProof/>
                <w:webHidden/>
              </w:rPr>
              <w:t>21</w:t>
            </w:r>
            <w:r>
              <w:rPr>
                <w:noProof/>
                <w:webHidden/>
              </w:rPr>
              <w:fldChar w:fldCharType="end"/>
            </w:r>
          </w:hyperlink>
        </w:p>
        <w:p w14:paraId="1FD8F0B8" w14:textId="76D7DA2E" w:rsidR="00266549" w:rsidRDefault="00266549">
          <w:pPr>
            <w:pStyle w:val="TOC2"/>
            <w:tabs>
              <w:tab w:val="right" w:pos="9019"/>
            </w:tabs>
            <w:rPr>
              <w:rFonts w:asciiTheme="minorHAnsi" w:eastAsiaTheme="minorEastAsia" w:hAnsiTheme="minorHAnsi" w:cstheme="minorBidi"/>
              <w:noProof/>
              <w:kern w:val="2"/>
              <w:sz w:val="24"/>
              <w:szCs w:val="24"/>
              <w:lang w:val="en-US"/>
              <w14:ligatures w14:val="standardContextual"/>
            </w:rPr>
          </w:pPr>
          <w:hyperlink w:anchor="_Toc219841842" w:history="1">
            <w:r w:rsidRPr="008509FB">
              <w:rPr>
                <w:rStyle w:val="Hyperlink"/>
                <w:noProof/>
              </w:rPr>
              <w:t>3.5 Research strategy</w:t>
            </w:r>
            <w:r>
              <w:rPr>
                <w:noProof/>
                <w:webHidden/>
              </w:rPr>
              <w:tab/>
            </w:r>
            <w:r>
              <w:rPr>
                <w:noProof/>
                <w:webHidden/>
              </w:rPr>
              <w:fldChar w:fldCharType="begin"/>
            </w:r>
            <w:r>
              <w:rPr>
                <w:noProof/>
                <w:webHidden/>
              </w:rPr>
              <w:instrText xml:space="preserve"> PAGEREF _Toc219841842 \h </w:instrText>
            </w:r>
            <w:r>
              <w:rPr>
                <w:noProof/>
                <w:webHidden/>
              </w:rPr>
            </w:r>
            <w:r>
              <w:rPr>
                <w:noProof/>
                <w:webHidden/>
              </w:rPr>
              <w:fldChar w:fldCharType="separate"/>
            </w:r>
            <w:r>
              <w:rPr>
                <w:noProof/>
                <w:webHidden/>
              </w:rPr>
              <w:t>21</w:t>
            </w:r>
            <w:r>
              <w:rPr>
                <w:noProof/>
                <w:webHidden/>
              </w:rPr>
              <w:fldChar w:fldCharType="end"/>
            </w:r>
          </w:hyperlink>
        </w:p>
        <w:p w14:paraId="60978E5F" w14:textId="3737DA8C" w:rsidR="00266549" w:rsidRDefault="00266549">
          <w:pPr>
            <w:pStyle w:val="TOC2"/>
            <w:tabs>
              <w:tab w:val="right" w:pos="9019"/>
            </w:tabs>
            <w:rPr>
              <w:rFonts w:asciiTheme="minorHAnsi" w:eastAsiaTheme="minorEastAsia" w:hAnsiTheme="minorHAnsi" w:cstheme="minorBidi"/>
              <w:noProof/>
              <w:kern w:val="2"/>
              <w:sz w:val="24"/>
              <w:szCs w:val="24"/>
              <w:lang w:val="en-US"/>
              <w14:ligatures w14:val="standardContextual"/>
            </w:rPr>
          </w:pPr>
          <w:hyperlink w:anchor="_Toc219841843" w:history="1">
            <w:r w:rsidRPr="008509FB">
              <w:rPr>
                <w:rStyle w:val="Hyperlink"/>
                <w:noProof/>
              </w:rPr>
              <w:t>3.6 Data collection method</w:t>
            </w:r>
            <w:r>
              <w:rPr>
                <w:noProof/>
                <w:webHidden/>
              </w:rPr>
              <w:tab/>
            </w:r>
            <w:r>
              <w:rPr>
                <w:noProof/>
                <w:webHidden/>
              </w:rPr>
              <w:fldChar w:fldCharType="begin"/>
            </w:r>
            <w:r>
              <w:rPr>
                <w:noProof/>
                <w:webHidden/>
              </w:rPr>
              <w:instrText xml:space="preserve"> PAGEREF _Toc219841843 \h </w:instrText>
            </w:r>
            <w:r>
              <w:rPr>
                <w:noProof/>
                <w:webHidden/>
              </w:rPr>
            </w:r>
            <w:r>
              <w:rPr>
                <w:noProof/>
                <w:webHidden/>
              </w:rPr>
              <w:fldChar w:fldCharType="separate"/>
            </w:r>
            <w:r>
              <w:rPr>
                <w:noProof/>
                <w:webHidden/>
              </w:rPr>
              <w:t>21</w:t>
            </w:r>
            <w:r>
              <w:rPr>
                <w:noProof/>
                <w:webHidden/>
              </w:rPr>
              <w:fldChar w:fldCharType="end"/>
            </w:r>
          </w:hyperlink>
        </w:p>
        <w:p w14:paraId="313DAFF3" w14:textId="38C9F1CB" w:rsidR="00266549" w:rsidRDefault="00266549">
          <w:pPr>
            <w:pStyle w:val="TOC2"/>
            <w:tabs>
              <w:tab w:val="right" w:pos="9019"/>
            </w:tabs>
            <w:rPr>
              <w:rFonts w:asciiTheme="minorHAnsi" w:eastAsiaTheme="minorEastAsia" w:hAnsiTheme="minorHAnsi" w:cstheme="minorBidi"/>
              <w:noProof/>
              <w:kern w:val="2"/>
              <w:sz w:val="24"/>
              <w:szCs w:val="24"/>
              <w:lang w:val="en-US"/>
              <w14:ligatures w14:val="standardContextual"/>
            </w:rPr>
          </w:pPr>
          <w:hyperlink w:anchor="_Toc219841844" w:history="1">
            <w:r w:rsidRPr="008509FB">
              <w:rPr>
                <w:rStyle w:val="Hyperlink"/>
                <w:noProof/>
              </w:rPr>
              <w:t>3.7 Data analysis technique</w:t>
            </w:r>
            <w:r>
              <w:rPr>
                <w:noProof/>
                <w:webHidden/>
              </w:rPr>
              <w:tab/>
            </w:r>
            <w:r>
              <w:rPr>
                <w:noProof/>
                <w:webHidden/>
              </w:rPr>
              <w:fldChar w:fldCharType="begin"/>
            </w:r>
            <w:r>
              <w:rPr>
                <w:noProof/>
                <w:webHidden/>
              </w:rPr>
              <w:instrText xml:space="preserve"> PAGEREF _Toc219841844 \h </w:instrText>
            </w:r>
            <w:r>
              <w:rPr>
                <w:noProof/>
                <w:webHidden/>
              </w:rPr>
            </w:r>
            <w:r>
              <w:rPr>
                <w:noProof/>
                <w:webHidden/>
              </w:rPr>
              <w:fldChar w:fldCharType="separate"/>
            </w:r>
            <w:r>
              <w:rPr>
                <w:noProof/>
                <w:webHidden/>
              </w:rPr>
              <w:t>22</w:t>
            </w:r>
            <w:r>
              <w:rPr>
                <w:noProof/>
                <w:webHidden/>
              </w:rPr>
              <w:fldChar w:fldCharType="end"/>
            </w:r>
          </w:hyperlink>
        </w:p>
        <w:p w14:paraId="2693C429" w14:textId="63F34662" w:rsidR="00266549" w:rsidRDefault="00266549">
          <w:pPr>
            <w:pStyle w:val="TOC2"/>
            <w:tabs>
              <w:tab w:val="right" w:pos="9019"/>
            </w:tabs>
            <w:rPr>
              <w:rFonts w:asciiTheme="minorHAnsi" w:eastAsiaTheme="minorEastAsia" w:hAnsiTheme="minorHAnsi" w:cstheme="minorBidi"/>
              <w:noProof/>
              <w:kern w:val="2"/>
              <w:sz w:val="24"/>
              <w:szCs w:val="24"/>
              <w:lang w:val="en-US"/>
              <w14:ligatures w14:val="standardContextual"/>
            </w:rPr>
          </w:pPr>
          <w:hyperlink w:anchor="_Toc219841845" w:history="1">
            <w:r w:rsidRPr="008509FB">
              <w:rPr>
                <w:rStyle w:val="Hyperlink"/>
                <w:noProof/>
              </w:rPr>
              <w:t>3.8 Ethical consideration</w:t>
            </w:r>
            <w:r>
              <w:rPr>
                <w:noProof/>
                <w:webHidden/>
              </w:rPr>
              <w:tab/>
            </w:r>
            <w:r>
              <w:rPr>
                <w:noProof/>
                <w:webHidden/>
              </w:rPr>
              <w:fldChar w:fldCharType="begin"/>
            </w:r>
            <w:r>
              <w:rPr>
                <w:noProof/>
                <w:webHidden/>
              </w:rPr>
              <w:instrText xml:space="preserve"> PAGEREF _Toc219841845 \h </w:instrText>
            </w:r>
            <w:r>
              <w:rPr>
                <w:noProof/>
                <w:webHidden/>
              </w:rPr>
            </w:r>
            <w:r>
              <w:rPr>
                <w:noProof/>
                <w:webHidden/>
              </w:rPr>
              <w:fldChar w:fldCharType="separate"/>
            </w:r>
            <w:r>
              <w:rPr>
                <w:noProof/>
                <w:webHidden/>
              </w:rPr>
              <w:t>22</w:t>
            </w:r>
            <w:r>
              <w:rPr>
                <w:noProof/>
                <w:webHidden/>
              </w:rPr>
              <w:fldChar w:fldCharType="end"/>
            </w:r>
          </w:hyperlink>
        </w:p>
        <w:p w14:paraId="0DD92C4B" w14:textId="5E37C144" w:rsidR="00266549" w:rsidRDefault="00266549">
          <w:pPr>
            <w:pStyle w:val="TOC2"/>
            <w:tabs>
              <w:tab w:val="right" w:pos="9019"/>
            </w:tabs>
            <w:rPr>
              <w:rFonts w:asciiTheme="minorHAnsi" w:eastAsiaTheme="minorEastAsia" w:hAnsiTheme="minorHAnsi" w:cstheme="minorBidi"/>
              <w:noProof/>
              <w:kern w:val="2"/>
              <w:sz w:val="24"/>
              <w:szCs w:val="24"/>
              <w:lang w:val="en-US"/>
              <w14:ligatures w14:val="standardContextual"/>
            </w:rPr>
          </w:pPr>
          <w:hyperlink w:anchor="_Toc219841846" w:history="1">
            <w:r w:rsidRPr="008509FB">
              <w:rPr>
                <w:rStyle w:val="Hyperlink"/>
                <w:noProof/>
              </w:rPr>
              <w:t>3.9 Chapter summary</w:t>
            </w:r>
            <w:r>
              <w:rPr>
                <w:noProof/>
                <w:webHidden/>
              </w:rPr>
              <w:tab/>
            </w:r>
            <w:r>
              <w:rPr>
                <w:noProof/>
                <w:webHidden/>
              </w:rPr>
              <w:fldChar w:fldCharType="begin"/>
            </w:r>
            <w:r>
              <w:rPr>
                <w:noProof/>
                <w:webHidden/>
              </w:rPr>
              <w:instrText xml:space="preserve"> PAGEREF _Toc219841846 \h </w:instrText>
            </w:r>
            <w:r>
              <w:rPr>
                <w:noProof/>
                <w:webHidden/>
              </w:rPr>
            </w:r>
            <w:r>
              <w:rPr>
                <w:noProof/>
                <w:webHidden/>
              </w:rPr>
              <w:fldChar w:fldCharType="separate"/>
            </w:r>
            <w:r>
              <w:rPr>
                <w:noProof/>
                <w:webHidden/>
              </w:rPr>
              <w:t>22</w:t>
            </w:r>
            <w:r>
              <w:rPr>
                <w:noProof/>
                <w:webHidden/>
              </w:rPr>
              <w:fldChar w:fldCharType="end"/>
            </w:r>
          </w:hyperlink>
        </w:p>
        <w:p w14:paraId="5F84F317" w14:textId="02BDF476" w:rsidR="00266549" w:rsidRDefault="00266549">
          <w:pPr>
            <w:pStyle w:val="TOC1"/>
            <w:tabs>
              <w:tab w:val="right" w:pos="9019"/>
            </w:tabs>
            <w:rPr>
              <w:rFonts w:asciiTheme="minorHAnsi" w:eastAsiaTheme="minorEastAsia" w:hAnsiTheme="minorHAnsi" w:cstheme="minorBidi"/>
              <w:noProof/>
              <w:kern w:val="2"/>
              <w:sz w:val="24"/>
              <w:szCs w:val="24"/>
              <w:lang w:val="en-US"/>
              <w14:ligatures w14:val="standardContextual"/>
            </w:rPr>
          </w:pPr>
          <w:hyperlink w:anchor="_Toc219841847" w:history="1">
            <w:r w:rsidRPr="008509FB">
              <w:rPr>
                <w:rStyle w:val="Hyperlink"/>
                <w:noProof/>
              </w:rPr>
              <w:t>CHAPTER 4: Results and Discussion</w:t>
            </w:r>
            <w:r>
              <w:rPr>
                <w:noProof/>
                <w:webHidden/>
              </w:rPr>
              <w:tab/>
            </w:r>
            <w:r>
              <w:rPr>
                <w:noProof/>
                <w:webHidden/>
              </w:rPr>
              <w:fldChar w:fldCharType="begin"/>
            </w:r>
            <w:r>
              <w:rPr>
                <w:noProof/>
                <w:webHidden/>
              </w:rPr>
              <w:instrText xml:space="preserve"> PAGEREF _Toc219841847 \h </w:instrText>
            </w:r>
            <w:r>
              <w:rPr>
                <w:noProof/>
                <w:webHidden/>
              </w:rPr>
            </w:r>
            <w:r>
              <w:rPr>
                <w:noProof/>
                <w:webHidden/>
              </w:rPr>
              <w:fldChar w:fldCharType="separate"/>
            </w:r>
            <w:r>
              <w:rPr>
                <w:noProof/>
                <w:webHidden/>
              </w:rPr>
              <w:t>23</w:t>
            </w:r>
            <w:r>
              <w:rPr>
                <w:noProof/>
                <w:webHidden/>
              </w:rPr>
              <w:fldChar w:fldCharType="end"/>
            </w:r>
          </w:hyperlink>
        </w:p>
        <w:p w14:paraId="0A6E9BE4" w14:textId="68C72654" w:rsidR="00266549" w:rsidRDefault="00266549">
          <w:pPr>
            <w:pStyle w:val="TOC2"/>
            <w:tabs>
              <w:tab w:val="right" w:pos="9019"/>
            </w:tabs>
            <w:rPr>
              <w:rFonts w:asciiTheme="minorHAnsi" w:eastAsiaTheme="minorEastAsia" w:hAnsiTheme="minorHAnsi" w:cstheme="minorBidi"/>
              <w:noProof/>
              <w:kern w:val="2"/>
              <w:sz w:val="24"/>
              <w:szCs w:val="24"/>
              <w:lang w:val="en-US"/>
              <w14:ligatures w14:val="standardContextual"/>
            </w:rPr>
          </w:pPr>
          <w:hyperlink w:anchor="_Toc219841848" w:history="1">
            <w:r w:rsidRPr="008509FB">
              <w:rPr>
                <w:rStyle w:val="Hyperlink"/>
                <w:noProof/>
              </w:rPr>
              <w:t>4.1 Chapter introduction</w:t>
            </w:r>
            <w:r>
              <w:rPr>
                <w:noProof/>
                <w:webHidden/>
              </w:rPr>
              <w:tab/>
            </w:r>
            <w:r>
              <w:rPr>
                <w:noProof/>
                <w:webHidden/>
              </w:rPr>
              <w:fldChar w:fldCharType="begin"/>
            </w:r>
            <w:r>
              <w:rPr>
                <w:noProof/>
                <w:webHidden/>
              </w:rPr>
              <w:instrText xml:space="preserve"> PAGEREF _Toc219841848 \h </w:instrText>
            </w:r>
            <w:r>
              <w:rPr>
                <w:noProof/>
                <w:webHidden/>
              </w:rPr>
            </w:r>
            <w:r>
              <w:rPr>
                <w:noProof/>
                <w:webHidden/>
              </w:rPr>
              <w:fldChar w:fldCharType="separate"/>
            </w:r>
            <w:r>
              <w:rPr>
                <w:noProof/>
                <w:webHidden/>
              </w:rPr>
              <w:t>23</w:t>
            </w:r>
            <w:r>
              <w:rPr>
                <w:noProof/>
                <w:webHidden/>
              </w:rPr>
              <w:fldChar w:fldCharType="end"/>
            </w:r>
          </w:hyperlink>
        </w:p>
        <w:p w14:paraId="505F27D5" w14:textId="644B2237" w:rsidR="00266549" w:rsidRDefault="00266549">
          <w:pPr>
            <w:pStyle w:val="TOC2"/>
            <w:tabs>
              <w:tab w:val="right" w:pos="9019"/>
            </w:tabs>
            <w:rPr>
              <w:rFonts w:asciiTheme="minorHAnsi" w:eastAsiaTheme="minorEastAsia" w:hAnsiTheme="minorHAnsi" w:cstheme="minorBidi"/>
              <w:noProof/>
              <w:kern w:val="2"/>
              <w:sz w:val="24"/>
              <w:szCs w:val="24"/>
              <w:lang w:val="en-US"/>
              <w14:ligatures w14:val="standardContextual"/>
            </w:rPr>
          </w:pPr>
          <w:hyperlink w:anchor="_Toc219841849" w:history="1">
            <w:r w:rsidRPr="008509FB">
              <w:rPr>
                <w:rStyle w:val="Hyperlink"/>
                <w:noProof/>
              </w:rPr>
              <w:t>4.2 Familiarisation with data</w:t>
            </w:r>
            <w:r>
              <w:rPr>
                <w:noProof/>
                <w:webHidden/>
              </w:rPr>
              <w:tab/>
            </w:r>
            <w:r>
              <w:rPr>
                <w:noProof/>
                <w:webHidden/>
              </w:rPr>
              <w:fldChar w:fldCharType="begin"/>
            </w:r>
            <w:r>
              <w:rPr>
                <w:noProof/>
                <w:webHidden/>
              </w:rPr>
              <w:instrText xml:space="preserve"> PAGEREF _Toc219841849 \h </w:instrText>
            </w:r>
            <w:r>
              <w:rPr>
                <w:noProof/>
                <w:webHidden/>
              </w:rPr>
            </w:r>
            <w:r>
              <w:rPr>
                <w:noProof/>
                <w:webHidden/>
              </w:rPr>
              <w:fldChar w:fldCharType="separate"/>
            </w:r>
            <w:r>
              <w:rPr>
                <w:noProof/>
                <w:webHidden/>
              </w:rPr>
              <w:t>23</w:t>
            </w:r>
            <w:r>
              <w:rPr>
                <w:noProof/>
                <w:webHidden/>
              </w:rPr>
              <w:fldChar w:fldCharType="end"/>
            </w:r>
          </w:hyperlink>
        </w:p>
        <w:p w14:paraId="6D880472" w14:textId="289973FD" w:rsidR="00266549" w:rsidRDefault="00266549">
          <w:pPr>
            <w:pStyle w:val="TOC2"/>
            <w:tabs>
              <w:tab w:val="right" w:pos="9019"/>
            </w:tabs>
            <w:rPr>
              <w:rFonts w:asciiTheme="minorHAnsi" w:eastAsiaTheme="minorEastAsia" w:hAnsiTheme="minorHAnsi" w:cstheme="minorBidi"/>
              <w:noProof/>
              <w:kern w:val="2"/>
              <w:sz w:val="24"/>
              <w:szCs w:val="24"/>
              <w:lang w:val="en-US"/>
              <w14:ligatures w14:val="standardContextual"/>
            </w:rPr>
          </w:pPr>
          <w:hyperlink w:anchor="_Toc219841850" w:history="1">
            <w:r w:rsidRPr="008509FB">
              <w:rPr>
                <w:rStyle w:val="Hyperlink"/>
                <w:noProof/>
              </w:rPr>
              <w:t>4.3 Coding</w:t>
            </w:r>
            <w:r>
              <w:rPr>
                <w:noProof/>
                <w:webHidden/>
              </w:rPr>
              <w:tab/>
            </w:r>
            <w:r>
              <w:rPr>
                <w:noProof/>
                <w:webHidden/>
              </w:rPr>
              <w:fldChar w:fldCharType="begin"/>
            </w:r>
            <w:r>
              <w:rPr>
                <w:noProof/>
                <w:webHidden/>
              </w:rPr>
              <w:instrText xml:space="preserve"> PAGEREF _Toc219841850 \h </w:instrText>
            </w:r>
            <w:r>
              <w:rPr>
                <w:noProof/>
                <w:webHidden/>
              </w:rPr>
            </w:r>
            <w:r>
              <w:rPr>
                <w:noProof/>
                <w:webHidden/>
              </w:rPr>
              <w:fldChar w:fldCharType="separate"/>
            </w:r>
            <w:r>
              <w:rPr>
                <w:noProof/>
                <w:webHidden/>
              </w:rPr>
              <w:t>23</w:t>
            </w:r>
            <w:r>
              <w:rPr>
                <w:noProof/>
                <w:webHidden/>
              </w:rPr>
              <w:fldChar w:fldCharType="end"/>
            </w:r>
          </w:hyperlink>
        </w:p>
        <w:p w14:paraId="161F831A" w14:textId="7A28B95D" w:rsidR="00266549" w:rsidRDefault="00266549">
          <w:pPr>
            <w:pStyle w:val="TOC2"/>
            <w:tabs>
              <w:tab w:val="right" w:pos="9019"/>
            </w:tabs>
            <w:rPr>
              <w:rFonts w:asciiTheme="minorHAnsi" w:eastAsiaTheme="minorEastAsia" w:hAnsiTheme="minorHAnsi" w:cstheme="minorBidi"/>
              <w:noProof/>
              <w:kern w:val="2"/>
              <w:sz w:val="24"/>
              <w:szCs w:val="24"/>
              <w:lang w:val="en-US"/>
              <w14:ligatures w14:val="standardContextual"/>
            </w:rPr>
          </w:pPr>
          <w:hyperlink w:anchor="_Toc219841851" w:history="1">
            <w:r w:rsidRPr="008509FB">
              <w:rPr>
                <w:rStyle w:val="Hyperlink"/>
                <w:noProof/>
              </w:rPr>
              <w:t>4.4 Theme generation</w:t>
            </w:r>
            <w:r>
              <w:rPr>
                <w:noProof/>
                <w:webHidden/>
              </w:rPr>
              <w:tab/>
            </w:r>
            <w:r>
              <w:rPr>
                <w:noProof/>
                <w:webHidden/>
              </w:rPr>
              <w:fldChar w:fldCharType="begin"/>
            </w:r>
            <w:r>
              <w:rPr>
                <w:noProof/>
                <w:webHidden/>
              </w:rPr>
              <w:instrText xml:space="preserve"> PAGEREF _Toc219841851 \h </w:instrText>
            </w:r>
            <w:r>
              <w:rPr>
                <w:noProof/>
                <w:webHidden/>
              </w:rPr>
            </w:r>
            <w:r>
              <w:rPr>
                <w:noProof/>
                <w:webHidden/>
              </w:rPr>
              <w:fldChar w:fldCharType="separate"/>
            </w:r>
            <w:r>
              <w:rPr>
                <w:noProof/>
                <w:webHidden/>
              </w:rPr>
              <w:t>26</w:t>
            </w:r>
            <w:r>
              <w:rPr>
                <w:noProof/>
                <w:webHidden/>
              </w:rPr>
              <w:fldChar w:fldCharType="end"/>
            </w:r>
          </w:hyperlink>
        </w:p>
        <w:p w14:paraId="51F52F52" w14:textId="72438F6A" w:rsidR="00266549" w:rsidRDefault="00266549">
          <w:pPr>
            <w:pStyle w:val="TOC2"/>
            <w:tabs>
              <w:tab w:val="right" w:pos="9019"/>
            </w:tabs>
            <w:rPr>
              <w:rFonts w:asciiTheme="minorHAnsi" w:eastAsiaTheme="minorEastAsia" w:hAnsiTheme="minorHAnsi" w:cstheme="minorBidi"/>
              <w:noProof/>
              <w:kern w:val="2"/>
              <w:sz w:val="24"/>
              <w:szCs w:val="24"/>
              <w:lang w:val="en-US"/>
              <w14:ligatures w14:val="standardContextual"/>
            </w:rPr>
          </w:pPr>
          <w:hyperlink w:anchor="_Toc219841852" w:history="1">
            <w:r w:rsidRPr="008509FB">
              <w:rPr>
                <w:rStyle w:val="Hyperlink"/>
                <w:noProof/>
              </w:rPr>
              <w:t>4.5 Review of themes</w:t>
            </w:r>
            <w:r>
              <w:rPr>
                <w:noProof/>
                <w:webHidden/>
              </w:rPr>
              <w:tab/>
            </w:r>
            <w:r>
              <w:rPr>
                <w:noProof/>
                <w:webHidden/>
              </w:rPr>
              <w:fldChar w:fldCharType="begin"/>
            </w:r>
            <w:r>
              <w:rPr>
                <w:noProof/>
                <w:webHidden/>
              </w:rPr>
              <w:instrText xml:space="preserve"> PAGEREF _Toc219841852 \h </w:instrText>
            </w:r>
            <w:r>
              <w:rPr>
                <w:noProof/>
                <w:webHidden/>
              </w:rPr>
            </w:r>
            <w:r>
              <w:rPr>
                <w:noProof/>
                <w:webHidden/>
              </w:rPr>
              <w:fldChar w:fldCharType="separate"/>
            </w:r>
            <w:r>
              <w:rPr>
                <w:noProof/>
                <w:webHidden/>
              </w:rPr>
              <w:t>28</w:t>
            </w:r>
            <w:r>
              <w:rPr>
                <w:noProof/>
                <w:webHidden/>
              </w:rPr>
              <w:fldChar w:fldCharType="end"/>
            </w:r>
          </w:hyperlink>
        </w:p>
        <w:p w14:paraId="46254371" w14:textId="04EAAECD" w:rsidR="00266549" w:rsidRDefault="00266549">
          <w:pPr>
            <w:pStyle w:val="TOC2"/>
            <w:tabs>
              <w:tab w:val="right" w:pos="9019"/>
            </w:tabs>
            <w:rPr>
              <w:rFonts w:asciiTheme="minorHAnsi" w:eastAsiaTheme="minorEastAsia" w:hAnsiTheme="minorHAnsi" w:cstheme="minorBidi"/>
              <w:noProof/>
              <w:kern w:val="2"/>
              <w:sz w:val="24"/>
              <w:szCs w:val="24"/>
              <w:lang w:val="en-US"/>
              <w14:ligatures w14:val="standardContextual"/>
            </w:rPr>
          </w:pPr>
          <w:hyperlink w:anchor="_Toc219841853" w:history="1">
            <w:r w:rsidRPr="008509FB">
              <w:rPr>
                <w:rStyle w:val="Hyperlink"/>
                <w:noProof/>
              </w:rPr>
              <w:t>4.6 Thematic analysis</w:t>
            </w:r>
            <w:r>
              <w:rPr>
                <w:noProof/>
                <w:webHidden/>
              </w:rPr>
              <w:tab/>
            </w:r>
            <w:r>
              <w:rPr>
                <w:noProof/>
                <w:webHidden/>
              </w:rPr>
              <w:fldChar w:fldCharType="begin"/>
            </w:r>
            <w:r>
              <w:rPr>
                <w:noProof/>
                <w:webHidden/>
              </w:rPr>
              <w:instrText xml:space="preserve"> PAGEREF _Toc219841853 \h </w:instrText>
            </w:r>
            <w:r>
              <w:rPr>
                <w:noProof/>
                <w:webHidden/>
              </w:rPr>
            </w:r>
            <w:r>
              <w:rPr>
                <w:noProof/>
                <w:webHidden/>
              </w:rPr>
              <w:fldChar w:fldCharType="separate"/>
            </w:r>
            <w:r>
              <w:rPr>
                <w:noProof/>
                <w:webHidden/>
              </w:rPr>
              <w:t>28</w:t>
            </w:r>
            <w:r>
              <w:rPr>
                <w:noProof/>
                <w:webHidden/>
              </w:rPr>
              <w:fldChar w:fldCharType="end"/>
            </w:r>
          </w:hyperlink>
        </w:p>
        <w:p w14:paraId="1E991A0C" w14:textId="59BA79AB" w:rsidR="00266549" w:rsidRDefault="00266549" w:rsidP="00266549">
          <w:pPr>
            <w:pStyle w:val="TOC3"/>
            <w:rPr>
              <w:rFonts w:asciiTheme="minorHAnsi" w:eastAsiaTheme="minorEastAsia" w:hAnsiTheme="minorHAnsi" w:cstheme="minorBidi"/>
              <w:kern w:val="2"/>
              <w:sz w:val="24"/>
              <w:szCs w:val="24"/>
              <w:lang w:val="en-US"/>
              <w14:ligatures w14:val="standardContextual"/>
            </w:rPr>
          </w:pPr>
          <w:hyperlink w:anchor="_Toc219841854" w:history="1">
            <w:r w:rsidRPr="008509FB">
              <w:rPr>
                <w:rStyle w:val="Hyperlink"/>
              </w:rPr>
              <w:t>4.6.1 Theme 1: Causes and prevalence of employee burnout in the UK health and social sector: Excessive workload, increased work stress, and absenteeism and sickness</w:t>
            </w:r>
            <w:r>
              <w:rPr>
                <w:webHidden/>
              </w:rPr>
              <w:tab/>
            </w:r>
            <w:r>
              <w:rPr>
                <w:webHidden/>
              </w:rPr>
              <w:fldChar w:fldCharType="begin"/>
            </w:r>
            <w:r>
              <w:rPr>
                <w:webHidden/>
              </w:rPr>
              <w:instrText xml:space="preserve"> PAGEREF _Toc219841854 \h </w:instrText>
            </w:r>
            <w:r>
              <w:rPr>
                <w:webHidden/>
              </w:rPr>
            </w:r>
            <w:r>
              <w:rPr>
                <w:webHidden/>
              </w:rPr>
              <w:fldChar w:fldCharType="separate"/>
            </w:r>
            <w:r>
              <w:rPr>
                <w:webHidden/>
              </w:rPr>
              <w:t>28</w:t>
            </w:r>
            <w:r>
              <w:rPr>
                <w:webHidden/>
              </w:rPr>
              <w:fldChar w:fldCharType="end"/>
            </w:r>
          </w:hyperlink>
        </w:p>
        <w:p w14:paraId="72890996" w14:textId="14D3FA0D" w:rsidR="00266549" w:rsidRDefault="00266549" w:rsidP="00266549">
          <w:pPr>
            <w:pStyle w:val="TOC3"/>
            <w:rPr>
              <w:rFonts w:asciiTheme="minorHAnsi" w:eastAsiaTheme="minorEastAsia" w:hAnsiTheme="minorHAnsi" w:cstheme="minorBidi"/>
              <w:kern w:val="2"/>
              <w:sz w:val="24"/>
              <w:szCs w:val="24"/>
              <w:lang w:val="en-US"/>
              <w14:ligatures w14:val="standardContextual"/>
            </w:rPr>
          </w:pPr>
          <w:hyperlink w:anchor="_Toc219841855" w:history="1">
            <w:r w:rsidRPr="008509FB">
              <w:rPr>
                <w:rStyle w:val="Hyperlink"/>
              </w:rPr>
              <w:t>4.6.2 Theme 2: Influences of staff burnout on quality, safety, and continuity of effective care delivery: Poor leadership practice, high work pressure and inadequate appreciation</w:t>
            </w:r>
            <w:r>
              <w:rPr>
                <w:webHidden/>
              </w:rPr>
              <w:tab/>
            </w:r>
            <w:r>
              <w:rPr>
                <w:webHidden/>
              </w:rPr>
              <w:fldChar w:fldCharType="begin"/>
            </w:r>
            <w:r>
              <w:rPr>
                <w:webHidden/>
              </w:rPr>
              <w:instrText xml:space="preserve"> PAGEREF _Toc219841855 \h </w:instrText>
            </w:r>
            <w:r>
              <w:rPr>
                <w:webHidden/>
              </w:rPr>
            </w:r>
            <w:r>
              <w:rPr>
                <w:webHidden/>
              </w:rPr>
              <w:fldChar w:fldCharType="separate"/>
            </w:r>
            <w:r>
              <w:rPr>
                <w:webHidden/>
              </w:rPr>
              <w:t>29</w:t>
            </w:r>
            <w:r>
              <w:rPr>
                <w:webHidden/>
              </w:rPr>
              <w:fldChar w:fldCharType="end"/>
            </w:r>
          </w:hyperlink>
        </w:p>
        <w:p w14:paraId="0E41A76C" w14:textId="7B3A37A3" w:rsidR="00266549" w:rsidRDefault="00266549" w:rsidP="00266549">
          <w:pPr>
            <w:pStyle w:val="TOC3"/>
            <w:rPr>
              <w:rFonts w:asciiTheme="minorHAnsi" w:eastAsiaTheme="minorEastAsia" w:hAnsiTheme="minorHAnsi" w:cstheme="minorBidi"/>
              <w:kern w:val="2"/>
              <w:sz w:val="24"/>
              <w:szCs w:val="24"/>
              <w:lang w:val="en-US"/>
              <w14:ligatures w14:val="standardContextual"/>
            </w:rPr>
          </w:pPr>
          <w:hyperlink w:anchor="_Toc219841856" w:history="1">
            <w:r w:rsidRPr="008509FB">
              <w:rPr>
                <w:rStyle w:val="Hyperlink"/>
              </w:rPr>
              <w:t>4.6.3 Theme 3: The connection between burnout, employee performance, and workforce retention: lack of appreciation, inefficiency, workforce restrictions and staff sickness</w:t>
            </w:r>
            <w:r>
              <w:rPr>
                <w:webHidden/>
              </w:rPr>
              <w:tab/>
            </w:r>
            <w:r>
              <w:rPr>
                <w:webHidden/>
              </w:rPr>
              <w:fldChar w:fldCharType="begin"/>
            </w:r>
            <w:r>
              <w:rPr>
                <w:webHidden/>
              </w:rPr>
              <w:instrText xml:space="preserve"> PAGEREF _Toc219841856 \h </w:instrText>
            </w:r>
            <w:r>
              <w:rPr>
                <w:webHidden/>
              </w:rPr>
            </w:r>
            <w:r>
              <w:rPr>
                <w:webHidden/>
              </w:rPr>
              <w:fldChar w:fldCharType="separate"/>
            </w:r>
            <w:r>
              <w:rPr>
                <w:webHidden/>
              </w:rPr>
              <w:t>30</w:t>
            </w:r>
            <w:r>
              <w:rPr>
                <w:webHidden/>
              </w:rPr>
              <w:fldChar w:fldCharType="end"/>
            </w:r>
          </w:hyperlink>
        </w:p>
        <w:p w14:paraId="07C08B51" w14:textId="49398DCB" w:rsidR="00266549" w:rsidRPr="00266549" w:rsidRDefault="00266549" w:rsidP="00266549">
          <w:pPr>
            <w:pStyle w:val="TOC3"/>
            <w:rPr>
              <w:rFonts w:asciiTheme="minorHAnsi" w:eastAsiaTheme="minorEastAsia" w:hAnsiTheme="minorHAnsi" w:cstheme="minorBidi"/>
              <w:kern w:val="2"/>
              <w:sz w:val="24"/>
              <w:szCs w:val="24"/>
              <w:lang w:val="en-US"/>
              <w14:ligatures w14:val="standardContextual"/>
            </w:rPr>
          </w:pPr>
          <w:hyperlink w:anchor="_Toc219841857" w:history="1">
            <w:r w:rsidRPr="00266549">
              <w:rPr>
                <w:rStyle w:val="Hyperlink"/>
              </w:rPr>
              <w:t>4.6.4 Theme 4: Different effective organisational approaches to decrease burnout and enhance care quality: Individual-focused intervention, multifaceted approach, and multilevel approach</w:t>
            </w:r>
            <w:r w:rsidRPr="00266549">
              <w:rPr>
                <w:webHidden/>
              </w:rPr>
              <w:tab/>
            </w:r>
            <w:r w:rsidRPr="00266549">
              <w:rPr>
                <w:webHidden/>
              </w:rPr>
              <w:fldChar w:fldCharType="begin"/>
            </w:r>
            <w:r w:rsidRPr="00266549">
              <w:rPr>
                <w:webHidden/>
              </w:rPr>
              <w:instrText xml:space="preserve"> PAGEREF _Toc219841857 \h </w:instrText>
            </w:r>
            <w:r w:rsidRPr="00266549">
              <w:rPr>
                <w:webHidden/>
              </w:rPr>
            </w:r>
            <w:r w:rsidRPr="00266549">
              <w:rPr>
                <w:webHidden/>
              </w:rPr>
              <w:fldChar w:fldCharType="separate"/>
            </w:r>
            <w:r w:rsidRPr="00266549">
              <w:rPr>
                <w:webHidden/>
              </w:rPr>
              <w:t>31</w:t>
            </w:r>
            <w:r w:rsidRPr="00266549">
              <w:rPr>
                <w:webHidden/>
              </w:rPr>
              <w:fldChar w:fldCharType="end"/>
            </w:r>
          </w:hyperlink>
        </w:p>
        <w:p w14:paraId="00AD54EF" w14:textId="164D9C0D" w:rsidR="00266549" w:rsidRDefault="00266549">
          <w:pPr>
            <w:pStyle w:val="TOC2"/>
            <w:tabs>
              <w:tab w:val="right" w:pos="9019"/>
            </w:tabs>
            <w:rPr>
              <w:rFonts w:asciiTheme="minorHAnsi" w:eastAsiaTheme="minorEastAsia" w:hAnsiTheme="minorHAnsi" w:cstheme="minorBidi"/>
              <w:noProof/>
              <w:kern w:val="2"/>
              <w:sz w:val="24"/>
              <w:szCs w:val="24"/>
              <w:lang w:val="en-US"/>
              <w14:ligatures w14:val="standardContextual"/>
            </w:rPr>
          </w:pPr>
          <w:hyperlink w:anchor="_Toc219841858" w:history="1">
            <w:r w:rsidRPr="008509FB">
              <w:rPr>
                <w:rStyle w:val="Hyperlink"/>
                <w:noProof/>
              </w:rPr>
              <w:t>4.7 Discussion</w:t>
            </w:r>
            <w:r>
              <w:rPr>
                <w:noProof/>
                <w:webHidden/>
              </w:rPr>
              <w:tab/>
            </w:r>
            <w:r>
              <w:rPr>
                <w:noProof/>
                <w:webHidden/>
              </w:rPr>
              <w:fldChar w:fldCharType="begin"/>
            </w:r>
            <w:r>
              <w:rPr>
                <w:noProof/>
                <w:webHidden/>
              </w:rPr>
              <w:instrText xml:space="preserve"> PAGEREF _Toc219841858 \h </w:instrText>
            </w:r>
            <w:r>
              <w:rPr>
                <w:noProof/>
                <w:webHidden/>
              </w:rPr>
            </w:r>
            <w:r>
              <w:rPr>
                <w:noProof/>
                <w:webHidden/>
              </w:rPr>
              <w:fldChar w:fldCharType="separate"/>
            </w:r>
            <w:r>
              <w:rPr>
                <w:noProof/>
                <w:webHidden/>
              </w:rPr>
              <w:t>32</w:t>
            </w:r>
            <w:r>
              <w:rPr>
                <w:noProof/>
                <w:webHidden/>
              </w:rPr>
              <w:fldChar w:fldCharType="end"/>
            </w:r>
          </w:hyperlink>
        </w:p>
        <w:p w14:paraId="149FF246" w14:textId="52B57734" w:rsidR="00266549" w:rsidRDefault="00266549" w:rsidP="00266549">
          <w:pPr>
            <w:pStyle w:val="TOC3"/>
            <w:rPr>
              <w:rFonts w:asciiTheme="minorHAnsi" w:eastAsiaTheme="minorEastAsia" w:hAnsiTheme="minorHAnsi" w:cstheme="minorBidi"/>
              <w:kern w:val="2"/>
              <w:sz w:val="24"/>
              <w:szCs w:val="24"/>
              <w:lang w:val="en-US"/>
              <w14:ligatures w14:val="standardContextual"/>
            </w:rPr>
          </w:pPr>
          <w:hyperlink w:anchor="_Toc219841859" w:history="1">
            <w:r w:rsidRPr="008509FB">
              <w:rPr>
                <w:rStyle w:val="Hyperlink"/>
              </w:rPr>
              <w:t>4.7.1 Causes and prevalence of staff burnout in the UK health and social sector</w:t>
            </w:r>
            <w:r>
              <w:rPr>
                <w:webHidden/>
              </w:rPr>
              <w:tab/>
            </w:r>
            <w:r>
              <w:rPr>
                <w:webHidden/>
              </w:rPr>
              <w:fldChar w:fldCharType="begin"/>
            </w:r>
            <w:r>
              <w:rPr>
                <w:webHidden/>
              </w:rPr>
              <w:instrText xml:space="preserve"> PAGEREF _Toc219841859 \h </w:instrText>
            </w:r>
            <w:r>
              <w:rPr>
                <w:webHidden/>
              </w:rPr>
            </w:r>
            <w:r>
              <w:rPr>
                <w:webHidden/>
              </w:rPr>
              <w:fldChar w:fldCharType="separate"/>
            </w:r>
            <w:r>
              <w:rPr>
                <w:webHidden/>
              </w:rPr>
              <w:t>32</w:t>
            </w:r>
            <w:r>
              <w:rPr>
                <w:webHidden/>
              </w:rPr>
              <w:fldChar w:fldCharType="end"/>
            </w:r>
          </w:hyperlink>
        </w:p>
        <w:p w14:paraId="571E29AB" w14:textId="33F6FEE0" w:rsidR="00266549" w:rsidRDefault="00266549" w:rsidP="00266549">
          <w:pPr>
            <w:pStyle w:val="TOC3"/>
            <w:rPr>
              <w:rFonts w:asciiTheme="minorHAnsi" w:eastAsiaTheme="minorEastAsia" w:hAnsiTheme="minorHAnsi" w:cstheme="minorBidi"/>
              <w:kern w:val="2"/>
              <w:sz w:val="24"/>
              <w:szCs w:val="24"/>
              <w:lang w:val="en-US"/>
              <w14:ligatures w14:val="standardContextual"/>
            </w:rPr>
          </w:pPr>
          <w:hyperlink w:anchor="_Toc219841860" w:history="1">
            <w:r w:rsidRPr="008509FB">
              <w:rPr>
                <w:rStyle w:val="Hyperlink"/>
              </w:rPr>
              <w:t>4.7.2 The influences of employee burnout on quality, safety, and continuity of effective care delivery</w:t>
            </w:r>
            <w:r>
              <w:rPr>
                <w:webHidden/>
              </w:rPr>
              <w:tab/>
            </w:r>
            <w:r>
              <w:rPr>
                <w:webHidden/>
              </w:rPr>
              <w:fldChar w:fldCharType="begin"/>
            </w:r>
            <w:r>
              <w:rPr>
                <w:webHidden/>
              </w:rPr>
              <w:instrText xml:space="preserve"> PAGEREF _Toc219841860 \h </w:instrText>
            </w:r>
            <w:r>
              <w:rPr>
                <w:webHidden/>
              </w:rPr>
            </w:r>
            <w:r>
              <w:rPr>
                <w:webHidden/>
              </w:rPr>
              <w:fldChar w:fldCharType="separate"/>
            </w:r>
            <w:r>
              <w:rPr>
                <w:webHidden/>
              </w:rPr>
              <w:t>32</w:t>
            </w:r>
            <w:r>
              <w:rPr>
                <w:webHidden/>
              </w:rPr>
              <w:fldChar w:fldCharType="end"/>
            </w:r>
          </w:hyperlink>
        </w:p>
        <w:p w14:paraId="3B3159FA" w14:textId="04985B91" w:rsidR="00266549" w:rsidRDefault="00266549" w:rsidP="00266549">
          <w:pPr>
            <w:pStyle w:val="TOC3"/>
            <w:rPr>
              <w:rFonts w:asciiTheme="minorHAnsi" w:eastAsiaTheme="minorEastAsia" w:hAnsiTheme="minorHAnsi" w:cstheme="minorBidi"/>
              <w:kern w:val="2"/>
              <w:sz w:val="24"/>
              <w:szCs w:val="24"/>
              <w:lang w:val="en-US"/>
              <w14:ligatures w14:val="standardContextual"/>
            </w:rPr>
          </w:pPr>
          <w:hyperlink w:anchor="_Toc219841861" w:history="1">
            <w:r w:rsidRPr="008509FB">
              <w:rPr>
                <w:rStyle w:val="Hyperlink"/>
              </w:rPr>
              <w:t>4.7.3 The connection between burnout, employee performance, and workforce retention</w:t>
            </w:r>
            <w:r>
              <w:rPr>
                <w:webHidden/>
              </w:rPr>
              <w:tab/>
            </w:r>
            <w:r>
              <w:rPr>
                <w:webHidden/>
              </w:rPr>
              <w:fldChar w:fldCharType="begin"/>
            </w:r>
            <w:r>
              <w:rPr>
                <w:webHidden/>
              </w:rPr>
              <w:instrText xml:space="preserve"> PAGEREF _Toc219841861 \h </w:instrText>
            </w:r>
            <w:r>
              <w:rPr>
                <w:webHidden/>
              </w:rPr>
            </w:r>
            <w:r>
              <w:rPr>
                <w:webHidden/>
              </w:rPr>
              <w:fldChar w:fldCharType="separate"/>
            </w:r>
            <w:r>
              <w:rPr>
                <w:webHidden/>
              </w:rPr>
              <w:t>33</w:t>
            </w:r>
            <w:r>
              <w:rPr>
                <w:webHidden/>
              </w:rPr>
              <w:fldChar w:fldCharType="end"/>
            </w:r>
          </w:hyperlink>
        </w:p>
        <w:p w14:paraId="6F55ADAD" w14:textId="0CC5C937" w:rsidR="00266549" w:rsidRDefault="00266549" w:rsidP="00266549">
          <w:pPr>
            <w:pStyle w:val="TOC3"/>
            <w:rPr>
              <w:rFonts w:asciiTheme="minorHAnsi" w:eastAsiaTheme="minorEastAsia" w:hAnsiTheme="minorHAnsi" w:cstheme="minorBidi"/>
              <w:kern w:val="2"/>
              <w:sz w:val="24"/>
              <w:szCs w:val="24"/>
              <w:lang w:val="en-US"/>
              <w14:ligatures w14:val="standardContextual"/>
            </w:rPr>
          </w:pPr>
          <w:hyperlink w:anchor="_Toc219841862" w:history="1">
            <w:r w:rsidRPr="008509FB">
              <w:rPr>
                <w:rStyle w:val="Hyperlink"/>
              </w:rPr>
              <w:t>4.7.4 Effective organisational approaches to decrease burnout and enhance care quality</w:t>
            </w:r>
            <w:r>
              <w:rPr>
                <w:webHidden/>
              </w:rPr>
              <w:tab/>
            </w:r>
            <w:r>
              <w:rPr>
                <w:webHidden/>
              </w:rPr>
              <w:fldChar w:fldCharType="begin"/>
            </w:r>
            <w:r>
              <w:rPr>
                <w:webHidden/>
              </w:rPr>
              <w:instrText xml:space="preserve"> PAGEREF _Toc219841862 \h </w:instrText>
            </w:r>
            <w:r>
              <w:rPr>
                <w:webHidden/>
              </w:rPr>
            </w:r>
            <w:r>
              <w:rPr>
                <w:webHidden/>
              </w:rPr>
              <w:fldChar w:fldCharType="separate"/>
            </w:r>
            <w:r>
              <w:rPr>
                <w:webHidden/>
              </w:rPr>
              <w:t>34</w:t>
            </w:r>
            <w:r>
              <w:rPr>
                <w:webHidden/>
              </w:rPr>
              <w:fldChar w:fldCharType="end"/>
            </w:r>
          </w:hyperlink>
        </w:p>
        <w:p w14:paraId="44F4A83B" w14:textId="1479F249" w:rsidR="00266549" w:rsidRDefault="00266549">
          <w:pPr>
            <w:pStyle w:val="TOC2"/>
            <w:tabs>
              <w:tab w:val="right" w:pos="9019"/>
            </w:tabs>
            <w:rPr>
              <w:rFonts w:asciiTheme="minorHAnsi" w:eastAsiaTheme="minorEastAsia" w:hAnsiTheme="minorHAnsi" w:cstheme="minorBidi"/>
              <w:noProof/>
              <w:kern w:val="2"/>
              <w:sz w:val="24"/>
              <w:szCs w:val="24"/>
              <w:lang w:val="en-US"/>
              <w14:ligatures w14:val="standardContextual"/>
            </w:rPr>
          </w:pPr>
          <w:hyperlink w:anchor="_Toc219841863" w:history="1">
            <w:r w:rsidRPr="008509FB">
              <w:rPr>
                <w:rStyle w:val="Hyperlink"/>
                <w:noProof/>
              </w:rPr>
              <w:t>4.8 Chapter Summary</w:t>
            </w:r>
            <w:r>
              <w:rPr>
                <w:noProof/>
                <w:webHidden/>
              </w:rPr>
              <w:tab/>
            </w:r>
            <w:r>
              <w:rPr>
                <w:noProof/>
                <w:webHidden/>
              </w:rPr>
              <w:fldChar w:fldCharType="begin"/>
            </w:r>
            <w:r>
              <w:rPr>
                <w:noProof/>
                <w:webHidden/>
              </w:rPr>
              <w:instrText xml:space="preserve"> PAGEREF _Toc219841863 \h </w:instrText>
            </w:r>
            <w:r>
              <w:rPr>
                <w:noProof/>
                <w:webHidden/>
              </w:rPr>
            </w:r>
            <w:r>
              <w:rPr>
                <w:noProof/>
                <w:webHidden/>
              </w:rPr>
              <w:fldChar w:fldCharType="separate"/>
            </w:r>
            <w:r>
              <w:rPr>
                <w:noProof/>
                <w:webHidden/>
              </w:rPr>
              <w:t>35</w:t>
            </w:r>
            <w:r>
              <w:rPr>
                <w:noProof/>
                <w:webHidden/>
              </w:rPr>
              <w:fldChar w:fldCharType="end"/>
            </w:r>
          </w:hyperlink>
        </w:p>
        <w:p w14:paraId="78E6A5F0" w14:textId="21583F4C" w:rsidR="00266549" w:rsidRDefault="00266549">
          <w:pPr>
            <w:pStyle w:val="TOC1"/>
            <w:tabs>
              <w:tab w:val="right" w:pos="9019"/>
            </w:tabs>
            <w:rPr>
              <w:rFonts w:asciiTheme="minorHAnsi" w:eastAsiaTheme="minorEastAsia" w:hAnsiTheme="minorHAnsi" w:cstheme="minorBidi"/>
              <w:noProof/>
              <w:kern w:val="2"/>
              <w:sz w:val="24"/>
              <w:szCs w:val="24"/>
              <w:lang w:val="en-US"/>
              <w14:ligatures w14:val="standardContextual"/>
            </w:rPr>
          </w:pPr>
          <w:hyperlink w:anchor="_Toc219841864" w:history="1">
            <w:r w:rsidRPr="008509FB">
              <w:rPr>
                <w:rStyle w:val="Hyperlink"/>
                <w:noProof/>
              </w:rPr>
              <w:t>CHAPTER 5: Recommendations and Conclusion</w:t>
            </w:r>
            <w:r>
              <w:rPr>
                <w:noProof/>
                <w:webHidden/>
              </w:rPr>
              <w:tab/>
            </w:r>
            <w:r>
              <w:rPr>
                <w:noProof/>
                <w:webHidden/>
              </w:rPr>
              <w:fldChar w:fldCharType="begin"/>
            </w:r>
            <w:r>
              <w:rPr>
                <w:noProof/>
                <w:webHidden/>
              </w:rPr>
              <w:instrText xml:space="preserve"> PAGEREF _Toc219841864 \h </w:instrText>
            </w:r>
            <w:r>
              <w:rPr>
                <w:noProof/>
                <w:webHidden/>
              </w:rPr>
            </w:r>
            <w:r>
              <w:rPr>
                <w:noProof/>
                <w:webHidden/>
              </w:rPr>
              <w:fldChar w:fldCharType="separate"/>
            </w:r>
            <w:r>
              <w:rPr>
                <w:noProof/>
                <w:webHidden/>
              </w:rPr>
              <w:t>36</w:t>
            </w:r>
            <w:r>
              <w:rPr>
                <w:noProof/>
                <w:webHidden/>
              </w:rPr>
              <w:fldChar w:fldCharType="end"/>
            </w:r>
          </w:hyperlink>
        </w:p>
        <w:p w14:paraId="4378E578" w14:textId="60429EE8" w:rsidR="00266549" w:rsidRDefault="00266549">
          <w:pPr>
            <w:pStyle w:val="TOC2"/>
            <w:tabs>
              <w:tab w:val="right" w:pos="9019"/>
            </w:tabs>
            <w:rPr>
              <w:rFonts w:asciiTheme="minorHAnsi" w:eastAsiaTheme="minorEastAsia" w:hAnsiTheme="minorHAnsi" w:cstheme="minorBidi"/>
              <w:noProof/>
              <w:kern w:val="2"/>
              <w:sz w:val="24"/>
              <w:szCs w:val="24"/>
              <w:lang w:val="en-US"/>
              <w14:ligatures w14:val="standardContextual"/>
            </w:rPr>
          </w:pPr>
          <w:hyperlink w:anchor="_Toc219841865" w:history="1">
            <w:r w:rsidRPr="008509FB">
              <w:rPr>
                <w:rStyle w:val="Hyperlink"/>
                <w:noProof/>
              </w:rPr>
              <w:t>5.1 Conclusion</w:t>
            </w:r>
            <w:r>
              <w:rPr>
                <w:noProof/>
                <w:webHidden/>
              </w:rPr>
              <w:tab/>
            </w:r>
            <w:r>
              <w:rPr>
                <w:noProof/>
                <w:webHidden/>
              </w:rPr>
              <w:fldChar w:fldCharType="begin"/>
            </w:r>
            <w:r>
              <w:rPr>
                <w:noProof/>
                <w:webHidden/>
              </w:rPr>
              <w:instrText xml:space="preserve"> PAGEREF _Toc219841865 \h </w:instrText>
            </w:r>
            <w:r>
              <w:rPr>
                <w:noProof/>
                <w:webHidden/>
              </w:rPr>
            </w:r>
            <w:r>
              <w:rPr>
                <w:noProof/>
                <w:webHidden/>
              </w:rPr>
              <w:fldChar w:fldCharType="separate"/>
            </w:r>
            <w:r>
              <w:rPr>
                <w:noProof/>
                <w:webHidden/>
              </w:rPr>
              <w:t>36</w:t>
            </w:r>
            <w:r>
              <w:rPr>
                <w:noProof/>
                <w:webHidden/>
              </w:rPr>
              <w:fldChar w:fldCharType="end"/>
            </w:r>
          </w:hyperlink>
        </w:p>
        <w:p w14:paraId="1007FB0C" w14:textId="34976A79" w:rsidR="00266549" w:rsidRDefault="00266549">
          <w:pPr>
            <w:pStyle w:val="TOC2"/>
            <w:tabs>
              <w:tab w:val="right" w:pos="9019"/>
            </w:tabs>
            <w:rPr>
              <w:rFonts w:asciiTheme="minorHAnsi" w:eastAsiaTheme="minorEastAsia" w:hAnsiTheme="minorHAnsi" w:cstheme="minorBidi"/>
              <w:noProof/>
              <w:kern w:val="2"/>
              <w:sz w:val="24"/>
              <w:szCs w:val="24"/>
              <w:lang w:val="en-US"/>
              <w14:ligatures w14:val="standardContextual"/>
            </w:rPr>
          </w:pPr>
          <w:hyperlink w:anchor="_Toc219841866" w:history="1">
            <w:r w:rsidRPr="008509FB">
              <w:rPr>
                <w:rStyle w:val="Hyperlink"/>
                <w:noProof/>
              </w:rPr>
              <w:t>5.2 Linking with objectives</w:t>
            </w:r>
            <w:r>
              <w:rPr>
                <w:noProof/>
                <w:webHidden/>
              </w:rPr>
              <w:tab/>
            </w:r>
            <w:r>
              <w:rPr>
                <w:noProof/>
                <w:webHidden/>
              </w:rPr>
              <w:fldChar w:fldCharType="begin"/>
            </w:r>
            <w:r>
              <w:rPr>
                <w:noProof/>
                <w:webHidden/>
              </w:rPr>
              <w:instrText xml:space="preserve"> PAGEREF _Toc219841866 \h </w:instrText>
            </w:r>
            <w:r>
              <w:rPr>
                <w:noProof/>
                <w:webHidden/>
              </w:rPr>
            </w:r>
            <w:r>
              <w:rPr>
                <w:noProof/>
                <w:webHidden/>
              </w:rPr>
              <w:fldChar w:fldCharType="separate"/>
            </w:r>
            <w:r>
              <w:rPr>
                <w:noProof/>
                <w:webHidden/>
              </w:rPr>
              <w:t>36</w:t>
            </w:r>
            <w:r>
              <w:rPr>
                <w:noProof/>
                <w:webHidden/>
              </w:rPr>
              <w:fldChar w:fldCharType="end"/>
            </w:r>
          </w:hyperlink>
        </w:p>
        <w:p w14:paraId="1D36B5A8" w14:textId="38FB0AF9" w:rsidR="00266549" w:rsidRDefault="00266549" w:rsidP="00266549">
          <w:pPr>
            <w:pStyle w:val="TOC3"/>
            <w:rPr>
              <w:rFonts w:asciiTheme="minorHAnsi" w:eastAsiaTheme="minorEastAsia" w:hAnsiTheme="minorHAnsi" w:cstheme="minorBidi"/>
              <w:kern w:val="2"/>
              <w:sz w:val="24"/>
              <w:szCs w:val="24"/>
              <w:lang w:val="en-US"/>
              <w14:ligatures w14:val="standardContextual"/>
            </w:rPr>
          </w:pPr>
          <w:hyperlink w:anchor="_Toc219841867" w:history="1">
            <w:r w:rsidRPr="008509FB">
              <w:rPr>
                <w:rStyle w:val="Hyperlink"/>
              </w:rPr>
              <w:t>Objective 1:</w:t>
            </w:r>
            <w:r>
              <w:rPr>
                <w:webHidden/>
              </w:rPr>
              <w:tab/>
            </w:r>
            <w:r>
              <w:rPr>
                <w:webHidden/>
              </w:rPr>
              <w:fldChar w:fldCharType="begin"/>
            </w:r>
            <w:r>
              <w:rPr>
                <w:webHidden/>
              </w:rPr>
              <w:instrText xml:space="preserve"> PAGEREF _Toc219841867 \h </w:instrText>
            </w:r>
            <w:r>
              <w:rPr>
                <w:webHidden/>
              </w:rPr>
            </w:r>
            <w:r>
              <w:rPr>
                <w:webHidden/>
              </w:rPr>
              <w:fldChar w:fldCharType="separate"/>
            </w:r>
            <w:r>
              <w:rPr>
                <w:webHidden/>
              </w:rPr>
              <w:t>36</w:t>
            </w:r>
            <w:r>
              <w:rPr>
                <w:webHidden/>
              </w:rPr>
              <w:fldChar w:fldCharType="end"/>
            </w:r>
          </w:hyperlink>
        </w:p>
        <w:p w14:paraId="56E3ADA5" w14:textId="7513736C" w:rsidR="00266549" w:rsidRDefault="00266549" w:rsidP="00266549">
          <w:pPr>
            <w:pStyle w:val="TOC3"/>
            <w:rPr>
              <w:rFonts w:asciiTheme="minorHAnsi" w:eastAsiaTheme="minorEastAsia" w:hAnsiTheme="minorHAnsi" w:cstheme="minorBidi"/>
              <w:kern w:val="2"/>
              <w:sz w:val="24"/>
              <w:szCs w:val="24"/>
              <w:lang w:val="en-US"/>
              <w14:ligatures w14:val="standardContextual"/>
            </w:rPr>
          </w:pPr>
          <w:hyperlink w:anchor="_Toc219841868" w:history="1">
            <w:r w:rsidRPr="008509FB">
              <w:rPr>
                <w:rStyle w:val="Hyperlink"/>
              </w:rPr>
              <w:t>Objective 2:</w:t>
            </w:r>
            <w:r>
              <w:rPr>
                <w:webHidden/>
              </w:rPr>
              <w:tab/>
            </w:r>
            <w:r>
              <w:rPr>
                <w:webHidden/>
              </w:rPr>
              <w:fldChar w:fldCharType="begin"/>
            </w:r>
            <w:r>
              <w:rPr>
                <w:webHidden/>
              </w:rPr>
              <w:instrText xml:space="preserve"> PAGEREF _Toc219841868 \h </w:instrText>
            </w:r>
            <w:r>
              <w:rPr>
                <w:webHidden/>
              </w:rPr>
            </w:r>
            <w:r>
              <w:rPr>
                <w:webHidden/>
              </w:rPr>
              <w:fldChar w:fldCharType="separate"/>
            </w:r>
            <w:r>
              <w:rPr>
                <w:webHidden/>
              </w:rPr>
              <w:t>37</w:t>
            </w:r>
            <w:r>
              <w:rPr>
                <w:webHidden/>
              </w:rPr>
              <w:fldChar w:fldCharType="end"/>
            </w:r>
          </w:hyperlink>
        </w:p>
        <w:p w14:paraId="778974F2" w14:textId="5B1DE3A1" w:rsidR="00266549" w:rsidRDefault="00266549" w:rsidP="00266549">
          <w:pPr>
            <w:pStyle w:val="TOC3"/>
            <w:rPr>
              <w:rFonts w:asciiTheme="minorHAnsi" w:eastAsiaTheme="minorEastAsia" w:hAnsiTheme="minorHAnsi" w:cstheme="minorBidi"/>
              <w:kern w:val="2"/>
              <w:sz w:val="24"/>
              <w:szCs w:val="24"/>
              <w:lang w:val="en-US"/>
              <w14:ligatures w14:val="standardContextual"/>
            </w:rPr>
          </w:pPr>
          <w:hyperlink w:anchor="_Toc219841869" w:history="1">
            <w:r w:rsidRPr="008509FB">
              <w:rPr>
                <w:rStyle w:val="Hyperlink"/>
              </w:rPr>
              <w:t>Objective 3:</w:t>
            </w:r>
            <w:r>
              <w:rPr>
                <w:webHidden/>
              </w:rPr>
              <w:tab/>
            </w:r>
            <w:r>
              <w:rPr>
                <w:webHidden/>
              </w:rPr>
              <w:fldChar w:fldCharType="begin"/>
            </w:r>
            <w:r>
              <w:rPr>
                <w:webHidden/>
              </w:rPr>
              <w:instrText xml:space="preserve"> PAGEREF _Toc219841869 \h </w:instrText>
            </w:r>
            <w:r>
              <w:rPr>
                <w:webHidden/>
              </w:rPr>
            </w:r>
            <w:r>
              <w:rPr>
                <w:webHidden/>
              </w:rPr>
              <w:fldChar w:fldCharType="separate"/>
            </w:r>
            <w:r>
              <w:rPr>
                <w:webHidden/>
              </w:rPr>
              <w:t>37</w:t>
            </w:r>
            <w:r>
              <w:rPr>
                <w:webHidden/>
              </w:rPr>
              <w:fldChar w:fldCharType="end"/>
            </w:r>
          </w:hyperlink>
        </w:p>
        <w:p w14:paraId="6F58583B" w14:textId="6CFA51F4" w:rsidR="00266549" w:rsidRDefault="00266549" w:rsidP="00266549">
          <w:pPr>
            <w:pStyle w:val="TOC3"/>
            <w:rPr>
              <w:rFonts w:asciiTheme="minorHAnsi" w:eastAsiaTheme="minorEastAsia" w:hAnsiTheme="minorHAnsi" w:cstheme="minorBidi"/>
              <w:kern w:val="2"/>
              <w:sz w:val="24"/>
              <w:szCs w:val="24"/>
              <w:lang w:val="en-US"/>
              <w14:ligatures w14:val="standardContextual"/>
            </w:rPr>
          </w:pPr>
          <w:hyperlink w:anchor="_Toc219841870" w:history="1">
            <w:r w:rsidRPr="008509FB">
              <w:rPr>
                <w:rStyle w:val="Hyperlink"/>
              </w:rPr>
              <w:t>Objective 4:</w:t>
            </w:r>
            <w:r>
              <w:rPr>
                <w:webHidden/>
              </w:rPr>
              <w:tab/>
            </w:r>
            <w:r>
              <w:rPr>
                <w:webHidden/>
              </w:rPr>
              <w:fldChar w:fldCharType="begin"/>
            </w:r>
            <w:r>
              <w:rPr>
                <w:webHidden/>
              </w:rPr>
              <w:instrText xml:space="preserve"> PAGEREF _Toc219841870 \h </w:instrText>
            </w:r>
            <w:r>
              <w:rPr>
                <w:webHidden/>
              </w:rPr>
            </w:r>
            <w:r>
              <w:rPr>
                <w:webHidden/>
              </w:rPr>
              <w:fldChar w:fldCharType="separate"/>
            </w:r>
            <w:r>
              <w:rPr>
                <w:webHidden/>
              </w:rPr>
              <w:t>37</w:t>
            </w:r>
            <w:r>
              <w:rPr>
                <w:webHidden/>
              </w:rPr>
              <w:fldChar w:fldCharType="end"/>
            </w:r>
          </w:hyperlink>
        </w:p>
        <w:p w14:paraId="2B3DB410" w14:textId="20E2E776" w:rsidR="00266549" w:rsidRDefault="00266549">
          <w:pPr>
            <w:pStyle w:val="TOC2"/>
            <w:tabs>
              <w:tab w:val="right" w:pos="9019"/>
            </w:tabs>
            <w:rPr>
              <w:rFonts w:asciiTheme="minorHAnsi" w:eastAsiaTheme="minorEastAsia" w:hAnsiTheme="minorHAnsi" w:cstheme="minorBidi"/>
              <w:noProof/>
              <w:kern w:val="2"/>
              <w:sz w:val="24"/>
              <w:szCs w:val="24"/>
              <w:lang w:val="en-US"/>
              <w14:ligatures w14:val="standardContextual"/>
            </w:rPr>
          </w:pPr>
          <w:hyperlink w:anchor="_Toc219841871" w:history="1">
            <w:r w:rsidRPr="008509FB">
              <w:rPr>
                <w:rStyle w:val="Hyperlink"/>
                <w:noProof/>
              </w:rPr>
              <w:t>5.3 Recommendation</w:t>
            </w:r>
            <w:r>
              <w:rPr>
                <w:noProof/>
                <w:webHidden/>
              </w:rPr>
              <w:tab/>
            </w:r>
            <w:r>
              <w:rPr>
                <w:noProof/>
                <w:webHidden/>
              </w:rPr>
              <w:fldChar w:fldCharType="begin"/>
            </w:r>
            <w:r>
              <w:rPr>
                <w:noProof/>
                <w:webHidden/>
              </w:rPr>
              <w:instrText xml:space="preserve"> PAGEREF _Toc219841871 \h </w:instrText>
            </w:r>
            <w:r>
              <w:rPr>
                <w:noProof/>
                <w:webHidden/>
              </w:rPr>
            </w:r>
            <w:r>
              <w:rPr>
                <w:noProof/>
                <w:webHidden/>
              </w:rPr>
              <w:fldChar w:fldCharType="separate"/>
            </w:r>
            <w:r>
              <w:rPr>
                <w:noProof/>
                <w:webHidden/>
              </w:rPr>
              <w:t>37</w:t>
            </w:r>
            <w:r>
              <w:rPr>
                <w:noProof/>
                <w:webHidden/>
              </w:rPr>
              <w:fldChar w:fldCharType="end"/>
            </w:r>
          </w:hyperlink>
        </w:p>
        <w:p w14:paraId="7931A18D" w14:textId="2B69EC37" w:rsidR="00266549" w:rsidRDefault="00266549">
          <w:pPr>
            <w:pStyle w:val="TOC2"/>
            <w:tabs>
              <w:tab w:val="right" w:pos="9019"/>
            </w:tabs>
            <w:rPr>
              <w:rFonts w:asciiTheme="minorHAnsi" w:eastAsiaTheme="minorEastAsia" w:hAnsiTheme="minorHAnsi" w:cstheme="minorBidi"/>
              <w:noProof/>
              <w:kern w:val="2"/>
              <w:sz w:val="24"/>
              <w:szCs w:val="24"/>
              <w:lang w:val="en-US"/>
              <w14:ligatures w14:val="standardContextual"/>
            </w:rPr>
          </w:pPr>
          <w:hyperlink w:anchor="_Toc219841872" w:history="1">
            <w:r w:rsidRPr="008509FB">
              <w:rPr>
                <w:rStyle w:val="Hyperlink"/>
                <w:noProof/>
              </w:rPr>
              <w:t>5.4 Limitation</w:t>
            </w:r>
            <w:r>
              <w:rPr>
                <w:noProof/>
                <w:webHidden/>
              </w:rPr>
              <w:tab/>
            </w:r>
            <w:r>
              <w:rPr>
                <w:noProof/>
                <w:webHidden/>
              </w:rPr>
              <w:fldChar w:fldCharType="begin"/>
            </w:r>
            <w:r>
              <w:rPr>
                <w:noProof/>
                <w:webHidden/>
              </w:rPr>
              <w:instrText xml:space="preserve"> PAGEREF _Toc219841872 \h </w:instrText>
            </w:r>
            <w:r>
              <w:rPr>
                <w:noProof/>
                <w:webHidden/>
              </w:rPr>
            </w:r>
            <w:r>
              <w:rPr>
                <w:noProof/>
                <w:webHidden/>
              </w:rPr>
              <w:fldChar w:fldCharType="separate"/>
            </w:r>
            <w:r>
              <w:rPr>
                <w:noProof/>
                <w:webHidden/>
              </w:rPr>
              <w:t>37</w:t>
            </w:r>
            <w:r>
              <w:rPr>
                <w:noProof/>
                <w:webHidden/>
              </w:rPr>
              <w:fldChar w:fldCharType="end"/>
            </w:r>
          </w:hyperlink>
        </w:p>
        <w:p w14:paraId="000F92F7" w14:textId="6D55F71C" w:rsidR="00266549" w:rsidRDefault="00266549">
          <w:pPr>
            <w:pStyle w:val="TOC2"/>
            <w:tabs>
              <w:tab w:val="right" w:pos="9019"/>
            </w:tabs>
            <w:rPr>
              <w:rFonts w:asciiTheme="minorHAnsi" w:eastAsiaTheme="minorEastAsia" w:hAnsiTheme="minorHAnsi" w:cstheme="minorBidi"/>
              <w:noProof/>
              <w:kern w:val="2"/>
              <w:sz w:val="24"/>
              <w:szCs w:val="24"/>
              <w:lang w:val="en-US"/>
              <w14:ligatures w14:val="standardContextual"/>
            </w:rPr>
          </w:pPr>
          <w:hyperlink w:anchor="_Toc219841873" w:history="1">
            <w:r w:rsidRPr="008509FB">
              <w:rPr>
                <w:rStyle w:val="Hyperlink"/>
                <w:noProof/>
              </w:rPr>
              <w:t>5.5 Future research scope</w:t>
            </w:r>
            <w:r>
              <w:rPr>
                <w:noProof/>
                <w:webHidden/>
              </w:rPr>
              <w:tab/>
            </w:r>
            <w:r>
              <w:rPr>
                <w:noProof/>
                <w:webHidden/>
              </w:rPr>
              <w:fldChar w:fldCharType="begin"/>
            </w:r>
            <w:r>
              <w:rPr>
                <w:noProof/>
                <w:webHidden/>
              </w:rPr>
              <w:instrText xml:space="preserve"> PAGEREF _Toc219841873 \h </w:instrText>
            </w:r>
            <w:r>
              <w:rPr>
                <w:noProof/>
                <w:webHidden/>
              </w:rPr>
            </w:r>
            <w:r>
              <w:rPr>
                <w:noProof/>
                <w:webHidden/>
              </w:rPr>
              <w:fldChar w:fldCharType="separate"/>
            </w:r>
            <w:r>
              <w:rPr>
                <w:noProof/>
                <w:webHidden/>
              </w:rPr>
              <w:t>38</w:t>
            </w:r>
            <w:r>
              <w:rPr>
                <w:noProof/>
                <w:webHidden/>
              </w:rPr>
              <w:fldChar w:fldCharType="end"/>
            </w:r>
          </w:hyperlink>
        </w:p>
        <w:p w14:paraId="7085C134" w14:textId="14C6030A" w:rsidR="00266549" w:rsidRDefault="00266549">
          <w:pPr>
            <w:pStyle w:val="TOC1"/>
            <w:tabs>
              <w:tab w:val="right" w:pos="9019"/>
            </w:tabs>
            <w:rPr>
              <w:rFonts w:asciiTheme="minorHAnsi" w:eastAsiaTheme="minorEastAsia" w:hAnsiTheme="minorHAnsi" w:cstheme="minorBidi"/>
              <w:noProof/>
              <w:kern w:val="2"/>
              <w:sz w:val="24"/>
              <w:szCs w:val="24"/>
              <w:lang w:val="en-US"/>
              <w14:ligatures w14:val="standardContextual"/>
            </w:rPr>
          </w:pPr>
          <w:hyperlink w:anchor="_Toc219841874" w:history="1">
            <w:r w:rsidRPr="008509FB">
              <w:rPr>
                <w:rStyle w:val="Hyperlink"/>
                <w:noProof/>
              </w:rPr>
              <w:t>Reference List</w:t>
            </w:r>
            <w:r>
              <w:rPr>
                <w:noProof/>
                <w:webHidden/>
              </w:rPr>
              <w:tab/>
            </w:r>
            <w:r>
              <w:rPr>
                <w:noProof/>
                <w:webHidden/>
              </w:rPr>
              <w:fldChar w:fldCharType="begin"/>
            </w:r>
            <w:r>
              <w:rPr>
                <w:noProof/>
                <w:webHidden/>
              </w:rPr>
              <w:instrText xml:space="preserve"> PAGEREF _Toc219841874 \h </w:instrText>
            </w:r>
            <w:r>
              <w:rPr>
                <w:noProof/>
                <w:webHidden/>
              </w:rPr>
            </w:r>
            <w:r>
              <w:rPr>
                <w:noProof/>
                <w:webHidden/>
              </w:rPr>
              <w:fldChar w:fldCharType="separate"/>
            </w:r>
            <w:r>
              <w:rPr>
                <w:noProof/>
                <w:webHidden/>
              </w:rPr>
              <w:t>39</w:t>
            </w:r>
            <w:r>
              <w:rPr>
                <w:noProof/>
                <w:webHidden/>
              </w:rPr>
              <w:fldChar w:fldCharType="end"/>
            </w:r>
          </w:hyperlink>
        </w:p>
        <w:p w14:paraId="2A792D71" w14:textId="5651DFED" w:rsidR="003463D3" w:rsidRDefault="00000000">
          <w:pPr>
            <w:widowControl w:val="0"/>
            <w:tabs>
              <w:tab w:val="right" w:pos="12000"/>
            </w:tabs>
            <w:spacing w:before="60" w:line="240" w:lineRule="auto"/>
            <w:jc w:val="left"/>
            <w:rPr>
              <w:b/>
              <w:bCs/>
              <w:color w:val="000000"/>
            </w:rPr>
          </w:pPr>
          <w:r>
            <w:fldChar w:fldCharType="end"/>
          </w:r>
        </w:p>
      </w:sdtContent>
    </w:sdt>
    <w:p w14:paraId="05D10678" w14:textId="77777777" w:rsidR="003463D3" w:rsidRDefault="003463D3">
      <w:pPr>
        <w:pStyle w:val="Heading1"/>
      </w:pPr>
      <w:bookmarkStart w:id="2" w:name="_heading=h.ob1g29u6oz05" w:colFirst="0" w:colLast="0"/>
      <w:bookmarkEnd w:id="2"/>
    </w:p>
    <w:p w14:paraId="3EF1E8D5" w14:textId="5FCDA21A" w:rsidR="003463D3" w:rsidRDefault="003463D3">
      <w:pPr>
        <w:pStyle w:val="Heading1"/>
      </w:pPr>
      <w:bookmarkStart w:id="3" w:name="_heading=h.uaq6gzlfo24w" w:colFirst="0" w:colLast="0"/>
      <w:bookmarkEnd w:id="3"/>
    </w:p>
    <w:p w14:paraId="5592204D" w14:textId="77777777" w:rsidR="00C3615C" w:rsidRDefault="00C3615C">
      <w:pPr>
        <w:rPr>
          <w:b/>
          <w:bCs/>
          <w:sz w:val="28"/>
          <w:szCs w:val="28"/>
        </w:rPr>
      </w:pPr>
      <w:r>
        <w:rPr>
          <w:b/>
          <w:bCs/>
          <w:sz w:val="28"/>
          <w:szCs w:val="28"/>
        </w:rPr>
        <w:br w:type="page"/>
      </w:r>
    </w:p>
    <w:p w14:paraId="617E18E8" w14:textId="6ED0A68B" w:rsidR="003463D3" w:rsidRDefault="00000000">
      <w:pPr>
        <w:jc w:val="center"/>
        <w:rPr>
          <w:b/>
          <w:bCs/>
          <w:sz w:val="28"/>
          <w:szCs w:val="28"/>
        </w:rPr>
      </w:pPr>
      <w:r>
        <w:rPr>
          <w:b/>
          <w:bCs/>
          <w:sz w:val="28"/>
          <w:szCs w:val="28"/>
        </w:rPr>
        <w:lastRenderedPageBreak/>
        <w:t>List of Figures</w:t>
      </w:r>
    </w:p>
    <w:sdt>
      <w:sdtPr>
        <w:id w:val="564629875"/>
        <w:docPartObj>
          <w:docPartGallery w:val="Table of Contents"/>
          <w:docPartUnique/>
        </w:docPartObj>
      </w:sdtPr>
      <w:sdtContent>
        <w:p w14:paraId="3D8E5AD7" w14:textId="77777777" w:rsidR="003463D3" w:rsidRDefault="00000000">
          <w:pPr>
            <w:pBdr>
              <w:top w:val="nil"/>
              <w:left w:val="nil"/>
              <w:bottom w:val="nil"/>
              <w:right w:val="nil"/>
              <w:between w:val="nil"/>
            </w:pBdr>
            <w:tabs>
              <w:tab w:val="right" w:leader="dot" w:pos="9019"/>
            </w:tabs>
            <w:spacing w:after="100"/>
            <w:ind w:left="660"/>
            <w:rPr>
              <w:color w:val="000000"/>
            </w:rPr>
          </w:pPr>
          <w:r>
            <w:fldChar w:fldCharType="begin"/>
          </w:r>
          <w:r>
            <w:instrText xml:space="preserve"> TOC \h \u \z \t "Heading 4,4,Heading 6,6,"</w:instrText>
          </w:r>
          <w:r>
            <w:fldChar w:fldCharType="separate"/>
          </w:r>
          <w:hyperlink w:anchor="_heading=h.c6i1jg90p2zv">
            <w:r>
              <w:rPr>
                <w:color w:val="000000"/>
              </w:rPr>
              <w:t>Figure 1: The connection across staff burnout and patient treatment</w:t>
            </w:r>
            <w:r>
              <w:rPr>
                <w:color w:val="000000"/>
              </w:rPr>
              <w:tab/>
              <w:t>10</w:t>
            </w:r>
          </w:hyperlink>
        </w:p>
        <w:p w14:paraId="193FCCCA" w14:textId="77777777" w:rsidR="003463D3" w:rsidRDefault="00000000">
          <w:pPr>
            <w:pBdr>
              <w:top w:val="nil"/>
              <w:left w:val="nil"/>
              <w:bottom w:val="nil"/>
              <w:right w:val="nil"/>
              <w:between w:val="nil"/>
            </w:pBdr>
            <w:tabs>
              <w:tab w:val="right" w:leader="dot" w:pos="9019"/>
            </w:tabs>
            <w:spacing w:after="100"/>
            <w:ind w:left="660"/>
            <w:rPr>
              <w:color w:val="000000"/>
            </w:rPr>
          </w:pPr>
          <w:hyperlink w:anchor="_heading=h.d12s3hkijq6q">
            <w:r>
              <w:rPr>
                <w:color w:val="000000"/>
              </w:rPr>
              <w:t>Figure 2: Unfilled posts in NHS providers</w:t>
            </w:r>
            <w:r>
              <w:rPr>
                <w:color w:val="000000"/>
              </w:rPr>
              <w:tab/>
              <w:t>11</w:t>
            </w:r>
          </w:hyperlink>
        </w:p>
        <w:p w14:paraId="3FA01D53" w14:textId="77777777" w:rsidR="003463D3" w:rsidRDefault="00000000">
          <w:pPr>
            <w:pBdr>
              <w:top w:val="nil"/>
              <w:left w:val="nil"/>
              <w:bottom w:val="nil"/>
              <w:right w:val="nil"/>
              <w:between w:val="nil"/>
            </w:pBdr>
            <w:tabs>
              <w:tab w:val="right" w:leader="dot" w:pos="9019"/>
            </w:tabs>
            <w:spacing w:after="100"/>
            <w:ind w:left="660"/>
            <w:rPr>
              <w:color w:val="000000"/>
            </w:rPr>
          </w:pPr>
          <w:hyperlink w:anchor="_heading=h.azd8io23fgcm">
            <w:r>
              <w:rPr>
                <w:color w:val="000000"/>
              </w:rPr>
              <w:t>Figure 3: Structure of the dissertation</w:t>
            </w:r>
            <w:r>
              <w:rPr>
                <w:color w:val="000000"/>
              </w:rPr>
              <w:tab/>
              <w:t>13</w:t>
            </w:r>
          </w:hyperlink>
        </w:p>
        <w:p w14:paraId="7C91DEFA" w14:textId="77777777" w:rsidR="003463D3" w:rsidRDefault="00000000">
          <w:pPr>
            <w:pBdr>
              <w:top w:val="nil"/>
              <w:left w:val="nil"/>
              <w:bottom w:val="nil"/>
              <w:right w:val="nil"/>
              <w:between w:val="nil"/>
            </w:pBdr>
            <w:tabs>
              <w:tab w:val="right" w:leader="dot" w:pos="9019"/>
            </w:tabs>
            <w:spacing w:after="100"/>
            <w:ind w:left="660"/>
            <w:rPr>
              <w:color w:val="000000"/>
            </w:rPr>
          </w:pPr>
          <w:hyperlink w:anchor="_heading=h.a8yddo49qdzt">
            <w:r>
              <w:rPr>
                <w:color w:val="000000"/>
              </w:rPr>
              <w:t>Figure 4: Different key factors impacting staff burnout</w:t>
            </w:r>
            <w:r>
              <w:rPr>
                <w:color w:val="000000"/>
              </w:rPr>
              <w:tab/>
              <w:t>15</w:t>
            </w:r>
          </w:hyperlink>
        </w:p>
        <w:p w14:paraId="03241742" w14:textId="77777777" w:rsidR="003463D3" w:rsidRDefault="00000000">
          <w:pPr>
            <w:pBdr>
              <w:top w:val="nil"/>
              <w:left w:val="nil"/>
              <w:bottom w:val="nil"/>
              <w:right w:val="nil"/>
              <w:between w:val="nil"/>
            </w:pBdr>
            <w:tabs>
              <w:tab w:val="right" w:leader="dot" w:pos="9019"/>
            </w:tabs>
            <w:spacing w:after="100"/>
            <w:ind w:left="660"/>
            <w:rPr>
              <w:color w:val="000000"/>
            </w:rPr>
          </w:pPr>
          <w:hyperlink w:anchor="_heading=h.2y7asov1minu">
            <w:r>
              <w:rPr>
                <w:color w:val="000000"/>
              </w:rPr>
              <w:t>Figure 5: Global perspectives of effective care delivery</w:t>
            </w:r>
            <w:r>
              <w:rPr>
                <w:color w:val="000000"/>
              </w:rPr>
              <w:tab/>
              <w:t>16</w:t>
            </w:r>
          </w:hyperlink>
        </w:p>
        <w:p w14:paraId="1A9CEAF6" w14:textId="77777777" w:rsidR="003463D3" w:rsidRDefault="00000000">
          <w:pPr>
            <w:pBdr>
              <w:top w:val="nil"/>
              <w:left w:val="nil"/>
              <w:bottom w:val="nil"/>
              <w:right w:val="nil"/>
              <w:between w:val="nil"/>
            </w:pBdr>
            <w:tabs>
              <w:tab w:val="right" w:leader="dot" w:pos="9019"/>
            </w:tabs>
            <w:spacing w:after="100"/>
            <w:ind w:left="660"/>
            <w:rPr>
              <w:color w:val="000000"/>
            </w:rPr>
          </w:pPr>
          <w:hyperlink w:anchor="_heading=h.in77oi51bv31">
            <w:r>
              <w:rPr>
                <w:color w:val="000000"/>
              </w:rPr>
              <w:t>Figure 6: Relationship between burnout, employee performance, and workforce retention in the health and social sector</w:t>
            </w:r>
            <w:r>
              <w:rPr>
                <w:color w:val="000000"/>
              </w:rPr>
              <w:tab/>
              <w:t>18</w:t>
            </w:r>
          </w:hyperlink>
        </w:p>
        <w:p w14:paraId="10EEAAC0" w14:textId="77777777" w:rsidR="003463D3" w:rsidRDefault="00000000">
          <w:pPr>
            <w:pBdr>
              <w:top w:val="nil"/>
              <w:left w:val="nil"/>
              <w:bottom w:val="nil"/>
              <w:right w:val="nil"/>
              <w:between w:val="nil"/>
            </w:pBdr>
            <w:tabs>
              <w:tab w:val="right" w:leader="dot" w:pos="9019"/>
            </w:tabs>
            <w:spacing w:after="100"/>
            <w:ind w:left="660"/>
            <w:rPr>
              <w:color w:val="000000"/>
            </w:rPr>
          </w:pPr>
          <w:hyperlink w:anchor="_heading=h.628typgvhdf9">
            <w:r>
              <w:rPr>
                <w:color w:val="000000"/>
              </w:rPr>
              <w:t>Figure 7: Important key components of the Job Demands-Resources Model</w:t>
            </w:r>
            <w:r>
              <w:rPr>
                <w:color w:val="000000"/>
              </w:rPr>
              <w:tab/>
              <w:t>19</w:t>
            </w:r>
          </w:hyperlink>
        </w:p>
        <w:p w14:paraId="2F1947E4" w14:textId="77777777" w:rsidR="003463D3" w:rsidRDefault="00000000">
          <w:pPr>
            <w:pBdr>
              <w:top w:val="nil"/>
              <w:left w:val="nil"/>
              <w:bottom w:val="nil"/>
              <w:right w:val="nil"/>
              <w:between w:val="nil"/>
            </w:pBdr>
            <w:tabs>
              <w:tab w:val="right" w:leader="dot" w:pos="9019"/>
            </w:tabs>
            <w:spacing w:after="100"/>
            <w:ind w:left="660"/>
            <w:rPr>
              <w:color w:val="000000"/>
            </w:rPr>
          </w:pPr>
          <w:hyperlink w:anchor="_heading=h.9k219fdfe9iy">
            <w:r>
              <w:rPr>
                <w:color w:val="000000"/>
              </w:rPr>
              <w:t>Figure 8: Saunders Research Onion</w:t>
            </w:r>
            <w:r>
              <w:rPr>
                <w:color w:val="000000"/>
              </w:rPr>
              <w:tab/>
              <w:t>21</w:t>
            </w:r>
          </w:hyperlink>
        </w:p>
        <w:p w14:paraId="77E7BBE2" w14:textId="77777777" w:rsidR="003463D3" w:rsidRDefault="00000000">
          <w:pPr>
            <w:widowControl w:val="0"/>
            <w:tabs>
              <w:tab w:val="right" w:pos="12000"/>
            </w:tabs>
            <w:spacing w:before="60" w:line="240" w:lineRule="auto"/>
            <w:ind w:left="1080"/>
            <w:jc w:val="left"/>
            <w:rPr>
              <w:color w:val="000000"/>
            </w:rPr>
          </w:pPr>
          <w:r>
            <w:fldChar w:fldCharType="end"/>
          </w:r>
        </w:p>
      </w:sdtContent>
    </w:sdt>
    <w:p w14:paraId="101FC6F0" w14:textId="77777777" w:rsidR="003463D3" w:rsidRDefault="003463D3"/>
    <w:p w14:paraId="2E1FA627" w14:textId="77777777" w:rsidR="003463D3" w:rsidRDefault="00000000">
      <w:pPr>
        <w:jc w:val="center"/>
        <w:rPr>
          <w:b/>
          <w:bCs/>
          <w:sz w:val="28"/>
          <w:szCs w:val="28"/>
        </w:rPr>
      </w:pPr>
      <w:r>
        <w:br w:type="page"/>
      </w:r>
    </w:p>
    <w:p w14:paraId="0F35EC28" w14:textId="77777777" w:rsidR="003463D3" w:rsidRDefault="00000000">
      <w:pPr>
        <w:jc w:val="center"/>
        <w:rPr>
          <w:b/>
          <w:bCs/>
          <w:sz w:val="28"/>
          <w:szCs w:val="28"/>
        </w:rPr>
      </w:pPr>
      <w:r>
        <w:rPr>
          <w:b/>
          <w:bCs/>
          <w:sz w:val="28"/>
          <w:szCs w:val="28"/>
        </w:rPr>
        <w:lastRenderedPageBreak/>
        <w:t>List of Tables</w:t>
      </w:r>
    </w:p>
    <w:sdt>
      <w:sdtPr>
        <w:id w:val="-128117880"/>
        <w:docPartObj>
          <w:docPartGallery w:val="Table of Contents"/>
          <w:docPartUnique/>
        </w:docPartObj>
      </w:sdtPr>
      <w:sdtContent>
        <w:p w14:paraId="22B160AC" w14:textId="77777777" w:rsidR="003463D3" w:rsidRDefault="00000000">
          <w:pPr>
            <w:pBdr>
              <w:top w:val="nil"/>
              <w:left w:val="nil"/>
              <w:bottom w:val="nil"/>
              <w:right w:val="nil"/>
              <w:between w:val="nil"/>
            </w:pBdr>
            <w:tabs>
              <w:tab w:val="right" w:leader="dot" w:pos="9019"/>
            </w:tabs>
            <w:spacing w:after="100"/>
            <w:ind w:left="880"/>
            <w:rPr>
              <w:color w:val="000000"/>
            </w:rPr>
          </w:pPr>
          <w:r>
            <w:fldChar w:fldCharType="begin"/>
          </w:r>
          <w:r>
            <w:instrText xml:space="preserve"> TOC \h \u \z \t "Heading 5,5,Heading 6,6,"</w:instrText>
          </w:r>
          <w:r>
            <w:fldChar w:fldCharType="separate"/>
          </w:r>
          <w:hyperlink w:anchor="_heading=h.98y0ivt1xlr1">
            <w:r>
              <w:rPr>
                <w:color w:val="000000"/>
              </w:rPr>
              <w:t>Table 4.1: Coding</w:t>
            </w:r>
            <w:r>
              <w:rPr>
                <w:color w:val="000000"/>
              </w:rPr>
              <w:tab/>
              <w:t>27</w:t>
            </w:r>
          </w:hyperlink>
        </w:p>
        <w:p w14:paraId="09D66B6C" w14:textId="77777777" w:rsidR="003463D3" w:rsidRDefault="00000000">
          <w:pPr>
            <w:pBdr>
              <w:top w:val="nil"/>
              <w:left w:val="nil"/>
              <w:bottom w:val="nil"/>
              <w:right w:val="nil"/>
              <w:between w:val="nil"/>
            </w:pBdr>
            <w:tabs>
              <w:tab w:val="right" w:leader="dot" w:pos="9019"/>
            </w:tabs>
            <w:spacing w:after="100"/>
            <w:ind w:left="880"/>
            <w:rPr>
              <w:color w:val="000000"/>
            </w:rPr>
          </w:pPr>
          <w:hyperlink w:anchor="_heading=h.fazvtmuc7yd2">
            <w:r>
              <w:rPr>
                <w:color w:val="000000"/>
              </w:rPr>
              <w:t>Table 4.2: Theme generation</w:t>
            </w:r>
            <w:r>
              <w:rPr>
                <w:color w:val="000000"/>
              </w:rPr>
              <w:tab/>
              <w:t>29</w:t>
            </w:r>
          </w:hyperlink>
        </w:p>
        <w:p w14:paraId="01E3C5E9" w14:textId="77777777" w:rsidR="003463D3" w:rsidRDefault="00000000">
          <w:pPr>
            <w:widowControl w:val="0"/>
            <w:tabs>
              <w:tab w:val="right" w:pos="12000"/>
            </w:tabs>
            <w:spacing w:before="60" w:line="240" w:lineRule="auto"/>
            <w:ind w:left="1440"/>
            <w:jc w:val="left"/>
            <w:rPr>
              <w:color w:val="000000"/>
            </w:rPr>
          </w:pPr>
          <w:r>
            <w:fldChar w:fldCharType="end"/>
          </w:r>
        </w:p>
      </w:sdtContent>
    </w:sdt>
    <w:p w14:paraId="1A2C2D8D" w14:textId="77777777" w:rsidR="003463D3" w:rsidRDefault="00000000">
      <w:pPr>
        <w:jc w:val="center"/>
        <w:rPr>
          <w:b/>
          <w:bCs/>
          <w:sz w:val="28"/>
          <w:szCs w:val="28"/>
        </w:rPr>
      </w:pPr>
      <w:r>
        <w:rPr>
          <w:b/>
          <w:bCs/>
          <w:sz w:val="28"/>
          <w:szCs w:val="28"/>
        </w:rPr>
        <w:t xml:space="preserve"> </w:t>
      </w:r>
    </w:p>
    <w:p w14:paraId="2BDC2CA7" w14:textId="61EE02E9" w:rsidR="003463D3" w:rsidRDefault="003463D3">
      <w:pPr>
        <w:pStyle w:val="Heading1"/>
      </w:pPr>
      <w:bookmarkStart w:id="4" w:name="_heading=h.5x4u34qttmht" w:colFirst="0" w:colLast="0"/>
      <w:bookmarkEnd w:id="4"/>
    </w:p>
    <w:p w14:paraId="2F692480" w14:textId="77777777" w:rsidR="00C3615C" w:rsidRDefault="00C3615C">
      <w:pPr>
        <w:rPr>
          <w:b/>
          <w:bCs/>
          <w:sz w:val="28"/>
          <w:szCs w:val="28"/>
        </w:rPr>
      </w:pPr>
      <w:r>
        <w:br w:type="page"/>
      </w:r>
    </w:p>
    <w:p w14:paraId="38A9D683" w14:textId="02F295CA" w:rsidR="003463D3" w:rsidRDefault="00000000">
      <w:pPr>
        <w:pStyle w:val="Heading1"/>
        <w:rPr>
          <w:highlight w:val="green"/>
        </w:rPr>
      </w:pPr>
      <w:bookmarkStart w:id="5" w:name="_Toc219841820"/>
      <w:r>
        <w:lastRenderedPageBreak/>
        <w:t>CHAPTER 1: Introduction</w:t>
      </w:r>
      <w:bookmarkEnd w:id="5"/>
    </w:p>
    <w:p w14:paraId="6697433E" w14:textId="77777777" w:rsidR="003463D3" w:rsidRDefault="00000000">
      <w:pPr>
        <w:pStyle w:val="Heading2"/>
      </w:pPr>
      <w:bookmarkStart w:id="6" w:name="_Toc219841821"/>
      <w:r>
        <w:t>1.1 Introduction</w:t>
      </w:r>
      <w:bookmarkEnd w:id="6"/>
    </w:p>
    <w:p w14:paraId="53FB91B1" w14:textId="77777777" w:rsidR="003463D3" w:rsidRDefault="00000000">
      <w:r>
        <w:t xml:space="preserve">In the UK health and social care sector, staff burnout is an effective issue that becomes worse due to workforce demands, emerging demand, and employment shortages. As mentioned by </w:t>
      </w:r>
      <w:r>
        <w:rPr>
          <w:color w:val="222222"/>
          <w:highlight w:val="white"/>
        </w:rPr>
        <w:t xml:space="preserve">Gillen </w:t>
      </w:r>
      <w:r>
        <w:rPr>
          <w:i/>
          <w:iCs/>
          <w:color w:val="222222"/>
          <w:highlight w:val="white"/>
        </w:rPr>
        <w:t>et al.</w:t>
      </w:r>
      <w:r>
        <w:rPr>
          <w:color w:val="222222"/>
          <w:highlight w:val="white"/>
        </w:rPr>
        <w:t xml:space="preserve"> (2022), i</w:t>
      </w:r>
      <w:r>
        <w:t xml:space="preserve">t also impacts employers in the NHS as well as social care, that mainly focus on depersonalisation, decreased personal achievement and lastly emotional weakness. Although burnout is highly caused by an effective workload carried on by long hours, high patient-to-staff ratios, and persistent shortages that impact the overall work productivity. On the contrary, Butt </w:t>
      </w:r>
      <w:r>
        <w:rPr>
          <w:i/>
          <w:iCs/>
        </w:rPr>
        <w:t>et al.</w:t>
      </w:r>
      <w:r>
        <w:t xml:space="preserve"> (2024) also found that different key factors, including low wages, fewer opportunities for career improvement in social care, and logistical workloads, also help the health care sector to simplify overall business growth. These issues became worse by Covid-19 that exposed structural weaknesses and increased employee morale. </w:t>
      </w:r>
    </w:p>
    <w:p w14:paraId="751109EA" w14:textId="77777777" w:rsidR="003463D3" w:rsidRDefault="00000000">
      <w:pPr>
        <w:jc w:val="center"/>
      </w:pPr>
      <w:r>
        <w:rPr>
          <w:noProof/>
        </w:rPr>
        <w:drawing>
          <wp:inline distT="114300" distB="114300" distL="114300" distR="114300" wp14:anchorId="5CE4A701" wp14:editId="4AE7A821">
            <wp:extent cx="3957638" cy="1895614"/>
            <wp:effectExtent l="0" t="0" r="0" b="0"/>
            <wp:docPr id="12"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9"/>
                    <a:srcRect/>
                    <a:stretch>
                      <a:fillRect/>
                    </a:stretch>
                  </pic:blipFill>
                  <pic:spPr>
                    <a:xfrm>
                      <a:off x="0" y="0"/>
                      <a:ext cx="3957638" cy="1895614"/>
                    </a:xfrm>
                    <a:prstGeom prst="rect">
                      <a:avLst/>
                    </a:prstGeom>
                    <a:ln/>
                  </pic:spPr>
                </pic:pic>
              </a:graphicData>
            </a:graphic>
          </wp:inline>
        </w:drawing>
      </w:r>
    </w:p>
    <w:p w14:paraId="29B65550" w14:textId="77777777" w:rsidR="003463D3" w:rsidRDefault="00000000">
      <w:pPr>
        <w:pStyle w:val="Heading4"/>
      </w:pPr>
      <w:bookmarkStart w:id="7" w:name="_heading=h.c6i1jg90p2zv" w:colFirst="0" w:colLast="0"/>
      <w:bookmarkEnd w:id="7"/>
      <w:r>
        <w:t xml:space="preserve">Figure 1: The connection across staff burnout and patient treatment </w:t>
      </w:r>
    </w:p>
    <w:p w14:paraId="52F3A8EA" w14:textId="77777777" w:rsidR="003463D3" w:rsidRDefault="00000000">
      <w:pPr>
        <w:jc w:val="center"/>
      </w:pPr>
      <w:r>
        <w:t xml:space="preserve">(Source: </w:t>
      </w:r>
      <w:proofErr w:type="spellStart"/>
      <w:r>
        <w:t>Gyekye</w:t>
      </w:r>
      <w:proofErr w:type="spellEnd"/>
      <w:r>
        <w:t>, 2023)</w:t>
      </w:r>
    </w:p>
    <w:p w14:paraId="68A40474" w14:textId="77777777" w:rsidR="003463D3" w:rsidRDefault="00000000">
      <w:r>
        <w:t xml:space="preserve">The quality of care is highly influenced by staff burnout, which affects patient safety by causing employees to become less engaged, make poor decisions, as well as decrease empathy. Based on that, burnout is aligned with higher clinical errors and overall care norms. In the NHS context, burnout also showcases that the patient trusts social care by promoting task-focused care as well as adopting therapeutic alignment (Garcia </w:t>
      </w:r>
      <w:r>
        <w:rPr>
          <w:i/>
          <w:iCs/>
        </w:rPr>
        <w:t>et al</w:t>
      </w:r>
      <w:r>
        <w:t>., 2019). In addition, higher stress levels also enhance employee turnover and absences, causing a cycle of burnout as veteran employees depart the sector. Unresolved systemic issues, like insufficient personnel as well as economic impact, prevent burnout in the UK health and social care system.</w:t>
      </w:r>
    </w:p>
    <w:p w14:paraId="774BC21C" w14:textId="77777777" w:rsidR="003463D3" w:rsidRDefault="00000000">
      <w:pPr>
        <w:pStyle w:val="Heading2"/>
      </w:pPr>
      <w:bookmarkStart w:id="8" w:name="_Toc219841822"/>
      <w:r>
        <w:t>1.2 Problem Statement</w:t>
      </w:r>
      <w:bookmarkEnd w:id="8"/>
    </w:p>
    <w:p w14:paraId="3062A28F" w14:textId="77777777" w:rsidR="003463D3" w:rsidRDefault="00000000">
      <w:r>
        <w:t xml:space="preserve">In the UK health and social care sector, staff burnout is a major issue that influences workforce sustainability and care quality. Based on that higher demand, economic constraints, and regular labour shortages also impact the work quality. As mentioned by Healthcare </w:t>
      </w:r>
      <w:r>
        <w:lastRenderedPageBreak/>
        <w:t xml:space="preserve">Management, (2025), in the NHS, 110,000 open positions are available, white 30% are for adult care. These outcomes result in emotional strains as well as huge work pressures that are significant causes of burnout. On the contrary, </w:t>
      </w:r>
      <w:proofErr w:type="spellStart"/>
      <w:r>
        <w:t>Ravalier</w:t>
      </w:r>
      <w:proofErr w:type="spellEnd"/>
      <w:r>
        <w:t xml:space="preserve"> </w:t>
      </w:r>
      <w:r>
        <w:rPr>
          <w:i/>
          <w:iCs/>
        </w:rPr>
        <w:t>et al</w:t>
      </w:r>
      <w:r>
        <w:t>. (2020) also highlight that 5% of NHS employees miss work due to illness, and 40 employees reported higher work stress. Burnout, mainly due to employee well-being regulations, recommended that the current remedies might be ineffective. Both personal well-being and the norms of service are also highly impacted by staff burnout in the health and social care sector (</w:t>
      </w:r>
      <w:r>
        <w:rPr>
          <w:color w:val="222222"/>
          <w:highlight w:val="white"/>
        </w:rPr>
        <w:t xml:space="preserve">Maddock </w:t>
      </w:r>
      <w:r>
        <w:rPr>
          <w:i/>
          <w:iCs/>
          <w:color w:val="222222"/>
          <w:highlight w:val="white"/>
        </w:rPr>
        <w:t>et al.</w:t>
      </w:r>
      <w:r>
        <w:rPr>
          <w:color w:val="222222"/>
          <w:highlight w:val="white"/>
        </w:rPr>
        <w:t>, 2024)</w:t>
      </w:r>
      <w:r>
        <w:t xml:space="preserve">. However, it is aligned with ineffective clinical errors, limited patient safety, and unsatisfactory patient experiences, which can reduce overall work productivity. </w:t>
      </w:r>
    </w:p>
    <w:p w14:paraId="5303217D" w14:textId="77777777" w:rsidR="003463D3" w:rsidRDefault="00000000">
      <w:pPr>
        <w:jc w:val="center"/>
      </w:pPr>
      <w:r>
        <w:rPr>
          <w:noProof/>
        </w:rPr>
        <w:drawing>
          <wp:inline distT="114300" distB="114300" distL="114300" distR="114300" wp14:anchorId="3429E0DE" wp14:editId="45A4672F">
            <wp:extent cx="4292438" cy="2669937"/>
            <wp:effectExtent l="0" t="0" r="0" b="0"/>
            <wp:docPr id="11"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0"/>
                    <a:srcRect b="13900"/>
                    <a:stretch>
                      <a:fillRect/>
                    </a:stretch>
                  </pic:blipFill>
                  <pic:spPr>
                    <a:xfrm>
                      <a:off x="0" y="0"/>
                      <a:ext cx="4292438" cy="2669937"/>
                    </a:xfrm>
                    <a:prstGeom prst="rect">
                      <a:avLst/>
                    </a:prstGeom>
                    <a:ln/>
                  </pic:spPr>
                </pic:pic>
              </a:graphicData>
            </a:graphic>
          </wp:inline>
        </w:drawing>
      </w:r>
    </w:p>
    <w:p w14:paraId="3A289493" w14:textId="77777777" w:rsidR="003463D3" w:rsidRDefault="00000000">
      <w:pPr>
        <w:pStyle w:val="Heading4"/>
      </w:pPr>
      <w:bookmarkStart w:id="9" w:name="_heading=h.d12s3hkijq6q" w:colFirst="0" w:colLast="0"/>
      <w:bookmarkEnd w:id="9"/>
      <w:r>
        <w:t>Figure 2: Unfilled posts in NHS providers</w:t>
      </w:r>
    </w:p>
    <w:p w14:paraId="41D88EEA" w14:textId="3C3C4454" w:rsidR="003463D3" w:rsidRDefault="00000000">
      <w:pPr>
        <w:jc w:val="center"/>
      </w:pPr>
      <w:r>
        <w:t xml:space="preserve">(Source: </w:t>
      </w:r>
      <w:r w:rsidR="00C3615C">
        <w:t>The</w:t>
      </w:r>
      <w:r>
        <w:t xml:space="preserve"> King's Fund, 2025)</w:t>
      </w:r>
    </w:p>
    <w:p w14:paraId="2BEF73BC" w14:textId="77777777" w:rsidR="003463D3" w:rsidRDefault="00000000">
      <w:pPr>
        <w:pStyle w:val="Heading2"/>
      </w:pPr>
      <w:bookmarkStart w:id="10" w:name="_Toc219841823"/>
      <w:r>
        <w:t>1.3 Research Aim and Research Objectives</w:t>
      </w:r>
      <w:bookmarkEnd w:id="10"/>
    </w:p>
    <w:p w14:paraId="1C37CD23" w14:textId="77777777" w:rsidR="003463D3" w:rsidRDefault="00000000">
      <w:pPr>
        <w:rPr>
          <w:b/>
          <w:bCs/>
          <w:i/>
          <w:iCs/>
        </w:rPr>
      </w:pPr>
      <w:r>
        <w:rPr>
          <w:b/>
          <w:bCs/>
          <w:i/>
          <w:iCs/>
        </w:rPr>
        <w:t>Aim</w:t>
      </w:r>
    </w:p>
    <w:p w14:paraId="23C58964" w14:textId="77777777" w:rsidR="003463D3" w:rsidRDefault="00000000">
      <w:r>
        <w:t xml:space="preserve">The aim of this study is to understand the significant key issue of overall staff burnout and its impact on the effectiveness of care quality in the developing UK health and social care sector. </w:t>
      </w:r>
    </w:p>
    <w:p w14:paraId="6C34745A" w14:textId="77777777" w:rsidR="003463D3" w:rsidRDefault="00000000">
      <w:pPr>
        <w:rPr>
          <w:b/>
          <w:bCs/>
          <w:i/>
          <w:iCs/>
        </w:rPr>
      </w:pPr>
      <w:r>
        <w:rPr>
          <w:b/>
          <w:bCs/>
          <w:i/>
          <w:iCs/>
        </w:rPr>
        <w:t>Objectives</w:t>
      </w:r>
    </w:p>
    <w:p w14:paraId="33609549" w14:textId="77777777" w:rsidR="003463D3" w:rsidRDefault="00000000">
      <w:pPr>
        <w:numPr>
          <w:ilvl w:val="0"/>
          <w:numId w:val="2"/>
        </w:numPr>
      </w:pPr>
      <w:r>
        <w:t>To evaluate different key issues of employee burnout in the context of the UK’s health as well as social care sector</w:t>
      </w:r>
    </w:p>
    <w:p w14:paraId="1B4BDD46" w14:textId="77777777" w:rsidR="003463D3" w:rsidRDefault="00000000">
      <w:pPr>
        <w:numPr>
          <w:ilvl w:val="0"/>
          <w:numId w:val="2"/>
        </w:numPr>
      </w:pPr>
      <w:r>
        <w:t>To identify multiple impacts of employee burnout on effective quality, safety and ongoing care delivery</w:t>
      </w:r>
    </w:p>
    <w:p w14:paraId="48749268" w14:textId="77777777" w:rsidR="003463D3" w:rsidRDefault="00000000">
      <w:pPr>
        <w:numPr>
          <w:ilvl w:val="0"/>
          <w:numId w:val="2"/>
        </w:numPr>
      </w:pPr>
      <w:r>
        <w:t>To understand the relationship across burnout, employee performance and the most significant workforce retention</w:t>
      </w:r>
    </w:p>
    <w:p w14:paraId="3B2180AA" w14:textId="77777777" w:rsidR="003463D3" w:rsidRDefault="00000000">
      <w:pPr>
        <w:numPr>
          <w:ilvl w:val="0"/>
          <w:numId w:val="2"/>
        </w:numPr>
      </w:pPr>
      <w:r>
        <w:t>To analyse useful organisational strategies to reduce staff burnout and increase care quality</w:t>
      </w:r>
    </w:p>
    <w:p w14:paraId="0F51CE48" w14:textId="77777777" w:rsidR="003463D3" w:rsidRDefault="00000000">
      <w:pPr>
        <w:pStyle w:val="Heading2"/>
      </w:pPr>
      <w:bookmarkStart w:id="11" w:name="_Toc219841824"/>
      <w:r>
        <w:lastRenderedPageBreak/>
        <w:t>1.4 Research Questions</w:t>
      </w:r>
      <w:bookmarkEnd w:id="11"/>
    </w:p>
    <w:p w14:paraId="50634F6F" w14:textId="77777777" w:rsidR="003463D3" w:rsidRDefault="00000000">
      <w:pPr>
        <w:numPr>
          <w:ilvl w:val="0"/>
          <w:numId w:val="2"/>
        </w:numPr>
      </w:pPr>
      <w:r>
        <w:t>What are the key issues of employee burnout in the context of the UK’s health and social care sector?</w:t>
      </w:r>
    </w:p>
    <w:p w14:paraId="0CEB46C5" w14:textId="77777777" w:rsidR="003463D3" w:rsidRDefault="00000000">
      <w:pPr>
        <w:numPr>
          <w:ilvl w:val="0"/>
          <w:numId w:val="2"/>
        </w:numPr>
      </w:pPr>
      <w:r>
        <w:t>How does employee burnout impact effective quality, safety and ongoing care delivery?</w:t>
      </w:r>
    </w:p>
    <w:p w14:paraId="3906A731" w14:textId="77777777" w:rsidR="003463D3" w:rsidRDefault="00000000">
      <w:pPr>
        <w:numPr>
          <w:ilvl w:val="0"/>
          <w:numId w:val="2"/>
        </w:numPr>
      </w:pPr>
      <w:r>
        <w:t>What are the important relationships between burnout, employee performance and workforce retention in improving work productivity?</w:t>
      </w:r>
    </w:p>
    <w:p w14:paraId="4F48E269" w14:textId="77777777" w:rsidR="003463D3" w:rsidRDefault="00000000">
      <w:pPr>
        <w:numPr>
          <w:ilvl w:val="0"/>
          <w:numId w:val="2"/>
        </w:numPr>
      </w:pPr>
      <w:r>
        <w:t>What are the useful organisational strategies to reduce staff burnout and increase care quality?</w:t>
      </w:r>
    </w:p>
    <w:p w14:paraId="3A22A74B" w14:textId="77777777" w:rsidR="003463D3" w:rsidRDefault="00000000">
      <w:pPr>
        <w:pStyle w:val="Heading2"/>
      </w:pPr>
      <w:bookmarkStart w:id="12" w:name="_Toc219841825"/>
      <w:r>
        <w:t>1.5 Rationale</w:t>
      </w:r>
      <w:bookmarkEnd w:id="12"/>
    </w:p>
    <w:p w14:paraId="5E78B738" w14:textId="77777777" w:rsidR="003463D3" w:rsidRDefault="00000000">
      <w:r>
        <w:t xml:space="preserve">Due to the emerging demand carried via the ageing population, as well as less staff, it is important to assess staff burnout in the UK health and social sector. As highlighted by the King's Fund (2024), adult care has 1.6 million employees, who help the different service centres to improve their overall work productivity. On the contrary, 40% of HNS employees also have higher experience of work-related stress that directly reduces workforce availability and decreases patient safety, ongoing care, and service effectiveness (Kober </w:t>
      </w:r>
      <w:r>
        <w:rPr>
          <w:i/>
          <w:iCs/>
        </w:rPr>
        <w:t>et al.,</w:t>
      </w:r>
      <w:r>
        <w:t xml:space="preserve"> 2024). Based on that, burnout is an issue that creates complexity in treatment quality across health and social care areas. The study also highlights the connection between burnout and workforce causes in adult social care services. Care delivery is also impacted by huge turnover that has an effective influence on professional connections and ongoing care.</w:t>
      </w:r>
    </w:p>
    <w:p w14:paraId="5819CA6A" w14:textId="77777777" w:rsidR="003463D3" w:rsidRDefault="00000000">
      <w:pPr>
        <w:pStyle w:val="Heading2"/>
      </w:pPr>
      <w:bookmarkStart w:id="13" w:name="_Toc219841826"/>
      <w:r>
        <w:t>1.6 Significance of the study</w:t>
      </w:r>
      <w:bookmarkEnd w:id="13"/>
    </w:p>
    <w:p w14:paraId="70773400" w14:textId="77777777" w:rsidR="003463D3" w:rsidRDefault="00000000">
      <w:r>
        <w:t xml:space="preserve">In the emerging service demand and less staff, this study mainly focuses on understanding the major issues of staff burnout in the UK health and social care sector. As mentioned by </w:t>
      </w:r>
      <w:r>
        <w:rPr>
          <w:color w:val="222222"/>
          <w:highlight w:val="white"/>
        </w:rPr>
        <w:t>Goodair</w:t>
      </w:r>
      <w:r>
        <w:rPr>
          <w:i/>
          <w:iCs/>
          <w:color w:val="222222"/>
          <w:highlight w:val="white"/>
        </w:rPr>
        <w:t xml:space="preserve"> et al.</w:t>
      </w:r>
      <w:r>
        <w:rPr>
          <w:color w:val="222222"/>
          <w:highlight w:val="white"/>
        </w:rPr>
        <w:t xml:space="preserve"> (2024), t</w:t>
      </w:r>
      <w:r>
        <w:t>he health and social care sector mainly focuses on its negative outcomes on patient results and maintaining care quality. It also highlights the alignment across employee well-being and patient safety, as well as the effectiveness of care. Although promoting sustainable staffing methods and promoting work ecosystems within the NHS are across, the regulation helps to evaluate the effectiveness of the UK health and social care sector.</w:t>
      </w:r>
    </w:p>
    <w:p w14:paraId="2812C8A1" w14:textId="77777777" w:rsidR="003463D3" w:rsidRDefault="00000000">
      <w:pPr>
        <w:pStyle w:val="Heading2"/>
      </w:pPr>
      <w:bookmarkStart w:id="14" w:name="_Toc219841827"/>
      <w:r>
        <w:t>1.7 Structure of the dissertation</w:t>
      </w:r>
      <w:bookmarkEnd w:id="14"/>
    </w:p>
    <w:p w14:paraId="73A7A03A" w14:textId="77777777" w:rsidR="003463D3" w:rsidRDefault="00000000">
      <w:r>
        <w:rPr>
          <w:b/>
          <w:bCs/>
          <w:i/>
          <w:iCs/>
        </w:rPr>
        <w:t>Chapter 1, Introduction</w:t>
      </w:r>
      <w:r>
        <w:t xml:space="preserve"> mainly focuses on understanding the purpose of the study. This chapter provides different study objectives that help to evaluate different key areas of health and social care delivery in the UK context.</w:t>
      </w:r>
    </w:p>
    <w:p w14:paraId="00BAC5D0" w14:textId="77777777" w:rsidR="003463D3" w:rsidRDefault="00000000">
      <w:r>
        <w:rPr>
          <w:b/>
          <w:bCs/>
          <w:i/>
          <w:iCs/>
        </w:rPr>
        <w:t>Chapter 2, Background</w:t>
      </w:r>
      <w:r>
        <w:t xml:space="preserve"> evaluates different study objectives and helps to identify different literature gaps that impact the investigation process. With the help of theoretical frameworks, </w:t>
      </w:r>
      <w:r>
        <w:lastRenderedPageBreak/>
        <w:t>it was easier to understand the effectiveness of staff burnout in the health and social care sector.</w:t>
      </w:r>
    </w:p>
    <w:p w14:paraId="1843700A" w14:textId="77777777" w:rsidR="003463D3" w:rsidRDefault="00000000">
      <w:r>
        <w:rPr>
          <w:b/>
          <w:bCs/>
          <w:i/>
          <w:iCs/>
        </w:rPr>
        <w:t>Chapter 3, Methodology</w:t>
      </w:r>
      <w:r>
        <w:t xml:space="preserve"> mainly focuses on identifying effective data collection processes to understand the major issues of staff burnout in the UK health and social sector.</w:t>
      </w:r>
    </w:p>
    <w:p w14:paraId="6E2E014E" w14:textId="77777777" w:rsidR="003463D3" w:rsidRDefault="00000000">
      <w:r>
        <w:rPr>
          <w:b/>
          <w:bCs/>
          <w:i/>
          <w:iCs/>
        </w:rPr>
        <w:t xml:space="preserve">Chapter 4, Results </w:t>
      </w:r>
      <w:r>
        <w:t>and discussion help in an in-depth understanding of the staff burnout in the UK health and social care sector.</w:t>
      </w:r>
    </w:p>
    <w:p w14:paraId="75F4F239" w14:textId="77777777" w:rsidR="003463D3" w:rsidRDefault="00000000">
      <w:r>
        <w:rPr>
          <w:b/>
          <w:bCs/>
          <w:i/>
          <w:iCs/>
        </w:rPr>
        <w:t>Chapter 5, Recommendation and conclusion</w:t>
      </w:r>
      <w:r>
        <w:t xml:space="preserve"> offer a final output of the dissertation that helps to summarise the overall study topic. </w:t>
      </w:r>
    </w:p>
    <w:p w14:paraId="0D836E3E" w14:textId="77777777" w:rsidR="00C3615C" w:rsidRDefault="00000000" w:rsidP="00C3615C">
      <w:pPr>
        <w:jc w:val="center"/>
      </w:pPr>
      <w:r>
        <w:rPr>
          <w:noProof/>
        </w:rPr>
        <w:drawing>
          <wp:inline distT="114300" distB="114300" distL="114300" distR="114300" wp14:anchorId="4F175B4D" wp14:editId="4E168206">
            <wp:extent cx="4405313" cy="2568546"/>
            <wp:effectExtent l="0" t="0" r="0" b="0"/>
            <wp:docPr id="14"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1"/>
                    <a:srcRect/>
                    <a:stretch>
                      <a:fillRect/>
                    </a:stretch>
                  </pic:blipFill>
                  <pic:spPr>
                    <a:xfrm>
                      <a:off x="0" y="0"/>
                      <a:ext cx="4405313" cy="2568546"/>
                    </a:xfrm>
                    <a:prstGeom prst="rect">
                      <a:avLst/>
                    </a:prstGeom>
                    <a:ln/>
                  </pic:spPr>
                </pic:pic>
              </a:graphicData>
            </a:graphic>
          </wp:inline>
        </w:drawing>
      </w:r>
      <w:bookmarkStart w:id="15" w:name="_heading=h.azd8io23fgcm" w:colFirst="0" w:colLast="0"/>
      <w:bookmarkEnd w:id="15"/>
    </w:p>
    <w:p w14:paraId="26F39AF6" w14:textId="4D2131E1" w:rsidR="003463D3" w:rsidRPr="00C3615C" w:rsidRDefault="00000000" w:rsidP="00C3615C">
      <w:pPr>
        <w:jc w:val="center"/>
        <w:rPr>
          <w:b/>
          <w:bCs/>
        </w:rPr>
      </w:pPr>
      <w:r w:rsidRPr="00C3615C">
        <w:rPr>
          <w:b/>
          <w:bCs/>
        </w:rPr>
        <w:t>Figure 3: Structure of the dissertation</w:t>
      </w:r>
      <w:r w:rsidRPr="00C3615C">
        <w:rPr>
          <w:b/>
          <w:bCs/>
        </w:rPr>
        <w:br w:type="page"/>
      </w:r>
    </w:p>
    <w:p w14:paraId="6A8C9C17" w14:textId="77777777" w:rsidR="003463D3" w:rsidRDefault="00000000">
      <w:pPr>
        <w:pStyle w:val="Heading1"/>
      </w:pPr>
      <w:bookmarkStart w:id="16" w:name="_Toc219841828"/>
      <w:r>
        <w:lastRenderedPageBreak/>
        <w:t>CHAPTER 2: Background</w:t>
      </w:r>
      <w:bookmarkEnd w:id="16"/>
      <w:r>
        <w:t xml:space="preserve"> </w:t>
      </w:r>
    </w:p>
    <w:p w14:paraId="2F4D1E8F" w14:textId="77777777" w:rsidR="003463D3" w:rsidRDefault="00000000">
      <w:pPr>
        <w:pStyle w:val="Heading2"/>
      </w:pPr>
      <w:bookmarkStart w:id="17" w:name="_Toc219841829"/>
      <w:r>
        <w:t>2.1 Chapter Introduction</w:t>
      </w:r>
      <w:bookmarkEnd w:id="17"/>
    </w:p>
    <w:p w14:paraId="3C9A259F" w14:textId="77777777" w:rsidR="003463D3" w:rsidRDefault="00000000">
      <w:r>
        <w:t xml:space="preserve">The background chapter mainly focuses on evaluating the major issues of staff burnout in the health and social sector. As mentioned by Chen </w:t>
      </w:r>
      <w:r>
        <w:rPr>
          <w:i/>
          <w:iCs/>
        </w:rPr>
        <w:t>et al.</w:t>
      </w:r>
      <w:r>
        <w:t xml:space="preserve"> (2023), staff burnout is a major key issue in the health and social sector that directly impacts the patient experiences and reduces overall work productivity. Moreover, due to a limited workforce, the service provider cannot simplify the work and reduce the effectiveness of patient well-being. This chapter will utilise effective theoretical frameworks that allow to simplify overall topic understanding and developing new key areas of the topic. In addition, burnout also causes higher staff turnover, which directly increases work pressure.</w:t>
      </w:r>
    </w:p>
    <w:p w14:paraId="00A21E28" w14:textId="77777777" w:rsidR="003463D3" w:rsidRDefault="00000000">
      <w:pPr>
        <w:pStyle w:val="Heading2"/>
        <w:rPr>
          <w:i w:val="0"/>
          <w:iCs w:val="0"/>
        </w:rPr>
      </w:pPr>
      <w:bookmarkStart w:id="18" w:name="_Toc219841830"/>
      <w:r>
        <w:t xml:space="preserve">2.2 </w:t>
      </w:r>
      <w:r>
        <w:rPr>
          <w:i w:val="0"/>
          <w:iCs w:val="0"/>
        </w:rPr>
        <w:t>Different causes and prevalence of employee Burnout</w:t>
      </w:r>
      <w:bookmarkEnd w:id="18"/>
    </w:p>
    <w:p w14:paraId="666B8C64" w14:textId="77777777" w:rsidR="003463D3" w:rsidRDefault="00000000">
      <w:r>
        <w:t xml:space="preserve">Staff burnout is an effective issue which is characterised by different chronic physical and emotional complexities because of prolonged work-related stress. As mentioned by </w:t>
      </w:r>
      <w:proofErr w:type="spellStart"/>
      <w:r>
        <w:rPr>
          <w:color w:val="222222"/>
          <w:highlight w:val="white"/>
        </w:rPr>
        <w:t>Udushirinwa</w:t>
      </w:r>
      <w:proofErr w:type="spellEnd"/>
      <w:r>
        <w:rPr>
          <w:color w:val="222222"/>
          <w:highlight w:val="white"/>
        </w:rPr>
        <w:t xml:space="preserve"> </w:t>
      </w:r>
      <w:r>
        <w:rPr>
          <w:i/>
          <w:iCs/>
          <w:color w:val="222222"/>
          <w:highlight w:val="white"/>
        </w:rPr>
        <w:t>et al.</w:t>
      </w:r>
      <w:r>
        <w:rPr>
          <w:color w:val="222222"/>
          <w:highlight w:val="white"/>
        </w:rPr>
        <w:t xml:space="preserve"> (2022),</w:t>
      </w:r>
      <w:r>
        <w:t xml:space="preserve"> huge workloads, especially in high-demand sectors including healthcare has a major impact on disinvolvement and exhaustion. However, feeling powerless and frustrated at work can create complexity, including autonomy as well as control. Based on that, it can be said that under micromanagement and strict organisational structure, employees can feel huge work pressure that reduces overall work productivity. As highlighted by </w:t>
      </w:r>
      <w:r>
        <w:rPr>
          <w:color w:val="222222"/>
          <w:highlight w:val="white"/>
        </w:rPr>
        <w:t>Chang</w:t>
      </w:r>
      <w:r>
        <w:rPr>
          <w:i/>
          <w:iCs/>
          <w:color w:val="222222"/>
          <w:highlight w:val="white"/>
        </w:rPr>
        <w:t xml:space="preserve"> et al.</w:t>
      </w:r>
      <w:r>
        <w:rPr>
          <w:color w:val="222222"/>
          <w:highlight w:val="white"/>
        </w:rPr>
        <w:t xml:space="preserve"> (2024),</w:t>
      </w:r>
      <w:r>
        <w:t xml:space="preserve"> healthcare companies need to understand these key components to enhance staff well-being and productivity. On the contrary, employee morale is also influenced by poor supervision, confusing work roles, less effective communication and lastly less acknowledgement that increases burnout (</w:t>
      </w:r>
      <w:r>
        <w:rPr>
          <w:color w:val="222222"/>
          <w:highlight w:val="white"/>
        </w:rPr>
        <w:t xml:space="preserve">Salama </w:t>
      </w:r>
      <w:r>
        <w:rPr>
          <w:i/>
          <w:iCs/>
          <w:color w:val="222222"/>
          <w:highlight w:val="white"/>
        </w:rPr>
        <w:t>et al</w:t>
      </w:r>
      <w:r>
        <w:rPr>
          <w:color w:val="222222"/>
          <w:highlight w:val="white"/>
        </w:rPr>
        <w:t>., 2025)</w:t>
      </w:r>
      <w:r>
        <w:t xml:space="preserve">. These key factors are made worse by a work ecosystem which supports overwork as well as discourages communication, which also promotes work stress. </w:t>
      </w:r>
    </w:p>
    <w:p w14:paraId="46F5CA72" w14:textId="77777777" w:rsidR="003463D3" w:rsidRDefault="00000000">
      <w:pPr>
        <w:jc w:val="center"/>
      </w:pPr>
      <w:r>
        <w:rPr>
          <w:noProof/>
        </w:rPr>
        <w:drawing>
          <wp:inline distT="114300" distB="114300" distL="114300" distR="114300" wp14:anchorId="5086ECFB" wp14:editId="633E39FD">
            <wp:extent cx="5376863" cy="2098941"/>
            <wp:effectExtent l="0" t="0" r="0" b="0"/>
            <wp:docPr id="13"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2"/>
                    <a:srcRect/>
                    <a:stretch>
                      <a:fillRect/>
                    </a:stretch>
                  </pic:blipFill>
                  <pic:spPr>
                    <a:xfrm>
                      <a:off x="0" y="0"/>
                      <a:ext cx="5376863" cy="2098941"/>
                    </a:xfrm>
                    <a:prstGeom prst="rect">
                      <a:avLst/>
                    </a:prstGeom>
                    <a:ln/>
                  </pic:spPr>
                </pic:pic>
              </a:graphicData>
            </a:graphic>
          </wp:inline>
        </w:drawing>
      </w:r>
    </w:p>
    <w:p w14:paraId="5E644EDB" w14:textId="77777777" w:rsidR="003463D3" w:rsidRDefault="00000000">
      <w:pPr>
        <w:pStyle w:val="Heading4"/>
      </w:pPr>
      <w:bookmarkStart w:id="19" w:name="_heading=h.a8yddo49qdzt" w:colFirst="0" w:colLast="0"/>
      <w:bookmarkEnd w:id="19"/>
      <w:r>
        <w:lastRenderedPageBreak/>
        <w:t>Figure 4: Different key factors impacting staff burnout</w:t>
      </w:r>
    </w:p>
    <w:p w14:paraId="4932006C" w14:textId="77777777" w:rsidR="003463D3" w:rsidRDefault="00000000">
      <w:pPr>
        <w:jc w:val="center"/>
      </w:pPr>
      <w:r>
        <w:t>(Source: Rapisarda et al., 2022)</w:t>
      </w:r>
    </w:p>
    <w:p w14:paraId="1E471969" w14:textId="77777777" w:rsidR="003463D3" w:rsidRDefault="00000000">
      <w:r>
        <w:t xml:space="preserve">Ongoing fatigue can also be caused by the emotional risk of people-oriented jobs. While employers can focus on ongoing emotional labour without significant outcomes, they do not get effective facilities that also increase burnout. Similarly, as discussed by Tripathi </w:t>
      </w:r>
      <w:r>
        <w:rPr>
          <w:i/>
          <w:iCs/>
        </w:rPr>
        <w:t>et al</w:t>
      </w:r>
      <w:r>
        <w:t xml:space="preserve">. (2024), work-life balance is also caused by long hours as well as complex barriers in remote work ecosystems, which make it more difficult to get sufficient rest. This also enhances chronic stress and enhances the risk of huge burnout. </w:t>
      </w:r>
      <w:r>
        <w:rPr>
          <w:color w:val="222222"/>
          <w:highlight w:val="white"/>
        </w:rPr>
        <w:t xml:space="preserve">Kelly </w:t>
      </w:r>
      <w:r>
        <w:rPr>
          <w:i/>
          <w:iCs/>
          <w:color w:val="222222"/>
          <w:highlight w:val="white"/>
        </w:rPr>
        <w:t>et al.</w:t>
      </w:r>
      <w:r>
        <w:rPr>
          <w:color w:val="222222"/>
          <w:highlight w:val="white"/>
        </w:rPr>
        <w:t xml:space="preserve"> (2022) also found that i</w:t>
      </w:r>
      <w:r>
        <w:t xml:space="preserve">n the hospital sector, employee burnout has increased due to less skilled employees and higher work pressure. In addition, different global research highlights that high levels of emotional weakness and disinvolvement across employees can impact productivity. Based on </w:t>
      </w:r>
      <w:r>
        <w:rPr>
          <w:color w:val="222222"/>
          <w:highlight w:val="white"/>
        </w:rPr>
        <w:t xml:space="preserve">Usman </w:t>
      </w:r>
      <w:r>
        <w:rPr>
          <w:i/>
          <w:iCs/>
          <w:color w:val="222222"/>
          <w:highlight w:val="white"/>
        </w:rPr>
        <w:t>et al</w:t>
      </w:r>
      <w:r>
        <w:rPr>
          <w:color w:val="222222"/>
          <w:highlight w:val="white"/>
        </w:rPr>
        <w:t>. (2023) research, t</w:t>
      </w:r>
      <w:r>
        <w:t>hese issues were made worse by the Covid-19 that reduced access to support while enhancing workload and job uncertainty. Based on the above evaluation, it can be concluded that economic stress and job uncertainty are the two important causes for increased staff burnout in the hospital sector. Huge work pressure, less effective management and insufficient support can influence the work productivity, which also increases staff burnout. In the end, these key areas can promote staff burnout in the health and social care sector to fulfil patient demands.</w:t>
      </w:r>
    </w:p>
    <w:p w14:paraId="28A69362" w14:textId="77777777" w:rsidR="003463D3" w:rsidRDefault="00000000">
      <w:pPr>
        <w:pStyle w:val="Heading2"/>
        <w:rPr>
          <w:i w:val="0"/>
          <w:iCs w:val="0"/>
        </w:rPr>
      </w:pPr>
      <w:bookmarkStart w:id="20" w:name="_Toc219841831"/>
      <w:r>
        <w:t xml:space="preserve">2.3 </w:t>
      </w:r>
      <w:r>
        <w:rPr>
          <w:i w:val="0"/>
          <w:iCs w:val="0"/>
        </w:rPr>
        <w:t>Impact of staff burnout on quality, safety, and continuity of effective care delivery</w:t>
      </w:r>
      <w:bookmarkEnd w:id="20"/>
    </w:p>
    <w:p w14:paraId="1970DFF6" w14:textId="77777777" w:rsidR="003463D3" w:rsidRDefault="00000000">
      <w:r>
        <w:t xml:space="preserve">The quality and safety of services in the health and social care industry are highly impacted by staff burnout. Although as mentioned by </w:t>
      </w:r>
      <w:proofErr w:type="spellStart"/>
      <w:r>
        <w:rPr>
          <w:color w:val="222222"/>
          <w:sz w:val="20"/>
          <w:szCs w:val="20"/>
          <w:highlight w:val="white"/>
        </w:rPr>
        <w:t>Corbeanu</w:t>
      </w:r>
      <w:proofErr w:type="spellEnd"/>
      <w:r>
        <w:rPr>
          <w:i/>
          <w:iCs/>
          <w:color w:val="222222"/>
          <w:sz w:val="20"/>
          <w:szCs w:val="20"/>
          <w:highlight w:val="white"/>
        </w:rPr>
        <w:t xml:space="preserve"> et al.</w:t>
      </w:r>
      <w:r>
        <w:rPr>
          <w:color w:val="222222"/>
          <w:sz w:val="20"/>
          <w:szCs w:val="20"/>
          <w:highlight w:val="white"/>
        </w:rPr>
        <w:t xml:space="preserve"> (2023), </w:t>
      </w:r>
      <w:r>
        <w:t xml:space="preserve">burnout is characterised by emotional sadness, depersonalisation, and reduced professional success, that impact on the staff’s overall work productivity. Staff burnout is also aligned with limited demand, emphasis, and empathy that mainly focus on task-oriented behaviour. These behaviours also disregard effective alignment with patients. On the contrary, </w:t>
      </w:r>
      <w:r>
        <w:rPr>
          <w:color w:val="222222"/>
          <w:highlight w:val="white"/>
        </w:rPr>
        <w:t xml:space="preserve">Lyhne </w:t>
      </w:r>
      <w:r>
        <w:rPr>
          <w:i/>
          <w:iCs/>
          <w:color w:val="222222"/>
          <w:highlight w:val="white"/>
        </w:rPr>
        <w:t>et al.</w:t>
      </w:r>
      <w:r>
        <w:rPr>
          <w:color w:val="222222"/>
          <w:highlight w:val="white"/>
        </w:rPr>
        <w:t xml:space="preserve"> (2022) also found that </w:t>
      </w:r>
      <w:r>
        <w:t xml:space="preserve">delays, less effective communication and reduced care are also based on person-centred care. These person-centred cares also help to promote service quality by understanding the therapeutic collaboration and patient experiences. As found by </w:t>
      </w:r>
      <w:r>
        <w:rPr>
          <w:color w:val="222222"/>
          <w:highlight w:val="white"/>
        </w:rPr>
        <w:t xml:space="preserve">Aremu </w:t>
      </w:r>
      <w:r>
        <w:rPr>
          <w:i/>
          <w:iCs/>
          <w:color w:val="222222"/>
          <w:highlight w:val="white"/>
        </w:rPr>
        <w:t>et al</w:t>
      </w:r>
      <w:r>
        <w:rPr>
          <w:color w:val="222222"/>
          <w:highlight w:val="white"/>
        </w:rPr>
        <w:t>. (2025), b</w:t>
      </w:r>
      <w:r>
        <w:t xml:space="preserve">urnout across healthcare staff showcases important risks to patient safety by adopting clinical norms and effective decision-making. These key areas also promote human errors and adverse events. However, it can cause medication errors, miss symptoms, and conduct different failures that also create complexity in the treatment process. As highlighted by </w:t>
      </w:r>
      <w:r>
        <w:rPr>
          <w:color w:val="222222"/>
          <w:highlight w:val="white"/>
        </w:rPr>
        <w:t xml:space="preserve">Shinde </w:t>
      </w:r>
      <w:r>
        <w:rPr>
          <w:i/>
          <w:iCs/>
          <w:color w:val="222222"/>
          <w:highlight w:val="white"/>
        </w:rPr>
        <w:t>et al.</w:t>
      </w:r>
      <w:r>
        <w:rPr>
          <w:color w:val="222222"/>
          <w:highlight w:val="white"/>
        </w:rPr>
        <w:t xml:space="preserve"> (2025), e</w:t>
      </w:r>
      <w:r>
        <w:t xml:space="preserve">nhanced turnovers and absences also carry burnout, interrupt regular care, causing divided services as well as inconsistent patient care. Based on that it can be said that this patient care </w:t>
      </w:r>
      <w:r>
        <w:lastRenderedPageBreak/>
        <w:t xml:space="preserve">also reduces trust and customised care, which mainly focuses on the alignment of employee well-being and effective care delivery. </w:t>
      </w:r>
    </w:p>
    <w:p w14:paraId="1A4C8D2D" w14:textId="77777777" w:rsidR="003463D3" w:rsidRDefault="00000000">
      <w:pPr>
        <w:jc w:val="center"/>
      </w:pPr>
      <w:r>
        <w:rPr>
          <w:noProof/>
        </w:rPr>
        <w:drawing>
          <wp:inline distT="114300" distB="114300" distL="114300" distR="114300" wp14:anchorId="654392D3" wp14:editId="6C64826A">
            <wp:extent cx="4271963" cy="2760454"/>
            <wp:effectExtent l="0" t="0" r="0" b="0"/>
            <wp:docPr id="16"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3"/>
                    <a:srcRect b="10160"/>
                    <a:stretch>
                      <a:fillRect/>
                    </a:stretch>
                  </pic:blipFill>
                  <pic:spPr>
                    <a:xfrm>
                      <a:off x="0" y="0"/>
                      <a:ext cx="4271963" cy="2760454"/>
                    </a:xfrm>
                    <a:prstGeom prst="rect">
                      <a:avLst/>
                    </a:prstGeom>
                    <a:ln/>
                  </pic:spPr>
                </pic:pic>
              </a:graphicData>
            </a:graphic>
          </wp:inline>
        </w:drawing>
      </w:r>
    </w:p>
    <w:p w14:paraId="05D0C2A8" w14:textId="77777777" w:rsidR="003463D3" w:rsidRDefault="00000000">
      <w:pPr>
        <w:pStyle w:val="Heading4"/>
      </w:pPr>
      <w:bookmarkStart w:id="21" w:name="_heading=h.2y7asov1minu" w:colFirst="0" w:colLast="0"/>
      <w:bookmarkEnd w:id="21"/>
      <w:r>
        <w:t>Figure 5: Global perspectives of effective care delivery</w:t>
      </w:r>
    </w:p>
    <w:p w14:paraId="34C84933" w14:textId="77777777" w:rsidR="003463D3" w:rsidRDefault="00000000">
      <w:pPr>
        <w:jc w:val="center"/>
      </w:pPr>
      <w:r>
        <w:t>(Source: Anders et al., 2025)</w:t>
      </w:r>
    </w:p>
    <w:p w14:paraId="02ACFCC7" w14:textId="77777777" w:rsidR="003463D3" w:rsidRDefault="00000000">
      <w:r>
        <w:t xml:space="preserve">The quality, safety, and regularity of care delivery are highly impacted by staff burnout. As discussed by </w:t>
      </w:r>
      <w:r>
        <w:rPr>
          <w:color w:val="222222"/>
          <w:highlight w:val="white"/>
        </w:rPr>
        <w:t xml:space="preserve">Johnson </w:t>
      </w:r>
      <w:r>
        <w:rPr>
          <w:i/>
          <w:iCs/>
          <w:color w:val="222222"/>
          <w:highlight w:val="white"/>
        </w:rPr>
        <w:t>et al.</w:t>
      </w:r>
      <w:r>
        <w:rPr>
          <w:color w:val="222222"/>
          <w:highlight w:val="white"/>
        </w:rPr>
        <w:t xml:space="preserve"> (2024),</w:t>
      </w:r>
      <w:r>
        <w:t xml:space="preserve"> staff burnout is also aligned with less care effectiveness and increases the chance of errors. This complexity is also enhanced by reliance on temporary employees, who cannot be familiar with effective team dynamics and the overall process. On the contrary, </w:t>
      </w:r>
      <w:proofErr w:type="spellStart"/>
      <w:r>
        <w:rPr>
          <w:color w:val="222222"/>
          <w:highlight w:val="white"/>
        </w:rPr>
        <w:t>Atinga</w:t>
      </w:r>
      <w:proofErr w:type="spellEnd"/>
      <w:r>
        <w:rPr>
          <w:color w:val="222222"/>
          <w:highlight w:val="white"/>
        </w:rPr>
        <w:t xml:space="preserve"> </w:t>
      </w:r>
      <w:r>
        <w:rPr>
          <w:i/>
          <w:iCs/>
          <w:color w:val="222222"/>
          <w:highlight w:val="white"/>
        </w:rPr>
        <w:t>et al.</w:t>
      </w:r>
      <w:r>
        <w:rPr>
          <w:color w:val="222222"/>
          <w:highlight w:val="white"/>
        </w:rPr>
        <w:t xml:space="preserve"> (2024) also found that </w:t>
      </w:r>
      <w:r>
        <w:t>teamwork and effective communication are reduced by burnout. This causes miscommunication and a care gap. Based on the evaluation, it can be said that stress is enhanced by decreasing working situations. Organisations need to manage staff burnout by focusing on effective leadership, sufficient staffing and most important effective working approach. However, staff burnout also causes complexity in improving work productivity in the health and social care sector.</w:t>
      </w:r>
    </w:p>
    <w:p w14:paraId="416A0A34" w14:textId="77777777" w:rsidR="003463D3" w:rsidRDefault="00000000">
      <w:pPr>
        <w:pStyle w:val="Heading2"/>
        <w:rPr>
          <w:i w:val="0"/>
          <w:iCs w:val="0"/>
        </w:rPr>
      </w:pPr>
      <w:bookmarkStart w:id="22" w:name="_Toc219841832"/>
      <w:r>
        <w:t xml:space="preserve">2.4 </w:t>
      </w:r>
      <w:r>
        <w:rPr>
          <w:i w:val="0"/>
          <w:iCs w:val="0"/>
        </w:rPr>
        <w:t>Connection between burnout, employee performance, and workforce retention</w:t>
      </w:r>
      <w:bookmarkEnd w:id="22"/>
    </w:p>
    <w:p w14:paraId="1C16314E" w14:textId="77777777" w:rsidR="003463D3" w:rsidRDefault="00000000">
      <w:r>
        <w:t xml:space="preserve">Employee performance and retention are highly impacted by burnout, especially in the healthcare sector. As mentioned by </w:t>
      </w:r>
      <w:proofErr w:type="spellStart"/>
      <w:r>
        <w:rPr>
          <w:color w:val="222222"/>
          <w:highlight w:val="white"/>
        </w:rPr>
        <w:t>Danauskė</w:t>
      </w:r>
      <w:proofErr w:type="spellEnd"/>
      <w:r>
        <w:rPr>
          <w:color w:val="222222"/>
          <w:highlight w:val="white"/>
        </w:rPr>
        <w:t xml:space="preserve"> </w:t>
      </w:r>
      <w:r>
        <w:rPr>
          <w:i/>
          <w:iCs/>
          <w:color w:val="222222"/>
          <w:highlight w:val="white"/>
        </w:rPr>
        <w:t>et al</w:t>
      </w:r>
      <w:r>
        <w:rPr>
          <w:color w:val="222222"/>
          <w:highlight w:val="white"/>
        </w:rPr>
        <w:t>. (2023), s</w:t>
      </w:r>
      <w:r>
        <w:t xml:space="preserve">taff burnout is also characterised by emotional exhaustion that causes work-related stress. However, these cognitive elements can make core complexity to address the issues and pay attention to different information. This also promotes less errors and reduced outputs. On the contrary, Yue </w:t>
      </w:r>
      <w:r>
        <w:rPr>
          <w:i/>
          <w:iCs/>
        </w:rPr>
        <w:t>et al.</w:t>
      </w:r>
      <w:r>
        <w:t xml:space="preserve"> (2023) also found that burnout also decreases empathy and effective communication in jobs. Based on that, it can be evaluated that emotional involvement can impact the connections and service </w:t>
      </w:r>
      <w:r>
        <w:lastRenderedPageBreak/>
        <w:t xml:space="preserve">quality. Employees might become critical, that would further highlight their work productivity and focus on improving the overall activity in a limited workforce. In addition to having an effective impact on task performance, burnout causes complexity in addressing work issues. Gelencsér </w:t>
      </w:r>
      <w:r>
        <w:rPr>
          <w:i/>
          <w:iCs/>
        </w:rPr>
        <w:t xml:space="preserve">et al. </w:t>
      </w:r>
      <w:r>
        <w:t xml:space="preserve">(2023) also highlight that due to job discontent, fewer plans to leave it has a huge impact on employee retention. Similarly, chronically stressed employers might focus on other employment, which increases the emerging cost and causes less knowledge. As mentioned by </w:t>
      </w:r>
      <w:r>
        <w:rPr>
          <w:color w:val="222222"/>
          <w:highlight w:val="white"/>
        </w:rPr>
        <w:t xml:space="preserve">Zhang </w:t>
      </w:r>
      <w:r>
        <w:rPr>
          <w:i/>
          <w:iCs/>
          <w:color w:val="222222"/>
          <w:highlight w:val="white"/>
        </w:rPr>
        <w:t>et al.</w:t>
      </w:r>
      <w:r>
        <w:rPr>
          <w:color w:val="222222"/>
          <w:highlight w:val="white"/>
        </w:rPr>
        <w:t xml:space="preserve"> (2022), b</w:t>
      </w:r>
      <w:r>
        <w:t xml:space="preserve">y decreasing job satisfaction and addressing injustices, burnout also helps to remove psychological attachment to the company. This also helps to promote disinvolvement and enhance turnover rates. On the contrary, </w:t>
      </w:r>
      <w:r>
        <w:rPr>
          <w:color w:val="222222"/>
          <w:highlight w:val="white"/>
        </w:rPr>
        <w:t xml:space="preserve">Shinde </w:t>
      </w:r>
      <w:r>
        <w:rPr>
          <w:i/>
          <w:iCs/>
          <w:color w:val="222222"/>
          <w:highlight w:val="white"/>
        </w:rPr>
        <w:t>et al.</w:t>
      </w:r>
      <w:r>
        <w:rPr>
          <w:color w:val="222222"/>
          <w:highlight w:val="white"/>
        </w:rPr>
        <w:t xml:space="preserve"> (2025) also evaluate that e</w:t>
      </w:r>
      <w:r>
        <w:t>mployee performance and retention are highly impacted by burnout, which builds an endless cycle in which less performance enhances attrition. This also helps to enhance workloads for the remaining staff. Organisations need to utilise an effective approach, including effective workload, supporting leadership and professional growth to prevent burnout (</w:t>
      </w:r>
      <w:proofErr w:type="spellStart"/>
      <w:r>
        <w:rPr>
          <w:color w:val="222222"/>
          <w:highlight w:val="white"/>
        </w:rPr>
        <w:t>Idrus</w:t>
      </w:r>
      <w:proofErr w:type="spellEnd"/>
      <w:r>
        <w:rPr>
          <w:color w:val="222222"/>
          <w:highlight w:val="white"/>
        </w:rPr>
        <w:t xml:space="preserve"> </w:t>
      </w:r>
      <w:r>
        <w:rPr>
          <w:i/>
          <w:iCs/>
          <w:color w:val="222222"/>
          <w:highlight w:val="white"/>
        </w:rPr>
        <w:t>et al</w:t>
      </w:r>
      <w:r>
        <w:rPr>
          <w:color w:val="222222"/>
          <w:highlight w:val="white"/>
        </w:rPr>
        <w:t>., 2023)</w:t>
      </w:r>
      <w:r>
        <w:t>. Based on the previous evaluation, increasing involvement is also promoting an effective culture as well as work-life balance. In the end, it can be concluded that managing burnout is important for retaining a high-performing workforce as well as the well-being of employees.</w:t>
      </w:r>
    </w:p>
    <w:p w14:paraId="1A6E4199" w14:textId="77777777" w:rsidR="003463D3" w:rsidRDefault="00000000">
      <w:pPr>
        <w:jc w:val="center"/>
      </w:pPr>
      <w:r>
        <w:rPr>
          <w:noProof/>
        </w:rPr>
        <w:drawing>
          <wp:inline distT="114300" distB="114300" distL="114300" distR="114300" wp14:anchorId="66EC0D93" wp14:editId="08D19DFE">
            <wp:extent cx="3743325" cy="3343275"/>
            <wp:effectExtent l="0" t="0" r="0" b="0"/>
            <wp:docPr id="15"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4"/>
                    <a:srcRect l="16111" r="18604"/>
                    <a:stretch>
                      <a:fillRect/>
                    </a:stretch>
                  </pic:blipFill>
                  <pic:spPr>
                    <a:xfrm>
                      <a:off x="0" y="0"/>
                      <a:ext cx="3743325" cy="3343275"/>
                    </a:xfrm>
                    <a:prstGeom prst="rect">
                      <a:avLst/>
                    </a:prstGeom>
                    <a:ln/>
                  </pic:spPr>
                </pic:pic>
              </a:graphicData>
            </a:graphic>
          </wp:inline>
        </w:drawing>
      </w:r>
    </w:p>
    <w:p w14:paraId="12D75045" w14:textId="77777777" w:rsidR="003463D3" w:rsidRDefault="00000000">
      <w:pPr>
        <w:pStyle w:val="Heading4"/>
      </w:pPr>
      <w:bookmarkStart w:id="23" w:name="_heading=h.in77oi51bv31" w:colFirst="0" w:colLast="0"/>
      <w:bookmarkEnd w:id="23"/>
      <w:r>
        <w:lastRenderedPageBreak/>
        <w:t>Figure 6: Relationship between burnout, employee performance, and workforce retention in the health and social sector</w:t>
      </w:r>
    </w:p>
    <w:p w14:paraId="692F17B1" w14:textId="77777777" w:rsidR="003463D3" w:rsidRDefault="00000000">
      <w:pPr>
        <w:pStyle w:val="Heading2"/>
        <w:rPr>
          <w:i w:val="0"/>
          <w:iCs w:val="0"/>
        </w:rPr>
      </w:pPr>
      <w:bookmarkStart w:id="24" w:name="_Toc219841833"/>
      <w:r>
        <w:t xml:space="preserve">2.5 </w:t>
      </w:r>
      <w:r>
        <w:rPr>
          <w:i w:val="0"/>
          <w:iCs w:val="0"/>
        </w:rPr>
        <w:t>Effective organisational approaches to decrease burnout and enhance care quality</w:t>
      </w:r>
      <w:bookmarkEnd w:id="24"/>
    </w:p>
    <w:p w14:paraId="4EACDD15" w14:textId="77777777" w:rsidR="003463D3" w:rsidRDefault="00000000">
      <w:r>
        <w:t xml:space="preserve">Burnout includes emotional weariness, personal success and loss of identity, which is a major issue in the high-pressure in the healthcare sector. As mentioned by Lu </w:t>
      </w:r>
      <w:r>
        <w:rPr>
          <w:i/>
          <w:iCs/>
        </w:rPr>
        <w:t>et al.</w:t>
      </w:r>
      <w:r>
        <w:t xml:space="preserve"> (2022), it has a negative influence on overall care quality, organisational performance, and staff well-being, which plays an important role in staff burnout. Moreover, companies need to adopt system-level methods rather than individual-focused solutions to address burnout. Due to structural and cultural workplace elements, which have an important role in reducing overall healthcare sector work activity. On the contrary, </w:t>
      </w:r>
      <w:r>
        <w:rPr>
          <w:color w:val="222222"/>
          <w:highlight w:val="white"/>
        </w:rPr>
        <w:t xml:space="preserve">Hilmi </w:t>
      </w:r>
      <w:r>
        <w:rPr>
          <w:i/>
          <w:iCs/>
          <w:color w:val="222222"/>
          <w:highlight w:val="white"/>
        </w:rPr>
        <w:t>et al.</w:t>
      </w:r>
      <w:r>
        <w:rPr>
          <w:color w:val="222222"/>
          <w:highlight w:val="white"/>
        </w:rPr>
        <w:t xml:space="preserve"> (2024) also highlight that </w:t>
      </w:r>
      <w:r>
        <w:t xml:space="preserve">optimising workload and job design is important, which includes reducing cognitive overload and addressing excessive workload, staff shortages, and time constraints, with the help of suitable personnel, effective scheduling, and the addition of support roles. Based on these outcomes, support for effective decision-making and better patient results can be achieved by enhancing staff autonomy and productivity. As highlighted by </w:t>
      </w:r>
      <w:r>
        <w:rPr>
          <w:color w:val="222222"/>
          <w:sz w:val="20"/>
          <w:szCs w:val="20"/>
          <w:highlight w:val="white"/>
        </w:rPr>
        <w:t xml:space="preserve">Pereira </w:t>
      </w:r>
      <w:r>
        <w:rPr>
          <w:i/>
          <w:iCs/>
          <w:color w:val="222222"/>
          <w:sz w:val="20"/>
          <w:szCs w:val="20"/>
          <w:highlight w:val="white"/>
        </w:rPr>
        <w:t>et al</w:t>
      </w:r>
      <w:r>
        <w:rPr>
          <w:color w:val="222222"/>
          <w:sz w:val="20"/>
          <w:szCs w:val="20"/>
          <w:highlight w:val="white"/>
        </w:rPr>
        <w:t>. (2022), d</w:t>
      </w:r>
      <w:r>
        <w:t xml:space="preserve">ecreasing burnout and enhancing service quality by developing a secure and motivating work environment. </w:t>
      </w:r>
    </w:p>
    <w:p w14:paraId="58AA4B2A" w14:textId="77777777" w:rsidR="003463D3" w:rsidRDefault="00000000">
      <w:r>
        <w:t xml:space="preserve">Similarly, organisational culture also promotes effective communication and respect allows employees to express risk as well as complexity, while decreasing the overall emotional strain. Based on that, decreasing burnout as well as enhancing patient experiences are aligned with effective leadership styles. As stated by </w:t>
      </w:r>
      <w:proofErr w:type="spellStart"/>
      <w:r>
        <w:rPr>
          <w:color w:val="222222"/>
          <w:highlight w:val="white"/>
        </w:rPr>
        <w:t>Egitim</w:t>
      </w:r>
      <w:proofErr w:type="spellEnd"/>
      <w:r>
        <w:rPr>
          <w:color w:val="222222"/>
          <w:highlight w:val="white"/>
        </w:rPr>
        <w:t xml:space="preserve"> </w:t>
      </w:r>
      <w:r>
        <w:rPr>
          <w:i/>
          <w:iCs/>
          <w:color w:val="222222"/>
          <w:highlight w:val="white"/>
        </w:rPr>
        <w:t>et al.</w:t>
      </w:r>
      <w:r>
        <w:rPr>
          <w:color w:val="222222"/>
          <w:highlight w:val="white"/>
        </w:rPr>
        <w:t xml:space="preserve"> (2022), t</w:t>
      </w:r>
      <w:r>
        <w:t>his leadership helps to develop an effective approach to reduce work pressure. Moreover, focusing on employee health involves employees in decision-making and placing a huge focus on emotional intelligence. Based on staff burnout’s evaluation, promoting work-life balance via flexible work schedules reduces turnover and weariness. These also influence enhancing patient care and service delivery (</w:t>
      </w:r>
      <w:r>
        <w:rPr>
          <w:color w:val="222222"/>
          <w:highlight w:val="white"/>
        </w:rPr>
        <w:t xml:space="preserve">Hogg </w:t>
      </w:r>
      <w:r>
        <w:rPr>
          <w:i/>
          <w:iCs/>
          <w:color w:val="222222"/>
          <w:highlight w:val="white"/>
        </w:rPr>
        <w:t>et al.,</w:t>
      </w:r>
      <w:r>
        <w:rPr>
          <w:color w:val="222222"/>
          <w:highlight w:val="white"/>
        </w:rPr>
        <w:t xml:space="preserve"> 2023)</w:t>
      </w:r>
      <w:r>
        <w:t>. Similarly, improving staff involvement and managing care delivery based on reducing discussion about mental health and reducing the stigma. However, companies can discover issues and demonstrate their dedication to staff well-being and care quality by adopting staff surveys and feedback systems for ongoing quality development.</w:t>
      </w:r>
    </w:p>
    <w:p w14:paraId="1812709D" w14:textId="77777777" w:rsidR="003463D3" w:rsidRDefault="00000000">
      <w:pPr>
        <w:pStyle w:val="Heading2"/>
      </w:pPr>
      <w:bookmarkStart w:id="25" w:name="_Toc219841834"/>
      <w:r>
        <w:t>2.6 Theoretical framework</w:t>
      </w:r>
      <w:bookmarkEnd w:id="25"/>
    </w:p>
    <w:p w14:paraId="1676EF29" w14:textId="77777777" w:rsidR="003463D3" w:rsidRDefault="00000000">
      <w:pPr>
        <w:rPr>
          <w:b/>
          <w:bCs/>
          <w:sz w:val="24"/>
          <w:szCs w:val="24"/>
        </w:rPr>
      </w:pPr>
      <w:r>
        <w:rPr>
          <w:b/>
          <w:bCs/>
          <w:sz w:val="24"/>
          <w:szCs w:val="24"/>
        </w:rPr>
        <w:t>Job Demands-Resources Model</w:t>
      </w:r>
    </w:p>
    <w:p w14:paraId="6BC1AD3E" w14:textId="77777777" w:rsidR="003463D3" w:rsidRDefault="00000000">
      <w:r>
        <w:t>The Job Demands-Resources model is an effective framework that refers to assessing employees’ key areas and supporting their well-being (</w:t>
      </w:r>
      <w:r>
        <w:rPr>
          <w:color w:val="222222"/>
          <w:highlight w:val="white"/>
        </w:rPr>
        <w:t xml:space="preserve">Demerouti </w:t>
      </w:r>
      <w:r>
        <w:rPr>
          <w:i/>
          <w:iCs/>
          <w:color w:val="222222"/>
          <w:highlight w:val="white"/>
        </w:rPr>
        <w:t>et al</w:t>
      </w:r>
      <w:r>
        <w:rPr>
          <w:color w:val="222222"/>
          <w:highlight w:val="white"/>
        </w:rPr>
        <w:t>., 2023)</w:t>
      </w:r>
      <w:r>
        <w:t xml:space="preserve">. In the staff burnout context, this JD-R model mainly focuses on evaluating employee burnout and its impact on service quality. Although as mentioned by </w:t>
      </w:r>
      <w:proofErr w:type="spellStart"/>
      <w:r>
        <w:rPr>
          <w:color w:val="222222"/>
          <w:highlight w:val="white"/>
        </w:rPr>
        <w:t>Popucza</w:t>
      </w:r>
      <w:proofErr w:type="spellEnd"/>
      <w:r>
        <w:rPr>
          <w:color w:val="222222"/>
          <w:highlight w:val="white"/>
        </w:rPr>
        <w:t xml:space="preserve"> </w:t>
      </w:r>
      <w:r>
        <w:rPr>
          <w:i/>
          <w:iCs/>
          <w:color w:val="222222"/>
          <w:highlight w:val="white"/>
        </w:rPr>
        <w:t>et al</w:t>
      </w:r>
      <w:r>
        <w:rPr>
          <w:color w:val="222222"/>
          <w:highlight w:val="white"/>
        </w:rPr>
        <w:t xml:space="preserve">. (2025), </w:t>
      </w:r>
      <w:r>
        <w:t xml:space="preserve">employment is </w:t>
      </w:r>
      <w:r>
        <w:lastRenderedPageBreak/>
        <w:t>fully based on effective workloads and emotional labour that help to understand different key areas of the UK health and social care sector. Enhancing workplace resources, including professional improvement and leadership support, can decrease burnout and improve the norms of services. However, to improve employees’ well-being and build a high-quality workplace that supports effective work.</w:t>
      </w:r>
    </w:p>
    <w:p w14:paraId="002009F4" w14:textId="77777777" w:rsidR="003463D3" w:rsidRDefault="00000000">
      <w:pPr>
        <w:jc w:val="center"/>
      </w:pPr>
      <w:r>
        <w:rPr>
          <w:noProof/>
        </w:rPr>
        <w:drawing>
          <wp:inline distT="114300" distB="114300" distL="114300" distR="114300" wp14:anchorId="6CA6C7BA" wp14:editId="55491C16">
            <wp:extent cx="4652963" cy="1576751"/>
            <wp:effectExtent l="0" t="0" r="0" b="0"/>
            <wp:docPr id="18"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5"/>
                    <a:srcRect/>
                    <a:stretch>
                      <a:fillRect/>
                    </a:stretch>
                  </pic:blipFill>
                  <pic:spPr>
                    <a:xfrm>
                      <a:off x="0" y="0"/>
                      <a:ext cx="4652963" cy="1576751"/>
                    </a:xfrm>
                    <a:prstGeom prst="rect">
                      <a:avLst/>
                    </a:prstGeom>
                    <a:ln/>
                  </pic:spPr>
                </pic:pic>
              </a:graphicData>
            </a:graphic>
          </wp:inline>
        </w:drawing>
      </w:r>
    </w:p>
    <w:p w14:paraId="682A94CE" w14:textId="77777777" w:rsidR="003463D3" w:rsidRDefault="00000000">
      <w:pPr>
        <w:pStyle w:val="Heading4"/>
      </w:pPr>
      <w:bookmarkStart w:id="26" w:name="_heading=h.628typgvhdf9" w:colFirst="0" w:colLast="0"/>
      <w:bookmarkEnd w:id="26"/>
      <w:r>
        <w:t>Figure 7: Important key components of the Job Demands-Resources Model</w:t>
      </w:r>
    </w:p>
    <w:p w14:paraId="449B8166" w14:textId="77777777" w:rsidR="003463D3" w:rsidRDefault="00000000">
      <w:pPr>
        <w:jc w:val="center"/>
      </w:pPr>
      <w:r>
        <w:t>(Source: Selim et al., 2022)</w:t>
      </w:r>
    </w:p>
    <w:p w14:paraId="1CBFF0C3" w14:textId="77777777" w:rsidR="003463D3" w:rsidRDefault="00000000">
      <w:pPr>
        <w:rPr>
          <w:b/>
          <w:bCs/>
          <w:sz w:val="24"/>
          <w:szCs w:val="24"/>
        </w:rPr>
      </w:pPr>
      <w:r>
        <w:rPr>
          <w:b/>
          <w:bCs/>
          <w:sz w:val="24"/>
          <w:szCs w:val="24"/>
        </w:rPr>
        <w:t>Maslach Burnout Theory</w:t>
      </w:r>
    </w:p>
    <w:p w14:paraId="0A841FFE" w14:textId="77777777" w:rsidR="003463D3" w:rsidRDefault="00000000">
      <w:r>
        <w:t>Maslach’s Burnout Theory is an effective framework that evaluates employee burnout, that categories into different areas, including emotional exhaustion, personal accomplishment and depersonalisation (</w:t>
      </w:r>
      <w:r>
        <w:rPr>
          <w:color w:val="222222"/>
          <w:highlight w:val="white"/>
        </w:rPr>
        <w:t xml:space="preserve">Hu </w:t>
      </w:r>
      <w:r>
        <w:rPr>
          <w:i/>
          <w:iCs/>
          <w:color w:val="222222"/>
          <w:highlight w:val="white"/>
        </w:rPr>
        <w:t>et al.</w:t>
      </w:r>
      <w:r>
        <w:rPr>
          <w:color w:val="222222"/>
          <w:highlight w:val="white"/>
        </w:rPr>
        <w:t>, 2025)</w:t>
      </w:r>
      <w:r>
        <w:t xml:space="preserve">. Moreover, decreases in personal success are also impacted by motivation as well as job satisfaction. The concept also focuses on the demand for business norms to enhance employers’ well-being and care quality in the sector, including workload management and supportive leadership. </w:t>
      </w:r>
    </w:p>
    <w:p w14:paraId="09CBFAC4" w14:textId="77777777" w:rsidR="003463D3" w:rsidRDefault="00000000">
      <w:pPr>
        <w:pStyle w:val="Heading2"/>
      </w:pPr>
      <w:bookmarkStart w:id="27" w:name="_Toc219841835"/>
      <w:r>
        <w:t>2.7 Literature Gap</w:t>
      </w:r>
      <w:bookmarkEnd w:id="27"/>
    </w:p>
    <w:p w14:paraId="715FDA1C" w14:textId="77777777" w:rsidR="003463D3" w:rsidRDefault="00000000">
      <w:r>
        <w:t>The evaluation of staff burnout and its influence on care quality in the UK health and social care sector in the literature gaps. Due to systemic organisational factors and longitudinal results have not been aligned. There is limited research that focuses on causal pathways across time, especially while it comes to effective workforce reforms and policy shifts. On the contrary, maximum study focuses on burnout to reduce care quality in the global context, which sometimes creates difficulties in understanding effective key areas of the UK context (</w:t>
      </w:r>
      <w:r>
        <w:rPr>
          <w:color w:val="222222"/>
          <w:highlight w:val="white"/>
        </w:rPr>
        <w:t xml:space="preserve">Hogg </w:t>
      </w:r>
      <w:r>
        <w:rPr>
          <w:i/>
          <w:iCs/>
          <w:color w:val="222222"/>
          <w:highlight w:val="white"/>
        </w:rPr>
        <w:t>et al.,</w:t>
      </w:r>
      <w:r>
        <w:rPr>
          <w:color w:val="222222"/>
          <w:highlight w:val="white"/>
        </w:rPr>
        <w:t xml:space="preserve"> 2023 and Shinde </w:t>
      </w:r>
      <w:r>
        <w:rPr>
          <w:i/>
          <w:iCs/>
          <w:color w:val="222222"/>
          <w:highlight w:val="white"/>
        </w:rPr>
        <w:t>et al.,</w:t>
      </w:r>
      <w:r>
        <w:rPr>
          <w:color w:val="222222"/>
          <w:highlight w:val="white"/>
        </w:rPr>
        <w:t xml:space="preserve"> 2025)</w:t>
      </w:r>
      <w:r>
        <w:t>. Moreover, evidence-based recommendations for decreasing overall burnout and enhancing the care quality in an effective and sustainable manner that also impact on the limited research on the effectiveness of organisational interventions.</w:t>
      </w:r>
    </w:p>
    <w:p w14:paraId="053F6B1F" w14:textId="77777777" w:rsidR="003463D3" w:rsidRDefault="00000000">
      <w:pPr>
        <w:pStyle w:val="Heading2"/>
      </w:pPr>
      <w:bookmarkStart w:id="28" w:name="_Toc219841836"/>
      <w:r>
        <w:t>2.8 Chapter Summary</w:t>
      </w:r>
      <w:bookmarkEnd w:id="28"/>
    </w:p>
    <w:p w14:paraId="6CFD3CFB" w14:textId="77777777" w:rsidR="003463D3" w:rsidRDefault="00000000">
      <w:r>
        <w:t xml:space="preserve">Summing up, the heavy workload, personnel shortages, emotional strains and ineffective support are significant key issues in the UK health and social care sector. This chapter mainly </w:t>
      </w:r>
      <w:r>
        <w:lastRenderedPageBreak/>
        <w:t>focuses on evaluating different study objectives to discover new areas of staff burnout in the health and social care sector. With the help of the JD-R model and Maslach Burnout Theory, it was easier to align the study objectives with the purpose of the study. This chapter also provides different gaps that influence the overall investigation process.</w:t>
      </w:r>
    </w:p>
    <w:p w14:paraId="4A195647" w14:textId="6FAA0C3B" w:rsidR="003463D3" w:rsidRDefault="003463D3">
      <w:pPr>
        <w:pStyle w:val="Heading1"/>
        <w:rPr>
          <w:sz w:val="32"/>
          <w:szCs w:val="32"/>
        </w:rPr>
      </w:pPr>
      <w:bookmarkStart w:id="29" w:name="_heading=h.gbahi2who7yn" w:colFirst="0" w:colLast="0"/>
      <w:bookmarkEnd w:id="29"/>
    </w:p>
    <w:p w14:paraId="57899223" w14:textId="77777777" w:rsidR="00C3615C" w:rsidRDefault="00C3615C">
      <w:pPr>
        <w:rPr>
          <w:b/>
          <w:bCs/>
          <w:sz w:val="28"/>
          <w:szCs w:val="28"/>
        </w:rPr>
      </w:pPr>
      <w:r>
        <w:br w:type="page"/>
      </w:r>
    </w:p>
    <w:p w14:paraId="490FCD9D" w14:textId="69A41A15" w:rsidR="003463D3" w:rsidRDefault="00000000">
      <w:pPr>
        <w:pStyle w:val="Heading1"/>
        <w:rPr>
          <w:color w:val="0000FF"/>
          <w:sz w:val="32"/>
          <w:szCs w:val="32"/>
        </w:rPr>
      </w:pPr>
      <w:bookmarkStart w:id="30" w:name="_Toc219841837"/>
      <w:r>
        <w:lastRenderedPageBreak/>
        <w:t>CHAPTER 3: Methods</w:t>
      </w:r>
      <w:bookmarkEnd w:id="30"/>
      <w:r>
        <w:t xml:space="preserve"> </w:t>
      </w:r>
    </w:p>
    <w:p w14:paraId="7E4FE87B" w14:textId="77777777" w:rsidR="003463D3" w:rsidRDefault="00000000">
      <w:pPr>
        <w:pStyle w:val="Heading2"/>
      </w:pPr>
      <w:bookmarkStart w:id="31" w:name="_Toc219841838"/>
      <w:r>
        <w:t>3.1 Chapter Introduction</w:t>
      </w:r>
      <w:bookmarkEnd w:id="31"/>
    </w:p>
    <w:p w14:paraId="5A96BED4" w14:textId="77777777" w:rsidR="003463D3" w:rsidRDefault="00000000">
      <w:r>
        <w:t xml:space="preserve">Methodology includes a systematic process of selection approach for conducting research work and reaching findings successfully. The use of research online provides a layer-by-layer process for methodology selection concerning significant approach, philosophy and design to reach findings (Saunders, Lewis, and Thornhill, 2019). This chapter is going to using the systematic approach of Saunder research onion for the analysis of secondary qualitative data related to employee burnout and job performance across health and social care sector. </w:t>
      </w:r>
    </w:p>
    <w:p w14:paraId="6423A680" w14:textId="77777777" w:rsidR="003463D3" w:rsidRDefault="00000000">
      <w:pPr>
        <w:jc w:val="center"/>
      </w:pPr>
      <w:r>
        <w:rPr>
          <w:noProof/>
        </w:rPr>
        <w:drawing>
          <wp:inline distT="114300" distB="114300" distL="114300" distR="114300" wp14:anchorId="70C75906" wp14:editId="2AAF1DA3">
            <wp:extent cx="3629025" cy="2466975"/>
            <wp:effectExtent l="0" t="0" r="0" b="0"/>
            <wp:docPr id="17"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6"/>
                    <a:srcRect/>
                    <a:stretch>
                      <a:fillRect/>
                    </a:stretch>
                  </pic:blipFill>
                  <pic:spPr>
                    <a:xfrm>
                      <a:off x="0" y="0"/>
                      <a:ext cx="3629025" cy="2466975"/>
                    </a:xfrm>
                    <a:prstGeom prst="rect">
                      <a:avLst/>
                    </a:prstGeom>
                    <a:ln/>
                  </pic:spPr>
                </pic:pic>
              </a:graphicData>
            </a:graphic>
          </wp:inline>
        </w:drawing>
      </w:r>
    </w:p>
    <w:p w14:paraId="46B77463" w14:textId="77777777" w:rsidR="003463D3" w:rsidRDefault="00000000">
      <w:pPr>
        <w:pStyle w:val="Heading4"/>
      </w:pPr>
      <w:bookmarkStart w:id="32" w:name="_heading=h.9k219fdfe9iy" w:colFirst="0" w:colLast="0"/>
      <w:bookmarkEnd w:id="32"/>
      <w:r>
        <w:t>Figure 8: Saunders Research Onion</w:t>
      </w:r>
    </w:p>
    <w:p w14:paraId="06F8C56C" w14:textId="77777777" w:rsidR="003463D3" w:rsidRDefault="00000000">
      <w:pPr>
        <w:jc w:val="center"/>
      </w:pPr>
      <w:r>
        <w:t>(Source: Saunders, Lewis, and Thornhill, 2019)</w:t>
      </w:r>
    </w:p>
    <w:p w14:paraId="10BA7057" w14:textId="77777777" w:rsidR="003463D3" w:rsidRDefault="00000000">
      <w:pPr>
        <w:pStyle w:val="Heading2"/>
      </w:pPr>
      <w:bookmarkStart w:id="33" w:name="_Toc219841839"/>
      <w:r>
        <w:t>3.2 Research philosophy</w:t>
      </w:r>
      <w:bookmarkEnd w:id="33"/>
    </w:p>
    <w:p w14:paraId="5B74849B" w14:textId="77777777" w:rsidR="003463D3" w:rsidRDefault="00000000">
      <w:r>
        <w:t xml:space="preserve">Interpretivism philosophy has been utilised to build concepts on causes and prevalence of employee burnout with identification of integrated approach. Interpretivism philosophy depends on building concepts based on individual perspectives whereas positivism philosophy builds concepts on facts based on measurable information (Lawler and Waldner, 2023). Considering this context, this research has utilised interpretivism philosophy rather than positivist philosophy to analyse secondary qualitative data for analysing information related to employee burnouts, job satisfaction and effective employee motivation in the UK healthcare sector. Thus, the illustration of individual perception has helped to build valid concepts on the minimisation of staff burnout focusing on safety, quality and continuity in the health and social care services. </w:t>
      </w:r>
    </w:p>
    <w:p w14:paraId="201027B2" w14:textId="77777777" w:rsidR="003463D3" w:rsidRDefault="00000000">
      <w:pPr>
        <w:pStyle w:val="Heading2"/>
      </w:pPr>
      <w:bookmarkStart w:id="34" w:name="_Toc219841840"/>
      <w:r>
        <w:t>3.3 Research approach</w:t>
      </w:r>
      <w:bookmarkEnd w:id="34"/>
    </w:p>
    <w:p w14:paraId="26CF9508" w14:textId="77777777" w:rsidR="003463D3" w:rsidRDefault="00000000">
      <w:r>
        <w:t xml:space="preserve">Inductive approach has been utilised for building new theory on improvements of staff management process for reducing burnout in the UK health and social care sector. Inductive </w:t>
      </w:r>
      <w:r>
        <w:lastRenderedPageBreak/>
        <w:t xml:space="preserve">approach prefers to build new theories whereas deductive approach establishes predefined theories and hypotheses to research findings (Bergdahl and Berterö, 2023). Concerning these aspects, this research has utilised an indicative approach instead of deductive approach for building new data patterns for the implementation of employee burnout in the health and social care sector. Thus, the development of new theory from collected data has helped to build concepts on the integrated approach of employee managements for minimising burnout and increased organisational performance of health workers. </w:t>
      </w:r>
    </w:p>
    <w:p w14:paraId="049524AF" w14:textId="77777777" w:rsidR="003463D3" w:rsidRDefault="00000000">
      <w:pPr>
        <w:pStyle w:val="Heading2"/>
      </w:pPr>
      <w:bookmarkStart w:id="35" w:name="_Toc219841841"/>
      <w:r>
        <w:t>3.4 Research design</w:t>
      </w:r>
      <w:bookmarkEnd w:id="35"/>
    </w:p>
    <w:p w14:paraId="68ACF9B4" w14:textId="77777777" w:rsidR="003463D3" w:rsidRDefault="00000000">
      <w:r>
        <w:t xml:space="preserve">Exploratory design has applied for clearly defined keywords including job performance, employee burnout, motivation and workforce retention. Exploratory design defines research variables clearly that has not been covered previously (Hay </w:t>
      </w:r>
      <w:r>
        <w:rPr>
          <w:i/>
          <w:iCs/>
        </w:rPr>
        <w:t xml:space="preserve">et al., </w:t>
      </w:r>
      <w:r>
        <w:t xml:space="preserve">2020). Descriptive design focused on predicting real facts with established relation among cause-effects to reach finding (Villamin </w:t>
      </w:r>
      <w:r>
        <w:rPr>
          <w:i/>
          <w:iCs/>
        </w:rPr>
        <w:t xml:space="preserve">et al., </w:t>
      </w:r>
      <w:r>
        <w:t xml:space="preserve">2025). Based on these facts, his research has not used descriptive design for analysing employee burnouts and its impacts on job performance of employees. Therefore, the use of exploratory design has helped to build concepts on employee performance, job satisfaction, burnout and implemented approaches for employee management. </w:t>
      </w:r>
    </w:p>
    <w:p w14:paraId="4EF46E11" w14:textId="77777777" w:rsidR="003463D3" w:rsidRDefault="00000000">
      <w:pPr>
        <w:pStyle w:val="Heading2"/>
      </w:pPr>
      <w:bookmarkStart w:id="36" w:name="_Toc219841842"/>
      <w:r>
        <w:t>3.5 Research strategy</w:t>
      </w:r>
      <w:bookmarkEnd w:id="36"/>
    </w:p>
    <w:p w14:paraId="122F6FCD" w14:textId="77777777" w:rsidR="003463D3" w:rsidRDefault="00000000">
      <w:r>
        <w:t>Secondary qualitative research strategy has been used for interpreting key variables clearly focusing on the developments of theoretical knowledge in this research area. Secondary qualitative research strategy is associated with the systematic process to address research education and reach findings by clearly interpreting research variables to gain new insights (Dufour and Richard, 2019). On the other hand, the prediction of facts by using measurable information is key criteria of quantitative research strategy (</w:t>
      </w:r>
      <w:proofErr w:type="spellStart"/>
      <w:r>
        <w:t>Kotronoulas</w:t>
      </w:r>
      <w:proofErr w:type="spellEnd"/>
      <w:r>
        <w:t xml:space="preserve"> </w:t>
      </w:r>
      <w:r>
        <w:rPr>
          <w:i/>
          <w:iCs/>
        </w:rPr>
        <w:t xml:space="preserve">et al., </w:t>
      </w:r>
      <w:r>
        <w:t xml:space="preserve">2023). Based on these factors, this research has not used a secondary quantitative search method for analysing employee burnout in the health and social care sector. Thus, the clear interpretation of relevant information by using a secondary quantitative research strategy has helped to reach the implementation of an employer management approach for resolving consequences of burnout and ensuring job satisfaction in the health and social care sector. </w:t>
      </w:r>
    </w:p>
    <w:p w14:paraId="40E0B4FC" w14:textId="77777777" w:rsidR="003463D3" w:rsidRDefault="00000000">
      <w:pPr>
        <w:pStyle w:val="Heading2"/>
      </w:pPr>
      <w:bookmarkStart w:id="37" w:name="_Toc219841843"/>
      <w:r>
        <w:t>3.6 Data collection method</w:t>
      </w:r>
      <w:bookmarkEnd w:id="37"/>
    </w:p>
    <w:p w14:paraId="078BF327" w14:textId="77777777" w:rsidR="003463D3" w:rsidRDefault="00000000">
      <w:r>
        <w:t xml:space="preserve">This research has collected secondary qualitative data from sources including previously research articles, news articles, and industry reports. During collection of secondary qualitative information, this research has maintained the criteria including ensuring authenticity by assessing author name, link, publication and databases. Further, the currency of collected information has materialised through used articled publication data from 2020 or onwards. The free accessed databases and articles have been used in this research to analyse each </w:t>
      </w:r>
      <w:r>
        <w:lastRenderedPageBreak/>
        <w:t xml:space="preserve">component and build a clear concept to execute author participants related to employee burnout and job performance of health workers. </w:t>
      </w:r>
    </w:p>
    <w:p w14:paraId="1EFBDD36" w14:textId="77777777" w:rsidR="003463D3" w:rsidRDefault="00000000">
      <w:pPr>
        <w:pStyle w:val="Heading2"/>
      </w:pPr>
      <w:bookmarkStart w:id="38" w:name="_Toc219841844"/>
      <w:r>
        <w:t>3.7 Data analysis technique</w:t>
      </w:r>
      <w:bookmarkEnd w:id="38"/>
    </w:p>
    <w:p w14:paraId="3F622361" w14:textId="77777777" w:rsidR="003463D3" w:rsidRDefault="00000000">
      <w:r>
        <w:t xml:space="preserve">Thematic analysis technique has been used for interpreting information through developments of objective-specific themes. Thematic analysis technique includes systematic process for analysing secondary qualitative data by familiarising with data develop, define, review and discuss themes to research findings (Naeem </w:t>
      </w:r>
      <w:r>
        <w:rPr>
          <w:i/>
          <w:iCs/>
        </w:rPr>
        <w:t xml:space="preserve">et al., </w:t>
      </w:r>
      <w:r>
        <w:t xml:space="preserve">2023). On the other hand, frequency analysis technique is concerned with predicting factors based on percentage, graphs and insights (Mizuki and Kuzuha, 2023). Based on these aspects, the thematic analysis technique has helped to build concepts on integration of employee management processes to remove burnout and ensure wellbeing and job satisfaction. Thus, the clear interpretation of themes has helped to build knowledge in the integration of staff management processes for job satisfaction of staff in the health and social care sector by using thematic analysis techniques. </w:t>
      </w:r>
    </w:p>
    <w:p w14:paraId="32F41402" w14:textId="77777777" w:rsidR="003463D3" w:rsidRDefault="00000000">
      <w:pPr>
        <w:pStyle w:val="Heading2"/>
      </w:pPr>
      <w:bookmarkStart w:id="39" w:name="_Toc219841845"/>
      <w:r>
        <w:t>3.8 Ethical consideration</w:t>
      </w:r>
      <w:bookmarkEnd w:id="39"/>
    </w:p>
    <w:p w14:paraId="58B06D69" w14:textId="77777777" w:rsidR="003463D3" w:rsidRDefault="00000000">
      <w:r>
        <w:t xml:space="preserve">This research has been used “Copyright, Designs and Patents Act 1988” for maintaining ethical borders, concerning acknowledgement for the author of used articles and security. Moreover, this research has used formal tone, and wording for data interpretation to reach findings with the consideration of ethical borders. “Copyright, Designs and Patents Act 1988” discusses the ethical guidelines for research works focusing on acknowledgement for authors of used articles and maintaining confidentiality and security (Government of UK, 2023). In order to acknowledge authors of used articles, this research has used proper citation and references to address authenticity and author of used information related to employee burnout in the health and social care sector. Furthermore, the university guidelines have been used for maintaining ethical boundaries in this research and formatting references and overall content properly. </w:t>
      </w:r>
    </w:p>
    <w:p w14:paraId="03624970" w14:textId="77777777" w:rsidR="003463D3" w:rsidRDefault="00000000">
      <w:pPr>
        <w:pStyle w:val="Heading2"/>
      </w:pPr>
      <w:bookmarkStart w:id="40" w:name="_Toc219841846"/>
      <w:r>
        <w:t>3.9 Chapter summary</w:t>
      </w:r>
      <w:bookmarkEnd w:id="40"/>
    </w:p>
    <w:p w14:paraId="03B78024" w14:textId="0628EA6A" w:rsidR="003463D3" w:rsidRDefault="00000000" w:rsidP="00C3615C">
      <w:r>
        <w:t xml:space="preserve">This section has used a secondary qualitative research method with interpretivist philosophy, inductive approach and exploratory design. Moreover, the use of thematic analysis has interpreted themes including developments of effective employment processes for ensuring staff satisfaction and reducing burnout across the health and social care sector. This research has mentioned the use of ethical guidelines of “Copyright, Designs and Patents Act 1988” with utilisation of proper citation, using formal time and university guidelines. </w:t>
      </w:r>
      <w:bookmarkStart w:id="41" w:name="_heading=h.k4uei4jo2byg" w:colFirst="0" w:colLast="0"/>
      <w:bookmarkEnd w:id="41"/>
      <w:r>
        <w:br w:type="page"/>
      </w:r>
    </w:p>
    <w:p w14:paraId="31BB9E40" w14:textId="77777777" w:rsidR="003463D3" w:rsidRDefault="00000000">
      <w:pPr>
        <w:pStyle w:val="Heading1"/>
      </w:pPr>
      <w:bookmarkStart w:id="42" w:name="_Toc219841847"/>
      <w:r>
        <w:lastRenderedPageBreak/>
        <w:t>CHAPTER 4: Results and Discussion</w:t>
      </w:r>
      <w:bookmarkEnd w:id="42"/>
    </w:p>
    <w:p w14:paraId="05B2C76F" w14:textId="77777777" w:rsidR="003463D3" w:rsidRDefault="00000000">
      <w:pPr>
        <w:pStyle w:val="Heading2"/>
        <w:rPr>
          <w:color w:val="FF0000"/>
          <w:sz w:val="32"/>
          <w:szCs w:val="32"/>
        </w:rPr>
      </w:pPr>
      <w:bookmarkStart w:id="43" w:name="_Toc219841848"/>
      <w:r>
        <w:t>4.1 Chapter introduction</w:t>
      </w:r>
      <w:bookmarkEnd w:id="43"/>
    </w:p>
    <w:p w14:paraId="36999A0F" w14:textId="77777777" w:rsidR="003463D3" w:rsidRDefault="00000000">
      <w:r>
        <w:t xml:space="preserve">The fourth chapter tends to critically analyse the output of secondary results in terms of examining the problem of staff burnout and how the hurdles have influenced the quality of care offered in the healthcare and social care sector in the UK. The thematic analysis method of Braun and Clarke has been considered to systematically analyse the secondary results of 12 secondary sources in order to be in a position to describe the patterns with the evidence of the existing literature. The themes have been developed on the basis of the four objectives, which include causes and prevalence of burnout, the effect of burnout on the quality and safety of care, the association between burnout and staff performance, retention, and organisational interventions to mitigate burnout. In chapter 4, the structure has focused on the familiarisation of data, code generation, and creation of key themes related to the study context and has been deeply analysed. The discussion portion is a decisive synthesis of the secondary findings to the existing body of literature, with theoretical integration that provides a vital and overall view of the issue. </w:t>
      </w:r>
    </w:p>
    <w:p w14:paraId="3DB7F5C9" w14:textId="77777777" w:rsidR="003463D3" w:rsidRDefault="00000000">
      <w:pPr>
        <w:pStyle w:val="Heading2"/>
        <w:rPr>
          <w:color w:val="0000FF"/>
          <w:sz w:val="32"/>
          <w:szCs w:val="32"/>
        </w:rPr>
      </w:pPr>
      <w:bookmarkStart w:id="44" w:name="_Toc219841849"/>
      <w:r>
        <w:t>4.2 Familiarisation with data</w:t>
      </w:r>
      <w:bookmarkEnd w:id="44"/>
    </w:p>
    <w:p w14:paraId="555CECAC" w14:textId="77777777" w:rsidR="003463D3" w:rsidRDefault="00000000">
      <w:r>
        <w:t xml:space="preserve">This research has familiarised with collected data for building knowledge on the collected data concerning improvements of knowledge in the employee burnout and performance managements. As mentioned by Ahmed </w:t>
      </w:r>
      <w:r>
        <w:rPr>
          <w:i/>
          <w:iCs/>
        </w:rPr>
        <w:t xml:space="preserve">et al. </w:t>
      </w:r>
      <w:r>
        <w:t xml:space="preserve">(2025), familiarisation is the systematic process or building understanding of collected data with the representation of the fundamental stage of thematic analysis technique. In this context, this research has read information for building and creating understanding on keywords including performance, job satisfaction, employee motivation, health and wellbeing, burnout and approaches in the health and social care sector. The data familiarisation process influences the further process of thematic analysis concerning code generation and extract most relevant information addressing objectives related to employee burnout in the health and social sector. </w:t>
      </w:r>
    </w:p>
    <w:p w14:paraId="68F0555A" w14:textId="77777777" w:rsidR="003463D3" w:rsidRDefault="00000000">
      <w:pPr>
        <w:pStyle w:val="Heading2"/>
      </w:pPr>
      <w:bookmarkStart w:id="45" w:name="_Toc219841850"/>
      <w:r>
        <w:t>4.3 Coding</w:t>
      </w:r>
      <w:bookmarkEnd w:id="45"/>
      <w:r>
        <w:t xml:space="preserve"> </w:t>
      </w:r>
    </w:p>
    <w:tbl>
      <w:tblPr>
        <w:tblStyle w:val="a1"/>
        <w:tblW w:w="8925" w:type="dxa"/>
        <w:tblBorders>
          <w:top w:val="nil"/>
          <w:left w:val="nil"/>
          <w:bottom w:val="nil"/>
          <w:right w:val="nil"/>
          <w:insideH w:val="nil"/>
          <w:insideV w:val="nil"/>
        </w:tblBorders>
        <w:tblLayout w:type="fixed"/>
        <w:tblLook w:val="0600" w:firstRow="0" w:lastRow="0" w:firstColumn="0" w:lastColumn="0" w:noHBand="1" w:noVBand="1"/>
      </w:tblPr>
      <w:tblGrid>
        <w:gridCol w:w="1215"/>
        <w:gridCol w:w="1380"/>
        <w:gridCol w:w="4020"/>
        <w:gridCol w:w="2310"/>
      </w:tblGrid>
      <w:tr w:rsidR="003463D3" w14:paraId="0DF213B3" w14:textId="77777777">
        <w:trPr>
          <w:trHeight w:val="570"/>
        </w:trPr>
        <w:tc>
          <w:tcPr>
            <w:tcW w:w="1215" w:type="dxa"/>
            <w:tcBorders>
              <w:top w:val="single" w:sz="5" w:space="0" w:color="000000"/>
              <w:left w:val="single" w:sz="5" w:space="0" w:color="000000"/>
              <w:bottom w:val="single" w:sz="5" w:space="0" w:color="000000"/>
              <w:right w:val="single" w:sz="5" w:space="0" w:color="000000"/>
            </w:tcBorders>
            <w:shd w:val="clear" w:color="auto" w:fill="A2C4C9"/>
            <w:tcMar>
              <w:top w:w="100" w:type="dxa"/>
              <w:left w:w="100" w:type="dxa"/>
              <w:bottom w:w="100" w:type="dxa"/>
              <w:right w:w="100" w:type="dxa"/>
            </w:tcMar>
          </w:tcPr>
          <w:p w14:paraId="670759D9" w14:textId="77777777" w:rsidR="003463D3" w:rsidRDefault="00000000">
            <w:pPr>
              <w:spacing w:before="240" w:after="240"/>
              <w:jc w:val="center"/>
              <w:rPr>
                <w:b/>
                <w:bCs/>
              </w:rPr>
            </w:pPr>
            <w:r>
              <w:rPr>
                <w:b/>
                <w:bCs/>
              </w:rPr>
              <w:t>Objectives</w:t>
            </w:r>
          </w:p>
        </w:tc>
        <w:tc>
          <w:tcPr>
            <w:tcW w:w="1380" w:type="dxa"/>
            <w:tcBorders>
              <w:top w:val="single" w:sz="5" w:space="0" w:color="000000"/>
              <w:left w:val="nil"/>
              <w:bottom w:val="single" w:sz="5" w:space="0" w:color="000000"/>
              <w:right w:val="single" w:sz="5" w:space="0" w:color="000000"/>
            </w:tcBorders>
            <w:shd w:val="clear" w:color="auto" w:fill="A2C4C9"/>
            <w:tcMar>
              <w:top w:w="100" w:type="dxa"/>
              <w:left w:w="100" w:type="dxa"/>
              <w:bottom w:w="100" w:type="dxa"/>
              <w:right w:w="100" w:type="dxa"/>
            </w:tcMar>
          </w:tcPr>
          <w:p w14:paraId="200ED936" w14:textId="77777777" w:rsidR="003463D3" w:rsidRDefault="00000000">
            <w:pPr>
              <w:spacing w:before="240" w:after="240"/>
              <w:jc w:val="center"/>
              <w:rPr>
                <w:b/>
                <w:bCs/>
              </w:rPr>
            </w:pPr>
            <w:r>
              <w:rPr>
                <w:b/>
                <w:bCs/>
              </w:rPr>
              <w:t>Authors</w:t>
            </w:r>
          </w:p>
        </w:tc>
        <w:tc>
          <w:tcPr>
            <w:tcW w:w="4020" w:type="dxa"/>
            <w:tcBorders>
              <w:top w:val="single" w:sz="5" w:space="0" w:color="000000"/>
              <w:left w:val="nil"/>
              <w:bottom w:val="single" w:sz="5" w:space="0" w:color="000000"/>
              <w:right w:val="single" w:sz="5" w:space="0" w:color="000000"/>
            </w:tcBorders>
            <w:shd w:val="clear" w:color="auto" w:fill="A2C4C9"/>
            <w:tcMar>
              <w:top w:w="100" w:type="dxa"/>
              <w:left w:w="100" w:type="dxa"/>
              <w:bottom w:w="100" w:type="dxa"/>
              <w:right w:w="100" w:type="dxa"/>
            </w:tcMar>
          </w:tcPr>
          <w:p w14:paraId="74AFBE5C" w14:textId="77777777" w:rsidR="003463D3" w:rsidRDefault="00000000">
            <w:pPr>
              <w:spacing w:before="240" w:after="240"/>
              <w:jc w:val="center"/>
              <w:rPr>
                <w:b/>
                <w:bCs/>
              </w:rPr>
            </w:pPr>
            <w:r>
              <w:rPr>
                <w:b/>
                <w:bCs/>
              </w:rPr>
              <w:t xml:space="preserve">Key findings </w:t>
            </w:r>
          </w:p>
        </w:tc>
        <w:tc>
          <w:tcPr>
            <w:tcW w:w="2310" w:type="dxa"/>
            <w:tcBorders>
              <w:top w:val="single" w:sz="5" w:space="0" w:color="000000"/>
              <w:left w:val="nil"/>
              <w:bottom w:val="single" w:sz="5" w:space="0" w:color="000000"/>
              <w:right w:val="single" w:sz="5" w:space="0" w:color="000000"/>
            </w:tcBorders>
            <w:shd w:val="clear" w:color="auto" w:fill="A2C4C9"/>
            <w:tcMar>
              <w:top w:w="100" w:type="dxa"/>
              <w:left w:w="100" w:type="dxa"/>
              <w:bottom w:w="100" w:type="dxa"/>
              <w:right w:w="100" w:type="dxa"/>
            </w:tcMar>
          </w:tcPr>
          <w:p w14:paraId="1526D625" w14:textId="77777777" w:rsidR="003463D3" w:rsidRDefault="00000000">
            <w:pPr>
              <w:spacing w:before="240" w:after="240"/>
              <w:jc w:val="center"/>
              <w:rPr>
                <w:b/>
                <w:bCs/>
              </w:rPr>
            </w:pPr>
            <w:r>
              <w:rPr>
                <w:b/>
                <w:bCs/>
              </w:rPr>
              <w:t xml:space="preserve">Coding </w:t>
            </w:r>
          </w:p>
        </w:tc>
      </w:tr>
      <w:tr w:rsidR="003463D3" w14:paraId="76ACE295" w14:textId="77777777">
        <w:trPr>
          <w:trHeight w:val="2370"/>
        </w:trPr>
        <w:tc>
          <w:tcPr>
            <w:tcW w:w="1215" w:type="dxa"/>
            <w:vMerge w:val="restart"/>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1AEA6DBB" w14:textId="77777777" w:rsidR="003463D3" w:rsidRDefault="00000000">
            <w:pPr>
              <w:spacing w:before="240" w:after="240"/>
              <w:jc w:val="center"/>
              <w:rPr>
                <w:b/>
                <w:bCs/>
              </w:rPr>
            </w:pPr>
            <w:r>
              <w:rPr>
                <w:b/>
                <w:bCs/>
              </w:rPr>
              <w:lastRenderedPageBreak/>
              <w:t>Objective 1</w:t>
            </w:r>
          </w:p>
        </w:tc>
        <w:tc>
          <w:tcPr>
            <w:tcW w:w="1380" w:type="dxa"/>
            <w:tcBorders>
              <w:top w:val="nil"/>
              <w:left w:val="nil"/>
              <w:bottom w:val="single" w:sz="5" w:space="0" w:color="000000"/>
              <w:right w:val="single" w:sz="5" w:space="0" w:color="000000"/>
            </w:tcBorders>
            <w:tcMar>
              <w:top w:w="100" w:type="dxa"/>
              <w:left w:w="100" w:type="dxa"/>
              <w:bottom w:w="100" w:type="dxa"/>
              <w:right w:w="100" w:type="dxa"/>
            </w:tcMar>
          </w:tcPr>
          <w:p w14:paraId="2E805F26" w14:textId="77777777" w:rsidR="003463D3" w:rsidRDefault="00000000">
            <w:pPr>
              <w:spacing w:before="240" w:after="240"/>
              <w:jc w:val="center"/>
            </w:pPr>
            <w:r>
              <w:t>(Care Quality Commission, 2022)</w:t>
            </w:r>
          </w:p>
        </w:tc>
        <w:tc>
          <w:tcPr>
            <w:tcW w:w="4020" w:type="dxa"/>
            <w:tcBorders>
              <w:top w:val="nil"/>
              <w:left w:val="nil"/>
              <w:bottom w:val="single" w:sz="5" w:space="0" w:color="000000"/>
              <w:right w:val="single" w:sz="5" w:space="0" w:color="000000"/>
            </w:tcBorders>
            <w:tcMar>
              <w:top w:w="100" w:type="dxa"/>
              <w:left w:w="100" w:type="dxa"/>
              <w:bottom w:w="100" w:type="dxa"/>
              <w:right w:w="100" w:type="dxa"/>
            </w:tcMar>
          </w:tcPr>
          <w:p w14:paraId="0DCF01D6" w14:textId="77777777" w:rsidR="003463D3" w:rsidRDefault="00000000">
            <w:pPr>
              <w:spacing w:before="240" w:after="240"/>
            </w:pPr>
            <w:r>
              <w:t xml:space="preserve">Excessive workload among healthcare and social workers enhances mental fatigue, depression, anxiety and trauma that is managed by proper support by employee assistants. </w:t>
            </w:r>
          </w:p>
        </w:tc>
        <w:tc>
          <w:tcPr>
            <w:tcW w:w="2310" w:type="dxa"/>
            <w:vMerge w:val="restart"/>
            <w:tcBorders>
              <w:top w:val="nil"/>
              <w:left w:val="nil"/>
              <w:bottom w:val="single" w:sz="5" w:space="0" w:color="000000"/>
              <w:right w:val="single" w:sz="5" w:space="0" w:color="000000"/>
            </w:tcBorders>
            <w:tcMar>
              <w:top w:w="100" w:type="dxa"/>
              <w:left w:w="100" w:type="dxa"/>
              <w:bottom w:w="100" w:type="dxa"/>
              <w:right w:w="100" w:type="dxa"/>
            </w:tcMar>
          </w:tcPr>
          <w:p w14:paraId="598617BA" w14:textId="77777777" w:rsidR="003463D3" w:rsidRDefault="00000000">
            <w:pPr>
              <w:numPr>
                <w:ilvl w:val="0"/>
                <w:numId w:val="1"/>
              </w:numPr>
              <w:spacing w:before="240"/>
            </w:pPr>
            <w:r>
              <w:t>Excessive workload</w:t>
            </w:r>
          </w:p>
          <w:p w14:paraId="08492220" w14:textId="77777777" w:rsidR="003463D3" w:rsidRDefault="00000000">
            <w:pPr>
              <w:numPr>
                <w:ilvl w:val="0"/>
                <w:numId w:val="1"/>
              </w:numPr>
            </w:pPr>
            <w:r>
              <w:t>Mental fatigue</w:t>
            </w:r>
          </w:p>
          <w:p w14:paraId="78AEDA26" w14:textId="77777777" w:rsidR="003463D3" w:rsidRDefault="00000000">
            <w:pPr>
              <w:numPr>
                <w:ilvl w:val="0"/>
                <w:numId w:val="1"/>
              </w:numPr>
            </w:pPr>
            <w:r>
              <w:t>Anxiety</w:t>
            </w:r>
          </w:p>
          <w:p w14:paraId="66F3CA4E" w14:textId="77777777" w:rsidR="003463D3" w:rsidRDefault="00000000">
            <w:pPr>
              <w:numPr>
                <w:ilvl w:val="0"/>
                <w:numId w:val="1"/>
              </w:numPr>
            </w:pPr>
            <w:r>
              <w:t>Depression</w:t>
            </w:r>
          </w:p>
          <w:p w14:paraId="31A4FEC2" w14:textId="77777777" w:rsidR="003463D3" w:rsidRDefault="00000000">
            <w:pPr>
              <w:numPr>
                <w:ilvl w:val="0"/>
                <w:numId w:val="1"/>
              </w:numPr>
            </w:pPr>
            <w:r>
              <w:t>Trauma</w:t>
            </w:r>
          </w:p>
          <w:p w14:paraId="21CE2BF3" w14:textId="77777777" w:rsidR="003463D3" w:rsidRDefault="00000000">
            <w:pPr>
              <w:numPr>
                <w:ilvl w:val="0"/>
                <w:numId w:val="1"/>
              </w:numPr>
            </w:pPr>
            <w:r>
              <w:t>Employee assistants</w:t>
            </w:r>
          </w:p>
          <w:p w14:paraId="7D78CA16" w14:textId="77777777" w:rsidR="003463D3" w:rsidRDefault="00000000">
            <w:pPr>
              <w:numPr>
                <w:ilvl w:val="0"/>
                <w:numId w:val="1"/>
              </w:numPr>
            </w:pPr>
            <w:r>
              <w:t>Increase work stress</w:t>
            </w:r>
          </w:p>
          <w:p w14:paraId="1DEDB2C4" w14:textId="77777777" w:rsidR="003463D3" w:rsidRDefault="00000000">
            <w:pPr>
              <w:numPr>
                <w:ilvl w:val="0"/>
                <w:numId w:val="1"/>
              </w:numPr>
            </w:pPr>
            <w:r>
              <w:t>Anxiety and depression</w:t>
            </w:r>
          </w:p>
          <w:p w14:paraId="42EFDDF2" w14:textId="77777777" w:rsidR="003463D3" w:rsidRDefault="00000000">
            <w:pPr>
              <w:numPr>
                <w:ilvl w:val="0"/>
                <w:numId w:val="1"/>
              </w:numPr>
              <w:spacing w:after="240"/>
            </w:pPr>
            <w:r>
              <w:t>Absenteeism and sickness</w:t>
            </w:r>
          </w:p>
          <w:p w14:paraId="07227777" w14:textId="77777777" w:rsidR="003463D3" w:rsidRDefault="003463D3">
            <w:pPr>
              <w:spacing w:before="240" w:after="240"/>
            </w:pPr>
          </w:p>
          <w:p w14:paraId="504DCEF2" w14:textId="77777777" w:rsidR="003463D3" w:rsidRDefault="003463D3">
            <w:pPr>
              <w:spacing w:before="240" w:after="240"/>
            </w:pPr>
          </w:p>
          <w:p w14:paraId="5408F507" w14:textId="77777777" w:rsidR="003463D3" w:rsidRDefault="003463D3">
            <w:pPr>
              <w:spacing w:before="240" w:after="240"/>
            </w:pPr>
          </w:p>
        </w:tc>
      </w:tr>
      <w:tr w:rsidR="003463D3" w14:paraId="48FE0920" w14:textId="77777777">
        <w:trPr>
          <w:trHeight w:val="1650"/>
        </w:trPr>
        <w:tc>
          <w:tcPr>
            <w:tcW w:w="1215" w:type="dxa"/>
            <w:vMerge/>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617D748C" w14:textId="77777777" w:rsidR="003463D3" w:rsidRDefault="003463D3">
            <w:pPr>
              <w:widowControl w:val="0"/>
              <w:pBdr>
                <w:top w:val="nil"/>
                <w:left w:val="nil"/>
                <w:bottom w:val="nil"/>
                <w:right w:val="nil"/>
                <w:between w:val="nil"/>
              </w:pBdr>
              <w:spacing w:line="276" w:lineRule="auto"/>
              <w:jc w:val="left"/>
            </w:pPr>
          </w:p>
        </w:tc>
        <w:tc>
          <w:tcPr>
            <w:tcW w:w="1380" w:type="dxa"/>
            <w:tcBorders>
              <w:top w:val="nil"/>
              <w:left w:val="nil"/>
              <w:bottom w:val="single" w:sz="5" w:space="0" w:color="000000"/>
              <w:right w:val="single" w:sz="5" w:space="0" w:color="000000"/>
            </w:tcBorders>
            <w:tcMar>
              <w:top w:w="100" w:type="dxa"/>
              <w:left w:w="100" w:type="dxa"/>
              <w:bottom w:w="100" w:type="dxa"/>
              <w:right w:w="100" w:type="dxa"/>
            </w:tcMar>
          </w:tcPr>
          <w:p w14:paraId="24ED19F8" w14:textId="77777777" w:rsidR="003463D3" w:rsidRDefault="00000000">
            <w:pPr>
              <w:spacing w:before="240" w:after="240"/>
              <w:jc w:val="left"/>
            </w:pPr>
            <w:r>
              <w:t>(NHS Employers, 2025)</w:t>
            </w:r>
          </w:p>
        </w:tc>
        <w:tc>
          <w:tcPr>
            <w:tcW w:w="4020" w:type="dxa"/>
            <w:tcBorders>
              <w:top w:val="nil"/>
              <w:left w:val="nil"/>
              <w:bottom w:val="single" w:sz="5" w:space="0" w:color="000000"/>
              <w:right w:val="single" w:sz="5" w:space="0" w:color="000000"/>
            </w:tcBorders>
            <w:tcMar>
              <w:top w:w="100" w:type="dxa"/>
              <w:left w:w="100" w:type="dxa"/>
              <w:bottom w:w="100" w:type="dxa"/>
              <w:right w:w="100" w:type="dxa"/>
            </w:tcMar>
          </w:tcPr>
          <w:p w14:paraId="370A0348" w14:textId="77777777" w:rsidR="003463D3" w:rsidRDefault="00000000">
            <w:pPr>
              <w:spacing w:before="240" w:after="240"/>
            </w:pPr>
            <w:r>
              <w:t xml:space="preserve">Increase work stress impacts mental wellbeing among 49.5% health and social care staff with the consequences of anxiety and depression across the NHS as well as the health and social care sector. </w:t>
            </w:r>
          </w:p>
        </w:tc>
        <w:tc>
          <w:tcPr>
            <w:tcW w:w="2310" w:type="dxa"/>
            <w:vMerge/>
            <w:tcBorders>
              <w:top w:val="nil"/>
              <w:left w:val="nil"/>
              <w:bottom w:val="single" w:sz="5" w:space="0" w:color="000000"/>
              <w:right w:val="single" w:sz="5" w:space="0" w:color="000000"/>
            </w:tcBorders>
            <w:tcMar>
              <w:top w:w="100" w:type="dxa"/>
              <w:left w:w="100" w:type="dxa"/>
              <w:bottom w:w="100" w:type="dxa"/>
              <w:right w:w="100" w:type="dxa"/>
            </w:tcMar>
          </w:tcPr>
          <w:p w14:paraId="162C9FE0" w14:textId="77777777" w:rsidR="003463D3" w:rsidRDefault="003463D3">
            <w:pPr>
              <w:widowControl w:val="0"/>
              <w:pBdr>
                <w:top w:val="nil"/>
                <w:left w:val="nil"/>
                <w:bottom w:val="nil"/>
                <w:right w:val="nil"/>
                <w:between w:val="nil"/>
              </w:pBdr>
              <w:spacing w:line="276" w:lineRule="auto"/>
              <w:jc w:val="left"/>
            </w:pPr>
          </w:p>
        </w:tc>
      </w:tr>
      <w:tr w:rsidR="003463D3" w14:paraId="7D43C33B" w14:textId="77777777">
        <w:trPr>
          <w:trHeight w:val="2370"/>
        </w:trPr>
        <w:tc>
          <w:tcPr>
            <w:tcW w:w="1215" w:type="dxa"/>
            <w:vMerge/>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54B0E5AB" w14:textId="77777777" w:rsidR="003463D3" w:rsidRDefault="003463D3">
            <w:pPr>
              <w:widowControl w:val="0"/>
              <w:pBdr>
                <w:top w:val="nil"/>
                <w:left w:val="nil"/>
                <w:bottom w:val="nil"/>
                <w:right w:val="nil"/>
                <w:between w:val="nil"/>
              </w:pBdr>
              <w:spacing w:line="276" w:lineRule="auto"/>
              <w:jc w:val="left"/>
            </w:pPr>
          </w:p>
        </w:tc>
        <w:tc>
          <w:tcPr>
            <w:tcW w:w="1380" w:type="dxa"/>
            <w:tcBorders>
              <w:top w:val="nil"/>
              <w:left w:val="nil"/>
              <w:bottom w:val="single" w:sz="5" w:space="0" w:color="000000"/>
              <w:right w:val="single" w:sz="5" w:space="0" w:color="000000"/>
            </w:tcBorders>
            <w:tcMar>
              <w:top w:w="100" w:type="dxa"/>
              <w:left w:w="100" w:type="dxa"/>
              <w:bottom w:w="100" w:type="dxa"/>
              <w:right w:w="100" w:type="dxa"/>
            </w:tcMar>
          </w:tcPr>
          <w:p w14:paraId="2167B12E" w14:textId="77777777" w:rsidR="003463D3" w:rsidRDefault="00000000">
            <w:pPr>
              <w:spacing w:before="240" w:after="240"/>
              <w:jc w:val="center"/>
            </w:pPr>
            <w:r>
              <w:t>(Mental Health Foundation, 2023)</w:t>
            </w:r>
          </w:p>
        </w:tc>
        <w:tc>
          <w:tcPr>
            <w:tcW w:w="4020" w:type="dxa"/>
            <w:tcBorders>
              <w:top w:val="nil"/>
              <w:left w:val="nil"/>
              <w:bottom w:val="single" w:sz="5" w:space="0" w:color="000000"/>
              <w:right w:val="single" w:sz="5" w:space="0" w:color="000000"/>
            </w:tcBorders>
            <w:tcMar>
              <w:top w:w="100" w:type="dxa"/>
              <w:left w:w="100" w:type="dxa"/>
              <w:bottom w:w="100" w:type="dxa"/>
              <w:right w:w="100" w:type="dxa"/>
            </w:tcMar>
          </w:tcPr>
          <w:p w14:paraId="2205064F" w14:textId="77777777" w:rsidR="003463D3" w:rsidRDefault="00000000">
            <w:pPr>
              <w:spacing w:before="240" w:after="240"/>
            </w:pPr>
            <w:r>
              <w:t xml:space="preserve"> The 79% absenteeism and sickness among staff in the health and social care increased due to excessive workload and impacted mental health and wellness </w:t>
            </w:r>
          </w:p>
        </w:tc>
        <w:tc>
          <w:tcPr>
            <w:tcW w:w="2310" w:type="dxa"/>
            <w:vMerge/>
            <w:tcBorders>
              <w:top w:val="nil"/>
              <w:left w:val="nil"/>
              <w:bottom w:val="single" w:sz="5" w:space="0" w:color="000000"/>
              <w:right w:val="single" w:sz="5" w:space="0" w:color="000000"/>
            </w:tcBorders>
            <w:tcMar>
              <w:top w:w="100" w:type="dxa"/>
              <w:left w:w="100" w:type="dxa"/>
              <w:bottom w:w="100" w:type="dxa"/>
              <w:right w:w="100" w:type="dxa"/>
            </w:tcMar>
          </w:tcPr>
          <w:p w14:paraId="35CFBAF3" w14:textId="77777777" w:rsidR="003463D3" w:rsidRDefault="003463D3">
            <w:pPr>
              <w:widowControl w:val="0"/>
              <w:pBdr>
                <w:top w:val="nil"/>
                <w:left w:val="nil"/>
                <w:bottom w:val="nil"/>
                <w:right w:val="nil"/>
                <w:between w:val="nil"/>
              </w:pBdr>
              <w:spacing w:line="276" w:lineRule="auto"/>
              <w:jc w:val="left"/>
            </w:pPr>
          </w:p>
        </w:tc>
      </w:tr>
      <w:tr w:rsidR="003463D3" w14:paraId="135883D9" w14:textId="77777777">
        <w:trPr>
          <w:trHeight w:val="2370"/>
        </w:trPr>
        <w:tc>
          <w:tcPr>
            <w:tcW w:w="1215" w:type="dxa"/>
            <w:vMerge w:val="restart"/>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2BA5AF29" w14:textId="77777777" w:rsidR="003463D3" w:rsidRDefault="00000000">
            <w:pPr>
              <w:spacing w:before="240" w:after="240"/>
              <w:jc w:val="center"/>
              <w:rPr>
                <w:b/>
                <w:bCs/>
              </w:rPr>
            </w:pPr>
            <w:r>
              <w:rPr>
                <w:b/>
                <w:bCs/>
              </w:rPr>
              <w:t>Objective 2</w:t>
            </w:r>
          </w:p>
        </w:tc>
        <w:tc>
          <w:tcPr>
            <w:tcW w:w="1380" w:type="dxa"/>
            <w:tcBorders>
              <w:top w:val="nil"/>
              <w:left w:val="nil"/>
              <w:bottom w:val="single" w:sz="5" w:space="0" w:color="000000"/>
              <w:right w:val="single" w:sz="5" w:space="0" w:color="000000"/>
            </w:tcBorders>
            <w:tcMar>
              <w:top w:w="100" w:type="dxa"/>
              <w:left w:w="100" w:type="dxa"/>
              <w:bottom w:w="100" w:type="dxa"/>
              <w:right w:w="100" w:type="dxa"/>
            </w:tcMar>
          </w:tcPr>
          <w:p w14:paraId="0E3D9422" w14:textId="77777777" w:rsidR="003463D3" w:rsidRDefault="00000000">
            <w:pPr>
              <w:spacing w:before="240" w:after="240"/>
              <w:jc w:val="center"/>
            </w:pPr>
            <w:r>
              <w:t>(Bodell, 2025)</w:t>
            </w:r>
          </w:p>
        </w:tc>
        <w:tc>
          <w:tcPr>
            <w:tcW w:w="4020" w:type="dxa"/>
            <w:tcBorders>
              <w:top w:val="nil"/>
              <w:left w:val="nil"/>
              <w:bottom w:val="single" w:sz="5" w:space="0" w:color="000000"/>
              <w:right w:val="single" w:sz="5" w:space="0" w:color="000000"/>
            </w:tcBorders>
            <w:tcMar>
              <w:top w:w="100" w:type="dxa"/>
              <w:left w:w="100" w:type="dxa"/>
              <w:bottom w:w="100" w:type="dxa"/>
              <w:right w:w="100" w:type="dxa"/>
            </w:tcMar>
          </w:tcPr>
          <w:p w14:paraId="6B68A6D4" w14:textId="77777777" w:rsidR="003463D3" w:rsidRDefault="00000000">
            <w:pPr>
              <w:spacing w:before="240" w:after="240"/>
            </w:pPr>
            <w:r>
              <w:t xml:space="preserve">Lack of support, high work pressure and poor leadership practice are influenced factors for increasing 43% work burnout among staff (Bodell, 2025) </w:t>
            </w:r>
          </w:p>
        </w:tc>
        <w:tc>
          <w:tcPr>
            <w:tcW w:w="2310" w:type="dxa"/>
            <w:vMerge w:val="restart"/>
            <w:tcBorders>
              <w:top w:val="nil"/>
              <w:left w:val="nil"/>
              <w:bottom w:val="single" w:sz="5" w:space="0" w:color="000000"/>
              <w:right w:val="single" w:sz="5" w:space="0" w:color="000000"/>
            </w:tcBorders>
            <w:tcMar>
              <w:top w:w="100" w:type="dxa"/>
              <w:left w:w="100" w:type="dxa"/>
              <w:bottom w:w="100" w:type="dxa"/>
              <w:right w:w="100" w:type="dxa"/>
            </w:tcMar>
          </w:tcPr>
          <w:p w14:paraId="28D501FC" w14:textId="77777777" w:rsidR="003463D3" w:rsidRDefault="00000000">
            <w:pPr>
              <w:numPr>
                <w:ilvl w:val="0"/>
                <w:numId w:val="5"/>
              </w:numPr>
              <w:spacing w:before="240"/>
            </w:pPr>
            <w:r>
              <w:t>Lack of support</w:t>
            </w:r>
          </w:p>
          <w:p w14:paraId="0EB9FAD7" w14:textId="77777777" w:rsidR="003463D3" w:rsidRDefault="00000000">
            <w:pPr>
              <w:numPr>
                <w:ilvl w:val="0"/>
                <w:numId w:val="5"/>
              </w:numPr>
            </w:pPr>
            <w:r>
              <w:t xml:space="preserve"> High work pressure</w:t>
            </w:r>
          </w:p>
          <w:p w14:paraId="0FD8B8DD" w14:textId="77777777" w:rsidR="003463D3" w:rsidRDefault="00000000">
            <w:pPr>
              <w:numPr>
                <w:ilvl w:val="0"/>
                <w:numId w:val="5"/>
              </w:numPr>
            </w:pPr>
            <w:r>
              <w:t>Poor leadership practice</w:t>
            </w:r>
          </w:p>
          <w:p w14:paraId="0838B6F4" w14:textId="77777777" w:rsidR="003463D3" w:rsidRDefault="00000000">
            <w:pPr>
              <w:numPr>
                <w:ilvl w:val="0"/>
                <w:numId w:val="5"/>
              </w:numPr>
            </w:pPr>
            <w:r>
              <w:t xml:space="preserve">Lack of control </w:t>
            </w:r>
          </w:p>
          <w:p w14:paraId="02CF58C1" w14:textId="77777777" w:rsidR="003463D3" w:rsidRDefault="00000000">
            <w:pPr>
              <w:numPr>
                <w:ilvl w:val="0"/>
                <w:numId w:val="5"/>
              </w:numPr>
            </w:pPr>
            <w:r>
              <w:t>Inadequate appreciation</w:t>
            </w:r>
          </w:p>
          <w:p w14:paraId="678C9ABC" w14:textId="77777777" w:rsidR="003463D3" w:rsidRDefault="00000000">
            <w:pPr>
              <w:numPr>
                <w:ilvl w:val="0"/>
                <w:numId w:val="5"/>
              </w:numPr>
              <w:spacing w:after="240"/>
            </w:pPr>
            <w:r>
              <w:lastRenderedPageBreak/>
              <w:t>Reward</w:t>
            </w:r>
          </w:p>
          <w:p w14:paraId="1819081A" w14:textId="77777777" w:rsidR="003463D3" w:rsidRDefault="003463D3">
            <w:pPr>
              <w:spacing w:before="240" w:after="240"/>
            </w:pPr>
          </w:p>
        </w:tc>
      </w:tr>
      <w:tr w:rsidR="003463D3" w14:paraId="58F7B0B6" w14:textId="77777777">
        <w:trPr>
          <w:trHeight w:val="1860"/>
        </w:trPr>
        <w:tc>
          <w:tcPr>
            <w:tcW w:w="1215" w:type="dxa"/>
            <w:vMerge/>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45C6CA5D" w14:textId="77777777" w:rsidR="003463D3" w:rsidRDefault="003463D3">
            <w:pPr>
              <w:widowControl w:val="0"/>
              <w:pBdr>
                <w:top w:val="nil"/>
                <w:left w:val="nil"/>
                <w:bottom w:val="nil"/>
                <w:right w:val="nil"/>
                <w:between w:val="nil"/>
              </w:pBdr>
              <w:spacing w:line="276" w:lineRule="auto"/>
              <w:jc w:val="left"/>
            </w:pPr>
          </w:p>
        </w:tc>
        <w:tc>
          <w:tcPr>
            <w:tcW w:w="1380" w:type="dxa"/>
            <w:tcBorders>
              <w:top w:val="nil"/>
              <w:left w:val="nil"/>
              <w:bottom w:val="single" w:sz="5" w:space="0" w:color="000000"/>
              <w:right w:val="single" w:sz="5" w:space="0" w:color="000000"/>
            </w:tcBorders>
            <w:tcMar>
              <w:top w:w="100" w:type="dxa"/>
              <w:left w:w="100" w:type="dxa"/>
              <w:bottom w:w="100" w:type="dxa"/>
              <w:right w:w="100" w:type="dxa"/>
            </w:tcMar>
          </w:tcPr>
          <w:p w14:paraId="764E23E7" w14:textId="77777777" w:rsidR="003463D3" w:rsidRDefault="00000000">
            <w:pPr>
              <w:spacing w:before="240" w:after="240"/>
              <w:jc w:val="center"/>
            </w:pPr>
            <w:r>
              <w:t>(Hayes, 2025)</w:t>
            </w:r>
          </w:p>
        </w:tc>
        <w:tc>
          <w:tcPr>
            <w:tcW w:w="4020" w:type="dxa"/>
            <w:tcBorders>
              <w:top w:val="nil"/>
              <w:left w:val="nil"/>
              <w:bottom w:val="single" w:sz="5" w:space="0" w:color="000000"/>
              <w:right w:val="single" w:sz="5" w:space="0" w:color="000000"/>
            </w:tcBorders>
            <w:tcMar>
              <w:top w:w="100" w:type="dxa"/>
              <w:left w:w="100" w:type="dxa"/>
              <w:bottom w:w="100" w:type="dxa"/>
              <w:right w:w="100" w:type="dxa"/>
            </w:tcMar>
          </w:tcPr>
          <w:p w14:paraId="2EC4581E" w14:textId="77777777" w:rsidR="003463D3" w:rsidRDefault="00000000">
            <w:pPr>
              <w:spacing w:before="240" w:after="240"/>
            </w:pPr>
            <w:r>
              <w:t xml:space="preserve">Nearly 82% of employees face problems in creating work pressure that impacts health and wellbeing. </w:t>
            </w:r>
          </w:p>
        </w:tc>
        <w:tc>
          <w:tcPr>
            <w:tcW w:w="2310" w:type="dxa"/>
            <w:vMerge/>
            <w:tcBorders>
              <w:top w:val="nil"/>
              <w:left w:val="nil"/>
              <w:bottom w:val="single" w:sz="5" w:space="0" w:color="000000"/>
              <w:right w:val="single" w:sz="5" w:space="0" w:color="000000"/>
            </w:tcBorders>
            <w:tcMar>
              <w:top w:w="100" w:type="dxa"/>
              <w:left w:w="100" w:type="dxa"/>
              <w:bottom w:w="100" w:type="dxa"/>
              <w:right w:w="100" w:type="dxa"/>
            </w:tcMar>
          </w:tcPr>
          <w:p w14:paraId="3D7552D6" w14:textId="77777777" w:rsidR="003463D3" w:rsidRDefault="003463D3">
            <w:pPr>
              <w:widowControl w:val="0"/>
              <w:pBdr>
                <w:top w:val="nil"/>
                <w:left w:val="nil"/>
                <w:bottom w:val="nil"/>
                <w:right w:val="nil"/>
                <w:between w:val="nil"/>
              </w:pBdr>
              <w:spacing w:line="276" w:lineRule="auto"/>
              <w:jc w:val="left"/>
            </w:pPr>
          </w:p>
        </w:tc>
      </w:tr>
      <w:tr w:rsidR="003463D3" w14:paraId="025A5EE7" w14:textId="77777777">
        <w:trPr>
          <w:trHeight w:val="1860"/>
        </w:trPr>
        <w:tc>
          <w:tcPr>
            <w:tcW w:w="1215" w:type="dxa"/>
            <w:vMerge/>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31430F35" w14:textId="77777777" w:rsidR="003463D3" w:rsidRDefault="003463D3">
            <w:pPr>
              <w:widowControl w:val="0"/>
              <w:pBdr>
                <w:top w:val="nil"/>
                <w:left w:val="nil"/>
                <w:bottom w:val="nil"/>
                <w:right w:val="nil"/>
                <w:between w:val="nil"/>
              </w:pBdr>
              <w:spacing w:line="276" w:lineRule="auto"/>
              <w:jc w:val="left"/>
            </w:pPr>
          </w:p>
        </w:tc>
        <w:tc>
          <w:tcPr>
            <w:tcW w:w="1380" w:type="dxa"/>
            <w:tcBorders>
              <w:top w:val="nil"/>
              <w:left w:val="nil"/>
              <w:bottom w:val="single" w:sz="5" w:space="0" w:color="000000"/>
              <w:right w:val="single" w:sz="5" w:space="0" w:color="000000"/>
            </w:tcBorders>
            <w:tcMar>
              <w:top w:w="100" w:type="dxa"/>
              <w:left w:w="100" w:type="dxa"/>
              <w:bottom w:w="100" w:type="dxa"/>
              <w:right w:w="100" w:type="dxa"/>
            </w:tcMar>
          </w:tcPr>
          <w:p w14:paraId="74AB3CF7" w14:textId="77777777" w:rsidR="003463D3" w:rsidRDefault="00000000">
            <w:pPr>
              <w:spacing w:before="240" w:after="240"/>
              <w:jc w:val="center"/>
            </w:pPr>
            <w:r>
              <w:t>(Forbes, 2024)</w:t>
            </w:r>
          </w:p>
        </w:tc>
        <w:tc>
          <w:tcPr>
            <w:tcW w:w="4020" w:type="dxa"/>
            <w:tcBorders>
              <w:top w:val="nil"/>
              <w:left w:val="nil"/>
              <w:bottom w:val="single" w:sz="5" w:space="0" w:color="000000"/>
              <w:right w:val="single" w:sz="5" w:space="0" w:color="000000"/>
            </w:tcBorders>
            <w:tcMar>
              <w:top w:w="100" w:type="dxa"/>
              <w:left w:w="100" w:type="dxa"/>
              <w:bottom w:w="100" w:type="dxa"/>
              <w:right w:w="100" w:type="dxa"/>
            </w:tcMar>
          </w:tcPr>
          <w:p w14:paraId="684ED254" w14:textId="77777777" w:rsidR="003463D3" w:rsidRDefault="00000000">
            <w:pPr>
              <w:spacing w:before="240" w:after="240"/>
            </w:pPr>
            <w:r>
              <w:t xml:space="preserve">Lack of control in working hours and inadequate appreciation and reward influence employee burnout concerning impacts on job satisfaction among health and social workers. </w:t>
            </w:r>
          </w:p>
        </w:tc>
        <w:tc>
          <w:tcPr>
            <w:tcW w:w="2310" w:type="dxa"/>
            <w:vMerge/>
            <w:tcBorders>
              <w:top w:val="nil"/>
              <w:left w:val="nil"/>
              <w:bottom w:val="single" w:sz="5" w:space="0" w:color="000000"/>
              <w:right w:val="single" w:sz="5" w:space="0" w:color="000000"/>
            </w:tcBorders>
            <w:tcMar>
              <w:top w:w="100" w:type="dxa"/>
              <w:left w:w="100" w:type="dxa"/>
              <w:bottom w:w="100" w:type="dxa"/>
              <w:right w:w="100" w:type="dxa"/>
            </w:tcMar>
          </w:tcPr>
          <w:p w14:paraId="32E7D16F" w14:textId="77777777" w:rsidR="003463D3" w:rsidRDefault="003463D3">
            <w:pPr>
              <w:widowControl w:val="0"/>
              <w:pBdr>
                <w:top w:val="nil"/>
                <w:left w:val="nil"/>
                <w:bottom w:val="nil"/>
                <w:right w:val="nil"/>
                <w:between w:val="nil"/>
              </w:pBdr>
              <w:spacing w:line="276" w:lineRule="auto"/>
              <w:jc w:val="left"/>
            </w:pPr>
          </w:p>
        </w:tc>
      </w:tr>
      <w:tr w:rsidR="003463D3" w14:paraId="45D053E3" w14:textId="77777777">
        <w:trPr>
          <w:trHeight w:val="2010"/>
        </w:trPr>
        <w:tc>
          <w:tcPr>
            <w:tcW w:w="1215" w:type="dxa"/>
            <w:vMerge w:val="restart"/>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5FF773A5" w14:textId="77777777" w:rsidR="003463D3" w:rsidRDefault="00000000">
            <w:pPr>
              <w:spacing w:before="240" w:after="240"/>
              <w:jc w:val="center"/>
              <w:rPr>
                <w:b/>
                <w:bCs/>
              </w:rPr>
            </w:pPr>
            <w:r>
              <w:rPr>
                <w:b/>
                <w:bCs/>
              </w:rPr>
              <w:t>Objective 3</w:t>
            </w:r>
          </w:p>
        </w:tc>
        <w:tc>
          <w:tcPr>
            <w:tcW w:w="1380" w:type="dxa"/>
            <w:tcBorders>
              <w:top w:val="nil"/>
              <w:left w:val="nil"/>
              <w:bottom w:val="single" w:sz="5" w:space="0" w:color="000000"/>
              <w:right w:val="single" w:sz="5" w:space="0" w:color="000000"/>
            </w:tcBorders>
            <w:tcMar>
              <w:top w:w="100" w:type="dxa"/>
              <w:left w:w="100" w:type="dxa"/>
              <w:bottom w:w="100" w:type="dxa"/>
              <w:right w:w="100" w:type="dxa"/>
            </w:tcMar>
          </w:tcPr>
          <w:p w14:paraId="331C75D5" w14:textId="77777777" w:rsidR="003463D3" w:rsidRDefault="00000000">
            <w:pPr>
              <w:spacing w:before="240" w:after="240"/>
              <w:jc w:val="center"/>
            </w:pPr>
            <w:proofErr w:type="spellStart"/>
            <w:r>
              <w:t>Athamneh</w:t>
            </w:r>
            <w:proofErr w:type="spellEnd"/>
            <w:r>
              <w:t xml:space="preserve"> (2024)</w:t>
            </w:r>
          </w:p>
        </w:tc>
        <w:tc>
          <w:tcPr>
            <w:tcW w:w="4020" w:type="dxa"/>
            <w:tcBorders>
              <w:top w:val="nil"/>
              <w:left w:val="nil"/>
              <w:bottom w:val="single" w:sz="5" w:space="0" w:color="000000"/>
              <w:right w:val="single" w:sz="5" w:space="0" w:color="000000"/>
            </w:tcBorders>
            <w:tcMar>
              <w:top w:w="100" w:type="dxa"/>
              <w:left w:w="100" w:type="dxa"/>
              <w:bottom w:w="100" w:type="dxa"/>
              <w:right w:w="100" w:type="dxa"/>
            </w:tcMar>
          </w:tcPr>
          <w:p w14:paraId="65E144A4" w14:textId="77777777" w:rsidR="003463D3" w:rsidRDefault="00000000">
            <w:pPr>
              <w:spacing w:before="240" w:after="240"/>
            </w:pPr>
            <w:r>
              <w:t xml:space="preserve">Inefficiency workforce restrictions and lack of appreciation based on employee performance impacts job motivation with the increase of employee burnout. </w:t>
            </w:r>
          </w:p>
        </w:tc>
        <w:tc>
          <w:tcPr>
            <w:tcW w:w="2310" w:type="dxa"/>
            <w:vMerge w:val="restart"/>
            <w:tcBorders>
              <w:top w:val="nil"/>
              <w:left w:val="nil"/>
              <w:bottom w:val="single" w:sz="5" w:space="0" w:color="000000"/>
              <w:right w:val="single" w:sz="5" w:space="0" w:color="000000"/>
            </w:tcBorders>
            <w:tcMar>
              <w:top w:w="100" w:type="dxa"/>
              <w:left w:w="100" w:type="dxa"/>
              <w:bottom w:w="100" w:type="dxa"/>
              <w:right w:w="100" w:type="dxa"/>
            </w:tcMar>
          </w:tcPr>
          <w:p w14:paraId="0E1346BC" w14:textId="77777777" w:rsidR="003463D3" w:rsidRDefault="00000000">
            <w:pPr>
              <w:numPr>
                <w:ilvl w:val="0"/>
                <w:numId w:val="3"/>
              </w:numPr>
              <w:spacing w:before="240"/>
            </w:pPr>
            <w:r>
              <w:t>Inefficiency workforce restrictions</w:t>
            </w:r>
          </w:p>
          <w:p w14:paraId="148D5724" w14:textId="77777777" w:rsidR="003463D3" w:rsidRDefault="00000000">
            <w:pPr>
              <w:numPr>
                <w:ilvl w:val="0"/>
                <w:numId w:val="3"/>
              </w:numPr>
            </w:pPr>
            <w:r>
              <w:t>Lack of appreciation</w:t>
            </w:r>
          </w:p>
          <w:p w14:paraId="0D54C670" w14:textId="77777777" w:rsidR="003463D3" w:rsidRDefault="00000000">
            <w:pPr>
              <w:numPr>
                <w:ilvl w:val="0"/>
                <w:numId w:val="3"/>
              </w:numPr>
            </w:pPr>
            <w:r>
              <w:t>Implementation of job performance</w:t>
            </w:r>
          </w:p>
          <w:p w14:paraId="084D7FAC" w14:textId="77777777" w:rsidR="003463D3" w:rsidRDefault="00000000">
            <w:pPr>
              <w:numPr>
                <w:ilvl w:val="0"/>
                <w:numId w:val="3"/>
              </w:numPr>
            </w:pPr>
            <w:r>
              <w:t>Job satisfaction</w:t>
            </w:r>
          </w:p>
          <w:p w14:paraId="202799D1" w14:textId="77777777" w:rsidR="003463D3" w:rsidRDefault="00000000">
            <w:pPr>
              <w:numPr>
                <w:ilvl w:val="0"/>
                <w:numId w:val="3"/>
              </w:numPr>
            </w:pPr>
            <w:r>
              <w:t>Inadequate employee management</w:t>
            </w:r>
          </w:p>
          <w:p w14:paraId="2A44A079" w14:textId="77777777" w:rsidR="003463D3" w:rsidRDefault="00000000">
            <w:pPr>
              <w:numPr>
                <w:ilvl w:val="0"/>
                <w:numId w:val="3"/>
              </w:numPr>
              <w:spacing w:after="240"/>
            </w:pPr>
            <w:r>
              <w:t>£30 billion staff sickness</w:t>
            </w:r>
          </w:p>
          <w:p w14:paraId="25CD089E" w14:textId="77777777" w:rsidR="003463D3" w:rsidRDefault="003463D3">
            <w:pPr>
              <w:spacing w:before="240" w:after="240"/>
            </w:pPr>
          </w:p>
        </w:tc>
      </w:tr>
      <w:tr w:rsidR="003463D3" w14:paraId="6FAF377F" w14:textId="77777777">
        <w:trPr>
          <w:trHeight w:val="1650"/>
        </w:trPr>
        <w:tc>
          <w:tcPr>
            <w:tcW w:w="1215" w:type="dxa"/>
            <w:vMerge/>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642F1809" w14:textId="77777777" w:rsidR="003463D3" w:rsidRDefault="003463D3">
            <w:pPr>
              <w:widowControl w:val="0"/>
              <w:pBdr>
                <w:top w:val="nil"/>
                <w:left w:val="nil"/>
                <w:bottom w:val="nil"/>
                <w:right w:val="nil"/>
                <w:between w:val="nil"/>
              </w:pBdr>
              <w:spacing w:line="276" w:lineRule="auto"/>
              <w:jc w:val="left"/>
            </w:pPr>
          </w:p>
        </w:tc>
        <w:tc>
          <w:tcPr>
            <w:tcW w:w="1380" w:type="dxa"/>
            <w:tcBorders>
              <w:top w:val="nil"/>
              <w:left w:val="nil"/>
              <w:bottom w:val="single" w:sz="5" w:space="0" w:color="000000"/>
              <w:right w:val="single" w:sz="5" w:space="0" w:color="000000"/>
            </w:tcBorders>
            <w:tcMar>
              <w:top w:w="100" w:type="dxa"/>
              <w:left w:w="100" w:type="dxa"/>
              <w:bottom w:w="100" w:type="dxa"/>
              <w:right w:w="100" w:type="dxa"/>
            </w:tcMar>
          </w:tcPr>
          <w:p w14:paraId="7DB9F2AC" w14:textId="77777777" w:rsidR="003463D3" w:rsidRDefault="00000000">
            <w:pPr>
              <w:spacing w:before="240" w:after="240"/>
              <w:jc w:val="center"/>
            </w:pPr>
            <w:r>
              <w:t xml:space="preserve">Wang </w:t>
            </w:r>
            <w:r>
              <w:rPr>
                <w:i/>
                <w:iCs/>
              </w:rPr>
              <w:t xml:space="preserve">et al. </w:t>
            </w:r>
            <w:r>
              <w:t>(2022)</w:t>
            </w:r>
          </w:p>
        </w:tc>
        <w:tc>
          <w:tcPr>
            <w:tcW w:w="4020" w:type="dxa"/>
            <w:tcBorders>
              <w:top w:val="nil"/>
              <w:left w:val="nil"/>
              <w:bottom w:val="single" w:sz="5" w:space="0" w:color="000000"/>
              <w:right w:val="single" w:sz="5" w:space="0" w:color="000000"/>
            </w:tcBorders>
            <w:tcMar>
              <w:top w:w="100" w:type="dxa"/>
              <w:left w:w="100" w:type="dxa"/>
              <w:bottom w:w="100" w:type="dxa"/>
              <w:right w:w="100" w:type="dxa"/>
            </w:tcMar>
          </w:tcPr>
          <w:p w14:paraId="619FB5C8" w14:textId="77777777" w:rsidR="003463D3" w:rsidRDefault="00000000">
            <w:pPr>
              <w:spacing w:before="240" w:after="240"/>
            </w:pPr>
            <w:r>
              <w:t xml:space="preserve"> The implementation of job performance and ensure job satisfaction among employees leads to building an effective workforce to deliver integrated healthcare service with minimisation of employee burnout. </w:t>
            </w:r>
          </w:p>
        </w:tc>
        <w:tc>
          <w:tcPr>
            <w:tcW w:w="2310" w:type="dxa"/>
            <w:vMerge/>
            <w:tcBorders>
              <w:top w:val="nil"/>
              <w:left w:val="nil"/>
              <w:bottom w:val="single" w:sz="5" w:space="0" w:color="000000"/>
              <w:right w:val="single" w:sz="5" w:space="0" w:color="000000"/>
            </w:tcBorders>
            <w:tcMar>
              <w:top w:w="100" w:type="dxa"/>
              <w:left w:w="100" w:type="dxa"/>
              <w:bottom w:w="100" w:type="dxa"/>
              <w:right w:w="100" w:type="dxa"/>
            </w:tcMar>
          </w:tcPr>
          <w:p w14:paraId="470D98E4" w14:textId="77777777" w:rsidR="003463D3" w:rsidRDefault="003463D3">
            <w:pPr>
              <w:widowControl w:val="0"/>
              <w:pBdr>
                <w:top w:val="nil"/>
                <w:left w:val="nil"/>
                <w:bottom w:val="nil"/>
                <w:right w:val="nil"/>
                <w:between w:val="nil"/>
              </w:pBdr>
              <w:spacing w:line="276" w:lineRule="auto"/>
              <w:jc w:val="left"/>
            </w:pPr>
          </w:p>
        </w:tc>
      </w:tr>
      <w:tr w:rsidR="003463D3" w14:paraId="1A1AFAF9" w14:textId="77777777">
        <w:trPr>
          <w:trHeight w:val="2010"/>
        </w:trPr>
        <w:tc>
          <w:tcPr>
            <w:tcW w:w="1215" w:type="dxa"/>
            <w:vMerge/>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2FF0E6B8" w14:textId="77777777" w:rsidR="003463D3" w:rsidRDefault="003463D3">
            <w:pPr>
              <w:widowControl w:val="0"/>
              <w:pBdr>
                <w:top w:val="nil"/>
                <w:left w:val="nil"/>
                <w:bottom w:val="nil"/>
                <w:right w:val="nil"/>
                <w:between w:val="nil"/>
              </w:pBdr>
              <w:spacing w:line="276" w:lineRule="auto"/>
              <w:jc w:val="left"/>
            </w:pPr>
          </w:p>
        </w:tc>
        <w:tc>
          <w:tcPr>
            <w:tcW w:w="1380" w:type="dxa"/>
            <w:tcBorders>
              <w:top w:val="nil"/>
              <w:left w:val="nil"/>
              <w:bottom w:val="single" w:sz="5" w:space="0" w:color="000000"/>
              <w:right w:val="single" w:sz="5" w:space="0" w:color="000000"/>
            </w:tcBorders>
            <w:tcMar>
              <w:top w:w="100" w:type="dxa"/>
              <w:left w:w="100" w:type="dxa"/>
              <w:bottom w:w="100" w:type="dxa"/>
              <w:right w:w="100" w:type="dxa"/>
            </w:tcMar>
          </w:tcPr>
          <w:p w14:paraId="47CFE3C1" w14:textId="77777777" w:rsidR="003463D3" w:rsidRDefault="00000000">
            <w:pPr>
              <w:spacing w:before="240" w:after="240"/>
              <w:jc w:val="center"/>
            </w:pPr>
            <w:r>
              <w:t>Gregory (2024)</w:t>
            </w:r>
          </w:p>
        </w:tc>
        <w:tc>
          <w:tcPr>
            <w:tcW w:w="4020" w:type="dxa"/>
            <w:tcBorders>
              <w:top w:val="nil"/>
              <w:left w:val="nil"/>
              <w:bottom w:val="single" w:sz="5" w:space="0" w:color="000000"/>
              <w:right w:val="single" w:sz="5" w:space="0" w:color="000000"/>
            </w:tcBorders>
            <w:tcMar>
              <w:top w:w="100" w:type="dxa"/>
              <w:left w:w="100" w:type="dxa"/>
              <w:bottom w:w="100" w:type="dxa"/>
              <w:right w:w="100" w:type="dxa"/>
            </w:tcMar>
          </w:tcPr>
          <w:p w14:paraId="0D6144D3" w14:textId="59F8946C" w:rsidR="003463D3" w:rsidRDefault="00000000">
            <w:pPr>
              <w:spacing w:before="240" w:after="240"/>
            </w:pPr>
            <w:r>
              <w:t xml:space="preserve">Inadequate employee managements </w:t>
            </w:r>
            <w:r w:rsidR="00C3615C">
              <w:t>impact</w:t>
            </w:r>
            <w:r>
              <w:t xml:space="preserve"> improvements and work performance and productivity of employee for 44 days due to increasing burnout with enhancement of £30 billion staff sickness based on the Public Policy Research</w:t>
            </w:r>
          </w:p>
        </w:tc>
        <w:tc>
          <w:tcPr>
            <w:tcW w:w="2310" w:type="dxa"/>
            <w:vMerge/>
            <w:tcBorders>
              <w:top w:val="nil"/>
              <w:left w:val="nil"/>
              <w:bottom w:val="single" w:sz="5" w:space="0" w:color="000000"/>
              <w:right w:val="single" w:sz="5" w:space="0" w:color="000000"/>
            </w:tcBorders>
            <w:tcMar>
              <w:top w:w="100" w:type="dxa"/>
              <w:left w:w="100" w:type="dxa"/>
              <w:bottom w:w="100" w:type="dxa"/>
              <w:right w:w="100" w:type="dxa"/>
            </w:tcMar>
          </w:tcPr>
          <w:p w14:paraId="679A00BB" w14:textId="77777777" w:rsidR="003463D3" w:rsidRDefault="003463D3">
            <w:pPr>
              <w:widowControl w:val="0"/>
              <w:pBdr>
                <w:top w:val="nil"/>
                <w:left w:val="nil"/>
                <w:bottom w:val="nil"/>
                <w:right w:val="nil"/>
                <w:between w:val="nil"/>
              </w:pBdr>
              <w:spacing w:line="276" w:lineRule="auto"/>
              <w:jc w:val="left"/>
            </w:pPr>
          </w:p>
        </w:tc>
      </w:tr>
      <w:tr w:rsidR="003463D3" w14:paraId="7E479348" w14:textId="77777777">
        <w:trPr>
          <w:trHeight w:val="1650"/>
        </w:trPr>
        <w:tc>
          <w:tcPr>
            <w:tcW w:w="1215" w:type="dxa"/>
            <w:vMerge w:val="restart"/>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181AF1A9" w14:textId="77777777" w:rsidR="003463D3" w:rsidRDefault="00000000">
            <w:pPr>
              <w:spacing w:before="240" w:after="240"/>
              <w:jc w:val="center"/>
              <w:rPr>
                <w:b/>
                <w:bCs/>
              </w:rPr>
            </w:pPr>
            <w:r>
              <w:rPr>
                <w:b/>
                <w:bCs/>
              </w:rPr>
              <w:t>Objective 4</w:t>
            </w:r>
          </w:p>
        </w:tc>
        <w:tc>
          <w:tcPr>
            <w:tcW w:w="1380" w:type="dxa"/>
            <w:tcBorders>
              <w:top w:val="nil"/>
              <w:left w:val="nil"/>
              <w:bottom w:val="single" w:sz="5" w:space="0" w:color="000000"/>
              <w:right w:val="single" w:sz="5" w:space="0" w:color="000000"/>
            </w:tcBorders>
            <w:tcMar>
              <w:top w:w="100" w:type="dxa"/>
              <w:left w:w="100" w:type="dxa"/>
              <w:bottom w:w="100" w:type="dxa"/>
              <w:right w:w="100" w:type="dxa"/>
            </w:tcMar>
          </w:tcPr>
          <w:p w14:paraId="5CB593A5" w14:textId="77777777" w:rsidR="003463D3" w:rsidRDefault="00000000">
            <w:pPr>
              <w:spacing w:before="240" w:after="240"/>
              <w:jc w:val="center"/>
            </w:pPr>
            <w:r>
              <w:t xml:space="preserve">Cohen </w:t>
            </w:r>
            <w:r>
              <w:rPr>
                <w:i/>
                <w:iCs/>
              </w:rPr>
              <w:t xml:space="preserve">et al. </w:t>
            </w:r>
            <w:r>
              <w:t>(2023)</w:t>
            </w:r>
          </w:p>
        </w:tc>
        <w:tc>
          <w:tcPr>
            <w:tcW w:w="4020" w:type="dxa"/>
            <w:tcBorders>
              <w:top w:val="nil"/>
              <w:left w:val="nil"/>
              <w:bottom w:val="single" w:sz="5" w:space="0" w:color="000000"/>
              <w:right w:val="single" w:sz="5" w:space="0" w:color="000000"/>
            </w:tcBorders>
            <w:tcMar>
              <w:top w:w="100" w:type="dxa"/>
              <w:left w:w="100" w:type="dxa"/>
              <w:bottom w:w="100" w:type="dxa"/>
              <w:right w:w="100" w:type="dxa"/>
            </w:tcMar>
          </w:tcPr>
          <w:p w14:paraId="3CEE0412" w14:textId="77777777" w:rsidR="003463D3" w:rsidRDefault="00000000">
            <w:pPr>
              <w:spacing w:before="240" w:after="240"/>
            </w:pPr>
            <w:r>
              <w:t xml:space="preserve">Individual-focused intervention, concerning relaxation training leads to change employee behaviour with the established health and wellbeing and </w:t>
            </w:r>
            <w:r>
              <w:lastRenderedPageBreak/>
              <w:t xml:space="preserve">minimised possibility of workforce burnout. </w:t>
            </w:r>
          </w:p>
        </w:tc>
        <w:tc>
          <w:tcPr>
            <w:tcW w:w="2310" w:type="dxa"/>
            <w:vMerge w:val="restart"/>
            <w:tcBorders>
              <w:top w:val="nil"/>
              <w:left w:val="nil"/>
              <w:bottom w:val="single" w:sz="5" w:space="0" w:color="000000"/>
              <w:right w:val="single" w:sz="5" w:space="0" w:color="000000"/>
            </w:tcBorders>
            <w:tcMar>
              <w:top w:w="100" w:type="dxa"/>
              <w:left w:w="100" w:type="dxa"/>
              <w:bottom w:w="100" w:type="dxa"/>
              <w:right w:w="100" w:type="dxa"/>
            </w:tcMar>
          </w:tcPr>
          <w:p w14:paraId="121F0C4B" w14:textId="77777777" w:rsidR="003463D3" w:rsidRDefault="00000000">
            <w:pPr>
              <w:numPr>
                <w:ilvl w:val="0"/>
                <w:numId w:val="4"/>
              </w:numPr>
              <w:spacing w:before="240"/>
            </w:pPr>
            <w:r>
              <w:lastRenderedPageBreak/>
              <w:t>Individual-focused intervention</w:t>
            </w:r>
          </w:p>
          <w:p w14:paraId="4C276659" w14:textId="77777777" w:rsidR="003463D3" w:rsidRDefault="00000000">
            <w:pPr>
              <w:numPr>
                <w:ilvl w:val="0"/>
                <w:numId w:val="4"/>
              </w:numPr>
            </w:pPr>
            <w:r>
              <w:lastRenderedPageBreak/>
              <w:t>Relaxation training</w:t>
            </w:r>
          </w:p>
          <w:p w14:paraId="1E8E3AA7" w14:textId="77777777" w:rsidR="003463D3" w:rsidRDefault="00000000">
            <w:pPr>
              <w:numPr>
                <w:ilvl w:val="0"/>
                <w:numId w:val="4"/>
              </w:numPr>
            </w:pPr>
            <w:r>
              <w:t>Change employee behaviour</w:t>
            </w:r>
          </w:p>
          <w:p w14:paraId="516CD5BC" w14:textId="77777777" w:rsidR="003463D3" w:rsidRDefault="00000000">
            <w:pPr>
              <w:numPr>
                <w:ilvl w:val="0"/>
                <w:numId w:val="4"/>
              </w:numPr>
            </w:pPr>
            <w:r>
              <w:t>Multifaceted approach</w:t>
            </w:r>
          </w:p>
          <w:p w14:paraId="5750688F" w14:textId="77777777" w:rsidR="003463D3" w:rsidRDefault="00000000">
            <w:pPr>
              <w:numPr>
                <w:ilvl w:val="0"/>
                <w:numId w:val="4"/>
              </w:numPr>
            </w:pPr>
            <w:r>
              <w:t>Improvement of leadership practice</w:t>
            </w:r>
          </w:p>
          <w:p w14:paraId="42C818EE" w14:textId="77777777" w:rsidR="003463D3" w:rsidRDefault="00000000">
            <w:pPr>
              <w:numPr>
                <w:ilvl w:val="0"/>
                <w:numId w:val="4"/>
              </w:numPr>
            </w:pPr>
            <w:r>
              <w:t>Multilevel approach</w:t>
            </w:r>
          </w:p>
          <w:p w14:paraId="11713A48" w14:textId="77777777" w:rsidR="003463D3" w:rsidRDefault="00000000">
            <w:pPr>
              <w:numPr>
                <w:ilvl w:val="0"/>
                <w:numId w:val="4"/>
              </w:numPr>
            </w:pPr>
            <w:r>
              <w:t>Staff retention</w:t>
            </w:r>
          </w:p>
          <w:p w14:paraId="3FD58B23" w14:textId="77777777" w:rsidR="003463D3" w:rsidRDefault="00000000">
            <w:pPr>
              <w:numPr>
                <w:ilvl w:val="0"/>
                <w:numId w:val="4"/>
              </w:numPr>
              <w:spacing w:after="240"/>
            </w:pPr>
            <w:r>
              <w:t>Reward and recognition</w:t>
            </w:r>
          </w:p>
        </w:tc>
      </w:tr>
      <w:tr w:rsidR="003463D3" w14:paraId="4DFAF600" w14:textId="77777777">
        <w:trPr>
          <w:trHeight w:val="1290"/>
        </w:trPr>
        <w:tc>
          <w:tcPr>
            <w:tcW w:w="1215" w:type="dxa"/>
            <w:vMerge/>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1AEA1BA2" w14:textId="77777777" w:rsidR="003463D3" w:rsidRDefault="003463D3">
            <w:pPr>
              <w:widowControl w:val="0"/>
              <w:pBdr>
                <w:top w:val="nil"/>
                <w:left w:val="nil"/>
                <w:bottom w:val="nil"/>
                <w:right w:val="nil"/>
                <w:between w:val="nil"/>
              </w:pBdr>
              <w:spacing w:line="276" w:lineRule="auto"/>
              <w:jc w:val="left"/>
            </w:pPr>
          </w:p>
        </w:tc>
        <w:tc>
          <w:tcPr>
            <w:tcW w:w="1380" w:type="dxa"/>
            <w:tcBorders>
              <w:top w:val="nil"/>
              <w:left w:val="nil"/>
              <w:bottom w:val="single" w:sz="5" w:space="0" w:color="000000"/>
              <w:right w:val="single" w:sz="5" w:space="0" w:color="000000"/>
            </w:tcBorders>
            <w:tcMar>
              <w:top w:w="100" w:type="dxa"/>
              <w:left w:w="100" w:type="dxa"/>
              <w:bottom w:w="100" w:type="dxa"/>
              <w:right w:w="100" w:type="dxa"/>
            </w:tcMar>
          </w:tcPr>
          <w:p w14:paraId="2232CDAD" w14:textId="77777777" w:rsidR="003463D3" w:rsidRDefault="00000000">
            <w:pPr>
              <w:spacing w:before="240" w:after="240"/>
              <w:jc w:val="center"/>
            </w:pPr>
            <w:r>
              <w:t>Speicher and Francis (2023)</w:t>
            </w:r>
          </w:p>
        </w:tc>
        <w:tc>
          <w:tcPr>
            <w:tcW w:w="4020" w:type="dxa"/>
            <w:tcBorders>
              <w:top w:val="nil"/>
              <w:left w:val="nil"/>
              <w:bottom w:val="single" w:sz="5" w:space="0" w:color="000000"/>
              <w:right w:val="single" w:sz="5" w:space="0" w:color="000000"/>
            </w:tcBorders>
            <w:tcMar>
              <w:top w:w="100" w:type="dxa"/>
              <w:left w:w="100" w:type="dxa"/>
              <w:bottom w:w="100" w:type="dxa"/>
              <w:right w:w="100" w:type="dxa"/>
            </w:tcMar>
          </w:tcPr>
          <w:p w14:paraId="120925B1" w14:textId="77777777" w:rsidR="003463D3" w:rsidRDefault="00000000">
            <w:pPr>
              <w:spacing w:before="240" w:after="240"/>
            </w:pPr>
            <w:r>
              <w:t xml:space="preserve">Multifaceted approach with improvements of leadership practice is required for the reduction of turnover rate, burnout of staff concerning implication of health and wellbeing’s. </w:t>
            </w:r>
          </w:p>
        </w:tc>
        <w:tc>
          <w:tcPr>
            <w:tcW w:w="2310" w:type="dxa"/>
            <w:vMerge/>
            <w:tcBorders>
              <w:top w:val="nil"/>
              <w:left w:val="nil"/>
              <w:bottom w:val="single" w:sz="5" w:space="0" w:color="000000"/>
              <w:right w:val="single" w:sz="5" w:space="0" w:color="000000"/>
            </w:tcBorders>
            <w:tcMar>
              <w:top w:w="100" w:type="dxa"/>
              <w:left w:w="100" w:type="dxa"/>
              <w:bottom w:w="100" w:type="dxa"/>
              <w:right w:w="100" w:type="dxa"/>
            </w:tcMar>
          </w:tcPr>
          <w:p w14:paraId="03F7A17D" w14:textId="77777777" w:rsidR="003463D3" w:rsidRDefault="003463D3">
            <w:pPr>
              <w:widowControl w:val="0"/>
              <w:pBdr>
                <w:top w:val="nil"/>
                <w:left w:val="nil"/>
                <w:bottom w:val="nil"/>
                <w:right w:val="nil"/>
                <w:between w:val="nil"/>
              </w:pBdr>
              <w:spacing w:line="276" w:lineRule="auto"/>
              <w:jc w:val="left"/>
            </w:pPr>
          </w:p>
        </w:tc>
      </w:tr>
      <w:tr w:rsidR="003463D3" w14:paraId="791A5286" w14:textId="77777777">
        <w:trPr>
          <w:trHeight w:val="1290"/>
        </w:trPr>
        <w:tc>
          <w:tcPr>
            <w:tcW w:w="1215" w:type="dxa"/>
            <w:vMerge/>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2FBC43AE" w14:textId="77777777" w:rsidR="003463D3" w:rsidRDefault="003463D3">
            <w:pPr>
              <w:widowControl w:val="0"/>
              <w:pBdr>
                <w:top w:val="nil"/>
                <w:left w:val="nil"/>
                <w:bottom w:val="nil"/>
                <w:right w:val="nil"/>
                <w:between w:val="nil"/>
              </w:pBdr>
              <w:spacing w:line="276" w:lineRule="auto"/>
              <w:jc w:val="left"/>
            </w:pPr>
          </w:p>
        </w:tc>
        <w:tc>
          <w:tcPr>
            <w:tcW w:w="1380" w:type="dxa"/>
            <w:tcBorders>
              <w:top w:val="nil"/>
              <w:left w:val="nil"/>
              <w:bottom w:val="single" w:sz="5" w:space="0" w:color="000000"/>
              <w:right w:val="single" w:sz="5" w:space="0" w:color="000000"/>
            </w:tcBorders>
            <w:tcMar>
              <w:top w:w="100" w:type="dxa"/>
              <w:left w:w="100" w:type="dxa"/>
              <w:bottom w:w="100" w:type="dxa"/>
              <w:right w:w="100" w:type="dxa"/>
            </w:tcMar>
          </w:tcPr>
          <w:p w14:paraId="647D3058" w14:textId="77777777" w:rsidR="003463D3" w:rsidRDefault="00000000">
            <w:pPr>
              <w:spacing w:before="240" w:after="240"/>
              <w:jc w:val="center"/>
            </w:pPr>
            <w:r>
              <w:t xml:space="preserve">Ansari </w:t>
            </w:r>
            <w:r>
              <w:rPr>
                <w:i/>
                <w:iCs/>
              </w:rPr>
              <w:t xml:space="preserve">et al. </w:t>
            </w:r>
            <w:r>
              <w:t>(2022)</w:t>
            </w:r>
          </w:p>
        </w:tc>
        <w:tc>
          <w:tcPr>
            <w:tcW w:w="4020" w:type="dxa"/>
            <w:tcBorders>
              <w:top w:val="nil"/>
              <w:left w:val="nil"/>
              <w:bottom w:val="single" w:sz="5" w:space="0" w:color="000000"/>
              <w:right w:val="single" w:sz="5" w:space="0" w:color="000000"/>
            </w:tcBorders>
            <w:tcMar>
              <w:top w:w="100" w:type="dxa"/>
              <w:left w:w="100" w:type="dxa"/>
              <w:bottom w:w="100" w:type="dxa"/>
              <w:right w:w="100" w:type="dxa"/>
            </w:tcMar>
          </w:tcPr>
          <w:p w14:paraId="31B47A69" w14:textId="77777777" w:rsidR="003463D3" w:rsidRDefault="00000000">
            <w:pPr>
              <w:spacing w:before="240" w:after="240"/>
            </w:pPr>
            <w:r>
              <w:t xml:space="preserve">The used of multilevel approach in the staff retention such as reward and recognition based on job performance of employee helps to reduce burnout and integrate health and wellbeing in the health and social care workers. </w:t>
            </w:r>
          </w:p>
        </w:tc>
        <w:tc>
          <w:tcPr>
            <w:tcW w:w="2310" w:type="dxa"/>
            <w:vMerge/>
            <w:tcBorders>
              <w:top w:val="nil"/>
              <w:left w:val="nil"/>
              <w:bottom w:val="single" w:sz="5" w:space="0" w:color="000000"/>
              <w:right w:val="single" w:sz="5" w:space="0" w:color="000000"/>
            </w:tcBorders>
            <w:tcMar>
              <w:top w:w="100" w:type="dxa"/>
              <w:left w:w="100" w:type="dxa"/>
              <w:bottom w:w="100" w:type="dxa"/>
              <w:right w:w="100" w:type="dxa"/>
            </w:tcMar>
          </w:tcPr>
          <w:p w14:paraId="73C8CAD5" w14:textId="77777777" w:rsidR="003463D3" w:rsidRDefault="003463D3">
            <w:pPr>
              <w:widowControl w:val="0"/>
              <w:pBdr>
                <w:top w:val="nil"/>
                <w:left w:val="nil"/>
                <w:bottom w:val="nil"/>
                <w:right w:val="nil"/>
                <w:between w:val="nil"/>
              </w:pBdr>
              <w:spacing w:line="276" w:lineRule="auto"/>
              <w:jc w:val="left"/>
            </w:pPr>
          </w:p>
        </w:tc>
      </w:tr>
    </w:tbl>
    <w:p w14:paraId="01DCD658" w14:textId="77777777" w:rsidR="003463D3" w:rsidRDefault="003463D3">
      <w:pPr>
        <w:jc w:val="center"/>
        <w:rPr>
          <w:b/>
          <w:bCs/>
        </w:rPr>
      </w:pPr>
    </w:p>
    <w:p w14:paraId="1017A498" w14:textId="77777777" w:rsidR="003463D3" w:rsidRDefault="00000000">
      <w:pPr>
        <w:pStyle w:val="Heading5"/>
      </w:pPr>
      <w:bookmarkStart w:id="46" w:name="_heading=h.98y0ivt1xlr1" w:colFirst="0" w:colLast="0"/>
      <w:bookmarkEnd w:id="46"/>
      <w:r>
        <w:t>Table 4.1: Coding</w:t>
      </w:r>
    </w:p>
    <w:p w14:paraId="76121EA7" w14:textId="77777777" w:rsidR="003463D3" w:rsidRDefault="00000000">
      <w:pPr>
        <w:pStyle w:val="Heading2"/>
      </w:pPr>
      <w:bookmarkStart w:id="47" w:name="_Toc219841851"/>
      <w:r>
        <w:t>4.4 Theme generation</w:t>
      </w:r>
      <w:bookmarkEnd w:id="47"/>
      <w:r>
        <w:t xml:space="preserve"> </w:t>
      </w:r>
    </w:p>
    <w:tbl>
      <w:tblPr>
        <w:tblStyle w:val="a2"/>
        <w:tblW w:w="8985" w:type="dxa"/>
        <w:tblBorders>
          <w:top w:val="nil"/>
          <w:left w:val="nil"/>
          <w:bottom w:val="nil"/>
          <w:right w:val="nil"/>
          <w:insideH w:val="nil"/>
          <w:insideV w:val="nil"/>
        </w:tblBorders>
        <w:tblLayout w:type="fixed"/>
        <w:tblLook w:val="0600" w:firstRow="0" w:lastRow="0" w:firstColumn="0" w:lastColumn="0" w:noHBand="1" w:noVBand="1"/>
      </w:tblPr>
      <w:tblGrid>
        <w:gridCol w:w="3735"/>
        <w:gridCol w:w="5250"/>
      </w:tblGrid>
      <w:tr w:rsidR="003463D3" w14:paraId="31AE0C71" w14:textId="77777777">
        <w:trPr>
          <w:trHeight w:val="570"/>
        </w:trPr>
        <w:tc>
          <w:tcPr>
            <w:tcW w:w="3735"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tcPr>
          <w:p w14:paraId="302EEFCB" w14:textId="77777777" w:rsidR="003463D3" w:rsidRDefault="00000000">
            <w:pPr>
              <w:spacing w:before="240" w:after="240"/>
              <w:jc w:val="center"/>
              <w:rPr>
                <w:b/>
                <w:bCs/>
              </w:rPr>
            </w:pPr>
            <w:r>
              <w:rPr>
                <w:b/>
                <w:bCs/>
              </w:rPr>
              <w:t>Codes</w:t>
            </w:r>
          </w:p>
        </w:tc>
        <w:tc>
          <w:tcPr>
            <w:tcW w:w="5250" w:type="dxa"/>
            <w:tcBorders>
              <w:top w:val="single" w:sz="5" w:space="0" w:color="000000"/>
              <w:left w:val="nil"/>
              <w:bottom w:val="single" w:sz="5" w:space="0" w:color="000000"/>
              <w:right w:val="single" w:sz="5" w:space="0" w:color="000000"/>
            </w:tcBorders>
            <w:tcMar>
              <w:top w:w="100" w:type="dxa"/>
              <w:left w:w="100" w:type="dxa"/>
              <w:bottom w:w="100" w:type="dxa"/>
              <w:right w:w="100" w:type="dxa"/>
            </w:tcMar>
          </w:tcPr>
          <w:p w14:paraId="13B213CB" w14:textId="77777777" w:rsidR="003463D3" w:rsidRDefault="00000000">
            <w:pPr>
              <w:spacing w:before="240" w:after="240"/>
              <w:jc w:val="center"/>
              <w:rPr>
                <w:b/>
                <w:bCs/>
              </w:rPr>
            </w:pPr>
            <w:r>
              <w:rPr>
                <w:b/>
                <w:bCs/>
              </w:rPr>
              <w:t>Theme</w:t>
            </w:r>
          </w:p>
        </w:tc>
      </w:tr>
      <w:tr w:rsidR="003463D3" w14:paraId="0A41430C" w14:textId="77777777">
        <w:trPr>
          <w:trHeight w:val="3871"/>
        </w:trPr>
        <w:tc>
          <w:tcPr>
            <w:tcW w:w="3735"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7D201FA4" w14:textId="77777777" w:rsidR="003463D3" w:rsidRDefault="00000000">
            <w:pPr>
              <w:numPr>
                <w:ilvl w:val="0"/>
                <w:numId w:val="1"/>
              </w:numPr>
              <w:spacing w:before="240"/>
            </w:pPr>
            <w:r>
              <w:lastRenderedPageBreak/>
              <w:t>Excessive workload</w:t>
            </w:r>
          </w:p>
          <w:p w14:paraId="546AD98D" w14:textId="77777777" w:rsidR="003463D3" w:rsidRDefault="00000000">
            <w:pPr>
              <w:numPr>
                <w:ilvl w:val="0"/>
                <w:numId w:val="1"/>
              </w:numPr>
            </w:pPr>
            <w:r>
              <w:t>Mental fatigue</w:t>
            </w:r>
          </w:p>
          <w:p w14:paraId="2228E38C" w14:textId="77777777" w:rsidR="003463D3" w:rsidRDefault="00000000">
            <w:pPr>
              <w:numPr>
                <w:ilvl w:val="0"/>
                <w:numId w:val="1"/>
              </w:numPr>
            </w:pPr>
            <w:r>
              <w:t>Anxiety</w:t>
            </w:r>
          </w:p>
          <w:p w14:paraId="15AE25DD" w14:textId="77777777" w:rsidR="003463D3" w:rsidRDefault="00000000">
            <w:pPr>
              <w:numPr>
                <w:ilvl w:val="0"/>
                <w:numId w:val="1"/>
              </w:numPr>
            </w:pPr>
            <w:r>
              <w:t>Depression</w:t>
            </w:r>
          </w:p>
          <w:p w14:paraId="54EF4502" w14:textId="77777777" w:rsidR="003463D3" w:rsidRDefault="00000000">
            <w:pPr>
              <w:numPr>
                <w:ilvl w:val="0"/>
                <w:numId w:val="1"/>
              </w:numPr>
            </w:pPr>
            <w:r>
              <w:t>Trauma</w:t>
            </w:r>
          </w:p>
          <w:p w14:paraId="7A3740A1" w14:textId="77777777" w:rsidR="003463D3" w:rsidRDefault="00000000">
            <w:pPr>
              <w:numPr>
                <w:ilvl w:val="0"/>
                <w:numId w:val="1"/>
              </w:numPr>
            </w:pPr>
            <w:r>
              <w:t>Employee assistants</w:t>
            </w:r>
          </w:p>
          <w:p w14:paraId="34B757B3" w14:textId="77777777" w:rsidR="003463D3" w:rsidRDefault="00000000">
            <w:pPr>
              <w:numPr>
                <w:ilvl w:val="0"/>
                <w:numId w:val="1"/>
              </w:numPr>
            </w:pPr>
            <w:r>
              <w:t>Increase work stress</w:t>
            </w:r>
          </w:p>
          <w:p w14:paraId="78AC4790" w14:textId="77777777" w:rsidR="003463D3" w:rsidRDefault="00000000">
            <w:pPr>
              <w:numPr>
                <w:ilvl w:val="0"/>
                <w:numId w:val="1"/>
              </w:numPr>
            </w:pPr>
            <w:r>
              <w:t>Anxiety and depression</w:t>
            </w:r>
          </w:p>
          <w:p w14:paraId="044261D7" w14:textId="77777777" w:rsidR="003463D3" w:rsidRDefault="00000000">
            <w:pPr>
              <w:numPr>
                <w:ilvl w:val="0"/>
                <w:numId w:val="1"/>
              </w:numPr>
              <w:spacing w:after="240"/>
            </w:pPr>
            <w:r>
              <w:t>Absenteeism and sickness</w:t>
            </w:r>
          </w:p>
        </w:tc>
        <w:tc>
          <w:tcPr>
            <w:tcW w:w="5250" w:type="dxa"/>
            <w:tcBorders>
              <w:top w:val="nil"/>
              <w:left w:val="nil"/>
              <w:bottom w:val="single" w:sz="5" w:space="0" w:color="000000"/>
              <w:right w:val="single" w:sz="5" w:space="0" w:color="000000"/>
            </w:tcBorders>
            <w:tcMar>
              <w:top w:w="100" w:type="dxa"/>
              <w:left w:w="100" w:type="dxa"/>
              <w:bottom w:w="100" w:type="dxa"/>
              <w:right w:w="100" w:type="dxa"/>
            </w:tcMar>
          </w:tcPr>
          <w:p w14:paraId="01B038C5" w14:textId="77777777" w:rsidR="003463D3" w:rsidRDefault="00000000">
            <w:pPr>
              <w:spacing w:before="240" w:after="240"/>
              <w:rPr>
                <w:b/>
                <w:bCs/>
              </w:rPr>
            </w:pPr>
            <w:r>
              <w:rPr>
                <w:b/>
                <w:bCs/>
              </w:rPr>
              <w:t xml:space="preserve">Causes and prevalence of employee burnout in the UK health and social sector: Excessive workload, Increase work stress, and Absenteeism and sickness </w:t>
            </w:r>
          </w:p>
          <w:p w14:paraId="607E91DD" w14:textId="77777777" w:rsidR="003463D3" w:rsidRDefault="003463D3">
            <w:pPr>
              <w:spacing w:before="240" w:after="240"/>
              <w:rPr>
                <w:b/>
                <w:bCs/>
              </w:rPr>
            </w:pPr>
          </w:p>
          <w:p w14:paraId="72AEC33F" w14:textId="77777777" w:rsidR="003463D3" w:rsidRDefault="003463D3">
            <w:pPr>
              <w:spacing w:before="240" w:after="240"/>
              <w:rPr>
                <w:b/>
                <w:bCs/>
              </w:rPr>
            </w:pPr>
          </w:p>
          <w:p w14:paraId="35853150" w14:textId="77777777" w:rsidR="003463D3" w:rsidRDefault="003463D3">
            <w:pPr>
              <w:spacing w:before="240" w:after="240"/>
              <w:rPr>
                <w:b/>
                <w:bCs/>
              </w:rPr>
            </w:pPr>
          </w:p>
          <w:p w14:paraId="51C1936B" w14:textId="77777777" w:rsidR="003463D3" w:rsidRDefault="003463D3">
            <w:pPr>
              <w:spacing w:before="240" w:after="240"/>
              <w:rPr>
                <w:b/>
                <w:bCs/>
              </w:rPr>
            </w:pPr>
          </w:p>
        </w:tc>
      </w:tr>
      <w:tr w:rsidR="003463D3" w14:paraId="2945CBE1" w14:textId="77777777">
        <w:trPr>
          <w:trHeight w:val="2730"/>
        </w:trPr>
        <w:tc>
          <w:tcPr>
            <w:tcW w:w="3735"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04B5C84E" w14:textId="77777777" w:rsidR="003463D3" w:rsidRDefault="00000000">
            <w:pPr>
              <w:numPr>
                <w:ilvl w:val="0"/>
                <w:numId w:val="5"/>
              </w:numPr>
              <w:spacing w:before="240"/>
            </w:pPr>
            <w:r>
              <w:t>Lack of support</w:t>
            </w:r>
          </w:p>
          <w:p w14:paraId="4CD1FA81" w14:textId="77777777" w:rsidR="003463D3" w:rsidRDefault="00000000">
            <w:pPr>
              <w:numPr>
                <w:ilvl w:val="0"/>
                <w:numId w:val="5"/>
              </w:numPr>
            </w:pPr>
            <w:r>
              <w:t xml:space="preserve"> High work pressure</w:t>
            </w:r>
          </w:p>
          <w:p w14:paraId="2E83FA1C" w14:textId="77777777" w:rsidR="003463D3" w:rsidRDefault="00000000">
            <w:pPr>
              <w:numPr>
                <w:ilvl w:val="0"/>
                <w:numId w:val="5"/>
              </w:numPr>
            </w:pPr>
            <w:r>
              <w:t>Poor leadership practice</w:t>
            </w:r>
          </w:p>
          <w:p w14:paraId="181ED672" w14:textId="77777777" w:rsidR="003463D3" w:rsidRDefault="00000000">
            <w:pPr>
              <w:numPr>
                <w:ilvl w:val="0"/>
                <w:numId w:val="5"/>
              </w:numPr>
            </w:pPr>
            <w:r>
              <w:t xml:space="preserve">Lack of control </w:t>
            </w:r>
          </w:p>
          <w:p w14:paraId="721597D2" w14:textId="77777777" w:rsidR="003463D3" w:rsidRDefault="00000000">
            <w:pPr>
              <w:numPr>
                <w:ilvl w:val="0"/>
                <w:numId w:val="5"/>
              </w:numPr>
            </w:pPr>
            <w:r>
              <w:t>Inadequate appreciation</w:t>
            </w:r>
          </w:p>
          <w:p w14:paraId="416E4D46" w14:textId="77777777" w:rsidR="003463D3" w:rsidRDefault="00000000">
            <w:pPr>
              <w:numPr>
                <w:ilvl w:val="0"/>
                <w:numId w:val="5"/>
              </w:numPr>
              <w:spacing w:after="240"/>
            </w:pPr>
            <w:r>
              <w:t>Reward</w:t>
            </w:r>
          </w:p>
        </w:tc>
        <w:tc>
          <w:tcPr>
            <w:tcW w:w="5250" w:type="dxa"/>
            <w:tcBorders>
              <w:top w:val="nil"/>
              <w:left w:val="nil"/>
              <w:bottom w:val="single" w:sz="5" w:space="0" w:color="000000"/>
              <w:right w:val="single" w:sz="5" w:space="0" w:color="000000"/>
            </w:tcBorders>
            <w:tcMar>
              <w:top w:w="100" w:type="dxa"/>
              <w:left w:w="100" w:type="dxa"/>
              <w:bottom w:w="100" w:type="dxa"/>
              <w:right w:w="100" w:type="dxa"/>
            </w:tcMar>
          </w:tcPr>
          <w:p w14:paraId="3F97452E" w14:textId="77777777" w:rsidR="003463D3" w:rsidRDefault="00000000">
            <w:pPr>
              <w:spacing w:before="240" w:after="240"/>
              <w:rPr>
                <w:b/>
                <w:bCs/>
              </w:rPr>
            </w:pPr>
            <w:r>
              <w:rPr>
                <w:b/>
                <w:bCs/>
              </w:rPr>
              <w:t xml:space="preserve">Influences of staff burnout on quality, safety, and continuity of effective care delivery: Poor leadership practice, High work pressure and Inadequate appreciation </w:t>
            </w:r>
          </w:p>
        </w:tc>
      </w:tr>
      <w:tr w:rsidR="003463D3" w14:paraId="5B4E4801" w14:textId="77777777">
        <w:trPr>
          <w:trHeight w:val="3570"/>
        </w:trPr>
        <w:tc>
          <w:tcPr>
            <w:tcW w:w="3735"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75AB4C3A" w14:textId="77777777" w:rsidR="003463D3" w:rsidRDefault="00000000">
            <w:pPr>
              <w:numPr>
                <w:ilvl w:val="0"/>
                <w:numId w:val="3"/>
              </w:numPr>
              <w:spacing w:before="240"/>
            </w:pPr>
            <w:r>
              <w:t>Inefficiency workforce restrictions</w:t>
            </w:r>
          </w:p>
          <w:p w14:paraId="479856F0" w14:textId="77777777" w:rsidR="003463D3" w:rsidRDefault="00000000">
            <w:pPr>
              <w:numPr>
                <w:ilvl w:val="0"/>
                <w:numId w:val="3"/>
              </w:numPr>
            </w:pPr>
            <w:r>
              <w:t>Lack of appreciation</w:t>
            </w:r>
          </w:p>
          <w:p w14:paraId="3A4C176B" w14:textId="77777777" w:rsidR="003463D3" w:rsidRDefault="00000000">
            <w:pPr>
              <w:numPr>
                <w:ilvl w:val="0"/>
                <w:numId w:val="3"/>
              </w:numPr>
            </w:pPr>
            <w:r>
              <w:t>Implementation of job performance</w:t>
            </w:r>
          </w:p>
          <w:p w14:paraId="142B42BC" w14:textId="77777777" w:rsidR="003463D3" w:rsidRDefault="00000000">
            <w:pPr>
              <w:numPr>
                <w:ilvl w:val="0"/>
                <w:numId w:val="3"/>
              </w:numPr>
            </w:pPr>
            <w:r>
              <w:t>Job satisfaction</w:t>
            </w:r>
          </w:p>
          <w:p w14:paraId="5AABD81F" w14:textId="77777777" w:rsidR="003463D3" w:rsidRDefault="00000000">
            <w:pPr>
              <w:numPr>
                <w:ilvl w:val="0"/>
                <w:numId w:val="3"/>
              </w:numPr>
            </w:pPr>
            <w:r>
              <w:t>Inadequate employee management</w:t>
            </w:r>
          </w:p>
          <w:p w14:paraId="0D8F1573" w14:textId="77777777" w:rsidR="003463D3" w:rsidRDefault="00000000">
            <w:pPr>
              <w:numPr>
                <w:ilvl w:val="0"/>
                <w:numId w:val="3"/>
              </w:numPr>
              <w:spacing w:after="240"/>
            </w:pPr>
            <w:r>
              <w:t>£30 billion staff sickness</w:t>
            </w:r>
          </w:p>
        </w:tc>
        <w:tc>
          <w:tcPr>
            <w:tcW w:w="5250" w:type="dxa"/>
            <w:tcBorders>
              <w:top w:val="nil"/>
              <w:left w:val="nil"/>
              <w:bottom w:val="single" w:sz="5" w:space="0" w:color="000000"/>
              <w:right w:val="single" w:sz="5" w:space="0" w:color="000000"/>
            </w:tcBorders>
            <w:tcMar>
              <w:top w:w="100" w:type="dxa"/>
              <w:left w:w="100" w:type="dxa"/>
              <w:bottom w:w="100" w:type="dxa"/>
              <w:right w:w="100" w:type="dxa"/>
            </w:tcMar>
          </w:tcPr>
          <w:p w14:paraId="45369DBD" w14:textId="77777777" w:rsidR="003463D3" w:rsidRDefault="00000000">
            <w:pPr>
              <w:spacing w:before="240" w:after="240"/>
              <w:rPr>
                <w:b/>
                <w:bCs/>
              </w:rPr>
            </w:pPr>
            <w:r>
              <w:rPr>
                <w:b/>
                <w:bCs/>
              </w:rPr>
              <w:t>The connection between burnout, employee performance, and workforce retention: Lack of appreciation, Inefficiency workforce restrictions and staff sickness</w:t>
            </w:r>
          </w:p>
        </w:tc>
      </w:tr>
      <w:tr w:rsidR="003463D3" w14:paraId="3A78110A" w14:textId="77777777">
        <w:trPr>
          <w:trHeight w:val="2970"/>
        </w:trPr>
        <w:tc>
          <w:tcPr>
            <w:tcW w:w="3735"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652D413A" w14:textId="77777777" w:rsidR="003463D3" w:rsidRDefault="00000000">
            <w:pPr>
              <w:numPr>
                <w:ilvl w:val="0"/>
                <w:numId w:val="4"/>
              </w:numPr>
              <w:spacing w:before="240"/>
            </w:pPr>
            <w:r>
              <w:lastRenderedPageBreak/>
              <w:t>Individual-focused intervention</w:t>
            </w:r>
          </w:p>
          <w:p w14:paraId="142C395F" w14:textId="77777777" w:rsidR="003463D3" w:rsidRDefault="00000000">
            <w:pPr>
              <w:numPr>
                <w:ilvl w:val="0"/>
                <w:numId w:val="4"/>
              </w:numPr>
            </w:pPr>
            <w:r>
              <w:t>Relaxation training</w:t>
            </w:r>
          </w:p>
          <w:p w14:paraId="7FA1A92E" w14:textId="77777777" w:rsidR="003463D3" w:rsidRDefault="00000000">
            <w:pPr>
              <w:numPr>
                <w:ilvl w:val="0"/>
                <w:numId w:val="4"/>
              </w:numPr>
            </w:pPr>
            <w:r>
              <w:t>Change employee behaviour</w:t>
            </w:r>
          </w:p>
          <w:p w14:paraId="77E44856" w14:textId="77777777" w:rsidR="003463D3" w:rsidRDefault="00000000">
            <w:pPr>
              <w:numPr>
                <w:ilvl w:val="0"/>
                <w:numId w:val="4"/>
              </w:numPr>
            </w:pPr>
            <w:r>
              <w:t>Multifaceted approach</w:t>
            </w:r>
          </w:p>
          <w:p w14:paraId="0BB80A8D" w14:textId="77777777" w:rsidR="003463D3" w:rsidRDefault="00000000">
            <w:pPr>
              <w:numPr>
                <w:ilvl w:val="0"/>
                <w:numId w:val="4"/>
              </w:numPr>
            </w:pPr>
            <w:r>
              <w:t>Improvement of leadership practice</w:t>
            </w:r>
          </w:p>
          <w:p w14:paraId="2E7967B7" w14:textId="77777777" w:rsidR="003463D3" w:rsidRDefault="00000000">
            <w:pPr>
              <w:numPr>
                <w:ilvl w:val="0"/>
                <w:numId w:val="4"/>
              </w:numPr>
            </w:pPr>
            <w:r>
              <w:t>Multilevel approach</w:t>
            </w:r>
          </w:p>
          <w:p w14:paraId="028C9C92" w14:textId="77777777" w:rsidR="003463D3" w:rsidRDefault="00000000">
            <w:pPr>
              <w:numPr>
                <w:ilvl w:val="0"/>
                <w:numId w:val="4"/>
              </w:numPr>
            </w:pPr>
            <w:r>
              <w:t>Staff retention</w:t>
            </w:r>
          </w:p>
          <w:p w14:paraId="675F2C48" w14:textId="77777777" w:rsidR="003463D3" w:rsidRDefault="00000000">
            <w:pPr>
              <w:numPr>
                <w:ilvl w:val="0"/>
                <w:numId w:val="4"/>
              </w:numPr>
              <w:spacing w:after="240"/>
            </w:pPr>
            <w:r>
              <w:t>Reward and recognition</w:t>
            </w:r>
          </w:p>
        </w:tc>
        <w:tc>
          <w:tcPr>
            <w:tcW w:w="5250" w:type="dxa"/>
            <w:tcBorders>
              <w:top w:val="nil"/>
              <w:left w:val="nil"/>
              <w:bottom w:val="single" w:sz="5" w:space="0" w:color="000000"/>
              <w:right w:val="single" w:sz="5" w:space="0" w:color="000000"/>
            </w:tcBorders>
            <w:tcMar>
              <w:top w:w="100" w:type="dxa"/>
              <w:left w:w="100" w:type="dxa"/>
              <w:bottom w:w="100" w:type="dxa"/>
              <w:right w:w="100" w:type="dxa"/>
            </w:tcMar>
          </w:tcPr>
          <w:p w14:paraId="4932BC8C" w14:textId="77777777" w:rsidR="003463D3" w:rsidRDefault="00000000">
            <w:pPr>
              <w:spacing w:before="240" w:after="240"/>
              <w:rPr>
                <w:b/>
                <w:bCs/>
              </w:rPr>
            </w:pPr>
            <w:r>
              <w:rPr>
                <w:b/>
                <w:bCs/>
              </w:rPr>
              <w:t xml:space="preserve">Different effective organisational approaches to decrease burnout and enhance care quality: Individual-focused intervention, Multifaceted approach and Multilevel approach </w:t>
            </w:r>
          </w:p>
        </w:tc>
      </w:tr>
    </w:tbl>
    <w:p w14:paraId="2B327FBB" w14:textId="77777777" w:rsidR="003463D3" w:rsidRDefault="00000000">
      <w:pPr>
        <w:pStyle w:val="Heading5"/>
        <w:spacing w:before="240" w:after="240"/>
      </w:pPr>
      <w:bookmarkStart w:id="48" w:name="_heading=h.fazvtmuc7yd2" w:colFirst="0" w:colLast="0"/>
      <w:bookmarkEnd w:id="48"/>
      <w:r>
        <w:t>Table 4.2: Theme generation</w:t>
      </w:r>
    </w:p>
    <w:p w14:paraId="4B5AED45" w14:textId="77777777" w:rsidR="003463D3" w:rsidRDefault="00000000">
      <w:pPr>
        <w:pStyle w:val="Heading2"/>
      </w:pPr>
      <w:bookmarkStart w:id="49" w:name="_Toc219841852"/>
      <w:r>
        <w:t>4.5 Review of themes</w:t>
      </w:r>
      <w:bookmarkEnd w:id="49"/>
      <w:r>
        <w:t xml:space="preserve"> </w:t>
      </w:r>
    </w:p>
    <w:p w14:paraId="7A4D3CB7" w14:textId="77777777" w:rsidR="003463D3" w:rsidRDefault="00000000">
      <w:r>
        <w:t xml:space="preserve">This research has been conducted by reviewing and assessing keywords, used articles and themes for further process of thematic discussion to reach findings. Review themes in the systematic process of literature review helps to assess the quality, authenticity and relevance of collected information and build themes to reach findings (Ahmed </w:t>
      </w:r>
      <w:r>
        <w:rPr>
          <w:i/>
          <w:iCs/>
        </w:rPr>
        <w:t xml:space="preserve">et al., </w:t>
      </w:r>
      <w:r>
        <w:t xml:space="preserve">2025). This research has assessed the quality of developed themes with key selected information and articles focusing on relevance and authenticity. In this aspect, this research has analysed the authenticity, relevance, accuracy and adequacy of collected information has contributed to influence further process concerning thematic discussion. </w:t>
      </w:r>
    </w:p>
    <w:p w14:paraId="001F31B8" w14:textId="77777777" w:rsidR="003463D3" w:rsidRDefault="00000000">
      <w:pPr>
        <w:pStyle w:val="Heading2"/>
        <w:rPr>
          <w:sz w:val="32"/>
          <w:szCs w:val="32"/>
        </w:rPr>
      </w:pPr>
      <w:bookmarkStart w:id="50" w:name="_Toc219841853"/>
      <w:r>
        <w:t>4.6 Thematic analysis</w:t>
      </w:r>
      <w:bookmarkEnd w:id="50"/>
    </w:p>
    <w:p w14:paraId="47C30F6C" w14:textId="77777777" w:rsidR="003463D3" w:rsidRDefault="00000000">
      <w:pPr>
        <w:pStyle w:val="Heading3"/>
      </w:pPr>
      <w:bookmarkStart w:id="51" w:name="_Toc219841854"/>
      <w:r>
        <w:t>4.6.1 Theme 1: Causes and prevalence of employee burnout in the UK health and social sector: Excessive workload, increased work stress, and absenteeism and sickness</w:t>
      </w:r>
      <w:bookmarkEnd w:id="51"/>
    </w:p>
    <w:p w14:paraId="5122CE54" w14:textId="3062CB5A" w:rsidR="003463D3" w:rsidRDefault="00000000">
      <w:r>
        <w:t xml:space="preserve">The secondary findings report that the work overload has been one of the main factors of staff burnout in the UK health and social care sector. It has been highlighted that one of the most frequent contributors to emotional as well as psychological strain is the long-term exposure to a high level of job demands, which can be evidenced by the Care Quality Commission (2022). Since a higher level of mental exhaustion is reported, as well as feelings of anxiety, depression, and trauma among the care and social care workers, have been found among employees. These results demonstrate that the emotional stability and coping ability of the staff have been affected by the long-term workload pressure. In order to support this, NHS </w:t>
      </w:r>
      <w:r>
        <w:lastRenderedPageBreak/>
        <w:t xml:space="preserve">Employers (2025) indicates that the problem of work-related stress is common among health and social care workers, to the point that 49.5% of professionals working in the sector have expressed challenges, noting that burnout is so prevalent in both non-clinical and clinical practice. This rate is the systemic issue of the staffing, more sophisticated patients, and the burden on the performance within the care setting. In these aspects, the range of job discussion and burnout increased with the enhancements of mental issues such as depression, anxiety and mental fatigue. This indicates the requirements of integration of staff management process with the integration of job satisfaction for removing burnout of health workers in the UK. </w:t>
      </w:r>
    </w:p>
    <w:p w14:paraId="171FE04F" w14:textId="77777777" w:rsidR="00C3615C" w:rsidRDefault="00000000">
      <w:r>
        <w:t>In addition, high workloads have also been reported to contribute to the impacts of burnout besides psychological distress, in the dimensions of absenteeism and sickness. According to the secondary research that the Mental Health Foundation (2023) provides, around 79% of the absence in the health/social care working population is due to mental health issues caused by workload stress. This implies that burnout is now converted into physical disillusionment towards work, and this decreases the labour force further, overstraining the existing labour force. With the increasing absenteeism, workloads are imbalanced, and groups also propagate stress and burnout. All such information can help realise that burnout is a structural and widespread issue in the sector that requires organisational responses in the form of workload management and mental health support to reduce labour attrition among the working population in the long term.</w:t>
      </w:r>
    </w:p>
    <w:p w14:paraId="52C0BE76" w14:textId="3CED06B9" w:rsidR="003463D3" w:rsidRDefault="00000000" w:rsidP="00266549">
      <w:pPr>
        <w:pStyle w:val="Heading3"/>
      </w:pPr>
      <w:bookmarkStart w:id="52" w:name="_Toc219841855"/>
      <w:r>
        <w:t>4.6.2 Theme 2: Influences of staff burnout on quality, safety, and continuity of effective care delivery: Poor leadership practice, high work pressure and inadequate appreciation</w:t>
      </w:r>
      <w:bookmarkEnd w:id="52"/>
      <w:r>
        <w:t xml:space="preserve"> </w:t>
      </w:r>
    </w:p>
    <w:p w14:paraId="07970A13" w14:textId="6C27C0BE" w:rsidR="003463D3" w:rsidRDefault="00000000">
      <w:r>
        <w:t xml:space="preserve">The results reveal that staff burnout is an acute problem to quality, safety, and even sustainability of care in the UK health and social care industry. These organisational conditions include inadequate support, work-related pressures, and application of poor leadership practises, among other things, which seem to contribute significantly to the burnout among the staff who look up to Bodell (2025), who states that 43 percent of the employees have experienced work burnout because of such unsupportiveness. The staff can also provide less safe and person-centred care because they do not support their colleagues and feel disengaged in the process of decision-making. The enhancements of work burnout among staff impacts in the work involvements and overall productivity due to lack of support from leaders and other staff. This indicates the increasing range of employee burnout for poor learnership practice with inadequate support in the healthcare practice. In addition, Hayes (2025) asserts that 82 percent of employees have trouble managing the heavy workload, and </w:t>
      </w:r>
      <w:r>
        <w:lastRenderedPageBreak/>
        <w:t>it harms their physical and psychological well-being. As a result, these pressures in advance predetermine the emergence of mistakes, the drop in attention and quality of care, which pose patient safety and the preservation of services directly at risk.</w:t>
      </w:r>
    </w:p>
    <w:p w14:paraId="2A3A8B2A" w14:textId="4C1A3B8C" w:rsidR="003463D3" w:rsidRDefault="00000000">
      <w:r>
        <w:t>Additionally, it worsens burnout due to the poor regulation of working hours, lack of recognition and incentives, which adversely affect job satisfaction and outcome of care. Forbes (2024) believes that two antecedents of emotional fatigue in employees working in health and social care are associated with being denied the opportunity to exercise autonomy and recognition, which leads to a lack of interest in caring responsibilities. Lack of job satisfaction restricts the activities of the staff to ensure that high levels of care are maintained, hence impacting continuity and consistency of service provision. The more the burnout, the less caring and task-oriented a counsellor is. All these results conclude that burnout not only has a negative impact on the well-being of the staff but also on the care delivery system, proving that benefit leadership, the system of recognition, and workload management should be introduced to ensure the quality of care and patient safety.</w:t>
      </w:r>
    </w:p>
    <w:p w14:paraId="22F99C3B" w14:textId="77777777" w:rsidR="003463D3" w:rsidRDefault="00000000">
      <w:pPr>
        <w:pStyle w:val="Heading3"/>
      </w:pPr>
      <w:bookmarkStart w:id="53" w:name="_Toc219841856"/>
      <w:r>
        <w:t>4.6.3 Theme 3: The connection between burnout, employee performance, and workforce retention: lack of appreciation, inefficiency, workforce restrictions and staff sickness</w:t>
      </w:r>
      <w:bookmarkEnd w:id="53"/>
    </w:p>
    <w:p w14:paraId="4AC26AFC" w14:textId="256B53E3" w:rsidR="003463D3" w:rsidRDefault="00000000">
      <w:r>
        <w:t xml:space="preserve">The secondary study presents an image of high correlation in staff burnout, employee poor performance, and staff retention within the health and social care industry. </w:t>
      </w:r>
      <w:proofErr w:type="spellStart"/>
      <w:r>
        <w:t>Athamneh</w:t>
      </w:r>
      <w:proofErr w:type="spellEnd"/>
      <w:r>
        <w:t xml:space="preserve"> (2024) discloses that the main reasons that contribute to a declining job motivation include inefficient staffing limits and appreciation and have a negative influence on performance and high burnout rates. In case of underestimating the contribution of staff, the engagement and commitment level will be low, and the service performance will be negatively influenced. Conversely, Wang </w:t>
      </w:r>
      <w:r>
        <w:rPr>
          <w:i/>
          <w:iCs/>
        </w:rPr>
        <w:t>et al.</w:t>
      </w:r>
      <w:r>
        <w:t xml:space="preserve"> (2022) provide the hint that the successful implementation of the performance management and job satisfaction strategies results in an increase in the abilities of the workforce and minimisation of burnout. This shows that burnout is not a foregone conclusion, but it is entirely related to how the employees are treated, facilitated, and encouraged within the care organisations. In this aspect, the lack of appreciation and inadequate staff management process are significant reasons behind increasing employee burnout across the health and social care sector. This indicates the possibility of employee burnout of health workers for inadequate staff management processes in the health and social care sector of the UK. </w:t>
      </w:r>
    </w:p>
    <w:p w14:paraId="1F8F12CD" w14:textId="77777777" w:rsidR="003463D3" w:rsidRDefault="00000000">
      <w:r>
        <w:t xml:space="preserve">Secondly, the burnout has gigantic economic and organisational implications encompassing sickness and turnover in the staff. Gregory (2024) has specified that improper employee management results in up to 44 working days per employee, with productivity as an estimate </w:t>
      </w:r>
      <w:r>
        <w:lastRenderedPageBreak/>
        <w:t>of £30billion of staff sickness in the industry. Other outcomes of such findings are burnout as an absenteeism factor, turnover as a reduction in the stability and continuity of the workforce. The experienced employees are resigning, and this leaves the rest of the employees with additional loads, which increases the risk of burnout. Hence, burnout is supposed to be handled by planning and managing the workforce, recognising the employees in order to enhance the performance of the staff, retaining the professionals, and providing sustainable treatment of the patients.</w:t>
      </w:r>
    </w:p>
    <w:p w14:paraId="4ED1005D" w14:textId="77777777" w:rsidR="003463D3" w:rsidRDefault="00000000">
      <w:pPr>
        <w:pStyle w:val="Heading3"/>
      </w:pPr>
      <w:bookmarkStart w:id="54" w:name="_Toc219841857"/>
      <w:r>
        <w:rPr>
          <w:i/>
          <w:iCs/>
        </w:rPr>
        <w:t>4.6.4 Theme 4: Different effective organisational approaches to decrease burnout and enhance care quality: Individual-focused intervention, multifaceted approach, and multilevel approach</w:t>
      </w:r>
      <w:bookmarkEnd w:id="54"/>
      <w:r>
        <w:t xml:space="preserve"> </w:t>
      </w:r>
    </w:p>
    <w:p w14:paraId="4307CAF9" w14:textId="77777777" w:rsidR="003463D3" w:rsidRDefault="00000000">
      <w:r>
        <w:t xml:space="preserve">The findings have also indicated that good organisational strategy is a constituent component of constructs in assisting in the reduction of staff burnout, coupled with the improvement of the quality of care. Positively directed interventions focused on individuals, such as relaxation training, positively intervene on the behaviour of employees in terms of psycho-psychological wellbeing and decreased burnout as shown by Cohen </w:t>
      </w:r>
      <w:r>
        <w:rPr>
          <w:i/>
          <w:iCs/>
        </w:rPr>
        <w:t>et al.</w:t>
      </w:r>
      <w:r>
        <w:t xml:space="preserve"> (2023). Through such interventions, the staff members can have resources in place to cope with stress and, in such a case, the best approach to develop resilience to the stressful working conditions. Nevertheless, at the individual level, the organisational-wide approaches are not adequate because the problem of burnout has its roots in the organisational frameworks as well as management styles. This implies that it requires more systemic solutions that are preoccupied with the personal and workplace stressors.</w:t>
      </w:r>
    </w:p>
    <w:p w14:paraId="1D028E79" w14:textId="77777777" w:rsidR="003463D3" w:rsidRDefault="00000000">
      <w:pPr>
        <w:rPr>
          <w:sz w:val="24"/>
          <w:szCs w:val="24"/>
        </w:rPr>
      </w:pPr>
      <w:r>
        <w:t xml:space="preserve">A complex, multi-layered solution has been identified as the most appropriate solution for long-term burnout reduction. The secondary evidence of such a scenario, as Speicher and Francis (2023) note, is the leadership practice that will guarantee the reduction in the number of staff turnover and wellbeing support since supportive leadership builds trust, recognition, and interest. In turn, Ansari </w:t>
      </w:r>
      <w:r>
        <w:rPr>
          <w:i/>
          <w:iCs/>
        </w:rPr>
        <w:t>et al.</w:t>
      </w:r>
      <w:r>
        <w:t xml:space="preserve"> (2022) note that these multilevel retention practises like job performance-based rewards and recognition are quite practical in avoiding burnout, as well as boosting morale and loyalty of the staff members. Such a combination of leadership development, motivation initiatives, and wellbeing initiatives indicates that positive organisational culture, which is pleasant to both employees and the beneficiaries of the care, is brought about. On its part, the analytical organisational strategies must be accepted in order to enhance the well-being of the workforce and high-quality care delivery.</w:t>
      </w:r>
    </w:p>
    <w:p w14:paraId="06206D89" w14:textId="77777777" w:rsidR="003463D3" w:rsidRDefault="00000000">
      <w:pPr>
        <w:pStyle w:val="Heading2"/>
        <w:rPr>
          <w:sz w:val="32"/>
          <w:szCs w:val="32"/>
        </w:rPr>
      </w:pPr>
      <w:bookmarkStart w:id="55" w:name="_Toc219841858"/>
      <w:r>
        <w:lastRenderedPageBreak/>
        <w:t>4.7 Discussion</w:t>
      </w:r>
      <w:bookmarkEnd w:id="55"/>
      <w:r>
        <w:t xml:space="preserve"> </w:t>
      </w:r>
    </w:p>
    <w:p w14:paraId="2516CF60" w14:textId="77777777" w:rsidR="003463D3" w:rsidRDefault="00000000">
      <w:pPr>
        <w:pStyle w:val="Heading3"/>
      </w:pPr>
      <w:bookmarkStart w:id="56" w:name="_Toc219841859"/>
      <w:r>
        <w:t>4.7.1 Causes and prevalence of staff burnout in the UK health and social sector</w:t>
      </w:r>
      <w:bookmarkEnd w:id="56"/>
    </w:p>
    <w:p w14:paraId="6593D272" w14:textId="217DDFC4" w:rsidR="003463D3" w:rsidRDefault="00000000">
      <w:r>
        <w:t xml:space="preserve">The high workload, work pressure, and rising cases of absenteeism, as pointed out in the secondary outcome, have become scourge factors of employee burnout in the UK health as well as social care industry. Evidence provided by the Care Quality Commission (2022) indicated that long work has been a cause of mental exhaustion, anxiety, and depression among health and social care workers, and NHS Employers (2025) has provided evidence that mental exhaustion, anxiety, and depression affect almost half of the labour force employees in the NHS. Conversely, the literature results have established the presence of high workloads and the lack of autonomy and good rapport with emotional exhaustion and the lack of involvement implied by the results obtained by </w:t>
      </w:r>
      <w:proofErr w:type="spellStart"/>
      <w:r>
        <w:t>Udushirinwa</w:t>
      </w:r>
      <w:proofErr w:type="spellEnd"/>
      <w:r>
        <w:t xml:space="preserve"> </w:t>
      </w:r>
      <w:r>
        <w:rPr>
          <w:i/>
          <w:iCs/>
        </w:rPr>
        <w:t>et al.</w:t>
      </w:r>
      <w:r>
        <w:t xml:space="preserve"> (2022). Hence, we may communicate the fact that such an imbalance is a predictable effect of the Job Demands-Resources Model, as the surplus demands of working and the deficit of resources have resulted in the increasing rates of the development of burnout in the job.</w:t>
      </w:r>
    </w:p>
    <w:p w14:paraId="77E64025" w14:textId="74FE33CC" w:rsidR="003463D3" w:rsidRDefault="00000000">
      <w:r>
        <w:t>Further, the secondary data reveals that burnout has existed in the form of absenteeism and sickness, whereby the Mental Health Foundation (2023) reports that 79% of absenteeism amongst the staff has been as a result of their mental health conditions caused by the work. Conversely, the emotional workload, the occurrence of long shifts and lack of long rest have increased the rate of chronic stress of health professionals, as characterised by Tripathi</w:t>
      </w:r>
      <w:r>
        <w:rPr>
          <w:i/>
          <w:iCs/>
        </w:rPr>
        <w:t xml:space="preserve"> et al.</w:t>
      </w:r>
      <w:r>
        <w:t xml:space="preserve"> (2024) and Kelly </w:t>
      </w:r>
      <w:r>
        <w:rPr>
          <w:i/>
          <w:iCs/>
        </w:rPr>
        <w:t>et al.</w:t>
      </w:r>
      <w:r>
        <w:t xml:space="preserve"> (2022) stated in other literature sources. Thus, this aligns with the fact that the Model of Maslach Burnout Theory (MBT) may be effective to explain such development when emotional exhaustion becomes persistent, which results in withdrawal behaviour and the inability to be effective as a professional. These findings have led to the structural rather than individual weakness that is being supported through the lack of proper managerial support and work inadequacies within the UK health and social care framework.</w:t>
      </w:r>
    </w:p>
    <w:p w14:paraId="5737BA8F" w14:textId="77777777" w:rsidR="003463D3" w:rsidRDefault="00000000">
      <w:pPr>
        <w:pStyle w:val="Heading3"/>
      </w:pPr>
      <w:bookmarkStart w:id="57" w:name="_Toc219841860"/>
      <w:r>
        <w:t>4.7.2 The influences of employee burnout on quality, safety, and continuity of effective care delivery</w:t>
      </w:r>
      <w:bookmarkEnd w:id="57"/>
    </w:p>
    <w:p w14:paraId="0FFCE82D" w14:textId="77777777" w:rsidR="003463D3" w:rsidRDefault="00000000">
      <w:r>
        <w:t xml:space="preserve">The second outcome has indicated that quality, safety, and continuity of care delivery within the UK sector of the health and social care have been hard-hit due to staff burnout. This has been established to be due to the poor leadership practises, work, as well as organisational support, as one of the findings of Bodell (2025) and Hayes (2025) has asserted that the current 43% and 82% of the staff, respectively, are not managing the tremendous work burden. On the contrary note, the literature results suggest that burnout decreases empathy rates, concentration, and job effectiveness, and also results in focus on tasks, instead of patients, care, as the results obtained by </w:t>
      </w:r>
      <w:proofErr w:type="spellStart"/>
      <w:r>
        <w:t>Corbeanu</w:t>
      </w:r>
      <w:proofErr w:type="spellEnd"/>
      <w:r>
        <w:t xml:space="preserve"> </w:t>
      </w:r>
      <w:r>
        <w:rPr>
          <w:i/>
          <w:iCs/>
        </w:rPr>
        <w:t xml:space="preserve">et al. </w:t>
      </w:r>
      <w:r>
        <w:t xml:space="preserve">(2023) have demonstrated. In this manner, it </w:t>
      </w:r>
      <w:r>
        <w:lastRenderedPageBreak/>
        <w:t>is possible to discuss the direct impact of burnout on the quality of care as it predetermines the depersonalisation aspect of Maslach Burnout Theory due to the absence of emotional involvement and insecure decision-making.</w:t>
      </w:r>
    </w:p>
    <w:p w14:paraId="7463D339" w14:textId="77777777" w:rsidR="003463D3" w:rsidRDefault="00000000">
      <w:r>
        <w:t xml:space="preserve">Alongside, the secondary findings show that low appreciation, absence of freedom as well as control of the working hours have been the elements that have resulted in increased burnout, which in turn translates to disengagement and lack of consistency in care provision, which are supported by Forbes (2024). Conversely, the literature findings show that burnout enhances clinical error, lack of good conversation and continuity of care, especially when there is an increased number of sicknesses and turnover, as provided by Shinde </w:t>
      </w:r>
      <w:r>
        <w:rPr>
          <w:i/>
          <w:iCs/>
        </w:rPr>
        <w:t xml:space="preserve">et al. </w:t>
      </w:r>
      <w:r>
        <w:t xml:space="preserve">(2025) and Johnson </w:t>
      </w:r>
      <w:r>
        <w:rPr>
          <w:i/>
          <w:iCs/>
        </w:rPr>
        <w:t>et al.</w:t>
      </w:r>
      <w:r>
        <w:t xml:space="preserve"> (2024). By doing so, this has been aligned with the fact that the Job Demands-Resources Model can be called a powerful paradigm of explanation because the lack of organisational resources has disrupted teamwork as well as the safety culture. Combined, these findings indicate that burnout should not be left on its own since it not only enhances the well-being of the workforce but also facilitates the quality, safety, and continuation of care provision in the field of health and social care. </w:t>
      </w:r>
    </w:p>
    <w:p w14:paraId="34AB197C" w14:textId="77777777" w:rsidR="003463D3" w:rsidRDefault="00000000">
      <w:pPr>
        <w:pStyle w:val="Heading3"/>
      </w:pPr>
      <w:bookmarkStart w:id="58" w:name="_Toc219841861"/>
      <w:r>
        <w:t>4.7.3 The connection between burnout, employee performance, and workforce retention</w:t>
      </w:r>
      <w:bookmarkEnd w:id="58"/>
    </w:p>
    <w:p w14:paraId="7046C954" w14:textId="571611E5" w:rsidR="003463D3" w:rsidRDefault="00000000">
      <w:r>
        <w:t xml:space="preserve">The secondary finding is that the problem of staff burnout is in close and direct correlation to the deteriorating performance and retention of employees in the United Kingdom context of health and social care. The absence of the much-wanted appreciation and the incompetence of the restrictions of the workforce have ensured that job motivation and performance are reduced to the lowest possible levels and that the level of burnout is maximised, as illustrated by the evidence provided by </w:t>
      </w:r>
      <w:proofErr w:type="spellStart"/>
      <w:r>
        <w:t>Athamneh</w:t>
      </w:r>
      <w:proofErr w:type="spellEnd"/>
      <w:r>
        <w:t xml:space="preserve"> (2024). This has led to demotions and a lack of commitment that translates to efficiency of service. Conversely, it has been shown in the analysis of literature that burnout can be defined in terms of the existence of emotional exhaustion and cognitive load, which adversely impact the concentration, empathy, and decision-making as outlined by </w:t>
      </w:r>
      <w:proofErr w:type="spellStart"/>
      <w:r>
        <w:t>Danauske</w:t>
      </w:r>
      <w:proofErr w:type="spellEnd"/>
      <w:r>
        <w:t xml:space="preserve"> </w:t>
      </w:r>
      <w:r>
        <w:rPr>
          <w:i/>
          <w:iCs/>
        </w:rPr>
        <w:t>et al.</w:t>
      </w:r>
      <w:r>
        <w:t xml:space="preserve"> (2023). According to Maslach Burnout Theory, it can be discussed that the consequences of extended emotional burnout diminish professional efficacy, and the results are a decrease in work products and negative attachment of employees to organisations.</w:t>
      </w:r>
    </w:p>
    <w:p w14:paraId="66A684F0" w14:textId="77777777" w:rsidR="003463D3" w:rsidRDefault="00000000">
      <w:r>
        <w:t xml:space="preserve">The secondary outcomes are also reflective of burnout, with high rates of organisational and financial expenditure, such as augmented sickness absenteeism and employee attrition. The Gregor research report elaborates that poor management of employees has led to a loss of productivity of up to 44 working days per employee, which, to the organisation, amounts to £30 billion due to staff sickness. Turnover intention and the perceived organisational injustice </w:t>
      </w:r>
      <w:r>
        <w:lastRenderedPageBreak/>
        <w:t xml:space="preserve">also increase on the other side, which is supported by the literature findings to enhance turnover intention, as </w:t>
      </w:r>
      <w:proofErr w:type="spellStart"/>
      <w:r>
        <w:t>Gelencser</w:t>
      </w:r>
      <w:proofErr w:type="spellEnd"/>
      <w:r>
        <w:t xml:space="preserve"> </w:t>
      </w:r>
      <w:r>
        <w:rPr>
          <w:i/>
          <w:iCs/>
        </w:rPr>
        <w:t>et al.</w:t>
      </w:r>
      <w:r>
        <w:t xml:space="preserve"> (2023) and Zhang </w:t>
      </w:r>
      <w:r>
        <w:rPr>
          <w:i/>
          <w:iCs/>
        </w:rPr>
        <w:t xml:space="preserve">et al. </w:t>
      </w:r>
      <w:r>
        <w:t>(2022) state. Thus, one can discuss the fact that the Job Demands-Resources Model is concentrated on the role of the high level of demands and the lack of support, which increases the rate of attrition and leads to the second-wave or the additional drop in the level of staffing that further increases the strain on the burnout of the remaining personnel. Burnout at this point is a situation to be addressed by making sure that the workforce is stable and performing.</w:t>
      </w:r>
    </w:p>
    <w:p w14:paraId="1D46DAE8" w14:textId="77777777" w:rsidR="003463D3" w:rsidRDefault="00000000">
      <w:pPr>
        <w:pStyle w:val="Heading3"/>
      </w:pPr>
      <w:bookmarkStart w:id="59" w:name="_Toc219841862"/>
      <w:r>
        <w:t>4.7.4 Effective organisational approaches to decrease burnout and enhance care quality</w:t>
      </w:r>
      <w:bookmarkEnd w:id="59"/>
    </w:p>
    <w:p w14:paraId="7D653271" w14:textId="04B9508B" w:rsidR="003463D3" w:rsidRDefault="00000000">
      <w:r>
        <w:t xml:space="preserve">In the secondary outcome, it is stated that the organisational effectiveness means are highly important in decreasing the burnout of the staff and developing the quality of care in the health as well as social care industry. Cohen </w:t>
      </w:r>
      <w:r>
        <w:rPr>
          <w:i/>
          <w:iCs/>
        </w:rPr>
        <w:t>et al.</w:t>
      </w:r>
      <w:r>
        <w:t xml:space="preserve"> (2023) added that the person-based intervention, like relaxation training, had helped in treating psychological well-being and burnout because the staff had developed coping skills due to the intervention. Such interventions have helped the employees to be better placed to cope with stress when they are in high-pressure areas. However, in contrast to this, literature evidence has shown that organisational and structural factors of the workforce, such as uneven workload and low freedom of action, are the most significant determinants that predispose burnout as reported by Anders</w:t>
      </w:r>
      <w:r>
        <w:rPr>
          <w:i/>
          <w:iCs/>
        </w:rPr>
        <w:t xml:space="preserve"> et al.</w:t>
      </w:r>
      <w:r>
        <w:t xml:space="preserve"> (2025). Hence, the benefits of individual interventions, on the same breath, cannot be viewed as vital as they are carried out without the more significant reorganisation, as the Work-Related Job Demands-Resources Model outlines.</w:t>
      </w:r>
    </w:p>
    <w:p w14:paraId="2E4D07F2" w14:textId="77777777" w:rsidR="003463D3" w:rsidRDefault="00000000">
      <w:r>
        <w:t>Moreover, the secondary output has indicated that multifaceted and multilevel organisational strategies have proven to be the most effective in the context of the sustenance of burnout. Speicher and Francis (2023) have depicted that the staff turnover and well-being in the construction of trust, recognition, as well as engagement have subsided due to enhanced leadership practises. Reflecting on that, Ansari</w:t>
      </w:r>
      <w:r>
        <w:rPr>
          <w:i/>
          <w:iCs/>
        </w:rPr>
        <w:t xml:space="preserve"> et al.</w:t>
      </w:r>
      <w:r>
        <w:t xml:space="preserve"> (2022) have specified that job performance-related reward and recognition programmes have also positively affected morale and retention and decreased burnout. Work design, staffing adequacy, and autonomy in decision making, on the other hand, are found to enhance the well-being of workers and quality of care as posited by Johnson</w:t>
      </w:r>
      <w:r>
        <w:rPr>
          <w:i/>
          <w:iCs/>
        </w:rPr>
        <w:t xml:space="preserve"> et al. </w:t>
      </w:r>
      <w:r>
        <w:t xml:space="preserve">(2024). By doing so, it can be discussed that, through the organisation of the leadership formation, recognition plans, and staff planning, the Maslach Burnout Theory is observed in the context of managing the major problem of emotional burnout and the restoration of the effectiveness of professionals that ultimately leads to improvement of the results of care delivery. </w:t>
      </w:r>
    </w:p>
    <w:p w14:paraId="5C36A228" w14:textId="77777777" w:rsidR="003463D3" w:rsidRDefault="00000000">
      <w:pPr>
        <w:pStyle w:val="Heading2"/>
      </w:pPr>
      <w:bookmarkStart w:id="60" w:name="_Toc219841863"/>
      <w:r>
        <w:lastRenderedPageBreak/>
        <w:t>4.8 Chapter Summary</w:t>
      </w:r>
      <w:bookmarkEnd w:id="60"/>
      <w:r>
        <w:t xml:space="preserve"> </w:t>
      </w:r>
    </w:p>
    <w:p w14:paraId="57ECBD86" w14:textId="54538982" w:rsidR="003463D3" w:rsidRDefault="00000000" w:rsidP="00C3615C">
      <w:r>
        <w:t>In summary, this chapter has critically analysed the services of the UK health and social care in terms of staff burnout over a systematic thematic literature search of the evidence. The chapter was thematically organised based on the theme analysis framework introduced by Braun and Clarke, and it is evident that the chapter begins with familiarisation of data and coding, which is followed by the appearance of the themes and their detailed descriptions. Four significant themes were identified, such as the causes and prevalence of burnout, its effect on the quality and safety of care, its relationship with employee performance and staff retention, and the ways organisations can successfully deal with burnout. The findings showed that the issue of burnout is systemic and structural, and it is possible to be provoked by excessive working loads, weak leadership, and an absence of support. The discussion used the secondary findings that were complementary to the most common evidence and theoretical frameworks, and offered a multi-purpose contribution to the consequences of burnout on the sustainability of the workforce and care delivery outcomes.</w:t>
      </w:r>
      <w:bookmarkStart w:id="61" w:name="_heading=h.7se6snrwj558" w:colFirst="0" w:colLast="0"/>
      <w:bookmarkEnd w:id="61"/>
      <w:r>
        <w:br w:type="page"/>
      </w:r>
    </w:p>
    <w:p w14:paraId="302FB2CB" w14:textId="77777777" w:rsidR="003463D3" w:rsidRDefault="00000000">
      <w:pPr>
        <w:pStyle w:val="Heading1"/>
      </w:pPr>
      <w:bookmarkStart w:id="62" w:name="_Toc219841864"/>
      <w:r>
        <w:lastRenderedPageBreak/>
        <w:t>CHAPTER 5: Recommendations and Conclusion</w:t>
      </w:r>
      <w:bookmarkEnd w:id="62"/>
      <w:r>
        <w:t xml:space="preserve"> </w:t>
      </w:r>
    </w:p>
    <w:p w14:paraId="30EAEBEA" w14:textId="77777777" w:rsidR="003463D3" w:rsidRDefault="00000000">
      <w:pPr>
        <w:pStyle w:val="Heading2"/>
      </w:pPr>
      <w:bookmarkStart w:id="63" w:name="_Toc219841865"/>
      <w:r>
        <w:t>5.1 Conclusion</w:t>
      </w:r>
      <w:bookmarkEnd w:id="63"/>
      <w:r>
        <w:t xml:space="preserve"> </w:t>
      </w:r>
    </w:p>
    <w:p w14:paraId="3F694580" w14:textId="77777777" w:rsidR="003463D3" w:rsidRDefault="00000000">
      <w:r>
        <w:t>To conclude, this report has critically assessed the problem of staff burnout and its effect on quality care delivery in the health and social care sector of the UK setting. The results have provided in-depth interpretation to realise that burnout is a widespread and organisational issue, which is also reinforced by excessive workloads, the extended working pressure, ineffective style of leadership and disrespect. The thematic analysis has defined the fact that burnout is among the leading causes of mental health issues, absenteeism and a lack of staff and low workforce stability. Above all, the findings are validating both the effect that staff burnout has not only on the well-being of the staff but also on the quality of care, patient safety and continuity of care services, which proves the interdependence between workforce sustainability and quality care delivery. The entire study has also identified a close-bonding between burnout, low employee performance and staff retention issues with an extensive organisational and economic impact.</w:t>
      </w:r>
    </w:p>
    <w:p w14:paraId="449C2301" w14:textId="77777777" w:rsidR="003463D3" w:rsidRDefault="00000000">
      <w:r>
        <w:t xml:space="preserve">The results further established that interventions provided with an individual approach are inadequate, but rather multifaceted and multilevel interventions to organisations are the only interventions that can lead to an improvement in the long-term. The supportive leadership, limited workloads, the reward and recognition programmes as well as the staff wellbeing programmes have been identified as the strategies that have demonstrated effectiveness in the achievement of the same objectives, namely the prevention of burnout and improvement of the quality of the offered care. Besides that, the study is well-finished with a theory interpretation by adding the Job Demands-Resources Model and Maslach Burnout Theory, adequately. Hence, staff burnout cannot be addressed on a wholesale basis by a single remedy but by systematically altering the existing situation. As a result, it can be concluded that the sustainability of workforce policies is relevant in the context of ensuring the current framework of the healthcare system in the UK. </w:t>
      </w:r>
    </w:p>
    <w:p w14:paraId="34F7BF98" w14:textId="77777777" w:rsidR="003463D3" w:rsidRDefault="00000000">
      <w:pPr>
        <w:pStyle w:val="Heading2"/>
      </w:pPr>
      <w:bookmarkStart w:id="64" w:name="_Toc219841866"/>
      <w:r>
        <w:t>5.2 Linking with objectives</w:t>
      </w:r>
      <w:bookmarkEnd w:id="64"/>
      <w:r>
        <w:t xml:space="preserve"> </w:t>
      </w:r>
    </w:p>
    <w:p w14:paraId="1F7E0915" w14:textId="77777777" w:rsidR="003463D3" w:rsidRDefault="00000000">
      <w:pPr>
        <w:pStyle w:val="Heading3"/>
      </w:pPr>
      <w:bookmarkStart w:id="65" w:name="_Toc219841867"/>
      <w:r>
        <w:t>Objective 1:</w:t>
      </w:r>
      <w:bookmarkEnd w:id="65"/>
    </w:p>
    <w:p w14:paraId="412F1C75" w14:textId="77777777" w:rsidR="003463D3" w:rsidRDefault="00000000">
      <w:r>
        <w:t xml:space="preserve">The data analysis and literature review has indicated the increasing range of mental fatigue, depression, anxiety, and job dissatisfaction forcing enhancements of employee burnout in the health and social care sector. Moreover, Excessive workload and increased work stress of staff has increased employee enhancement as significant issues for health workers in the health and social care sector of the UK. </w:t>
      </w:r>
    </w:p>
    <w:p w14:paraId="47638653" w14:textId="77777777" w:rsidR="003463D3" w:rsidRDefault="00000000">
      <w:pPr>
        <w:pStyle w:val="Heading3"/>
      </w:pPr>
      <w:bookmarkStart w:id="66" w:name="_Toc219841868"/>
      <w:r>
        <w:lastRenderedPageBreak/>
        <w:t>Objective 2:</w:t>
      </w:r>
      <w:bookmarkEnd w:id="66"/>
    </w:p>
    <w:p w14:paraId="5025057A" w14:textId="77777777" w:rsidR="003463D3" w:rsidRDefault="00000000">
      <w:r>
        <w:t xml:space="preserve">Poor leadership practice, high work pressure and inadequate appreciation are responsible for increasing job satisfaction and employee burnout in the health and social care industry based on findings from data analysis and literature review. This has indicated the requirements of improving staff management process in the health and social care sector of the UK for minimising employee burnout. </w:t>
      </w:r>
    </w:p>
    <w:p w14:paraId="375005AB" w14:textId="77777777" w:rsidR="003463D3" w:rsidRDefault="00000000">
      <w:pPr>
        <w:pStyle w:val="Heading3"/>
      </w:pPr>
      <w:bookmarkStart w:id="67" w:name="_Toc219841869"/>
      <w:r>
        <w:t>Objective 3:</w:t>
      </w:r>
      <w:bookmarkEnd w:id="67"/>
    </w:p>
    <w:p w14:paraId="13F63DA0" w14:textId="77777777" w:rsidR="003463D3" w:rsidRDefault="00000000">
      <w:r>
        <w:t xml:space="preserve">This research, including data analysis and literature has shown that job performance, satisfaction and employee burnout are interrelated. The connection between burnout, employee performance, and workforce retention includes lack of appreciation, inefficiency, workforce restrictions and staff sickness in the health and social care sector. </w:t>
      </w:r>
    </w:p>
    <w:p w14:paraId="68A6E80F" w14:textId="77777777" w:rsidR="003463D3" w:rsidRDefault="00000000">
      <w:pPr>
        <w:pStyle w:val="Heading3"/>
      </w:pPr>
      <w:bookmarkStart w:id="68" w:name="_Toc219841870"/>
      <w:r>
        <w:t>Objective 4:</w:t>
      </w:r>
      <w:bookmarkEnd w:id="68"/>
      <w:r>
        <w:t xml:space="preserve"> </w:t>
      </w:r>
    </w:p>
    <w:p w14:paraId="6621657B" w14:textId="77777777" w:rsidR="003463D3" w:rsidRDefault="00000000">
      <w:r>
        <w:t xml:space="preserve">The strategic approach for the improvements of staff management process and reducing burnout includes Individual-focused intervention, a multifaceted approach, and a multilevel approach based on the research findings and literature review. Moreover, the opportunity of reward and recognition are included in the strategic solution for reducing burnout and ensuring employee performance and job satisfaction in the health and social care sector of the UK. </w:t>
      </w:r>
    </w:p>
    <w:p w14:paraId="2A3F1E50" w14:textId="77777777" w:rsidR="003463D3" w:rsidRDefault="00000000">
      <w:pPr>
        <w:pStyle w:val="Heading2"/>
      </w:pPr>
      <w:bookmarkStart w:id="69" w:name="_Toc219841871"/>
      <w:r>
        <w:t>5.3 Recommendation</w:t>
      </w:r>
      <w:bookmarkEnd w:id="69"/>
    </w:p>
    <w:p w14:paraId="527ABBDA" w14:textId="77777777" w:rsidR="003463D3" w:rsidRDefault="00000000">
      <w:r>
        <w:t xml:space="preserve">The introduction of flexibility for work-life balance may be a significant solution for the improvement of job satisfaction of health workers. Moreover, the opportunity to balancing work-life and enhancing flexibility of health workers may contribute to increasing employee engagements, focusing on the improvements of overall employee managements process in the health and social care sector in the UK. The integration of flexibility in the workforce management concerning the opportunity of work life balance may help to develop positive working environments to ensure job satisfaction and reduce the rage of employee burnout in the health and social care industry in the UK. Thus, strategic solutions for the improvement of workplace culture and ensuring employee wellbeing may include encouraging flexibility in working hours with the opportunity for work-life balance in the health and social care sector in the UK. </w:t>
      </w:r>
    </w:p>
    <w:p w14:paraId="49857D66" w14:textId="77777777" w:rsidR="003463D3" w:rsidRDefault="00000000">
      <w:pPr>
        <w:pStyle w:val="Heading2"/>
      </w:pPr>
      <w:bookmarkStart w:id="70" w:name="_Toc219841872"/>
      <w:r>
        <w:t>5.4 Limitation</w:t>
      </w:r>
      <w:bookmarkEnd w:id="70"/>
    </w:p>
    <w:p w14:paraId="21289EC7" w14:textId="77777777" w:rsidR="003463D3" w:rsidRDefault="00000000">
      <w:r>
        <w:t xml:space="preserve">In the secondary qualitative research, restriction of analysing large-scale information and perspectives has impacted the current scenario regarding burnout and job dissatisfaction of health workers. This has impacted the clarity on knowledge in the current scenario concerning effective staff management processes in the health and social care sector. Moreover, the lack of analysing primary data has affected the opportunity to illustrate the experiences of health </w:t>
      </w:r>
      <w:r>
        <w:lastRenderedPageBreak/>
        <w:t xml:space="preserve">workers regarding work load and level of satisfaction in job by staff in the health and social care sector. Thus, the lack of analysing the perspective of the target population and evaluating large scale information has restricted overall experiences and concepts of employee burnout, job satisfaction of staff in the health and social care sector in the UK. </w:t>
      </w:r>
    </w:p>
    <w:p w14:paraId="2E600146" w14:textId="77777777" w:rsidR="003463D3" w:rsidRDefault="00000000">
      <w:pPr>
        <w:pStyle w:val="Heading2"/>
      </w:pPr>
      <w:bookmarkStart w:id="71" w:name="_Toc219841873"/>
      <w:r>
        <w:t>5.5 Future research scope</w:t>
      </w:r>
      <w:bookmarkEnd w:id="71"/>
    </w:p>
    <w:p w14:paraId="702BA8A4" w14:textId="23CF3617" w:rsidR="003463D3" w:rsidRDefault="00000000" w:rsidP="00C3615C">
      <w:r>
        <w:t xml:space="preserve">This research may focus on analysing the psychological aspects of employee well-being, focusing implementation of staff managements to reduce burnout. This research has built guidelines and principles for the developments of concepts in the integration of employee management for ensuring job satisfaction for established health and wellbeing. The concept of effective employee management in the health and social care sector may be considered as broader areas for conducting their research effectively. Future research may emphasise on identification of challenges and strategic solutions for the improvements of employee management process for reducing burnout in the UK health and social care sector. The concept of the motivational strategy for employee burnout may be analysed on future research for the integration of this research area on the improvements of overall concepts in this subject matter. </w:t>
      </w:r>
      <w:bookmarkStart w:id="72" w:name="_heading=h.ahsdhy8g885" w:colFirst="0" w:colLast="0"/>
      <w:bookmarkEnd w:id="72"/>
      <w:r>
        <w:br w:type="page"/>
      </w:r>
    </w:p>
    <w:p w14:paraId="55F18081" w14:textId="77777777" w:rsidR="003463D3" w:rsidRDefault="00000000">
      <w:pPr>
        <w:pStyle w:val="Heading1"/>
      </w:pPr>
      <w:bookmarkStart w:id="73" w:name="_Toc219841874"/>
      <w:r>
        <w:lastRenderedPageBreak/>
        <w:t>Reference List</w:t>
      </w:r>
      <w:bookmarkEnd w:id="73"/>
    </w:p>
    <w:p w14:paraId="2CDBC87B" w14:textId="77777777" w:rsidR="003463D3" w:rsidRPr="00266549" w:rsidRDefault="00000000" w:rsidP="00266549">
      <w:pPr>
        <w:spacing w:after="240"/>
        <w:rPr>
          <w:rFonts w:ascii="Times New Roman" w:hAnsi="Times New Roman" w:cs="Times New Roman"/>
          <w:sz w:val="24"/>
          <w:szCs w:val="24"/>
        </w:rPr>
      </w:pPr>
      <w:r w:rsidRPr="00266549">
        <w:rPr>
          <w:rFonts w:ascii="Times New Roman" w:hAnsi="Times New Roman" w:cs="Times New Roman"/>
          <w:sz w:val="24"/>
          <w:szCs w:val="24"/>
        </w:rPr>
        <w:t xml:space="preserve">Ahmed, S.K., Mohammed, R.A., Nashwan, A.J., Ibrahim, R.H., Abdalla, A.Q., Ameen, B.M.M. and </w:t>
      </w:r>
      <w:proofErr w:type="spellStart"/>
      <w:r w:rsidRPr="00266549">
        <w:rPr>
          <w:rFonts w:ascii="Times New Roman" w:hAnsi="Times New Roman" w:cs="Times New Roman"/>
          <w:sz w:val="24"/>
          <w:szCs w:val="24"/>
        </w:rPr>
        <w:t>Khdhir</w:t>
      </w:r>
      <w:proofErr w:type="spellEnd"/>
      <w:r w:rsidRPr="00266549">
        <w:rPr>
          <w:rFonts w:ascii="Times New Roman" w:hAnsi="Times New Roman" w:cs="Times New Roman"/>
          <w:sz w:val="24"/>
          <w:szCs w:val="24"/>
        </w:rPr>
        <w:t xml:space="preserve">, R.M., (2025) ‘Using thematic analysis in qualitative research’, </w:t>
      </w:r>
      <w:r w:rsidRPr="00266549">
        <w:rPr>
          <w:rFonts w:ascii="Times New Roman" w:hAnsi="Times New Roman" w:cs="Times New Roman"/>
          <w:i/>
          <w:iCs/>
          <w:sz w:val="24"/>
          <w:szCs w:val="24"/>
        </w:rPr>
        <w:t>Journal of Medicine, Surgery, and Public Health,</w:t>
      </w:r>
      <w:r w:rsidRPr="00266549">
        <w:rPr>
          <w:rFonts w:ascii="Times New Roman" w:hAnsi="Times New Roman" w:cs="Times New Roman"/>
          <w:sz w:val="24"/>
          <w:szCs w:val="24"/>
        </w:rPr>
        <w:t xml:space="preserve"> 6, p.100198.</w:t>
      </w:r>
    </w:p>
    <w:p w14:paraId="06A6D494" w14:textId="6978D057" w:rsidR="003463D3" w:rsidRPr="00266549" w:rsidRDefault="00000000" w:rsidP="00266549">
      <w:pPr>
        <w:spacing w:after="240"/>
        <w:rPr>
          <w:rFonts w:ascii="Times New Roman" w:hAnsi="Times New Roman" w:cs="Times New Roman"/>
          <w:color w:val="222222"/>
          <w:sz w:val="24"/>
          <w:szCs w:val="24"/>
          <w:highlight w:val="white"/>
        </w:rPr>
      </w:pPr>
      <w:r w:rsidRPr="00266549">
        <w:rPr>
          <w:rFonts w:ascii="Times New Roman" w:hAnsi="Times New Roman" w:cs="Times New Roman"/>
          <w:color w:val="222222"/>
          <w:sz w:val="24"/>
          <w:szCs w:val="24"/>
          <w:highlight w:val="white"/>
        </w:rPr>
        <w:t xml:space="preserve">Anders, R.L. (2025). 'Perspectives on Patient Safety: The Central Role of Nursing Management’, </w:t>
      </w:r>
      <w:r w:rsidRPr="00266549">
        <w:rPr>
          <w:rFonts w:ascii="Times New Roman" w:hAnsi="Times New Roman" w:cs="Times New Roman"/>
          <w:i/>
          <w:iCs/>
          <w:color w:val="222222"/>
          <w:sz w:val="24"/>
          <w:szCs w:val="24"/>
          <w:highlight w:val="white"/>
        </w:rPr>
        <w:t>Healthcare</w:t>
      </w:r>
      <w:r w:rsidRPr="00266549">
        <w:rPr>
          <w:rFonts w:ascii="Times New Roman" w:hAnsi="Times New Roman" w:cs="Times New Roman"/>
          <w:color w:val="222222"/>
          <w:sz w:val="24"/>
          <w:szCs w:val="24"/>
          <w:highlight w:val="white"/>
        </w:rPr>
        <w:t xml:space="preserve">, 13(24), pp.3240–3240. </w:t>
      </w:r>
    </w:p>
    <w:p w14:paraId="4935E697" w14:textId="77777777" w:rsidR="003463D3" w:rsidRPr="00266549" w:rsidRDefault="00000000" w:rsidP="00266549">
      <w:pPr>
        <w:spacing w:after="240"/>
        <w:rPr>
          <w:rFonts w:ascii="Times New Roman" w:hAnsi="Times New Roman" w:cs="Times New Roman"/>
          <w:sz w:val="24"/>
          <w:szCs w:val="24"/>
        </w:rPr>
      </w:pPr>
      <w:r w:rsidRPr="00266549">
        <w:rPr>
          <w:rFonts w:ascii="Times New Roman" w:hAnsi="Times New Roman" w:cs="Times New Roman"/>
          <w:sz w:val="24"/>
          <w:szCs w:val="24"/>
        </w:rPr>
        <w:t xml:space="preserve">Ansari, M., Tasleem, N. and Pub, A., (2022) ‘Building a Resilient Healthcare Workforce: HR Innovations for Staff Retention, Burnout Prevention, and Talent Development’, </w:t>
      </w:r>
      <w:r w:rsidRPr="00266549">
        <w:rPr>
          <w:rFonts w:ascii="Times New Roman" w:hAnsi="Times New Roman" w:cs="Times New Roman"/>
          <w:i/>
          <w:iCs/>
          <w:sz w:val="24"/>
          <w:szCs w:val="24"/>
        </w:rPr>
        <w:t>Journal of Frontiers in Multidisciplinary Research, 3</w:t>
      </w:r>
      <w:r w:rsidRPr="00266549">
        <w:rPr>
          <w:rFonts w:ascii="Times New Roman" w:hAnsi="Times New Roman" w:cs="Times New Roman"/>
          <w:sz w:val="24"/>
          <w:szCs w:val="24"/>
        </w:rPr>
        <w:t xml:space="preserve">, pp.16-20. </w:t>
      </w:r>
    </w:p>
    <w:p w14:paraId="33DC0ADE" w14:textId="77777777" w:rsidR="003463D3" w:rsidRPr="00266549" w:rsidRDefault="00000000" w:rsidP="00266549">
      <w:pPr>
        <w:spacing w:after="240"/>
        <w:rPr>
          <w:rFonts w:ascii="Times New Roman" w:hAnsi="Times New Roman" w:cs="Times New Roman"/>
          <w:color w:val="222222"/>
          <w:sz w:val="24"/>
          <w:szCs w:val="24"/>
          <w:highlight w:val="white"/>
        </w:rPr>
      </w:pPr>
      <w:r w:rsidRPr="00266549">
        <w:rPr>
          <w:rFonts w:ascii="Times New Roman" w:hAnsi="Times New Roman" w:cs="Times New Roman"/>
          <w:color w:val="222222"/>
          <w:sz w:val="24"/>
          <w:szCs w:val="24"/>
          <w:highlight w:val="white"/>
        </w:rPr>
        <w:t xml:space="preserve">Aremu, S.O., Adamu, A.I., </w:t>
      </w:r>
      <w:proofErr w:type="spellStart"/>
      <w:r w:rsidRPr="00266549">
        <w:rPr>
          <w:rFonts w:ascii="Times New Roman" w:hAnsi="Times New Roman" w:cs="Times New Roman"/>
          <w:color w:val="222222"/>
          <w:sz w:val="24"/>
          <w:szCs w:val="24"/>
          <w:highlight w:val="white"/>
        </w:rPr>
        <w:t>Fatoke</w:t>
      </w:r>
      <w:proofErr w:type="spellEnd"/>
      <w:r w:rsidRPr="00266549">
        <w:rPr>
          <w:rFonts w:ascii="Times New Roman" w:hAnsi="Times New Roman" w:cs="Times New Roman"/>
          <w:color w:val="222222"/>
          <w:sz w:val="24"/>
          <w:szCs w:val="24"/>
          <w:highlight w:val="white"/>
        </w:rPr>
        <w:t xml:space="preserve">, B., </w:t>
      </w:r>
      <w:proofErr w:type="spellStart"/>
      <w:r w:rsidRPr="00266549">
        <w:rPr>
          <w:rFonts w:ascii="Times New Roman" w:hAnsi="Times New Roman" w:cs="Times New Roman"/>
          <w:color w:val="222222"/>
          <w:sz w:val="24"/>
          <w:szCs w:val="24"/>
          <w:highlight w:val="white"/>
        </w:rPr>
        <w:t>Uguru</w:t>
      </w:r>
      <w:proofErr w:type="spellEnd"/>
      <w:r w:rsidRPr="00266549">
        <w:rPr>
          <w:rFonts w:ascii="Times New Roman" w:hAnsi="Times New Roman" w:cs="Times New Roman"/>
          <w:color w:val="222222"/>
          <w:sz w:val="24"/>
          <w:szCs w:val="24"/>
          <w:highlight w:val="white"/>
        </w:rPr>
        <w:t xml:space="preserve">, L.I., Aremu, D.O. and </w:t>
      </w:r>
      <w:proofErr w:type="spellStart"/>
      <w:r w:rsidRPr="00266549">
        <w:rPr>
          <w:rFonts w:ascii="Times New Roman" w:hAnsi="Times New Roman" w:cs="Times New Roman"/>
          <w:color w:val="222222"/>
          <w:sz w:val="24"/>
          <w:szCs w:val="24"/>
          <w:highlight w:val="white"/>
        </w:rPr>
        <w:t>Barkhadle</w:t>
      </w:r>
      <w:proofErr w:type="spellEnd"/>
      <w:r w:rsidRPr="00266549">
        <w:rPr>
          <w:rFonts w:ascii="Times New Roman" w:hAnsi="Times New Roman" w:cs="Times New Roman"/>
          <w:color w:val="222222"/>
          <w:sz w:val="24"/>
          <w:szCs w:val="24"/>
          <w:highlight w:val="white"/>
        </w:rPr>
        <w:t xml:space="preserve">, A.A., (2025). ‘Adapting aviation-based strategies to address professional burnout in healthcare’, </w:t>
      </w:r>
      <w:r w:rsidRPr="00266549">
        <w:rPr>
          <w:rFonts w:ascii="Times New Roman" w:hAnsi="Times New Roman" w:cs="Times New Roman"/>
          <w:i/>
          <w:iCs/>
          <w:color w:val="222222"/>
          <w:sz w:val="24"/>
          <w:szCs w:val="24"/>
          <w:highlight w:val="white"/>
        </w:rPr>
        <w:t>Discover Health Systems</w:t>
      </w:r>
      <w:r w:rsidRPr="00266549">
        <w:rPr>
          <w:rFonts w:ascii="Times New Roman" w:hAnsi="Times New Roman" w:cs="Times New Roman"/>
          <w:color w:val="222222"/>
          <w:sz w:val="24"/>
          <w:szCs w:val="24"/>
          <w:highlight w:val="white"/>
        </w:rPr>
        <w:t xml:space="preserve">, </w:t>
      </w:r>
      <w:r w:rsidRPr="00266549">
        <w:rPr>
          <w:rFonts w:ascii="Times New Roman" w:hAnsi="Times New Roman" w:cs="Times New Roman"/>
          <w:i/>
          <w:iCs/>
          <w:color w:val="222222"/>
          <w:sz w:val="24"/>
          <w:szCs w:val="24"/>
          <w:highlight w:val="white"/>
        </w:rPr>
        <w:t>4</w:t>
      </w:r>
      <w:r w:rsidRPr="00266549">
        <w:rPr>
          <w:rFonts w:ascii="Times New Roman" w:hAnsi="Times New Roman" w:cs="Times New Roman"/>
          <w:color w:val="222222"/>
          <w:sz w:val="24"/>
          <w:szCs w:val="24"/>
          <w:highlight w:val="white"/>
        </w:rPr>
        <w:t>(1), pp.1-11.</w:t>
      </w:r>
    </w:p>
    <w:p w14:paraId="1B99C297" w14:textId="77777777" w:rsidR="003463D3" w:rsidRPr="00266549" w:rsidRDefault="00000000" w:rsidP="00266549">
      <w:pPr>
        <w:spacing w:after="240"/>
        <w:rPr>
          <w:rFonts w:ascii="Times New Roman" w:hAnsi="Times New Roman" w:cs="Times New Roman"/>
          <w:sz w:val="24"/>
          <w:szCs w:val="24"/>
        </w:rPr>
      </w:pPr>
      <w:proofErr w:type="spellStart"/>
      <w:r w:rsidRPr="00266549">
        <w:rPr>
          <w:rFonts w:ascii="Times New Roman" w:hAnsi="Times New Roman" w:cs="Times New Roman"/>
          <w:sz w:val="24"/>
          <w:szCs w:val="24"/>
        </w:rPr>
        <w:t>Athamneh</w:t>
      </w:r>
      <w:proofErr w:type="spellEnd"/>
      <w:r w:rsidRPr="00266549">
        <w:rPr>
          <w:rFonts w:ascii="Times New Roman" w:hAnsi="Times New Roman" w:cs="Times New Roman"/>
          <w:sz w:val="24"/>
          <w:szCs w:val="24"/>
        </w:rPr>
        <w:t xml:space="preserve">, S., (2024) ‘Human resource management practices and their impact on healthcare workers' job satisfaction and burnout in the Jordanian public sector’, </w:t>
      </w:r>
      <w:r w:rsidRPr="00266549">
        <w:rPr>
          <w:rFonts w:ascii="Times New Roman" w:hAnsi="Times New Roman" w:cs="Times New Roman"/>
          <w:i/>
          <w:iCs/>
          <w:sz w:val="24"/>
          <w:szCs w:val="24"/>
        </w:rPr>
        <w:t>Problems and Perspectives in Management, 22</w:t>
      </w:r>
      <w:r w:rsidRPr="00266549">
        <w:rPr>
          <w:rFonts w:ascii="Times New Roman" w:hAnsi="Times New Roman" w:cs="Times New Roman"/>
          <w:sz w:val="24"/>
          <w:szCs w:val="24"/>
        </w:rPr>
        <w:t xml:space="preserve">(1), p.634. </w:t>
      </w:r>
    </w:p>
    <w:p w14:paraId="74CAC975" w14:textId="77777777" w:rsidR="003463D3" w:rsidRPr="00266549" w:rsidRDefault="00000000" w:rsidP="00266549">
      <w:pPr>
        <w:spacing w:after="240"/>
        <w:rPr>
          <w:rFonts w:ascii="Times New Roman" w:hAnsi="Times New Roman" w:cs="Times New Roman"/>
          <w:color w:val="222222"/>
          <w:sz w:val="24"/>
          <w:szCs w:val="24"/>
          <w:highlight w:val="white"/>
        </w:rPr>
      </w:pPr>
      <w:proofErr w:type="spellStart"/>
      <w:r w:rsidRPr="00266549">
        <w:rPr>
          <w:rFonts w:ascii="Times New Roman" w:hAnsi="Times New Roman" w:cs="Times New Roman"/>
          <w:color w:val="222222"/>
          <w:sz w:val="24"/>
          <w:szCs w:val="24"/>
          <w:highlight w:val="white"/>
        </w:rPr>
        <w:t>Atinga</w:t>
      </w:r>
      <w:proofErr w:type="spellEnd"/>
      <w:r w:rsidRPr="00266549">
        <w:rPr>
          <w:rFonts w:ascii="Times New Roman" w:hAnsi="Times New Roman" w:cs="Times New Roman"/>
          <w:color w:val="222222"/>
          <w:sz w:val="24"/>
          <w:szCs w:val="24"/>
          <w:highlight w:val="white"/>
        </w:rPr>
        <w:t xml:space="preserve">, R.A., </w:t>
      </w:r>
      <w:proofErr w:type="spellStart"/>
      <w:r w:rsidRPr="00266549">
        <w:rPr>
          <w:rFonts w:ascii="Times New Roman" w:hAnsi="Times New Roman" w:cs="Times New Roman"/>
          <w:color w:val="222222"/>
          <w:sz w:val="24"/>
          <w:szCs w:val="24"/>
          <w:highlight w:val="white"/>
        </w:rPr>
        <w:t>Gmaligan</w:t>
      </w:r>
      <w:proofErr w:type="spellEnd"/>
      <w:r w:rsidRPr="00266549">
        <w:rPr>
          <w:rFonts w:ascii="Times New Roman" w:hAnsi="Times New Roman" w:cs="Times New Roman"/>
          <w:color w:val="222222"/>
          <w:sz w:val="24"/>
          <w:szCs w:val="24"/>
          <w:highlight w:val="white"/>
        </w:rPr>
        <w:t xml:space="preserve">, M.N., </w:t>
      </w:r>
      <w:proofErr w:type="spellStart"/>
      <w:r w:rsidRPr="00266549">
        <w:rPr>
          <w:rFonts w:ascii="Times New Roman" w:hAnsi="Times New Roman" w:cs="Times New Roman"/>
          <w:color w:val="222222"/>
          <w:sz w:val="24"/>
          <w:szCs w:val="24"/>
          <w:highlight w:val="white"/>
        </w:rPr>
        <w:t>Ayawine</w:t>
      </w:r>
      <w:proofErr w:type="spellEnd"/>
      <w:r w:rsidRPr="00266549">
        <w:rPr>
          <w:rFonts w:ascii="Times New Roman" w:hAnsi="Times New Roman" w:cs="Times New Roman"/>
          <w:color w:val="222222"/>
          <w:sz w:val="24"/>
          <w:szCs w:val="24"/>
          <w:highlight w:val="white"/>
        </w:rPr>
        <w:t xml:space="preserve">, A. and </w:t>
      </w:r>
      <w:proofErr w:type="spellStart"/>
      <w:r w:rsidRPr="00266549">
        <w:rPr>
          <w:rFonts w:ascii="Times New Roman" w:hAnsi="Times New Roman" w:cs="Times New Roman"/>
          <w:color w:val="222222"/>
          <w:sz w:val="24"/>
          <w:szCs w:val="24"/>
          <w:highlight w:val="white"/>
        </w:rPr>
        <w:t>Yambah</w:t>
      </w:r>
      <w:proofErr w:type="spellEnd"/>
      <w:r w:rsidRPr="00266549">
        <w:rPr>
          <w:rFonts w:ascii="Times New Roman" w:hAnsi="Times New Roman" w:cs="Times New Roman"/>
          <w:color w:val="222222"/>
          <w:sz w:val="24"/>
          <w:szCs w:val="24"/>
          <w:highlight w:val="white"/>
        </w:rPr>
        <w:t xml:space="preserve">, J.K., (2024). “It's the patient that suffers from poor communication”: </w:t>
      </w:r>
      <w:proofErr w:type="spellStart"/>
      <w:r w:rsidRPr="00266549">
        <w:rPr>
          <w:rFonts w:ascii="Times New Roman" w:hAnsi="Times New Roman" w:cs="Times New Roman"/>
          <w:color w:val="222222"/>
          <w:sz w:val="24"/>
          <w:szCs w:val="24"/>
          <w:highlight w:val="white"/>
        </w:rPr>
        <w:t>Analyzing</w:t>
      </w:r>
      <w:proofErr w:type="spellEnd"/>
      <w:r w:rsidRPr="00266549">
        <w:rPr>
          <w:rFonts w:ascii="Times New Roman" w:hAnsi="Times New Roman" w:cs="Times New Roman"/>
          <w:color w:val="222222"/>
          <w:sz w:val="24"/>
          <w:szCs w:val="24"/>
          <w:highlight w:val="white"/>
        </w:rPr>
        <w:t xml:space="preserve"> communication gaps and associated consequences in handover events from nurses’ experiences’, </w:t>
      </w:r>
      <w:r w:rsidRPr="00266549">
        <w:rPr>
          <w:rFonts w:ascii="Times New Roman" w:hAnsi="Times New Roman" w:cs="Times New Roman"/>
          <w:i/>
          <w:iCs/>
          <w:color w:val="222222"/>
          <w:sz w:val="24"/>
          <w:szCs w:val="24"/>
          <w:highlight w:val="white"/>
        </w:rPr>
        <w:t>SSM-Qualitative Research in Health</w:t>
      </w:r>
      <w:r w:rsidRPr="00266549">
        <w:rPr>
          <w:rFonts w:ascii="Times New Roman" w:hAnsi="Times New Roman" w:cs="Times New Roman"/>
          <w:color w:val="222222"/>
          <w:sz w:val="24"/>
          <w:szCs w:val="24"/>
          <w:highlight w:val="white"/>
        </w:rPr>
        <w:t xml:space="preserve">, </w:t>
      </w:r>
      <w:r w:rsidRPr="00266549">
        <w:rPr>
          <w:rFonts w:ascii="Times New Roman" w:hAnsi="Times New Roman" w:cs="Times New Roman"/>
          <w:i/>
          <w:iCs/>
          <w:color w:val="222222"/>
          <w:sz w:val="24"/>
          <w:szCs w:val="24"/>
          <w:highlight w:val="white"/>
        </w:rPr>
        <w:t>6</w:t>
      </w:r>
      <w:r w:rsidRPr="00266549">
        <w:rPr>
          <w:rFonts w:ascii="Times New Roman" w:hAnsi="Times New Roman" w:cs="Times New Roman"/>
          <w:color w:val="222222"/>
          <w:sz w:val="24"/>
          <w:szCs w:val="24"/>
          <w:highlight w:val="white"/>
        </w:rPr>
        <w:t>, p.100482.</w:t>
      </w:r>
    </w:p>
    <w:p w14:paraId="229F8CF6" w14:textId="77777777" w:rsidR="003463D3" w:rsidRPr="00266549" w:rsidRDefault="00000000" w:rsidP="00266549">
      <w:pPr>
        <w:spacing w:after="240"/>
        <w:rPr>
          <w:rFonts w:ascii="Times New Roman" w:hAnsi="Times New Roman" w:cs="Times New Roman"/>
          <w:sz w:val="24"/>
          <w:szCs w:val="24"/>
        </w:rPr>
      </w:pPr>
      <w:r w:rsidRPr="00266549">
        <w:rPr>
          <w:rFonts w:ascii="Times New Roman" w:hAnsi="Times New Roman" w:cs="Times New Roman"/>
          <w:sz w:val="24"/>
          <w:szCs w:val="24"/>
        </w:rPr>
        <w:t xml:space="preserve">Bergdahl, E. and </w:t>
      </w:r>
      <w:proofErr w:type="spellStart"/>
      <w:r w:rsidRPr="00266549">
        <w:rPr>
          <w:rFonts w:ascii="Times New Roman" w:hAnsi="Times New Roman" w:cs="Times New Roman"/>
          <w:sz w:val="24"/>
          <w:szCs w:val="24"/>
        </w:rPr>
        <w:t>Berterö</w:t>
      </w:r>
      <w:proofErr w:type="spellEnd"/>
      <w:r w:rsidRPr="00266549">
        <w:rPr>
          <w:rFonts w:ascii="Times New Roman" w:hAnsi="Times New Roman" w:cs="Times New Roman"/>
          <w:sz w:val="24"/>
          <w:szCs w:val="24"/>
        </w:rPr>
        <w:t xml:space="preserve">, C.M., (2023) ‘Creating theory: Encouragement for using creativity and deduction in qualitative nursing research’, </w:t>
      </w:r>
      <w:r w:rsidRPr="00266549">
        <w:rPr>
          <w:rFonts w:ascii="Times New Roman" w:hAnsi="Times New Roman" w:cs="Times New Roman"/>
          <w:i/>
          <w:iCs/>
          <w:sz w:val="24"/>
          <w:szCs w:val="24"/>
        </w:rPr>
        <w:t xml:space="preserve">Nursing Philosophy, </w:t>
      </w:r>
      <w:r w:rsidRPr="00266549">
        <w:rPr>
          <w:rFonts w:ascii="Times New Roman" w:hAnsi="Times New Roman" w:cs="Times New Roman"/>
          <w:sz w:val="24"/>
          <w:szCs w:val="24"/>
        </w:rPr>
        <w:t>24(4), p.e12421.</w:t>
      </w:r>
    </w:p>
    <w:p w14:paraId="5DEF6BCB" w14:textId="77777777" w:rsidR="003463D3" w:rsidRPr="00266549" w:rsidRDefault="00000000" w:rsidP="00266549">
      <w:pPr>
        <w:spacing w:after="240"/>
        <w:rPr>
          <w:rFonts w:ascii="Times New Roman" w:hAnsi="Times New Roman" w:cs="Times New Roman"/>
          <w:color w:val="222222"/>
          <w:sz w:val="24"/>
          <w:szCs w:val="24"/>
          <w:highlight w:val="white"/>
        </w:rPr>
      </w:pPr>
      <w:r w:rsidRPr="00266549">
        <w:rPr>
          <w:rFonts w:ascii="Times New Roman" w:hAnsi="Times New Roman" w:cs="Times New Roman"/>
          <w:color w:val="222222"/>
          <w:sz w:val="24"/>
          <w:szCs w:val="24"/>
          <w:highlight w:val="white"/>
        </w:rPr>
        <w:t xml:space="preserve">Bodell, L. (2025). </w:t>
      </w:r>
      <w:r w:rsidRPr="00266549">
        <w:rPr>
          <w:rFonts w:ascii="Times New Roman" w:hAnsi="Times New Roman" w:cs="Times New Roman"/>
          <w:i/>
          <w:iCs/>
          <w:color w:val="222222"/>
          <w:sz w:val="24"/>
          <w:szCs w:val="24"/>
          <w:highlight w:val="white"/>
        </w:rPr>
        <w:t xml:space="preserve">Workplace Burnout: The Silent Struggle </w:t>
      </w:r>
      <w:proofErr w:type="gramStart"/>
      <w:r w:rsidRPr="00266549">
        <w:rPr>
          <w:rFonts w:ascii="Times New Roman" w:hAnsi="Times New Roman" w:cs="Times New Roman"/>
          <w:i/>
          <w:iCs/>
          <w:color w:val="222222"/>
          <w:sz w:val="24"/>
          <w:szCs w:val="24"/>
          <w:highlight w:val="white"/>
        </w:rPr>
        <w:t>Of</w:t>
      </w:r>
      <w:proofErr w:type="gramEnd"/>
      <w:r w:rsidRPr="00266549">
        <w:rPr>
          <w:rFonts w:ascii="Times New Roman" w:hAnsi="Times New Roman" w:cs="Times New Roman"/>
          <w:i/>
          <w:iCs/>
          <w:color w:val="222222"/>
          <w:sz w:val="24"/>
          <w:szCs w:val="24"/>
          <w:highlight w:val="white"/>
        </w:rPr>
        <w:t xml:space="preserve"> </w:t>
      </w:r>
      <w:proofErr w:type="gramStart"/>
      <w:r w:rsidRPr="00266549">
        <w:rPr>
          <w:rFonts w:ascii="Times New Roman" w:hAnsi="Times New Roman" w:cs="Times New Roman"/>
          <w:i/>
          <w:iCs/>
          <w:color w:val="222222"/>
          <w:sz w:val="24"/>
          <w:szCs w:val="24"/>
          <w:highlight w:val="white"/>
        </w:rPr>
        <w:t>The</w:t>
      </w:r>
      <w:proofErr w:type="gramEnd"/>
      <w:r w:rsidRPr="00266549">
        <w:rPr>
          <w:rFonts w:ascii="Times New Roman" w:hAnsi="Times New Roman" w:cs="Times New Roman"/>
          <w:i/>
          <w:iCs/>
          <w:color w:val="222222"/>
          <w:sz w:val="24"/>
          <w:szCs w:val="24"/>
          <w:highlight w:val="white"/>
        </w:rPr>
        <w:t xml:space="preserve"> Strong</w:t>
      </w:r>
      <w:r w:rsidRPr="00266549">
        <w:rPr>
          <w:rFonts w:ascii="Times New Roman" w:hAnsi="Times New Roman" w:cs="Times New Roman"/>
          <w:color w:val="222222"/>
          <w:sz w:val="24"/>
          <w:szCs w:val="24"/>
          <w:highlight w:val="white"/>
        </w:rPr>
        <w:t xml:space="preserve">. Forbes. Available at: </w:t>
      </w:r>
      <w:hyperlink r:id="rId17">
        <w:r w:rsidRPr="00266549">
          <w:rPr>
            <w:rFonts w:ascii="Times New Roman" w:hAnsi="Times New Roman" w:cs="Times New Roman"/>
            <w:color w:val="1155CC"/>
            <w:sz w:val="24"/>
            <w:szCs w:val="24"/>
            <w:highlight w:val="white"/>
            <w:u w:val="single"/>
          </w:rPr>
          <w:t>https://www.forbes.com/sites/lisabodell/2025/05/23/burnout-the-silent-struggle-of-the-strong/</w:t>
        </w:r>
      </w:hyperlink>
      <w:r w:rsidRPr="00266549">
        <w:rPr>
          <w:rFonts w:ascii="Times New Roman" w:hAnsi="Times New Roman" w:cs="Times New Roman"/>
          <w:color w:val="222222"/>
          <w:sz w:val="24"/>
          <w:szCs w:val="24"/>
          <w:highlight w:val="white"/>
        </w:rPr>
        <w:t xml:space="preserve"> (Accessed on 12 Jan 2026).</w:t>
      </w:r>
    </w:p>
    <w:p w14:paraId="45072DF3" w14:textId="77777777" w:rsidR="003463D3" w:rsidRPr="00266549" w:rsidRDefault="00000000" w:rsidP="00266549">
      <w:pPr>
        <w:spacing w:after="240"/>
        <w:rPr>
          <w:rFonts w:ascii="Times New Roman" w:hAnsi="Times New Roman" w:cs="Times New Roman"/>
          <w:color w:val="222222"/>
          <w:sz w:val="24"/>
          <w:szCs w:val="24"/>
          <w:highlight w:val="white"/>
        </w:rPr>
      </w:pPr>
      <w:r w:rsidRPr="00266549">
        <w:rPr>
          <w:rFonts w:ascii="Times New Roman" w:hAnsi="Times New Roman" w:cs="Times New Roman"/>
          <w:color w:val="222222"/>
          <w:sz w:val="24"/>
          <w:szCs w:val="24"/>
          <w:highlight w:val="white"/>
        </w:rPr>
        <w:t xml:space="preserve">Butt, S., Raza, A., Siddiqui, R., Saleem, Y., Cook, B. and Khan, H., (2024). ‘Healthcare employment landscape: comparing job markets for professionals in developed and developing countries’, </w:t>
      </w:r>
      <w:r w:rsidRPr="00266549">
        <w:rPr>
          <w:rFonts w:ascii="Times New Roman" w:hAnsi="Times New Roman" w:cs="Times New Roman"/>
          <w:i/>
          <w:iCs/>
          <w:color w:val="222222"/>
          <w:sz w:val="24"/>
          <w:szCs w:val="24"/>
          <w:highlight w:val="white"/>
        </w:rPr>
        <w:t>Journal of Work-Applied Management</w:t>
      </w:r>
      <w:r w:rsidRPr="00266549">
        <w:rPr>
          <w:rFonts w:ascii="Times New Roman" w:hAnsi="Times New Roman" w:cs="Times New Roman"/>
          <w:color w:val="222222"/>
          <w:sz w:val="24"/>
          <w:szCs w:val="24"/>
          <w:highlight w:val="white"/>
        </w:rPr>
        <w:t xml:space="preserve">, </w:t>
      </w:r>
      <w:r w:rsidRPr="00266549">
        <w:rPr>
          <w:rFonts w:ascii="Times New Roman" w:hAnsi="Times New Roman" w:cs="Times New Roman"/>
          <w:i/>
          <w:iCs/>
          <w:color w:val="222222"/>
          <w:sz w:val="24"/>
          <w:szCs w:val="24"/>
          <w:highlight w:val="white"/>
        </w:rPr>
        <w:t>16</w:t>
      </w:r>
      <w:r w:rsidRPr="00266549">
        <w:rPr>
          <w:rFonts w:ascii="Times New Roman" w:hAnsi="Times New Roman" w:cs="Times New Roman"/>
          <w:color w:val="222222"/>
          <w:sz w:val="24"/>
          <w:szCs w:val="24"/>
          <w:highlight w:val="white"/>
        </w:rPr>
        <w:t>(1), pp.84-96.</w:t>
      </w:r>
    </w:p>
    <w:p w14:paraId="3F7AB000" w14:textId="77777777" w:rsidR="003463D3" w:rsidRPr="00266549" w:rsidRDefault="00000000" w:rsidP="00266549">
      <w:pPr>
        <w:spacing w:after="240"/>
        <w:rPr>
          <w:rFonts w:ascii="Times New Roman" w:hAnsi="Times New Roman" w:cs="Times New Roman"/>
          <w:color w:val="222222"/>
          <w:sz w:val="24"/>
          <w:szCs w:val="24"/>
          <w:highlight w:val="white"/>
        </w:rPr>
      </w:pPr>
      <w:r w:rsidRPr="00266549">
        <w:rPr>
          <w:rFonts w:ascii="Times New Roman" w:hAnsi="Times New Roman" w:cs="Times New Roman"/>
          <w:color w:val="222222"/>
          <w:sz w:val="24"/>
          <w:szCs w:val="24"/>
          <w:highlight w:val="white"/>
        </w:rPr>
        <w:lastRenderedPageBreak/>
        <w:t xml:space="preserve">Care Quality Commission (2022). </w:t>
      </w:r>
      <w:r w:rsidRPr="00266549">
        <w:rPr>
          <w:rFonts w:ascii="Times New Roman" w:hAnsi="Times New Roman" w:cs="Times New Roman"/>
          <w:i/>
          <w:iCs/>
          <w:color w:val="222222"/>
          <w:sz w:val="24"/>
          <w:szCs w:val="24"/>
          <w:highlight w:val="white"/>
        </w:rPr>
        <w:t>Workforce stress and burnout | Care Quality Commission</w:t>
      </w:r>
      <w:r w:rsidRPr="00266549">
        <w:rPr>
          <w:rFonts w:ascii="Times New Roman" w:hAnsi="Times New Roman" w:cs="Times New Roman"/>
          <w:color w:val="222222"/>
          <w:sz w:val="24"/>
          <w:szCs w:val="24"/>
          <w:highlight w:val="white"/>
        </w:rPr>
        <w:t xml:space="preserve">. www.cqc.org.uk. Available at: </w:t>
      </w:r>
      <w:hyperlink r:id="rId18">
        <w:r w:rsidRPr="00266549">
          <w:rPr>
            <w:rFonts w:ascii="Times New Roman" w:hAnsi="Times New Roman" w:cs="Times New Roman"/>
            <w:color w:val="1155CC"/>
            <w:sz w:val="24"/>
            <w:szCs w:val="24"/>
            <w:highlight w:val="white"/>
            <w:u w:val="single"/>
          </w:rPr>
          <w:t>https://www.cqc.org.uk/publications/major-reports/soc202021_01g_stress-burnout</w:t>
        </w:r>
      </w:hyperlink>
      <w:r w:rsidRPr="00266549">
        <w:rPr>
          <w:rFonts w:ascii="Times New Roman" w:hAnsi="Times New Roman" w:cs="Times New Roman"/>
          <w:color w:val="222222"/>
          <w:sz w:val="24"/>
          <w:szCs w:val="24"/>
          <w:highlight w:val="white"/>
        </w:rPr>
        <w:t xml:space="preserve"> (Accessed on 11 Jan 2026).</w:t>
      </w:r>
    </w:p>
    <w:p w14:paraId="60BEB8FA" w14:textId="77777777" w:rsidR="003463D3" w:rsidRPr="00266549" w:rsidRDefault="00000000" w:rsidP="00266549">
      <w:pPr>
        <w:spacing w:after="240"/>
        <w:rPr>
          <w:rFonts w:ascii="Times New Roman" w:hAnsi="Times New Roman" w:cs="Times New Roman"/>
          <w:color w:val="222222"/>
          <w:sz w:val="24"/>
          <w:szCs w:val="24"/>
          <w:highlight w:val="white"/>
        </w:rPr>
      </w:pPr>
      <w:r w:rsidRPr="00266549">
        <w:rPr>
          <w:rFonts w:ascii="Times New Roman" w:hAnsi="Times New Roman" w:cs="Times New Roman"/>
          <w:color w:val="222222"/>
          <w:sz w:val="24"/>
          <w:szCs w:val="24"/>
          <w:highlight w:val="white"/>
        </w:rPr>
        <w:t xml:space="preserve">Chang, R., (2024). ‘The impact of employees’ health and well-being on job performance’, </w:t>
      </w:r>
      <w:r w:rsidRPr="00266549">
        <w:rPr>
          <w:rFonts w:ascii="Times New Roman" w:hAnsi="Times New Roman" w:cs="Times New Roman"/>
          <w:i/>
          <w:iCs/>
          <w:color w:val="222222"/>
          <w:sz w:val="24"/>
          <w:szCs w:val="24"/>
          <w:highlight w:val="white"/>
        </w:rPr>
        <w:t>Journal of Education, Humanities and Social Sciences</w:t>
      </w:r>
      <w:r w:rsidRPr="00266549">
        <w:rPr>
          <w:rFonts w:ascii="Times New Roman" w:hAnsi="Times New Roman" w:cs="Times New Roman"/>
          <w:color w:val="222222"/>
          <w:sz w:val="24"/>
          <w:szCs w:val="24"/>
          <w:highlight w:val="white"/>
        </w:rPr>
        <w:t xml:space="preserve">, </w:t>
      </w:r>
      <w:r w:rsidRPr="00266549">
        <w:rPr>
          <w:rFonts w:ascii="Times New Roman" w:hAnsi="Times New Roman" w:cs="Times New Roman"/>
          <w:i/>
          <w:iCs/>
          <w:color w:val="222222"/>
          <w:sz w:val="24"/>
          <w:szCs w:val="24"/>
          <w:highlight w:val="white"/>
        </w:rPr>
        <w:t>29</w:t>
      </w:r>
      <w:r w:rsidRPr="00266549">
        <w:rPr>
          <w:rFonts w:ascii="Times New Roman" w:hAnsi="Times New Roman" w:cs="Times New Roman"/>
          <w:color w:val="222222"/>
          <w:sz w:val="24"/>
          <w:szCs w:val="24"/>
          <w:highlight w:val="white"/>
        </w:rPr>
        <w:t>(1), pp.372-378.</w:t>
      </w:r>
    </w:p>
    <w:p w14:paraId="0FCB4BE1" w14:textId="5ADD9084" w:rsidR="003463D3" w:rsidRPr="00266549" w:rsidRDefault="00000000" w:rsidP="00266549">
      <w:pPr>
        <w:spacing w:after="240"/>
        <w:rPr>
          <w:rFonts w:ascii="Times New Roman" w:hAnsi="Times New Roman" w:cs="Times New Roman"/>
          <w:color w:val="222222"/>
          <w:sz w:val="24"/>
          <w:szCs w:val="24"/>
          <w:highlight w:val="white"/>
        </w:rPr>
      </w:pPr>
      <w:r w:rsidRPr="00266549">
        <w:rPr>
          <w:rFonts w:ascii="Times New Roman" w:hAnsi="Times New Roman" w:cs="Times New Roman"/>
          <w:color w:val="222222"/>
          <w:sz w:val="24"/>
          <w:szCs w:val="24"/>
          <w:highlight w:val="white"/>
        </w:rPr>
        <w:t xml:space="preserve">Chen, R. and Liu, W., (2023). ‘Managing healthcare employees' burnout through micro aspects of corporate social responsibility: A public health perspective’, </w:t>
      </w:r>
      <w:r w:rsidRPr="00266549">
        <w:rPr>
          <w:rFonts w:ascii="Times New Roman" w:hAnsi="Times New Roman" w:cs="Times New Roman"/>
          <w:i/>
          <w:iCs/>
          <w:color w:val="222222"/>
          <w:sz w:val="24"/>
          <w:szCs w:val="24"/>
          <w:highlight w:val="white"/>
        </w:rPr>
        <w:t>Frontiers in Public Health</w:t>
      </w:r>
      <w:r w:rsidRPr="00266549">
        <w:rPr>
          <w:rFonts w:ascii="Times New Roman" w:hAnsi="Times New Roman" w:cs="Times New Roman"/>
          <w:color w:val="222222"/>
          <w:sz w:val="24"/>
          <w:szCs w:val="24"/>
          <w:highlight w:val="white"/>
        </w:rPr>
        <w:t xml:space="preserve">, </w:t>
      </w:r>
      <w:r w:rsidRPr="00266549">
        <w:rPr>
          <w:rFonts w:ascii="Times New Roman" w:hAnsi="Times New Roman" w:cs="Times New Roman"/>
          <w:i/>
          <w:iCs/>
          <w:color w:val="222222"/>
          <w:sz w:val="24"/>
          <w:szCs w:val="24"/>
          <w:highlight w:val="white"/>
        </w:rPr>
        <w:t>10</w:t>
      </w:r>
      <w:r w:rsidRPr="00266549">
        <w:rPr>
          <w:rFonts w:ascii="Times New Roman" w:hAnsi="Times New Roman" w:cs="Times New Roman"/>
          <w:color w:val="222222"/>
          <w:sz w:val="24"/>
          <w:szCs w:val="24"/>
          <w:highlight w:val="white"/>
        </w:rPr>
        <w:t>, p.1050867.</w:t>
      </w:r>
    </w:p>
    <w:p w14:paraId="052AB04A" w14:textId="77777777" w:rsidR="003463D3" w:rsidRPr="00266549" w:rsidRDefault="00000000" w:rsidP="00266549">
      <w:pPr>
        <w:spacing w:after="240"/>
        <w:rPr>
          <w:rFonts w:ascii="Times New Roman" w:hAnsi="Times New Roman" w:cs="Times New Roman"/>
          <w:sz w:val="24"/>
          <w:szCs w:val="24"/>
        </w:rPr>
      </w:pPr>
      <w:r w:rsidRPr="00266549">
        <w:rPr>
          <w:rFonts w:ascii="Times New Roman" w:hAnsi="Times New Roman" w:cs="Times New Roman"/>
          <w:sz w:val="24"/>
          <w:szCs w:val="24"/>
        </w:rPr>
        <w:t xml:space="preserve">Cohen, C., </w:t>
      </w:r>
      <w:proofErr w:type="spellStart"/>
      <w:r w:rsidRPr="00266549">
        <w:rPr>
          <w:rFonts w:ascii="Times New Roman" w:hAnsi="Times New Roman" w:cs="Times New Roman"/>
          <w:sz w:val="24"/>
          <w:szCs w:val="24"/>
        </w:rPr>
        <w:t>Pignata</w:t>
      </w:r>
      <w:proofErr w:type="spellEnd"/>
      <w:r w:rsidRPr="00266549">
        <w:rPr>
          <w:rFonts w:ascii="Times New Roman" w:hAnsi="Times New Roman" w:cs="Times New Roman"/>
          <w:sz w:val="24"/>
          <w:szCs w:val="24"/>
        </w:rPr>
        <w:t xml:space="preserve">, S., Bezak, E., Tie, M. and Childs, J., (2023) ‘Workplace interventions to improve well-being and reduce burnout for nurses, physicians and allied healthcare professionals: a systematic review’, </w:t>
      </w:r>
      <w:r w:rsidRPr="00266549">
        <w:rPr>
          <w:rFonts w:ascii="Times New Roman" w:hAnsi="Times New Roman" w:cs="Times New Roman"/>
          <w:i/>
          <w:iCs/>
          <w:sz w:val="24"/>
          <w:szCs w:val="24"/>
        </w:rPr>
        <w:t>BMJ open, 13</w:t>
      </w:r>
      <w:r w:rsidRPr="00266549">
        <w:rPr>
          <w:rFonts w:ascii="Times New Roman" w:hAnsi="Times New Roman" w:cs="Times New Roman"/>
          <w:sz w:val="24"/>
          <w:szCs w:val="24"/>
        </w:rPr>
        <w:t xml:space="preserve">(6), p.071203. </w:t>
      </w:r>
    </w:p>
    <w:p w14:paraId="51B9A72D" w14:textId="77777777" w:rsidR="003463D3" w:rsidRPr="00266549" w:rsidRDefault="00000000" w:rsidP="00266549">
      <w:pPr>
        <w:spacing w:after="240"/>
        <w:rPr>
          <w:rFonts w:ascii="Times New Roman" w:hAnsi="Times New Roman" w:cs="Times New Roman"/>
          <w:color w:val="222222"/>
          <w:sz w:val="24"/>
          <w:szCs w:val="24"/>
          <w:highlight w:val="white"/>
        </w:rPr>
      </w:pPr>
      <w:r w:rsidRPr="00266549">
        <w:rPr>
          <w:rFonts w:ascii="Times New Roman" w:hAnsi="Times New Roman" w:cs="Times New Roman"/>
          <w:color w:val="222222"/>
          <w:sz w:val="24"/>
          <w:szCs w:val="24"/>
          <w:highlight w:val="white"/>
        </w:rPr>
        <w:t xml:space="preserve">Corbeanu, A., Iliescu, D., Ion, A. and </w:t>
      </w:r>
      <w:proofErr w:type="spellStart"/>
      <w:r w:rsidRPr="00266549">
        <w:rPr>
          <w:rFonts w:ascii="Times New Roman" w:hAnsi="Times New Roman" w:cs="Times New Roman"/>
          <w:color w:val="222222"/>
          <w:sz w:val="24"/>
          <w:szCs w:val="24"/>
          <w:highlight w:val="white"/>
        </w:rPr>
        <w:t>Spînu</w:t>
      </w:r>
      <w:proofErr w:type="spellEnd"/>
      <w:r w:rsidRPr="00266549">
        <w:rPr>
          <w:rFonts w:ascii="Times New Roman" w:hAnsi="Times New Roman" w:cs="Times New Roman"/>
          <w:color w:val="222222"/>
          <w:sz w:val="24"/>
          <w:szCs w:val="24"/>
          <w:highlight w:val="white"/>
        </w:rPr>
        <w:t xml:space="preserve">, R., (2023). ‘The link between burnout and job performance: a meta-analysis’, </w:t>
      </w:r>
      <w:r w:rsidRPr="00266549">
        <w:rPr>
          <w:rFonts w:ascii="Times New Roman" w:hAnsi="Times New Roman" w:cs="Times New Roman"/>
          <w:i/>
          <w:iCs/>
          <w:color w:val="222222"/>
          <w:sz w:val="24"/>
          <w:szCs w:val="24"/>
          <w:highlight w:val="white"/>
        </w:rPr>
        <w:t>European Journal of Work and Organizational Psychology</w:t>
      </w:r>
      <w:r w:rsidRPr="00266549">
        <w:rPr>
          <w:rFonts w:ascii="Times New Roman" w:hAnsi="Times New Roman" w:cs="Times New Roman"/>
          <w:color w:val="222222"/>
          <w:sz w:val="24"/>
          <w:szCs w:val="24"/>
          <w:highlight w:val="white"/>
        </w:rPr>
        <w:t xml:space="preserve">, </w:t>
      </w:r>
      <w:r w:rsidRPr="00266549">
        <w:rPr>
          <w:rFonts w:ascii="Times New Roman" w:hAnsi="Times New Roman" w:cs="Times New Roman"/>
          <w:i/>
          <w:iCs/>
          <w:color w:val="222222"/>
          <w:sz w:val="24"/>
          <w:szCs w:val="24"/>
          <w:highlight w:val="white"/>
        </w:rPr>
        <w:t>32</w:t>
      </w:r>
      <w:r w:rsidRPr="00266549">
        <w:rPr>
          <w:rFonts w:ascii="Times New Roman" w:hAnsi="Times New Roman" w:cs="Times New Roman"/>
          <w:color w:val="222222"/>
          <w:sz w:val="24"/>
          <w:szCs w:val="24"/>
          <w:highlight w:val="white"/>
        </w:rPr>
        <w:t>(4), pp.599-616.</w:t>
      </w:r>
    </w:p>
    <w:p w14:paraId="5A4F4E33" w14:textId="77777777" w:rsidR="003463D3" w:rsidRPr="00266549" w:rsidRDefault="00000000" w:rsidP="00266549">
      <w:pPr>
        <w:spacing w:after="240"/>
        <w:rPr>
          <w:rFonts w:ascii="Times New Roman" w:hAnsi="Times New Roman" w:cs="Times New Roman"/>
          <w:color w:val="222222"/>
          <w:sz w:val="24"/>
          <w:szCs w:val="24"/>
          <w:highlight w:val="white"/>
        </w:rPr>
      </w:pPr>
      <w:proofErr w:type="spellStart"/>
      <w:r w:rsidRPr="00266549">
        <w:rPr>
          <w:rFonts w:ascii="Times New Roman" w:hAnsi="Times New Roman" w:cs="Times New Roman"/>
          <w:color w:val="222222"/>
          <w:sz w:val="24"/>
          <w:szCs w:val="24"/>
          <w:highlight w:val="white"/>
        </w:rPr>
        <w:t>Danauskė</w:t>
      </w:r>
      <w:proofErr w:type="spellEnd"/>
      <w:r w:rsidRPr="00266549">
        <w:rPr>
          <w:rFonts w:ascii="Times New Roman" w:hAnsi="Times New Roman" w:cs="Times New Roman"/>
          <w:color w:val="222222"/>
          <w:sz w:val="24"/>
          <w:szCs w:val="24"/>
          <w:highlight w:val="white"/>
        </w:rPr>
        <w:t xml:space="preserve">, E., </w:t>
      </w:r>
      <w:proofErr w:type="spellStart"/>
      <w:r w:rsidRPr="00266549">
        <w:rPr>
          <w:rFonts w:ascii="Times New Roman" w:hAnsi="Times New Roman" w:cs="Times New Roman"/>
          <w:color w:val="222222"/>
          <w:sz w:val="24"/>
          <w:szCs w:val="24"/>
          <w:highlight w:val="white"/>
        </w:rPr>
        <w:t>Raišienė</w:t>
      </w:r>
      <w:proofErr w:type="spellEnd"/>
      <w:r w:rsidRPr="00266549">
        <w:rPr>
          <w:rFonts w:ascii="Times New Roman" w:hAnsi="Times New Roman" w:cs="Times New Roman"/>
          <w:color w:val="222222"/>
          <w:sz w:val="24"/>
          <w:szCs w:val="24"/>
          <w:highlight w:val="white"/>
        </w:rPr>
        <w:t xml:space="preserve">, A.G. and </w:t>
      </w:r>
      <w:proofErr w:type="spellStart"/>
      <w:r w:rsidRPr="00266549">
        <w:rPr>
          <w:rFonts w:ascii="Times New Roman" w:hAnsi="Times New Roman" w:cs="Times New Roman"/>
          <w:color w:val="222222"/>
          <w:sz w:val="24"/>
          <w:szCs w:val="24"/>
          <w:highlight w:val="white"/>
        </w:rPr>
        <w:t>Korsakienė</w:t>
      </w:r>
      <w:proofErr w:type="spellEnd"/>
      <w:r w:rsidRPr="00266549">
        <w:rPr>
          <w:rFonts w:ascii="Times New Roman" w:hAnsi="Times New Roman" w:cs="Times New Roman"/>
          <w:color w:val="222222"/>
          <w:sz w:val="24"/>
          <w:szCs w:val="24"/>
          <w:highlight w:val="white"/>
        </w:rPr>
        <w:t xml:space="preserve">, R., (2023). ‘Coping with burnout? Measuring the links between workplace conflicts, work-related stress, and burnout’, </w:t>
      </w:r>
      <w:r w:rsidRPr="00266549">
        <w:rPr>
          <w:rFonts w:ascii="Times New Roman" w:hAnsi="Times New Roman" w:cs="Times New Roman"/>
          <w:i/>
          <w:iCs/>
          <w:color w:val="222222"/>
          <w:sz w:val="24"/>
          <w:szCs w:val="24"/>
          <w:highlight w:val="white"/>
        </w:rPr>
        <w:t>Business: theory and practice.</w:t>
      </w:r>
      <w:r w:rsidRPr="00266549">
        <w:rPr>
          <w:rFonts w:ascii="Times New Roman" w:hAnsi="Times New Roman" w:cs="Times New Roman"/>
          <w:color w:val="222222"/>
          <w:sz w:val="24"/>
          <w:szCs w:val="24"/>
          <w:highlight w:val="white"/>
        </w:rPr>
        <w:t xml:space="preserve">, </w:t>
      </w:r>
      <w:r w:rsidRPr="00266549">
        <w:rPr>
          <w:rFonts w:ascii="Times New Roman" w:hAnsi="Times New Roman" w:cs="Times New Roman"/>
          <w:i/>
          <w:iCs/>
          <w:color w:val="222222"/>
          <w:sz w:val="24"/>
          <w:szCs w:val="24"/>
          <w:highlight w:val="white"/>
        </w:rPr>
        <w:t>24</w:t>
      </w:r>
      <w:r w:rsidRPr="00266549">
        <w:rPr>
          <w:rFonts w:ascii="Times New Roman" w:hAnsi="Times New Roman" w:cs="Times New Roman"/>
          <w:color w:val="222222"/>
          <w:sz w:val="24"/>
          <w:szCs w:val="24"/>
          <w:highlight w:val="white"/>
        </w:rPr>
        <w:t>(1), pp.58-69.</w:t>
      </w:r>
    </w:p>
    <w:p w14:paraId="2F77E71A" w14:textId="77777777" w:rsidR="003463D3" w:rsidRPr="00266549" w:rsidRDefault="00000000" w:rsidP="00266549">
      <w:pPr>
        <w:spacing w:after="240"/>
        <w:rPr>
          <w:rFonts w:ascii="Times New Roman" w:hAnsi="Times New Roman" w:cs="Times New Roman"/>
          <w:color w:val="222222"/>
          <w:sz w:val="24"/>
          <w:szCs w:val="24"/>
          <w:highlight w:val="white"/>
        </w:rPr>
      </w:pPr>
      <w:r w:rsidRPr="00266549">
        <w:rPr>
          <w:rFonts w:ascii="Times New Roman" w:hAnsi="Times New Roman" w:cs="Times New Roman"/>
          <w:color w:val="222222"/>
          <w:sz w:val="24"/>
          <w:szCs w:val="24"/>
          <w:highlight w:val="white"/>
        </w:rPr>
        <w:t xml:space="preserve">Demerouti, E. and Bakker, A.B., (2023). ‘Job demands-resources theory in times of crises: New propositions’, </w:t>
      </w:r>
      <w:r w:rsidRPr="00266549">
        <w:rPr>
          <w:rFonts w:ascii="Times New Roman" w:hAnsi="Times New Roman" w:cs="Times New Roman"/>
          <w:i/>
          <w:iCs/>
          <w:color w:val="222222"/>
          <w:sz w:val="24"/>
          <w:szCs w:val="24"/>
          <w:highlight w:val="white"/>
        </w:rPr>
        <w:t>Organizational Psychology Review</w:t>
      </w:r>
      <w:r w:rsidRPr="00266549">
        <w:rPr>
          <w:rFonts w:ascii="Times New Roman" w:hAnsi="Times New Roman" w:cs="Times New Roman"/>
          <w:color w:val="222222"/>
          <w:sz w:val="24"/>
          <w:szCs w:val="24"/>
          <w:highlight w:val="white"/>
        </w:rPr>
        <w:t xml:space="preserve">, </w:t>
      </w:r>
      <w:r w:rsidRPr="00266549">
        <w:rPr>
          <w:rFonts w:ascii="Times New Roman" w:hAnsi="Times New Roman" w:cs="Times New Roman"/>
          <w:i/>
          <w:iCs/>
          <w:color w:val="222222"/>
          <w:sz w:val="24"/>
          <w:szCs w:val="24"/>
          <w:highlight w:val="white"/>
        </w:rPr>
        <w:t>13</w:t>
      </w:r>
      <w:r w:rsidRPr="00266549">
        <w:rPr>
          <w:rFonts w:ascii="Times New Roman" w:hAnsi="Times New Roman" w:cs="Times New Roman"/>
          <w:color w:val="222222"/>
          <w:sz w:val="24"/>
          <w:szCs w:val="24"/>
          <w:highlight w:val="white"/>
        </w:rPr>
        <w:t>(3), pp.209-236.</w:t>
      </w:r>
    </w:p>
    <w:p w14:paraId="25E98B7E" w14:textId="77777777" w:rsidR="003463D3" w:rsidRPr="00266549" w:rsidRDefault="00000000" w:rsidP="00266549">
      <w:pPr>
        <w:spacing w:after="240"/>
        <w:rPr>
          <w:rFonts w:ascii="Times New Roman" w:hAnsi="Times New Roman" w:cs="Times New Roman"/>
          <w:sz w:val="24"/>
          <w:szCs w:val="24"/>
        </w:rPr>
      </w:pPr>
      <w:r w:rsidRPr="00266549">
        <w:rPr>
          <w:rFonts w:ascii="Times New Roman" w:hAnsi="Times New Roman" w:cs="Times New Roman"/>
          <w:sz w:val="24"/>
          <w:szCs w:val="24"/>
        </w:rPr>
        <w:t xml:space="preserve">Dufour, I.F. and Richard, M.C., (2019) ‘Theorizing from secondary qualitative data: A comparison of two data analysis methods’, </w:t>
      </w:r>
      <w:r w:rsidRPr="00266549">
        <w:rPr>
          <w:rFonts w:ascii="Times New Roman" w:hAnsi="Times New Roman" w:cs="Times New Roman"/>
          <w:i/>
          <w:iCs/>
          <w:sz w:val="24"/>
          <w:szCs w:val="24"/>
        </w:rPr>
        <w:t>Cogent Education</w:t>
      </w:r>
      <w:r w:rsidRPr="00266549">
        <w:rPr>
          <w:rFonts w:ascii="Times New Roman" w:hAnsi="Times New Roman" w:cs="Times New Roman"/>
          <w:sz w:val="24"/>
          <w:szCs w:val="24"/>
        </w:rPr>
        <w:t>, 6(1), p.1690265.</w:t>
      </w:r>
    </w:p>
    <w:p w14:paraId="0B991959" w14:textId="77777777" w:rsidR="003463D3" w:rsidRPr="00266549" w:rsidRDefault="00000000" w:rsidP="00266549">
      <w:pPr>
        <w:spacing w:after="240"/>
        <w:rPr>
          <w:rFonts w:ascii="Times New Roman" w:hAnsi="Times New Roman" w:cs="Times New Roman"/>
          <w:color w:val="222222"/>
          <w:sz w:val="24"/>
          <w:szCs w:val="24"/>
          <w:highlight w:val="white"/>
        </w:rPr>
      </w:pPr>
      <w:r w:rsidRPr="00266549">
        <w:rPr>
          <w:rFonts w:ascii="Times New Roman" w:hAnsi="Times New Roman" w:cs="Times New Roman"/>
          <w:color w:val="222222"/>
          <w:sz w:val="24"/>
          <w:szCs w:val="24"/>
          <w:highlight w:val="white"/>
        </w:rPr>
        <w:t xml:space="preserve">Egitim, S., (2022). ‘Challenges of adapting to organizational culture: Internationalization through inclusive leadership and mutuality’, </w:t>
      </w:r>
      <w:r w:rsidRPr="00266549">
        <w:rPr>
          <w:rFonts w:ascii="Times New Roman" w:hAnsi="Times New Roman" w:cs="Times New Roman"/>
          <w:i/>
          <w:iCs/>
          <w:color w:val="222222"/>
          <w:sz w:val="24"/>
          <w:szCs w:val="24"/>
          <w:highlight w:val="white"/>
        </w:rPr>
        <w:t>Social Sciences &amp; Humanities Open</w:t>
      </w:r>
      <w:r w:rsidRPr="00266549">
        <w:rPr>
          <w:rFonts w:ascii="Times New Roman" w:hAnsi="Times New Roman" w:cs="Times New Roman"/>
          <w:color w:val="222222"/>
          <w:sz w:val="24"/>
          <w:szCs w:val="24"/>
          <w:highlight w:val="white"/>
        </w:rPr>
        <w:t xml:space="preserve">, </w:t>
      </w:r>
      <w:r w:rsidRPr="00266549">
        <w:rPr>
          <w:rFonts w:ascii="Times New Roman" w:hAnsi="Times New Roman" w:cs="Times New Roman"/>
          <w:i/>
          <w:iCs/>
          <w:color w:val="222222"/>
          <w:sz w:val="24"/>
          <w:szCs w:val="24"/>
          <w:highlight w:val="white"/>
        </w:rPr>
        <w:t>5</w:t>
      </w:r>
      <w:r w:rsidRPr="00266549">
        <w:rPr>
          <w:rFonts w:ascii="Times New Roman" w:hAnsi="Times New Roman" w:cs="Times New Roman"/>
          <w:color w:val="222222"/>
          <w:sz w:val="24"/>
          <w:szCs w:val="24"/>
          <w:highlight w:val="white"/>
        </w:rPr>
        <w:t>(1), p.100242.</w:t>
      </w:r>
    </w:p>
    <w:p w14:paraId="0B6E2422" w14:textId="77777777" w:rsidR="003463D3" w:rsidRPr="00266549" w:rsidRDefault="00000000" w:rsidP="00266549">
      <w:pPr>
        <w:spacing w:after="240"/>
        <w:rPr>
          <w:rFonts w:ascii="Times New Roman" w:hAnsi="Times New Roman" w:cs="Times New Roman"/>
          <w:color w:val="222222"/>
          <w:sz w:val="24"/>
          <w:szCs w:val="24"/>
          <w:highlight w:val="white"/>
        </w:rPr>
      </w:pPr>
      <w:r w:rsidRPr="00266549">
        <w:rPr>
          <w:rFonts w:ascii="Times New Roman" w:hAnsi="Times New Roman" w:cs="Times New Roman"/>
          <w:color w:val="222222"/>
          <w:sz w:val="24"/>
          <w:szCs w:val="24"/>
          <w:highlight w:val="white"/>
        </w:rPr>
        <w:t xml:space="preserve">Forbes (2024). Forbes EQ </w:t>
      </w:r>
      <w:proofErr w:type="spellStart"/>
      <w:r w:rsidRPr="00266549">
        <w:rPr>
          <w:rFonts w:ascii="Times New Roman" w:hAnsi="Times New Roman" w:cs="Times New Roman"/>
          <w:color w:val="222222"/>
          <w:sz w:val="24"/>
          <w:szCs w:val="24"/>
          <w:highlight w:val="white"/>
        </w:rPr>
        <w:t>BrandVoice</w:t>
      </w:r>
      <w:proofErr w:type="spellEnd"/>
      <w:r w:rsidRPr="00266549">
        <w:rPr>
          <w:rFonts w:ascii="Times New Roman" w:hAnsi="Times New Roman" w:cs="Times New Roman"/>
          <w:color w:val="222222"/>
          <w:sz w:val="24"/>
          <w:szCs w:val="24"/>
          <w:highlight w:val="white"/>
        </w:rPr>
        <w:t xml:space="preserve">: Understanding </w:t>
      </w:r>
      <w:proofErr w:type="gramStart"/>
      <w:r w:rsidRPr="00266549">
        <w:rPr>
          <w:rFonts w:ascii="Times New Roman" w:hAnsi="Times New Roman" w:cs="Times New Roman"/>
          <w:color w:val="222222"/>
          <w:sz w:val="24"/>
          <w:szCs w:val="24"/>
          <w:highlight w:val="white"/>
        </w:rPr>
        <w:t>And</w:t>
      </w:r>
      <w:proofErr w:type="gramEnd"/>
      <w:r w:rsidRPr="00266549">
        <w:rPr>
          <w:rFonts w:ascii="Times New Roman" w:hAnsi="Times New Roman" w:cs="Times New Roman"/>
          <w:color w:val="222222"/>
          <w:sz w:val="24"/>
          <w:szCs w:val="24"/>
          <w:highlight w:val="white"/>
        </w:rPr>
        <w:t xml:space="preserve"> Addressing Burnout </w:t>
      </w:r>
      <w:proofErr w:type="gramStart"/>
      <w:r w:rsidRPr="00266549">
        <w:rPr>
          <w:rFonts w:ascii="Times New Roman" w:hAnsi="Times New Roman" w:cs="Times New Roman"/>
          <w:color w:val="222222"/>
          <w:sz w:val="24"/>
          <w:szCs w:val="24"/>
          <w:highlight w:val="white"/>
        </w:rPr>
        <w:t>In</w:t>
      </w:r>
      <w:proofErr w:type="gramEnd"/>
      <w:r w:rsidRPr="00266549">
        <w:rPr>
          <w:rFonts w:ascii="Times New Roman" w:hAnsi="Times New Roman" w:cs="Times New Roman"/>
          <w:color w:val="222222"/>
          <w:sz w:val="24"/>
          <w:szCs w:val="24"/>
          <w:highlight w:val="white"/>
        </w:rPr>
        <w:t xml:space="preserve"> </w:t>
      </w:r>
      <w:proofErr w:type="gramStart"/>
      <w:r w:rsidRPr="00266549">
        <w:rPr>
          <w:rFonts w:ascii="Times New Roman" w:hAnsi="Times New Roman" w:cs="Times New Roman"/>
          <w:color w:val="222222"/>
          <w:sz w:val="24"/>
          <w:szCs w:val="24"/>
          <w:highlight w:val="white"/>
        </w:rPr>
        <w:t>The</w:t>
      </w:r>
      <w:proofErr w:type="gramEnd"/>
      <w:r w:rsidRPr="00266549">
        <w:rPr>
          <w:rFonts w:ascii="Times New Roman" w:hAnsi="Times New Roman" w:cs="Times New Roman"/>
          <w:color w:val="222222"/>
          <w:sz w:val="24"/>
          <w:szCs w:val="24"/>
          <w:highlight w:val="white"/>
        </w:rPr>
        <w:t xml:space="preserve"> Workplace. </w:t>
      </w:r>
      <w:r w:rsidRPr="00266549">
        <w:rPr>
          <w:rFonts w:ascii="Times New Roman" w:hAnsi="Times New Roman" w:cs="Times New Roman"/>
          <w:i/>
          <w:iCs/>
          <w:color w:val="222222"/>
          <w:sz w:val="24"/>
          <w:szCs w:val="24"/>
          <w:highlight w:val="white"/>
        </w:rPr>
        <w:t>Forbes</w:t>
      </w:r>
      <w:r w:rsidRPr="00266549">
        <w:rPr>
          <w:rFonts w:ascii="Times New Roman" w:hAnsi="Times New Roman" w:cs="Times New Roman"/>
          <w:color w:val="222222"/>
          <w:sz w:val="24"/>
          <w:szCs w:val="24"/>
          <w:highlight w:val="white"/>
        </w:rPr>
        <w:t xml:space="preserve">. 26 Sep. Available at: </w:t>
      </w:r>
      <w:hyperlink r:id="rId19">
        <w:r w:rsidRPr="00266549">
          <w:rPr>
            <w:rFonts w:ascii="Times New Roman" w:hAnsi="Times New Roman" w:cs="Times New Roman"/>
            <w:color w:val="1155CC"/>
            <w:sz w:val="24"/>
            <w:szCs w:val="24"/>
            <w:highlight w:val="white"/>
            <w:u w:val="single"/>
          </w:rPr>
          <w:t>https://www.forbes.com/sites/forbeseq/2024/09/06/understanding-and-addressing-burnout-in-the-workplace/</w:t>
        </w:r>
      </w:hyperlink>
      <w:r w:rsidRPr="00266549">
        <w:rPr>
          <w:rFonts w:ascii="Times New Roman" w:hAnsi="Times New Roman" w:cs="Times New Roman"/>
          <w:color w:val="222222"/>
          <w:sz w:val="24"/>
          <w:szCs w:val="24"/>
          <w:highlight w:val="white"/>
        </w:rPr>
        <w:t xml:space="preserve"> (Accessed on 10 Jan 2026).</w:t>
      </w:r>
    </w:p>
    <w:p w14:paraId="1B6CD3B1" w14:textId="77777777" w:rsidR="003463D3" w:rsidRPr="00266549" w:rsidRDefault="00000000" w:rsidP="00266549">
      <w:pPr>
        <w:spacing w:after="240"/>
        <w:rPr>
          <w:rFonts w:ascii="Times New Roman" w:hAnsi="Times New Roman" w:cs="Times New Roman"/>
          <w:color w:val="222222"/>
          <w:sz w:val="24"/>
          <w:szCs w:val="24"/>
          <w:highlight w:val="white"/>
        </w:rPr>
      </w:pPr>
      <w:r w:rsidRPr="00266549">
        <w:rPr>
          <w:rFonts w:ascii="Times New Roman" w:hAnsi="Times New Roman" w:cs="Times New Roman"/>
          <w:color w:val="222222"/>
          <w:sz w:val="24"/>
          <w:szCs w:val="24"/>
          <w:highlight w:val="white"/>
        </w:rPr>
        <w:t xml:space="preserve">Garcia, C., Abreu, L., Ramos, J., Castro, C., Smiderle, F., Santos, J. and Bezerra, I. (2019). ‘Influence of Burnout on Patient Safety: Systematic Review and Meta-Analysis’, </w:t>
      </w:r>
      <w:r w:rsidRPr="00266549">
        <w:rPr>
          <w:rFonts w:ascii="Times New Roman" w:hAnsi="Times New Roman" w:cs="Times New Roman"/>
          <w:i/>
          <w:iCs/>
          <w:color w:val="222222"/>
          <w:sz w:val="24"/>
          <w:szCs w:val="24"/>
          <w:highlight w:val="white"/>
        </w:rPr>
        <w:t>Medicina</w:t>
      </w:r>
      <w:r w:rsidRPr="00266549">
        <w:rPr>
          <w:rFonts w:ascii="Times New Roman" w:hAnsi="Times New Roman" w:cs="Times New Roman"/>
          <w:color w:val="222222"/>
          <w:sz w:val="24"/>
          <w:szCs w:val="24"/>
          <w:highlight w:val="white"/>
        </w:rPr>
        <w:t>, 55(9), p.553. ‌</w:t>
      </w:r>
    </w:p>
    <w:p w14:paraId="3901EEA4" w14:textId="77777777" w:rsidR="003463D3" w:rsidRPr="00266549" w:rsidRDefault="00000000" w:rsidP="00266549">
      <w:pPr>
        <w:spacing w:after="240"/>
        <w:rPr>
          <w:rFonts w:ascii="Times New Roman" w:hAnsi="Times New Roman" w:cs="Times New Roman"/>
          <w:color w:val="222222"/>
          <w:sz w:val="24"/>
          <w:szCs w:val="24"/>
          <w:highlight w:val="white"/>
        </w:rPr>
      </w:pPr>
      <w:r w:rsidRPr="00266549">
        <w:rPr>
          <w:rFonts w:ascii="Times New Roman" w:hAnsi="Times New Roman" w:cs="Times New Roman"/>
          <w:color w:val="222222"/>
          <w:sz w:val="24"/>
          <w:szCs w:val="24"/>
          <w:highlight w:val="white"/>
        </w:rPr>
        <w:t xml:space="preserve">Gelencsér, M., Szabó-Szentgróti, G., Kőműves, Z.S. and Hollósy-Vadász, G., (2023). ‘The holistic model of labour retention: The impact of workplace wellbeing factors on employee retention’, </w:t>
      </w:r>
      <w:r w:rsidRPr="00266549">
        <w:rPr>
          <w:rFonts w:ascii="Times New Roman" w:hAnsi="Times New Roman" w:cs="Times New Roman"/>
          <w:i/>
          <w:iCs/>
          <w:color w:val="222222"/>
          <w:sz w:val="24"/>
          <w:szCs w:val="24"/>
          <w:highlight w:val="white"/>
        </w:rPr>
        <w:t>Administrative Sciences</w:t>
      </w:r>
      <w:r w:rsidRPr="00266549">
        <w:rPr>
          <w:rFonts w:ascii="Times New Roman" w:hAnsi="Times New Roman" w:cs="Times New Roman"/>
          <w:color w:val="222222"/>
          <w:sz w:val="24"/>
          <w:szCs w:val="24"/>
          <w:highlight w:val="white"/>
        </w:rPr>
        <w:t xml:space="preserve">, </w:t>
      </w:r>
      <w:r w:rsidRPr="00266549">
        <w:rPr>
          <w:rFonts w:ascii="Times New Roman" w:hAnsi="Times New Roman" w:cs="Times New Roman"/>
          <w:i/>
          <w:iCs/>
          <w:color w:val="222222"/>
          <w:sz w:val="24"/>
          <w:szCs w:val="24"/>
          <w:highlight w:val="white"/>
        </w:rPr>
        <w:t>13</w:t>
      </w:r>
      <w:r w:rsidRPr="00266549">
        <w:rPr>
          <w:rFonts w:ascii="Times New Roman" w:hAnsi="Times New Roman" w:cs="Times New Roman"/>
          <w:color w:val="222222"/>
          <w:sz w:val="24"/>
          <w:szCs w:val="24"/>
          <w:highlight w:val="white"/>
        </w:rPr>
        <w:t>(5), p.121.</w:t>
      </w:r>
    </w:p>
    <w:p w14:paraId="1A2CCC0B" w14:textId="77777777" w:rsidR="003463D3" w:rsidRPr="00266549" w:rsidRDefault="00000000" w:rsidP="00266549">
      <w:pPr>
        <w:spacing w:after="240"/>
        <w:rPr>
          <w:rFonts w:ascii="Times New Roman" w:hAnsi="Times New Roman" w:cs="Times New Roman"/>
          <w:color w:val="222222"/>
          <w:sz w:val="24"/>
          <w:szCs w:val="24"/>
          <w:highlight w:val="white"/>
        </w:rPr>
      </w:pPr>
      <w:r w:rsidRPr="00266549">
        <w:rPr>
          <w:rFonts w:ascii="Times New Roman" w:hAnsi="Times New Roman" w:cs="Times New Roman"/>
          <w:color w:val="222222"/>
          <w:sz w:val="24"/>
          <w:szCs w:val="24"/>
          <w:highlight w:val="white"/>
        </w:rPr>
        <w:t xml:space="preserve">Gillen, P., Neill, R.D., Manthorpe, J., Mallett, J., Schroder, H., Nicholl, P., Currie, D., Moriarty, J., </w:t>
      </w:r>
      <w:proofErr w:type="spellStart"/>
      <w:r w:rsidRPr="00266549">
        <w:rPr>
          <w:rFonts w:ascii="Times New Roman" w:hAnsi="Times New Roman" w:cs="Times New Roman"/>
          <w:color w:val="222222"/>
          <w:sz w:val="24"/>
          <w:szCs w:val="24"/>
          <w:highlight w:val="white"/>
        </w:rPr>
        <w:t>Ravalier</w:t>
      </w:r>
      <w:proofErr w:type="spellEnd"/>
      <w:r w:rsidRPr="00266549">
        <w:rPr>
          <w:rFonts w:ascii="Times New Roman" w:hAnsi="Times New Roman" w:cs="Times New Roman"/>
          <w:color w:val="222222"/>
          <w:sz w:val="24"/>
          <w:szCs w:val="24"/>
          <w:highlight w:val="white"/>
        </w:rPr>
        <w:t xml:space="preserve">, J., McGrory, S. and McFadden, P., (2022) ‘Decreasing well-being and increasing use of negative coping strategies: The effect of the COVID-19 pandemic on the UK health and social care workforce’, </w:t>
      </w:r>
      <w:proofErr w:type="spellStart"/>
      <w:r w:rsidRPr="00266549">
        <w:rPr>
          <w:rFonts w:ascii="Times New Roman" w:hAnsi="Times New Roman" w:cs="Times New Roman"/>
          <w:i/>
          <w:iCs/>
          <w:color w:val="222222"/>
          <w:sz w:val="24"/>
          <w:szCs w:val="24"/>
          <w:highlight w:val="white"/>
        </w:rPr>
        <w:t>Epidemiologia</w:t>
      </w:r>
      <w:proofErr w:type="spellEnd"/>
      <w:r w:rsidRPr="00266549">
        <w:rPr>
          <w:rFonts w:ascii="Times New Roman" w:hAnsi="Times New Roman" w:cs="Times New Roman"/>
          <w:color w:val="222222"/>
          <w:sz w:val="24"/>
          <w:szCs w:val="24"/>
          <w:highlight w:val="white"/>
        </w:rPr>
        <w:t xml:space="preserve">, </w:t>
      </w:r>
      <w:r w:rsidRPr="00266549">
        <w:rPr>
          <w:rFonts w:ascii="Times New Roman" w:hAnsi="Times New Roman" w:cs="Times New Roman"/>
          <w:i/>
          <w:iCs/>
          <w:color w:val="222222"/>
          <w:sz w:val="24"/>
          <w:szCs w:val="24"/>
          <w:highlight w:val="white"/>
        </w:rPr>
        <w:t>3</w:t>
      </w:r>
      <w:r w:rsidRPr="00266549">
        <w:rPr>
          <w:rFonts w:ascii="Times New Roman" w:hAnsi="Times New Roman" w:cs="Times New Roman"/>
          <w:color w:val="222222"/>
          <w:sz w:val="24"/>
          <w:szCs w:val="24"/>
          <w:highlight w:val="white"/>
        </w:rPr>
        <w:t>(1), pp.26-39.</w:t>
      </w:r>
    </w:p>
    <w:p w14:paraId="439C79E5" w14:textId="00FDFBE9" w:rsidR="003463D3" w:rsidRPr="00266549" w:rsidRDefault="00000000" w:rsidP="00266549">
      <w:pPr>
        <w:spacing w:after="240"/>
        <w:rPr>
          <w:rFonts w:ascii="Times New Roman" w:hAnsi="Times New Roman" w:cs="Times New Roman"/>
          <w:color w:val="222222"/>
          <w:sz w:val="24"/>
          <w:szCs w:val="24"/>
          <w:highlight w:val="white"/>
        </w:rPr>
      </w:pPr>
      <w:r w:rsidRPr="00266549">
        <w:rPr>
          <w:rFonts w:ascii="Times New Roman" w:hAnsi="Times New Roman" w:cs="Times New Roman"/>
          <w:color w:val="222222"/>
          <w:sz w:val="24"/>
          <w:szCs w:val="24"/>
          <w:highlight w:val="white"/>
        </w:rPr>
        <w:t xml:space="preserve">Goodair, B. and Reeves, A., (2024). ‘The effect of health-care privatisation on the quality of care’, </w:t>
      </w:r>
      <w:r w:rsidRPr="00266549">
        <w:rPr>
          <w:rFonts w:ascii="Times New Roman" w:hAnsi="Times New Roman" w:cs="Times New Roman"/>
          <w:i/>
          <w:iCs/>
          <w:color w:val="222222"/>
          <w:sz w:val="24"/>
          <w:szCs w:val="24"/>
          <w:highlight w:val="white"/>
        </w:rPr>
        <w:t>The Lancet Public Health</w:t>
      </w:r>
      <w:r w:rsidRPr="00266549">
        <w:rPr>
          <w:rFonts w:ascii="Times New Roman" w:hAnsi="Times New Roman" w:cs="Times New Roman"/>
          <w:color w:val="222222"/>
          <w:sz w:val="24"/>
          <w:szCs w:val="24"/>
          <w:highlight w:val="white"/>
        </w:rPr>
        <w:t xml:space="preserve">, </w:t>
      </w:r>
      <w:r w:rsidRPr="00266549">
        <w:rPr>
          <w:rFonts w:ascii="Times New Roman" w:hAnsi="Times New Roman" w:cs="Times New Roman"/>
          <w:i/>
          <w:iCs/>
          <w:color w:val="222222"/>
          <w:sz w:val="24"/>
          <w:szCs w:val="24"/>
          <w:highlight w:val="white"/>
        </w:rPr>
        <w:t>9</w:t>
      </w:r>
      <w:r w:rsidRPr="00266549">
        <w:rPr>
          <w:rFonts w:ascii="Times New Roman" w:hAnsi="Times New Roman" w:cs="Times New Roman"/>
          <w:color w:val="222222"/>
          <w:sz w:val="24"/>
          <w:szCs w:val="24"/>
          <w:highlight w:val="white"/>
        </w:rPr>
        <w:t xml:space="preserve">(3), </w:t>
      </w:r>
      <w:proofErr w:type="gramStart"/>
      <w:r w:rsidRPr="00266549">
        <w:rPr>
          <w:rFonts w:ascii="Times New Roman" w:hAnsi="Times New Roman" w:cs="Times New Roman"/>
          <w:color w:val="222222"/>
          <w:sz w:val="24"/>
          <w:szCs w:val="24"/>
          <w:highlight w:val="white"/>
        </w:rPr>
        <w:t>pp.e</w:t>
      </w:r>
      <w:proofErr w:type="gramEnd"/>
      <w:r w:rsidRPr="00266549">
        <w:rPr>
          <w:rFonts w:ascii="Times New Roman" w:hAnsi="Times New Roman" w:cs="Times New Roman"/>
          <w:color w:val="222222"/>
          <w:sz w:val="24"/>
          <w:szCs w:val="24"/>
          <w:highlight w:val="white"/>
        </w:rPr>
        <w:t>199-e206.</w:t>
      </w:r>
    </w:p>
    <w:p w14:paraId="64FD0CFF" w14:textId="77777777" w:rsidR="003463D3" w:rsidRPr="00266549" w:rsidRDefault="00000000" w:rsidP="00266549">
      <w:pPr>
        <w:spacing w:after="240"/>
        <w:rPr>
          <w:rFonts w:ascii="Times New Roman" w:hAnsi="Times New Roman" w:cs="Times New Roman"/>
          <w:color w:val="222222"/>
          <w:sz w:val="24"/>
          <w:szCs w:val="24"/>
          <w:highlight w:val="white"/>
        </w:rPr>
      </w:pPr>
      <w:r w:rsidRPr="00266549">
        <w:rPr>
          <w:rFonts w:ascii="Times New Roman" w:hAnsi="Times New Roman" w:cs="Times New Roman"/>
          <w:color w:val="222222"/>
          <w:sz w:val="24"/>
          <w:szCs w:val="24"/>
          <w:highlight w:val="white"/>
        </w:rPr>
        <w:t xml:space="preserve">Government of UK (2023). </w:t>
      </w:r>
      <w:r w:rsidRPr="00266549">
        <w:rPr>
          <w:rFonts w:ascii="Times New Roman" w:hAnsi="Times New Roman" w:cs="Times New Roman"/>
          <w:i/>
          <w:iCs/>
          <w:color w:val="222222"/>
          <w:sz w:val="24"/>
          <w:szCs w:val="24"/>
          <w:highlight w:val="white"/>
        </w:rPr>
        <w:t>Copyright, Designs and Patents Act 1988</w:t>
      </w:r>
      <w:r w:rsidRPr="00266549">
        <w:rPr>
          <w:rFonts w:ascii="Times New Roman" w:hAnsi="Times New Roman" w:cs="Times New Roman"/>
          <w:color w:val="222222"/>
          <w:sz w:val="24"/>
          <w:szCs w:val="24"/>
          <w:highlight w:val="white"/>
        </w:rPr>
        <w:t xml:space="preserve">. Legislation.gov.uk. Available at: </w:t>
      </w:r>
      <w:hyperlink r:id="rId20">
        <w:r w:rsidRPr="00266549">
          <w:rPr>
            <w:rFonts w:ascii="Times New Roman" w:hAnsi="Times New Roman" w:cs="Times New Roman"/>
            <w:color w:val="1155CC"/>
            <w:sz w:val="24"/>
            <w:szCs w:val="24"/>
            <w:highlight w:val="white"/>
            <w:u w:val="single"/>
          </w:rPr>
          <w:t>https://www.legislation.gov.uk/ukpga/1988/48/contents</w:t>
        </w:r>
      </w:hyperlink>
      <w:r w:rsidRPr="00266549">
        <w:rPr>
          <w:rFonts w:ascii="Times New Roman" w:hAnsi="Times New Roman" w:cs="Times New Roman"/>
          <w:color w:val="222222"/>
          <w:sz w:val="24"/>
          <w:szCs w:val="24"/>
          <w:highlight w:val="white"/>
        </w:rPr>
        <w:t xml:space="preserve"> (Accessed on 12 Jan 2026).</w:t>
      </w:r>
    </w:p>
    <w:p w14:paraId="5AE8856D" w14:textId="77777777" w:rsidR="003463D3" w:rsidRPr="00266549" w:rsidRDefault="00000000" w:rsidP="00266549">
      <w:pPr>
        <w:spacing w:after="240"/>
        <w:rPr>
          <w:rFonts w:ascii="Times New Roman" w:hAnsi="Times New Roman" w:cs="Times New Roman"/>
          <w:sz w:val="24"/>
          <w:szCs w:val="24"/>
        </w:rPr>
      </w:pPr>
      <w:r w:rsidRPr="00266549">
        <w:rPr>
          <w:rFonts w:ascii="Times New Roman" w:hAnsi="Times New Roman" w:cs="Times New Roman"/>
          <w:sz w:val="24"/>
          <w:szCs w:val="24"/>
        </w:rPr>
        <w:t xml:space="preserve">Gregory, A., (2024) </w:t>
      </w:r>
      <w:r w:rsidRPr="00266549">
        <w:rPr>
          <w:rFonts w:ascii="Times New Roman" w:hAnsi="Times New Roman" w:cs="Times New Roman"/>
          <w:i/>
          <w:iCs/>
          <w:sz w:val="24"/>
          <w:szCs w:val="24"/>
        </w:rPr>
        <w:t>Hidden cost of UK workplace sickness rockets to £100bn a year, report finds.</w:t>
      </w:r>
      <w:r w:rsidRPr="00266549">
        <w:rPr>
          <w:rFonts w:ascii="Times New Roman" w:hAnsi="Times New Roman" w:cs="Times New Roman"/>
          <w:sz w:val="24"/>
          <w:szCs w:val="24"/>
        </w:rPr>
        <w:t xml:space="preserve"> Available at: </w:t>
      </w:r>
      <w:hyperlink r:id="rId21">
        <w:r w:rsidRPr="00266549">
          <w:rPr>
            <w:rFonts w:ascii="Times New Roman" w:hAnsi="Times New Roman" w:cs="Times New Roman"/>
            <w:color w:val="1155CC"/>
            <w:sz w:val="24"/>
            <w:szCs w:val="24"/>
            <w:u w:val="single"/>
          </w:rPr>
          <w:t>https://www.theguardian.com/society/article/2024/jul/31/hidden-cost-of-uk-workplace-sickness-rockets-to-100bn-a-year-report-finds</w:t>
        </w:r>
      </w:hyperlink>
      <w:r w:rsidRPr="00266549">
        <w:rPr>
          <w:rFonts w:ascii="Times New Roman" w:hAnsi="Times New Roman" w:cs="Times New Roman"/>
          <w:sz w:val="24"/>
          <w:szCs w:val="24"/>
        </w:rPr>
        <w:t xml:space="preserve"> (Accessed: 13th Jan 2026).</w:t>
      </w:r>
    </w:p>
    <w:p w14:paraId="25538AEE" w14:textId="77777777" w:rsidR="003463D3" w:rsidRPr="00266549" w:rsidRDefault="00000000" w:rsidP="00266549">
      <w:pPr>
        <w:spacing w:after="240"/>
        <w:rPr>
          <w:rFonts w:ascii="Times New Roman" w:hAnsi="Times New Roman" w:cs="Times New Roman"/>
          <w:color w:val="222222"/>
          <w:sz w:val="24"/>
          <w:szCs w:val="24"/>
          <w:highlight w:val="white"/>
        </w:rPr>
      </w:pPr>
      <w:proofErr w:type="spellStart"/>
      <w:r w:rsidRPr="00266549">
        <w:rPr>
          <w:rFonts w:ascii="Times New Roman" w:hAnsi="Times New Roman" w:cs="Times New Roman"/>
          <w:color w:val="222222"/>
          <w:sz w:val="24"/>
          <w:szCs w:val="24"/>
          <w:highlight w:val="white"/>
        </w:rPr>
        <w:t>Gyekye</w:t>
      </w:r>
      <w:proofErr w:type="spellEnd"/>
      <w:r w:rsidRPr="00266549">
        <w:rPr>
          <w:rFonts w:ascii="Times New Roman" w:hAnsi="Times New Roman" w:cs="Times New Roman"/>
          <w:color w:val="222222"/>
          <w:sz w:val="24"/>
          <w:szCs w:val="24"/>
          <w:highlight w:val="white"/>
        </w:rPr>
        <w:t xml:space="preserve">, M.B. (2023). ‘Nursing Leadership and Management of Nursing Staff Burnout during the COVID-19 Pandemic’, </w:t>
      </w:r>
      <w:proofErr w:type="spellStart"/>
      <w:r w:rsidRPr="00266549">
        <w:rPr>
          <w:rFonts w:ascii="Times New Roman" w:hAnsi="Times New Roman" w:cs="Times New Roman"/>
          <w:i/>
          <w:iCs/>
          <w:color w:val="222222"/>
          <w:sz w:val="24"/>
          <w:szCs w:val="24"/>
          <w:highlight w:val="white"/>
        </w:rPr>
        <w:t>OALib</w:t>
      </w:r>
      <w:proofErr w:type="spellEnd"/>
      <w:r w:rsidRPr="00266549">
        <w:rPr>
          <w:rFonts w:ascii="Times New Roman" w:hAnsi="Times New Roman" w:cs="Times New Roman"/>
          <w:color w:val="222222"/>
          <w:sz w:val="24"/>
          <w:szCs w:val="24"/>
          <w:highlight w:val="white"/>
        </w:rPr>
        <w:t xml:space="preserve">, 10(04), pp.1–29. </w:t>
      </w:r>
    </w:p>
    <w:p w14:paraId="11058842" w14:textId="77777777" w:rsidR="003463D3" w:rsidRPr="00266549" w:rsidRDefault="00000000" w:rsidP="00266549">
      <w:pPr>
        <w:spacing w:after="240"/>
        <w:rPr>
          <w:rFonts w:ascii="Times New Roman" w:hAnsi="Times New Roman" w:cs="Times New Roman"/>
          <w:sz w:val="24"/>
          <w:szCs w:val="24"/>
        </w:rPr>
      </w:pPr>
      <w:r w:rsidRPr="00266549">
        <w:rPr>
          <w:rFonts w:ascii="Times New Roman" w:hAnsi="Times New Roman" w:cs="Times New Roman"/>
          <w:sz w:val="24"/>
          <w:szCs w:val="24"/>
        </w:rPr>
        <w:t xml:space="preserve">Hay, L., Duffy, A.H., Grealy, M., </w:t>
      </w:r>
      <w:proofErr w:type="spellStart"/>
      <w:r w:rsidRPr="00266549">
        <w:rPr>
          <w:rFonts w:ascii="Times New Roman" w:hAnsi="Times New Roman" w:cs="Times New Roman"/>
          <w:sz w:val="24"/>
          <w:szCs w:val="24"/>
        </w:rPr>
        <w:t>Tahsiri</w:t>
      </w:r>
      <w:proofErr w:type="spellEnd"/>
      <w:r w:rsidRPr="00266549">
        <w:rPr>
          <w:rFonts w:ascii="Times New Roman" w:hAnsi="Times New Roman" w:cs="Times New Roman"/>
          <w:sz w:val="24"/>
          <w:szCs w:val="24"/>
        </w:rPr>
        <w:t xml:space="preserve">, M., McTeague, C. and Vuletic, T., (2020) ‘A novel systematic approach for analysing exploratory design ideation’, </w:t>
      </w:r>
      <w:r w:rsidRPr="00266549">
        <w:rPr>
          <w:rFonts w:ascii="Times New Roman" w:hAnsi="Times New Roman" w:cs="Times New Roman"/>
          <w:i/>
          <w:iCs/>
          <w:sz w:val="24"/>
          <w:szCs w:val="24"/>
        </w:rPr>
        <w:t>Journal of Engineering Design</w:t>
      </w:r>
      <w:r w:rsidRPr="00266549">
        <w:rPr>
          <w:rFonts w:ascii="Times New Roman" w:hAnsi="Times New Roman" w:cs="Times New Roman"/>
          <w:sz w:val="24"/>
          <w:szCs w:val="24"/>
        </w:rPr>
        <w:t>, 31(3), pp.127-149.</w:t>
      </w:r>
    </w:p>
    <w:p w14:paraId="1C48FD82" w14:textId="77777777" w:rsidR="003463D3" w:rsidRPr="00266549" w:rsidRDefault="00000000" w:rsidP="00266549">
      <w:pPr>
        <w:spacing w:after="240"/>
        <w:rPr>
          <w:rFonts w:ascii="Times New Roman" w:hAnsi="Times New Roman" w:cs="Times New Roman"/>
          <w:color w:val="222222"/>
          <w:sz w:val="24"/>
          <w:szCs w:val="24"/>
          <w:highlight w:val="white"/>
        </w:rPr>
      </w:pPr>
      <w:r w:rsidRPr="00266549">
        <w:rPr>
          <w:rFonts w:ascii="Times New Roman" w:hAnsi="Times New Roman" w:cs="Times New Roman"/>
          <w:color w:val="222222"/>
          <w:sz w:val="24"/>
          <w:szCs w:val="24"/>
          <w:highlight w:val="white"/>
        </w:rPr>
        <w:lastRenderedPageBreak/>
        <w:t xml:space="preserve">Hayes, J. (2025). </w:t>
      </w:r>
      <w:r w:rsidRPr="00266549">
        <w:rPr>
          <w:rFonts w:ascii="Times New Roman" w:hAnsi="Times New Roman" w:cs="Times New Roman"/>
          <w:i/>
          <w:iCs/>
          <w:color w:val="222222"/>
          <w:sz w:val="24"/>
          <w:szCs w:val="24"/>
          <w:highlight w:val="white"/>
        </w:rPr>
        <w:t>Employee Burnout: The Hidden Threat Costing Companies Millions</w:t>
      </w:r>
      <w:r w:rsidRPr="00266549">
        <w:rPr>
          <w:rFonts w:ascii="Times New Roman" w:hAnsi="Times New Roman" w:cs="Times New Roman"/>
          <w:color w:val="222222"/>
          <w:sz w:val="24"/>
          <w:szCs w:val="24"/>
          <w:highlight w:val="white"/>
        </w:rPr>
        <w:t xml:space="preserve">. Forbes. Available at: </w:t>
      </w:r>
      <w:hyperlink r:id="rId22">
        <w:r w:rsidRPr="00266549">
          <w:rPr>
            <w:rFonts w:ascii="Times New Roman" w:hAnsi="Times New Roman" w:cs="Times New Roman"/>
            <w:color w:val="1155CC"/>
            <w:sz w:val="24"/>
            <w:szCs w:val="24"/>
            <w:highlight w:val="white"/>
            <w:u w:val="single"/>
          </w:rPr>
          <w:t>https://www.forbes.com/sites/julianhayesii/2025/03/17/employee-burnout-the-hidden-threat-costing-companies-millions/</w:t>
        </w:r>
      </w:hyperlink>
      <w:r w:rsidRPr="00266549">
        <w:rPr>
          <w:rFonts w:ascii="Times New Roman" w:hAnsi="Times New Roman" w:cs="Times New Roman"/>
          <w:color w:val="222222"/>
          <w:sz w:val="24"/>
          <w:szCs w:val="24"/>
          <w:highlight w:val="white"/>
        </w:rPr>
        <w:t xml:space="preserve"> (Accessed on 13 Jan 2026).</w:t>
      </w:r>
    </w:p>
    <w:p w14:paraId="37321A2D" w14:textId="77777777" w:rsidR="003463D3" w:rsidRPr="00266549" w:rsidRDefault="00000000" w:rsidP="00266549">
      <w:pPr>
        <w:spacing w:after="240"/>
        <w:rPr>
          <w:rFonts w:ascii="Times New Roman" w:hAnsi="Times New Roman" w:cs="Times New Roman"/>
          <w:color w:val="222222"/>
          <w:sz w:val="24"/>
          <w:szCs w:val="24"/>
          <w:highlight w:val="white"/>
        </w:rPr>
      </w:pPr>
      <w:r w:rsidRPr="00266549">
        <w:rPr>
          <w:rFonts w:ascii="Times New Roman" w:hAnsi="Times New Roman" w:cs="Times New Roman"/>
          <w:color w:val="222222"/>
          <w:sz w:val="24"/>
          <w:szCs w:val="24"/>
          <w:highlight w:val="white"/>
        </w:rPr>
        <w:t xml:space="preserve">Healthcare Management (2025). </w:t>
      </w:r>
      <w:r w:rsidRPr="00266549">
        <w:rPr>
          <w:rFonts w:ascii="Times New Roman" w:hAnsi="Times New Roman" w:cs="Times New Roman"/>
          <w:i/>
          <w:iCs/>
          <w:color w:val="222222"/>
          <w:sz w:val="24"/>
          <w:szCs w:val="24"/>
          <w:highlight w:val="white"/>
        </w:rPr>
        <w:t>Domestic recruitment and retention challenges persist in adult social care</w:t>
      </w:r>
      <w:r w:rsidRPr="00266549">
        <w:rPr>
          <w:rFonts w:ascii="Times New Roman" w:hAnsi="Times New Roman" w:cs="Times New Roman"/>
          <w:color w:val="222222"/>
          <w:sz w:val="24"/>
          <w:szCs w:val="24"/>
          <w:highlight w:val="white"/>
        </w:rPr>
        <w:t xml:space="preserve">. Healthcare-management.uk. Available at: </w:t>
      </w:r>
      <w:hyperlink r:id="rId23">
        <w:r w:rsidRPr="00266549">
          <w:rPr>
            <w:rFonts w:ascii="Times New Roman" w:hAnsi="Times New Roman" w:cs="Times New Roman"/>
            <w:color w:val="1155CC"/>
            <w:sz w:val="24"/>
            <w:szCs w:val="24"/>
            <w:highlight w:val="white"/>
            <w:u w:val="single"/>
          </w:rPr>
          <w:t>https://www.healthcare-management.uk/domestic-recruitment-retention-challenges-persist-adult-social-care</w:t>
        </w:r>
      </w:hyperlink>
      <w:r w:rsidRPr="00266549">
        <w:rPr>
          <w:rFonts w:ascii="Times New Roman" w:hAnsi="Times New Roman" w:cs="Times New Roman"/>
          <w:color w:val="222222"/>
          <w:sz w:val="24"/>
          <w:szCs w:val="24"/>
          <w:highlight w:val="white"/>
        </w:rPr>
        <w:t>. (Accessed on 14 Jan 2026)</w:t>
      </w:r>
    </w:p>
    <w:p w14:paraId="182301CC" w14:textId="77777777" w:rsidR="003463D3" w:rsidRPr="00266549" w:rsidRDefault="00000000" w:rsidP="00266549">
      <w:pPr>
        <w:spacing w:after="240"/>
        <w:rPr>
          <w:rFonts w:ascii="Times New Roman" w:hAnsi="Times New Roman" w:cs="Times New Roman"/>
          <w:color w:val="222222"/>
          <w:sz w:val="24"/>
          <w:szCs w:val="24"/>
          <w:highlight w:val="white"/>
        </w:rPr>
      </w:pPr>
      <w:r w:rsidRPr="00266549">
        <w:rPr>
          <w:rFonts w:ascii="Times New Roman" w:hAnsi="Times New Roman" w:cs="Times New Roman"/>
          <w:color w:val="222222"/>
          <w:sz w:val="24"/>
          <w:szCs w:val="24"/>
          <w:highlight w:val="white"/>
        </w:rPr>
        <w:t xml:space="preserve">Hilmi, A.H., Hamid, A.R.A. and Ibrahim, W.A.R.A.W., (2024). ‘Advancements in Cognitive Ergonomics: Integration with Human-Robot Collaboration, Workload Management, and Industrial Applications’, </w:t>
      </w:r>
      <w:r w:rsidRPr="00266549">
        <w:rPr>
          <w:rFonts w:ascii="Times New Roman" w:hAnsi="Times New Roman" w:cs="Times New Roman"/>
          <w:i/>
          <w:iCs/>
          <w:color w:val="222222"/>
          <w:sz w:val="24"/>
          <w:szCs w:val="24"/>
          <w:highlight w:val="white"/>
        </w:rPr>
        <w:t>Malaysian Journal of Ergonomics (</w:t>
      </w:r>
      <w:proofErr w:type="spellStart"/>
      <w:r w:rsidRPr="00266549">
        <w:rPr>
          <w:rFonts w:ascii="Times New Roman" w:hAnsi="Times New Roman" w:cs="Times New Roman"/>
          <w:i/>
          <w:iCs/>
          <w:color w:val="222222"/>
          <w:sz w:val="24"/>
          <w:szCs w:val="24"/>
          <w:highlight w:val="white"/>
        </w:rPr>
        <w:t>MJEr</w:t>
      </w:r>
      <w:proofErr w:type="spellEnd"/>
      <w:r w:rsidRPr="00266549">
        <w:rPr>
          <w:rFonts w:ascii="Times New Roman" w:hAnsi="Times New Roman" w:cs="Times New Roman"/>
          <w:i/>
          <w:iCs/>
          <w:color w:val="222222"/>
          <w:sz w:val="24"/>
          <w:szCs w:val="24"/>
          <w:highlight w:val="white"/>
        </w:rPr>
        <w:t>)</w:t>
      </w:r>
      <w:r w:rsidRPr="00266549">
        <w:rPr>
          <w:rFonts w:ascii="Times New Roman" w:hAnsi="Times New Roman" w:cs="Times New Roman"/>
          <w:color w:val="222222"/>
          <w:sz w:val="24"/>
          <w:szCs w:val="24"/>
          <w:highlight w:val="white"/>
        </w:rPr>
        <w:t xml:space="preserve">, </w:t>
      </w:r>
      <w:r w:rsidRPr="00266549">
        <w:rPr>
          <w:rFonts w:ascii="Times New Roman" w:hAnsi="Times New Roman" w:cs="Times New Roman"/>
          <w:i/>
          <w:iCs/>
          <w:color w:val="222222"/>
          <w:sz w:val="24"/>
          <w:szCs w:val="24"/>
          <w:highlight w:val="white"/>
        </w:rPr>
        <w:t>6</w:t>
      </w:r>
      <w:r w:rsidRPr="00266549">
        <w:rPr>
          <w:rFonts w:ascii="Times New Roman" w:hAnsi="Times New Roman" w:cs="Times New Roman"/>
          <w:color w:val="222222"/>
          <w:sz w:val="24"/>
          <w:szCs w:val="24"/>
          <w:highlight w:val="white"/>
        </w:rPr>
        <w:t>, pp.39-51.</w:t>
      </w:r>
    </w:p>
    <w:p w14:paraId="1208B399" w14:textId="77777777" w:rsidR="003463D3" w:rsidRPr="00266549" w:rsidRDefault="00000000" w:rsidP="00266549">
      <w:pPr>
        <w:spacing w:after="240"/>
        <w:rPr>
          <w:rFonts w:ascii="Times New Roman" w:hAnsi="Times New Roman" w:cs="Times New Roman"/>
          <w:color w:val="222222"/>
          <w:sz w:val="24"/>
          <w:szCs w:val="24"/>
          <w:highlight w:val="white"/>
        </w:rPr>
      </w:pPr>
      <w:r w:rsidRPr="00266549">
        <w:rPr>
          <w:rFonts w:ascii="Times New Roman" w:hAnsi="Times New Roman" w:cs="Times New Roman"/>
          <w:color w:val="222222"/>
          <w:sz w:val="24"/>
          <w:szCs w:val="24"/>
          <w:highlight w:val="white"/>
        </w:rPr>
        <w:t xml:space="preserve">Hogg, B., Moreno-Alcázar, A., Tóth, M.D., Serbanescu, I., </w:t>
      </w:r>
      <w:proofErr w:type="spellStart"/>
      <w:r w:rsidRPr="00266549">
        <w:rPr>
          <w:rFonts w:ascii="Times New Roman" w:hAnsi="Times New Roman" w:cs="Times New Roman"/>
          <w:color w:val="222222"/>
          <w:sz w:val="24"/>
          <w:szCs w:val="24"/>
          <w:highlight w:val="white"/>
        </w:rPr>
        <w:t>Aust</w:t>
      </w:r>
      <w:proofErr w:type="spellEnd"/>
      <w:r w:rsidRPr="00266549">
        <w:rPr>
          <w:rFonts w:ascii="Times New Roman" w:hAnsi="Times New Roman" w:cs="Times New Roman"/>
          <w:color w:val="222222"/>
          <w:sz w:val="24"/>
          <w:szCs w:val="24"/>
          <w:highlight w:val="white"/>
        </w:rPr>
        <w:t xml:space="preserve">, B., Leduc, C., Paterson, C., </w:t>
      </w:r>
      <w:proofErr w:type="spellStart"/>
      <w:r w:rsidRPr="00266549">
        <w:rPr>
          <w:rFonts w:ascii="Times New Roman" w:hAnsi="Times New Roman" w:cs="Times New Roman"/>
          <w:color w:val="222222"/>
          <w:sz w:val="24"/>
          <w:szCs w:val="24"/>
          <w:highlight w:val="white"/>
        </w:rPr>
        <w:t>Tsantilla</w:t>
      </w:r>
      <w:proofErr w:type="spellEnd"/>
      <w:r w:rsidRPr="00266549">
        <w:rPr>
          <w:rFonts w:ascii="Times New Roman" w:hAnsi="Times New Roman" w:cs="Times New Roman"/>
          <w:color w:val="222222"/>
          <w:sz w:val="24"/>
          <w:szCs w:val="24"/>
          <w:highlight w:val="white"/>
        </w:rPr>
        <w:t xml:space="preserve">, F., Abdulla, K., </w:t>
      </w:r>
      <w:proofErr w:type="spellStart"/>
      <w:r w:rsidRPr="00266549">
        <w:rPr>
          <w:rFonts w:ascii="Times New Roman" w:hAnsi="Times New Roman" w:cs="Times New Roman"/>
          <w:color w:val="222222"/>
          <w:sz w:val="24"/>
          <w:szCs w:val="24"/>
          <w:highlight w:val="white"/>
        </w:rPr>
        <w:t>Cerga-Pashoja</w:t>
      </w:r>
      <w:proofErr w:type="spellEnd"/>
      <w:r w:rsidRPr="00266549">
        <w:rPr>
          <w:rFonts w:ascii="Times New Roman" w:hAnsi="Times New Roman" w:cs="Times New Roman"/>
          <w:color w:val="222222"/>
          <w:sz w:val="24"/>
          <w:szCs w:val="24"/>
          <w:highlight w:val="white"/>
        </w:rPr>
        <w:t xml:space="preserve">, A. and Cresswell-Smith, J., (2023) ‘Supporting employees with mental illness and reducing mental illness-related stigma in the workplace: an expert survey’, </w:t>
      </w:r>
      <w:r w:rsidRPr="00266549">
        <w:rPr>
          <w:rFonts w:ascii="Times New Roman" w:hAnsi="Times New Roman" w:cs="Times New Roman"/>
          <w:i/>
          <w:iCs/>
          <w:color w:val="222222"/>
          <w:sz w:val="24"/>
          <w:szCs w:val="24"/>
          <w:highlight w:val="white"/>
        </w:rPr>
        <w:t>European archives of psychiatry and clinical neuroscience</w:t>
      </w:r>
      <w:r w:rsidRPr="00266549">
        <w:rPr>
          <w:rFonts w:ascii="Times New Roman" w:hAnsi="Times New Roman" w:cs="Times New Roman"/>
          <w:color w:val="222222"/>
          <w:sz w:val="24"/>
          <w:szCs w:val="24"/>
          <w:highlight w:val="white"/>
        </w:rPr>
        <w:t xml:space="preserve">, </w:t>
      </w:r>
      <w:r w:rsidRPr="00266549">
        <w:rPr>
          <w:rFonts w:ascii="Times New Roman" w:hAnsi="Times New Roman" w:cs="Times New Roman"/>
          <w:i/>
          <w:iCs/>
          <w:color w:val="222222"/>
          <w:sz w:val="24"/>
          <w:szCs w:val="24"/>
          <w:highlight w:val="white"/>
        </w:rPr>
        <w:t>273</w:t>
      </w:r>
      <w:r w:rsidRPr="00266549">
        <w:rPr>
          <w:rFonts w:ascii="Times New Roman" w:hAnsi="Times New Roman" w:cs="Times New Roman"/>
          <w:color w:val="222222"/>
          <w:sz w:val="24"/>
          <w:szCs w:val="24"/>
          <w:highlight w:val="white"/>
        </w:rPr>
        <w:t>(3), pp.739-753.</w:t>
      </w:r>
    </w:p>
    <w:p w14:paraId="72DEA8CE" w14:textId="77777777" w:rsidR="003463D3" w:rsidRPr="00266549" w:rsidRDefault="00000000" w:rsidP="00266549">
      <w:pPr>
        <w:spacing w:after="240"/>
        <w:rPr>
          <w:rFonts w:ascii="Times New Roman" w:hAnsi="Times New Roman" w:cs="Times New Roman"/>
          <w:color w:val="222222"/>
          <w:sz w:val="24"/>
          <w:szCs w:val="24"/>
          <w:highlight w:val="white"/>
        </w:rPr>
      </w:pPr>
      <w:proofErr w:type="spellStart"/>
      <w:r w:rsidRPr="00266549">
        <w:rPr>
          <w:rFonts w:ascii="Times New Roman" w:hAnsi="Times New Roman" w:cs="Times New Roman"/>
          <w:color w:val="222222"/>
          <w:sz w:val="24"/>
          <w:szCs w:val="24"/>
          <w:highlight w:val="white"/>
        </w:rPr>
        <w:t>Idrus</w:t>
      </w:r>
      <w:proofErr w:type="spellEnd"/>
      <w:r w:rsidRPr="00266549">
        <w:rPr>
          <w:rFonts w:ascii="Times New Roman" w:hAnsi="Times New Roman" w:cs="Times New Roman"/>
          <w:color w:val="222222"/>
          <w:sz w:val="24"/>
          <w:szCs w:val="24"/>
          <w:highlight w:val="white"/>
        </w:rPr>
        <w:t xml:space="preserve">, S., (2023). ‘From burnout to engagement: the role of human resource management in managing work fatigue and improving performance’, </w:t>
      </w:r>
      <w:r w:rsidRPr="00266549">
        <w:rPr>
          <w:rFonts w:ascii="Times New Roman" w:hAnsi="Times New Roman" w:cs="Times New Roman"/>
          <w:i/>
          <w:iCs/>
          <w:color w:val="222222"/>
          <w:sz w:val="24"/>
          <w:szCs w:val="24"/>
          <w:highlight w:val="white"/>
        </w:rPr>
        <w:t>Central European Management Journal</w:t>
      </w:r>
      <w:r w:rsidRPr="00266549">
        <w:rPr>
          <w:rFonts w:ascii="Times New Roman" w:hAnsi="Times New Roman" w:cs="Times New Roman"/>
          <w:color w:val="222222"/>
          <w:sz w:val="24"/>
          <w:szCs w:val="24"/>
          <w:highlight w:val="white"/>
        </w:rPr>
        <w:t xml:space="preserve">, </w:t>
      </w:r>
      <w:r w:rsidRPr="00266549">
        <w:rPr>
          <w:rFonts w:ascii="Times New Roman" w:hAnsi="Times New Roman" w:cs="Times New Roman"/>
          <w:i/>
          <w:iCs/>
          <w:color w:val="222222"/>
          <w:sz w:val="24"/>
          <w:szCs w:val="24"/>
          <w:highlight w:val="white"/>
        </w:rPr>
        <w:t>31</w:t>
      </w:r>
      <w:r w:rsidRPr="00266549">
        <w:rPr>
          <w:rFonts w:ascii="Times New Roman" w:hAnsi="Times New Roman" w:cs="Times New Roman"/>
          <w:color w:val="222222"/>
          <w:sz w:val="24"/>
          <w:szCs w:val="24"/>
          <w:highlight w:val="white"/>
        </w:rPr>
        <w:t>(2), pp.949-957.</w:t>
      </w:r>
    </w:p>
    <w:p w14:paraId="62FED7D3" w14:textId="77777777" w:rsidR="003463D3" w:rsidRPr="00266549" w:rsidRDefault="00000000" w:rsidP="00266549">
      <w:pPr>
        <w:spacing w:after="240"/>
        <w:rPr>
          <w:rFonts w:ascii="Times New Roman" w:hAnsi="Times New Roman" w:cs="Times New Roman"/>
          <w:color w:val="222222"/>
          <w:sz w:val="24"/>
          <w:szCs w:val="24"/>
          <w:highlight w:val="white"/>
        </w:rPr>
      </w:pPr>
      <w:r w:rsidRPr="00266549">
        <w:rPr>
          <w:rFonts w:ascii="Times New Roman" w:hAnsi="Times New Roman" w:cs="Times New Roman"/>
          <w:color w:val="222222"/>
          <w:sz w:val="24"/>
          <w:szCs w:val="24"/>
          <w:highlight w:val="white"/>
        </w:rPr>
        <w:t xml:space="preserve">Johnson, T. and </w:t>
      </w:r>
      <w:proofErr w:type="spellStart"/>
      <w:r w:rsidRPr="00266549">
        <w:rPr>
          <w:rFonts w:ascii="Times New Roman" w:hAnsi="Times New Roman" w:cs="Times New Roman"/>
          <w:color w:val="222222"/>
          <w:sz w:val="24"/>
          <w:szCs w:val="24"/>
          <w:highlight w:val="white"/>
        </w:rPr>
        <w:t>Shamroukh</w:t>
      </w:r>
      <w:proofErr w:type="spellEnd"/>
      <w:r w:rsidRPr="00266549">
        <w:rPr>
          <w:rFonts w:ascii="Times New Roman" w:hAnsi="Times New Roman" w:cs="Times New Roman"/>
          <w:color w:val="222222"/>
          <w:sz w:val="24"/>
          <w:szCs w:val="24"/>
          <w:highlight w:val="white"/>
        </w:rPr>
        <w:t xml:space="preserve">, S., (2024). ‘Predictive </w:t>
      </w:r>
      <w:proofErr w:type="spellStart"/>
      <w:r w:rsidRPr="00266549">
        <w:rPr>
          <w:rFonts w:ascii="Times New Roman" w:hAnsi="Times New Roman" w:cs="Times New Roman"/>
          <w:color w:val="222222"/>
          <w:sz w:val="24"/>
          <w:szCs w:val="24"/>
          <w:highlight w:val="white"/>
        </w:rPr>
        <w:t>modeling</w:t>
      </w:r>
      <w:proofErr w:type="spellEnd"/>
      <w:r w:rsidRPr="00266549">
        <w:rPr>
          <w:rFonts w:ascii="Times New Roman" w:hAnsi="Times New Roman" w:cs="Times New Roman"/>
          <w:color w:val="222222"/>
          <w:sz w:val="24"/>
          <w:szCs w:val="24"/>
          <w:highlight w:val="white"/>
        </w:rPr>
        <w:t xml:space="preserve"> of burnout based on organizational culture perceptions among health systems employees: a comparative study using correlation, decision tree, and Bayesian analyses’, </w:t>
      </w:r>
      <w:r w:rsidRPr="00266549">
        <w:rPr>
          <w:rFonts w:ascii="Times New Roman" w:hAnsi="Times New Roman" w:cs="Times New Roman"/>
          <w:i/>
          <w:iCs/>
          <w:color w:val="222222"/>
          <w:sz w:val="24"/>
          <w:szCs w:val="24"/>
          <w:highlight w:val="white"/>
        </w:rPr>
        <w:t>Scientific reports</w:t>
      </w:r>
      <w:r w:rsidRPr="00266549">
        <w:rPr>
          <w:rFonts w:ascii="Times New Roman" w:hAnsi="Times New Roman" w:cs="Times New Roman"/>
          <w:color w:val="222222"/>
          <w:sz w:val="24"/>
          <w:szCs w:val="24"/>
          <w:highlight w:val="white"/>
        </w:rPr>
        <w:t xml:space="preserve">, </w:t>
      </w:r>
      <w:r w:rsidRPr="00266549">
        <w:rPr>
          <w:rFonts w:ascii="Times New Roman" w:hAnsi="Times New Roman" w:cs="Times New Roman"/>
          <w:i/>
          <w:iCs/>
          <w:color w:val="222222"/>
          <w:sz w:val="24"/>
          <w:szCs w:val="24"/>
          <w:highlight w:val="white"/>
        </w:rPr>
        <w:t>14</w:t>
      </w:r>
      <w:r w:rsidRPr="00266549">
        <w:rPr>
          <w:rFonts w:ascii="Times New Roman" w:hAnsi="Times New Roman" w:cs="Times New Roman"/>
          <w:color w:val="222222"/>
          <w:sz w:val="24"/>
          <w:szCs w:val="24"/>
          <w:highlight w:val="white"/>
        </w:rPr>
        <w:t>(1), p.6083.</w:t>
      </w:r>
    </w:p>
    <w:p w14:paraId="65AAB68E" w14:textId="77777777" w:rsidR="003463D3" w:rsidRPr="00266549" w:rsidRDefault="00000000" w:rsidP="00266549">
      <w:pPr>
        <w:spacing w:after="240"/>
        <w:rPr>
          <w:rFonts w:ascii="Times New Roman" w:hAnsi="Times New Roman" w:cs="Times New Roman"/>
          <w:color w:val="222222"/>
          <w:sz w:val="24"/>
          <w:szCs w:val="24"/>
          <w:highlight w:val="white"/>
        </w:rPr>
      </w:pPr>
      <w:r w:rsidRPr="00266549">
        <w:rPr>
          <w:rFonts w:ascii="Times New Roman" w:hAnsi="Times New Roman" w:cs="Times New Roman"/>
          <w:color w:val="222222"/>
          <w:sz w:val="24"/>
          <w:szCs w:val="24"/>
          <w:highlight w:val="white"/>
        </w:rPr>
        <w:t xml:space="preserve">Kelly, D., Schroeder, S. and Leighton, K., (2022). ‘Anxiety, depression, stress, burnout, and professional quality of life among the hospital workforce during a global health pandemic’, </w:t>
      </w:r>
      <w:r w:rsidRPr="00266549">
        <w:rPr>
          <w:rFonts w:ascii="Times New Roman" w:hAnsi="Times New Roman" w:cs="Times New Roman"/>
          <w:i/>
          <w:iCs/>
          <w:color w:val="222222"/>
          <w:sz w:val="24"/>
          <w:szCs w:val="24"/>
          <w:highlight w:val="white"/>
        </w:rPr>
        <w:t>The Journal of Rural Health</w:t>
      </w:r>
      <w:r w:rsidRPr="00266549">
        <w:rPr>
          <w:rFonts w:ascii="Times New Roman" w:hAnsi="Times New Roman" w:cs="Times New Roman"/>
          <w:color w:val="222222"/>
          <w:sz w:val="24"/>
          <w:szCs w:val="24"/>
          <w:highlight w:val="white"/>
        </w:rPr>
        <w:t xml:space="preserve">, </w:t>
      </w:r>
      <w:r w:rsidRPr="00266549">
        <w:rPr>
          <w:rFonts w:ascii="Times New Roman" w:hAnsi="Times New Roman" w:cs="Times New Roman"/>
          <w:i/>
          <w:iCs/>
          <w:color w:val="222222"/>
          <w:sz w:val="24"/>
          <w:szCs w:val="24"/>
          <w:highlight w:val="white"/>
        </w:rPr>
        <w:t>38</w:t>
      </w:r>
      <w:r w:rsidRPr="00266549">
        <w:rPr>
          <w:rFonts w:ascii="Times New Roman" w:hAnsi="Times New Roman" w:cs="Times New Roman"/>
          <w:color w:val="222222"/>
          <w:sz w:val="24"/>
          <w:szCs w:val="24"/>
          <w:highlight w:val="white"/>
        </w:rPr>
        <w:t>(4), pp.795-804.</w:t>
      </w:r>
    </w:p>
    <w:p w14:paraId="612A5DEB" w14:textId="2AB5D8F6" w:rsidR="003463D3" w:rsidRPr="00266549" w:rsidRDefault="00000000" w:rsidP="00266549">
      <w:pPr>
        <w:spacing w:after="240"/>
        <w:rPr>
          <w:rFonts w:ascii="Times New Roman" w:hAnsi="Times New Roman" w:cs="Times New Roman"/>
          <w:color w:val="222222"/>
          <w:sz w:val="24"/>
          <w:szCs w:val="24"/>
          <w:highlight w:val="white"/>
        </w:rPr>
      </w:pPr>
      <w:r w:rsidRPr="00266549">
        <w:rPr>
          <w:rFonts w:ascii="Times New Roman" w:hAnsi="Times New Roman" w:cs="Times New Roman"/>
          <w:color w:val="222222"/>
          <w:sz w:val="24"/>
          <w:szCs w:val="24"/>
          <w:highlight w:val="white"/>
        </w:rPr>
        <w:t xml:space="preserve">Kober, M. and Chang, Y.-P. (2024). ‘Healthcare Workers’ Perceptions of Work-Related Stress and Burnout: Strategies and Barriers for Self-Care’, </w:t>
      </w:r>
      <w:r w:rsidRPr="00266549">
        <w:rPr>
          <w:rFonts w:ascii="Times New Roman" w:hAnsi="Times New Roman" w:cs="Times New Roman"/>
          <w:i/>
          <w:iCs/>
          <w:color w:val="222222"/>
          <w:sz w:val="24"/>
          <w:szCs w:val="24"/>
          <w:highlight w:val="white"/>
        </w:rPr>
        <w:t>American Journal of Lifestyle Medicine</w:t>
      </w:r>
      <w:r w:rsidRPr="00266549">
        <w:rPr>
          <w:rFonts w:ascii="Times New Roman" w:hAnsi="Times New Roman" w:cs="Times New Roman"/>
          <w:color w:val="222222"/>
          <w:sz w:val="24"/>
          <w:szCs w:val="24"/>
          <w:highlight w:val="white"/>
        </w:rPr>
        <w:t xml:space="preserve">. </w:t>
      </w:r>
    </w:p>
    <w:p w14:paraId="3161F5A3" w14:textId="77777777" w:rsidR="003463D3" w:rsidRPr="00266549" w:rsidRDefault="00000000" w:rsidP="00266549">
      <w:pPr>
        <w:spacing w:after="240"/>
        <w:rPr>
          <w:rFonts w:ascii="Times New Roman" w:hAnsi="Times New Roman" w:cs="Times New Roman"/>
          <w:sz w:val="24"/>
          <w:szCs w:val="24"/>
        </w:rPr>
      </w:pPr>
      <w:proofErr w:type="spellStart"/>
      <w:r w:rsidRPr="00266549">
        <w:rPr>
          <w:rFonts w:ascii="Times New Roman" w:hAnsi="Times New Roman" w:cs="Times New Roman"/>
          <w:sz w:val="24"/>
          <w:szCs w:val="24"/>
        </w:rPr>
        <w:t>Kotronoulas</w:t>
      </w:r>
      <w:proofErr w:type="spellEnd"/>
      <w:r w:rsidRPr="00266549">
        <w:rPr>
          <w:rFonts w:ascii="Times New Roman" w:hAnsi="Times New Roman" w:cs="Times New Roman"/>
          <w:sz w:val="24"/>
          <w:szCs w:val="24"/>
        </w:rPr>
        <w:t>, G., Miguel, S., Dowling, M., Fernández-Ortega, P., Colomer-</w:t>
      </w:r>
      <w:proofErr w:type="spellStart"/>
      <w:r w:rsidRPr="00266549">
        <w:rPr>
          <w:rFonts w:ascii="Times New Roman" w:hAnsi="Times New Roman" w:cs="Times New Roman"/>
          <w:sz w:val="24"/>
          <w:szCs w:val="24"/>
        </w:rPr>
        <w:t>Lahiguera</w:t>
      </w:r>
      <w:proofErr w:type="spellEnd"/>
      <w:r w:rsidRPr="00266549">
        <w:rPr>
          <w:rFonts w:ascii="Times New Roman" w:hAnsi="Times New Roman" w:cs="Times New Roman"/>
          <w:sz w:val="24"/>
          <w:szCs w:val="24"/>
        </w:rPr>
        <w:t xml:space="preserve">, S., </w:t>
      </w:r>
      <w:proofErr w:type="spellStart"/>
      <w:r w:rsidRPr="00266549">
        <w:rPr>
          <w:rFonts w:ascii="Times New Roman" w:hAnsi="Times New Roman" w:cs="Times New Roman"/>
          <w:sz w:val="24"/>
          <w:szCs w:val="24"/>
        </w:rPr>
        <w:t>Bağçivan</w:t>
      </w:r>
      <w:proofErr w:type="spellEnd"/>
      <w:r w:rsidRPr="00266549">
        <w:rPr>
          <w:rFonts w:ascii="Times New Roman" w:hAnsi="Times New Roman" w:cs="Times New Roman"/>
          <w:sz w:val="24"/>
          <w:szCs w:val="24"/>
        </w:rPr>
        <w:t xml:space="preserve">, G., Pape, E., Drury, A., Semple, C., </w:t>
      </w:r>
      <w:proofErr w:type="spellStart"/>
      <w:r w:rsidRPr="00266549">
        <w:rPr>
          <w:rFonts w:ascii="Times New Roman" w:hAnsi="Times New Roman" w:cs="Times New Roman"/>
          <w:sz w:val="24"/>
          <w:szCs w:val="24"/>
        </w:rPr>
        <w:t>Dieperink</w:t>
      </w:r>
      <w:proofErr w:type="spellEnd"/>
      <w:r w:rsidRPr="00266549">
        <w:rPr>
          <w:rFonts w:ascii="Times New Roman" w:hAnsi="Times New Roman" w:cs="Times New Roman"/>
          <w:sz w:val="24"/>
          <w:szCs w:val="24"/>
        </w:rPr>
        <w:t xml:space="preserve">, K.B. and Papadopoulou, C., (2023) </w:t>
      </w:r>
      <w:r w:rsidRPr="00266549">
        <w:rPr>
          <w:rFonts w:ascii="Times New Roman" w:hAnsi="Times New Roman" w:cs="Times New Roman"/>
          <w:sz w:val="24"/>
          <w:szCs w:val="24"/>
        </w:rPr>
        <w:lastRenderedPageBreak/>
        <w:t>‘An overview of the fundamentals of data management, analysis, and interpretation in quantitative research’, In Seminars in oncology nursing 39 (2), p. 151398</w:t>
      </w:r>
    </w:p>
    <w:p w14:paraId="16192BF5" w14:textId="77777777" w:rsidR="003463D3" w:rsidRPr="00266549" w:rsidRDefault="00000000" w:rsidP="00266549">
      <w:pPr>
        <w:spacing w:after="240"/>
        <w:rPr>
          <w:rFonts w:ascii="Times New Roman" w:hAnsi="Times New Roman" w:cs="Times New Roman"/>
          <w:sz w:val="24"/>
          <w:szCs w:val="24"/>
        </w:rPr>
      </w:pPr>
      <w:r w:rsidRPr="00266549">
        <w:rPr>
          <w:rFonts w:ascii="Times New Roman" w:hAnsi="Times New Roman" w:cs="Times New Roman"/>
          <w:sz w:val="24"/>
          <w:szCs w:val="24"/>
        </w:rPr>
        <w:t xml:space="preserve">Lawler, J. and Waldner, D., (2023) ‘Interpretivism versus positivism in an age of causal inference’, </w:t>
      </w:r>
      <w:r w:rsidRPr="00266549">
        <w:rPr>
          <w:rFonts w:ascii="Times New Roman" w:hAnsi="Times New Roman" w:cs="Times New Roman"/>
          <w:i/>
          <w:iCs/>
          <w:sz w:val="24"/>
          <w:szCs w:val="24"/>
        </w:rPr>
        <w:t>Oxford handbook of philosophy of political Science</w:t>
      </w:r>
      <w:r w:rsidRPr="00266549">
        <w:rPr>
          <w:rFonts w:ascii="Times New Roman" w:hAnsi="Times New Roman" w:cs="Times New Roman"/>
          <w:sz w:val="24"/>
          <w:szCs w:val="24"/>
        </w:rPr>
        <w:t>, pp.221-242.</w:t>
      </w:r>
    </w:p>
    <w:p w14:paraId="5EB82341" w14:textId="1D511B81" w:rsidR="003463D3" w:rsidRPr="00266549" w:rsidRDefault="00000000" w:rsidP="00266549">
      <w:pPr>
        <w:spacing w:after="240"/>
        <w:rPr>
          <w:rFonts w:ascii="Times New Roman" w:hAnsi="Times New Roman" w:cs="Times New Roman"/>
          <w:color w:val="222222"/>
          <w:sz w:val="24"/>
          <w:szCs w:val="24"/>
          <w:highlight w:val="white"/>
        </w:rPr>
      </w:pPr>
      <w:r w:rsidRPr="00266549">
        <w:rPr>
          <w:rFonts w:ascii="Times New Roman" w:hAnsi="Times New Roman" w:cs="Times New Roman"/>
          <w:color w:val="222222"/>
          <w:sz w:val="24"/>
          <w:szCs w:val="24"/>
          <w:highlight w:val="white"/>
        </w:rPr>
        <w:t xml:space="preserve">Lu, L., Ko, Y.M., Chen, H.Y., Chueh, J.W., Chen, P.Y. and Cooper, C.L., (2022). ‘Patient safety and staff well-being: organizational culture as a resource’, </w:t>
      </w:r>
      <w:r w:rsidRPr="00266549">
        <w:rPr>
          <w:rFonts w:ascii="Times New Roman" w:hAnsi="Times New Roman" w:cs="Times New Roman"/>
          <w:i/>
          <w:iCs/>
          <w:color w:val="222222"/>
          <w:sz w:val="24"/>
          <w:szCs w:val="24"/>
          <w:highlight w:val="white"/>
        </w:rPr>
        <w:t>International Journal of Environmental Research and Public Health</w:t>
      </w:r>
      <w:r w:rsidRPr="00266549">
        <w:rPr>
          <w:rFonts w:ascii="Times New Roman" w:hAnsi="Times New Roman" w:cs="Times New Roman"/>
          <w:color w:val="222222"/>
          <w:sz w:val="24"/>
          <w:szCs w:val="24"/>
          <w:highlight w:val="white"/>
        </w:rPr>
        <w:t xml:space="preserve">, </w:t>
      </w:r>
      <w:r w:rsidRPr="00266549">
        <w:rPr>
          <w:rFonts w:ascii="Times New Roman" w:hAnsi="Times New Roman" w:cs="Times New Roman"/>
          <w:i/>
          <w:iCs/>
          <w:color w:val="222222"/>
          <w:sz w:val="24"/>
          <w:szCs w:val="24"/>
          <w:highlight w:val="white"/>
        </w:rPr>
        <w:t>19</w:t>
      </w:r>
      <w:r w:rsidRPr="00266549">
        <w:rPr>
          <w:rFonts w:ascii="Times New Roman" w:hAnsi="Times New Roman" w:cs="Times New Roman"/>
          <w:color w:val="222222"/>
          <w:sz w:val="24"/>
          <w:szCs w:val="24"/>
          <w:highlight w:val="white"/>
        </w:rPr>
        <w:t>(6), p.3722.</w:t>
      </w:r>
    </w:p>
    <w:p w14:paraId="592D58DE" w14:textId="77777777" w:rsidR="003463D3" w:rsidRPr="00266549" w:rsidRDefault="00000000" w:rsidP="00266549">
      <w:pPr>
        <w:spacing w:after="240"/>
        <w:rPr>
          <w:rFonts w:ascii="Times New Roman" w:hAnsi="Times New Roman" w:cs="Times New Roman"/>
          <w:color w:val="222222"/>
          <w:sz w:val="24"/>
          <w:szCs w:val="24"/>
          <w:highlight w:val="white"/>
        </w:rPr>
      </w:pPr>
      <w:r w:rsidRPr="00266549">
        <w:rPr>
          <w:rFonts w:ascii="Times New Roman" w:hAnsi="Times New Roman" w:cs="Times New Roman"/>
          <w:color w:val="222222"/>
          <w:sz w:val="24"/>
          <w:szCs w:val="24"/>
          <w:highlight w:val="white"/>
        </w:rPr>
        <w:t xml:space="preserve">Lyhne, C.N., Bjerrum, M. and Jørgensen, M.J., (2022). ‘Person-centred care to prevent hospitalisations–a focus group study addressing the views of healthcare providers’, </w:t>
      </w:r>
      <w:r w:rsidRPr="00266549">
        <w:rPr>
          <w:rFonts w:ascii="Times New Roman" w:hAnsi="Times New Roman" w:cs="Times New Roman"/>
          <w:i/>
          <w:iCs/>
          <w:color w:val="222222"/>
          <w:sz w:val="24"/>
          <w:szCs w:val="24"/>
          <w:highlight w:val="white"/>
        </w:rPr>
        <w:t>BMC health services research</w:t>
      </w:r>
      <w:r w:rsidRPr="00266549">
        <w:rPr>
          <w:rFonts w:ascii="Times New Roman" w:hAnsi="Times New Roman" w:cs="Times New Roman"/>
          <w:color w:val="222222"/>
          <w:sz w:val="24"/>
          <w:szCs w:val="24"/>
          <w:highlight w:val="white"/>
        </w:rPr>
        <w:t xml:space="preserve">, </w:t>
      </w:r>
      <w:r w:rsidRPr="00266549">
        <w:rPr>
          <w:rFonts w:ascii="Times New Roman" w:hAnsi="Times New Roman" w:cs="Times New Roman"/>
          <w:i/>
          <w:iCs/>
          <w:color w:val="222222"/>
          <w:sz w:val="24"/>
          <w:szCs w:val="24"/>
          <w:highlight w:val="white"/>
        </w:rPr>
        <w:t>22</w:t>
      </w:r>
      <w:r w:rsidRPr="00266549">
        <w:rPr>
          <w:rFonts w:ascii="Times New Roman" w:hAnsi="Times New Roman" w:cs="Times New Roman"/>
          <w:color w:val="222222"/>
          <w:sz w:val="24"/>
          <w:szCs w:val="24"/>
          <w:highlight w:val="white"/>
        </w:rPr>
        <w:t>(1), p.801.</w:t>
      </w:r>
    </w:p>
    <w:p w14:paraId="3BB717D6" w14:textId="77777777" w:rsidR="003463D3" w:rsidRPr="00266549" w:rsidRDefault="00000000" w:rsidP="00266549">
      <w:pPr>
        <w:spacing w:after="240"/>
        <w:rPr>
          <w:rFonts w:ascii="Times New Roman" w:hAnsi="Times New Roman" w:cs="Times New Roman"/>
          <w:color w:val="222222"/>
          <w:sz w:val="24"/>
          <w:szCs w:val="24"/>
          <w:highlight w:val="white"/>
        </w:rPr>
      </w:pPr>
      <w:r w:rsidRPr="00266549">
        <w:rPr>
          <w:rFonts w:ascii="Times New Roman" w:hAnsi="Times New Roman" w:cs="Times New Roman"/>
          <w:color w:val="222222"/>
          <w:sz w:val="24"/>
          <w:szCs w:val="24"/>
          <w:highlight w:val="white"/>
        </w:rPr>
        <w:t xml:space="preserve">Maddock, A., (2024). ‘The relationships between stress, burnout, mental health and well-being in social workers’, </w:t>
      </w:r>
      <w:r w:rsidRPr="00266549">
        <w:rPr>
          <w:rFonts w:ascii="Times New Roman" w:hAnsi="Times New Roman" w:cs="Times New Roman"/>
          <w:i/>
          <w:iCs/>
          <w:color w:val="222222"/>
          <w:sz w:val="24"/>
          <w:szCs w:val="24"/>
          <w:highlight w:val="white"/>
        </w:rPr>
        <w:t>The British Journal of Social Work</w:t>
      </w:r>
      <w:r w:rsidRPr="00266549">
        <w:rPr>
          <w:rFonts w:ascii="Times New Roman" w:hAnsi="Times New Roman" w:cs="Times New Roman"/>
          <w:color w:val="222222"/>
          <w:sz w:val="24"/>
          <w:szCs w:val="24"/>
          <w:highlight w:val="white"/>
        </w:rPr>
        <w:t xml:space="preserve">, </w:t>
      </w:r>
      <w:r w:rsidRPr="00266549">
        <w:rPr>
          <w:rFonts w:ascii="Times New Roman" w:hAnsi="Times New Roman" w:cs="Times New Roman"/>
          <w:i/>
          <w:iCs/>
          <w:color w:val="222222"/>
          <w:sz w:val="24"/>
          <w:szCs w:val="24"/>
          <w:highlight w:val="white"/>
        </w:rPr>
        <w:t>54</w:t>
      </w:r>
      <w:r w:rsidRPr="00266549">
        <w:rPr>
          <w:rFonts w:ascii="Times New Roman" w:hAnsi="Times New Roman" w:cs="Times New Roman"/>
          <w:color w:val="222222"/>
          <w:sz w:val="24"/>
          <w:szCs w:val="24"/>
          <w:highlight w:val="white"/>
        </w:rPr>
        <w:t>(2), pp.668-686.</w:t>
      </w:r>
    </w:p>
    <w:p w14:paraId="7A1A48C0" w14:textId="77777777" w:rsidR="003463D3" w:rsidRPr="00266549" w:rsidRDefault="00000000" w:rsidP="00266549">
      <w:pPr>
        <w:spacing w:after="240"/>
        <w:rPr>
          <w:rFonts w:ascii="Times New Roman" w:hAnsi="Times New Roman" w:cs="Times New Roman"/>
          <w:color w:val="222222"/>
          <w:sz w:val="24"/>
          <w:szCs w:val="24"/>
          <w:highlight w:val="white"/>
        </w:rPr>
      </w:pPr>
      <w:r w:rsidRPr="00266549">
        <w:rPr>
          <w:rFonts w:ascii="Times New Roman" w:hAnsi="Times New Roman" w:cs="Times New Roman"/>
          <w:color w:val="222222"/>
          <w:sz w:val="24"/>
          <w:szCs w:val="24"/>
          <w:highlight w:val="white"/>
        </w:rPr>
        <w:t xml:space="preserve">Mental Health Foundation (2023). </w:t>
      </w:r>
      <w:r w:rsidRPr="00266549">
        <w:rPr>
          <w:rFonts w:ascii="Times New Roman" w:hAnsi="Times New Roman" w:cs="Times New Roman"/>
          <w:i/>
          <w:iCs/>
          <w:color w:val="222222"/>
          <w:sz w:val="24"/>
          <w:szCs w:val="24"/>
          <w:highlight w:val="white"/>
        </w:rPr>
        <w:t>Mental health at work: statistics</w:t>
      </w:r>
      <w:r w:rsidRPr="00266549">
        <w:rPr>
          <w:rFonts w:ascii="Times New Roman" w:hAnsi="Times New Roman" w:cs="Times New Roman"/>
          <w:color w:val="222222"/>
          <w:sz w:val="24"/>
          <w:szCs w:val="24"/>
          <w:highlight w:val="white"/>
        </w:rPr>
        <w:t xml:space="preserve">.www.mentalhealth.org.uk. Available at: </w:t>
      </w:r>
      <w:hyperlink r:id="rId24">
        <w:r w:rsidRPr="00266549">
          <w:rPr>
            <w:rFonts w:ascii="Times New Roman" w:hAnsi="Times New Roman" w:cs="Times New Roman"/>
            <w:color w:val="1155CC"/>
            <w:sz w:val="24"/>
            <w:szCs w:val="24"/>
            <w:highlight w:val="white"/>
            <w:u w:val="single"/>
          </w:rPr>
          <w:t>https://www.mentalhealth.org.uk/explore-mental-health/statistics/mental-health-work-statistics</w:t>
        </w:r>
      </w:hyperlink>
      <w:r w:rsidRPr="00266549">
        <w:rPr>
          <w:rFonts w:ascii="Times New Roman" w:hAnsi="Times New Roman" w:cs="Times New Roman"/>
          <w:color w:val="222222"/>
          <w:sz w:val="24"/>
          <w:szCs w:val="24"/>
          <w:highlight w:val="white"/>
        </w:rPr>
        <w:t xml:space="preserve"> (Accessed on 13 Jan 2026).</w:t>
      </w:r>
    </w:p>
    <w:p w14:paraId="5D65F00D" w14:textId="77777777" w:rsidR="003463D3" w:rsidRPr="00266549" w:rsidRDefault="00000000" w:rsidP="00266549">
      <w:pPr>
        <w:spacing w:after="240"/>
        <w:rPr>
          <w:rFonts w:ascii="Times New Roman" w:hAnsi="Times New Roman" w:cs="Times New Roman"/>
          <w:sz w:val="24"/>
          <w:szCs w:val="24"/>
        </w:rPr>
      </w:pPr>
      <w:r w:rsidRPr="00266549">
        <w:rPr>
          <w:rFonts w:ascii="Times New Roman" w:hAnsi="Times New Roman" w:cs="Times New Roman"/>
          <w:sz w:val="24"/>
          <w:szCs w:val="24"/>
        </w:rPr>
        <w:t xml:space="preserve">Mizuki, C. and Kuzuha, Y., (2023) ‘Frequency analysis of hydrological data for urban floods—review of traditional methods and recent developments, especially an introduction of Japanese proper methods’, </w:t>
      </w:r>
      <w:r w:rsidRPr="00266549">
        <w:rPr>
          <w:rFonts w:ascii="Times New Roman" w:hAnsi="Times New Roman" w:cs="Times New Roman"/>
          <w:i/>
          <w:iCs/>
          <w:sz w:val="24"/>
          <w:szCs w:val="24"/>
        </w:rPr>
        <w:t xml:space="preserve">Water, </w:t>
      </w:r>
      <w:r w:rsidRPr="00266549">
        <w:rPr>
          <w:rFonts w:ascii="Times New Roman" w:hAnsi="Times New Roman" w:cs="Times New Roman"/>
          <w:sz w:val="24"/>
          <w:szCs w:val="24"/>
        </w:rPr>
        <w:t>15(13), p.2490.</w:t>
      </w:r>
    </w:p>
    <w:p w14:paraId="2AB6F7C5" w14:textId="77777777" w:rsidR="003463D3" w:rsidRPr="00266549" w:rsidRDefault="00000000" w:rsidP="00266549">
      <w:pPr>
        <w:spacing w:after="240"/>
        <w:rPr>
          <w:rFonts w:ascii="Times New Roman" w:hAnsi="Times New Roman" w:cs="Times New Roman"/>
          <w:sz w:val="24"/>
          <w:szCs w:val="24"/>
        </w:rPr>
      </w:pPr>
      <w:r w:rsidRPr="00266549">
        <w:rPr>
          <w:rFonts w:ascii="Times New Roman" w:hAnsi="Times New Roman" w:cs="Times New Roman"/>
          <w:sz w:val="24"/>
          <w:szCs w:val="24"/>
        </w:rPr>
        <w:t xml:space="preserve">Naeem, M., </w:t>
      </w:r>
      <w:proofErr w:type="spellStart"/>
      <w:r w:rsidRPr="00266549">
        <w:rPr>
          <w:rFonts w:ascii="Times New Roman" w:hAnsi="Times New Roman" w:cs="Times New Roman"/>
          <w:sz w:val="24"/>
          <w:szCs w:val="24"/>
        </w:rPr>
        <w:t>Ozuem</w:t>
      </w:r>
      <w:proofErr w:type="spellEnd"/>
      <w:r w:rsidRPr="00266549">
        <w:rPr>
          <w:rFonts w:ascii="Times New Roman" w:hAnsi="Times New Roman" w:cs="Times New Roman"/>
          <w:sz w:val="24"/>
          <w:szCs w:val="24"/>
        </w:rPr>
        <w:t xml:space="preserve">, W., Howell, K. and Ranfagni, S., (2023) ‘A step-by-step process of thematic analysis to develop a conceptual model in qualitative research’, </w:t>
      </w:r>
      <w:r w:rsidRPr="00266549">
        <w:rPr>
          <w:rFonts w:ascii="Times New Roman" w:hAnsi="Times New Roman" w:cs="Times New Roman"/>
          <w:i/>
          <w:iCs/>
          <w:sz w:val="24"/>
          <w:szCs w:val="24"/>
        </w:rPr>
        <w:t>International journal of qualitative methods,</w:t>
      </w:r>
      <w:r w:rsidRPr="00266549">
        <w:rPr>
          <w:rFonts w:ascii="Times New Roman" w:hAnsi="Times New Roman" w:cs="Times New Roman"/>
          <w:sz w:val="24"/>
          <w:szCs w:val="24"/>
        </w:rPr>
        <w:t xml:space="preserve"> 22, p.16094069231205789.</w:t>
      </w:r>
    </w:p>
    <w:p w14:paraId="484BFA43" w14:textId="77777777" w:rsidR="003463D3" w:rsidRPr="00266549" w:rsidRDefault="00000000" w:rsidP="00266549">
      <w:pPr>
        <w:spacing w:after="240"/>
        <w:rPr>
          <w:rFonts w:ascii="Times New Roman" w:hAnsi="Times New Roman" w:cs="Times New Roman"/>
          <w:color w:val="222222"/>
          <w:sz w:val="24"/>
          <w:szCs w:val="24"/>
          <w:highlight w:val="white"/>
        </w:rPr>
      </w:pPr>
      <w:r w:rsidRPr="00266549">
        <w:rPr>
          <w:rFonts w:ascii="Times New Roman" w:hAnsi="Times New Roman" w:cs="Times New Roman"/>
          <w:color w:val="222222"/>
          <w:sz w:val="24"/>
          <w:szCs w:val="24"/>
          <w:highlight w:val="white"/>
        </w:rPr>
        <w:t xml:space="preserve">NHS Employers (2025). </w:t>
      </w:r>
      <w:r w:rsidRPr="00266549">
        <w:rPr>
          <w:rFonts w:ascii="Times New Roman" w:hAnsi="Times New Roman" w:cs="Times New Roman"/>
          <w:i/>
          <w:iCs/>
          <w:color w:val="222222"/>
          <w:sz w:val="24"/>
          <w:szCs w:val="24"/>
          <w:highlight w:val="white"/>
        </w:rPr>
        <w:t>Beating burnout in the NHS | NHS Employers</w:t>
      </w:r>
      <w:r w:rsidRPr="00266549">
        <w:rPr>
          <w:rFonts w:ascii="Times New Roman" w:hAnsi="Times New Roman" w:cs="Times New Roman"/>
          <w:color w:val="222222"/>
          <w:sz w:val="24"/>
          <w:szCs w:val="24"/>
          <w:highlight w:val="white"/>
        </w:rPr>
        <w:t xml:space="preserve">. www.nhsemployers.org. Available at: </w:t>
      </w:r>
      <w:hyperlink r:id="rId25">
        <w:r w:rsidRPr="00266549">
          <w:rPr>
            <w:rFonts w:ascii="Times New Roman" w:hAnsi="Times New Roman" w:cs="Times New Roman"/>
            <w:color w:val="1155CC"/>
            <w:sz w:val="24"/>
            <w:szCs w:val="24"/>
            <w:highlight w:val="white"/>
            <w:u w:val="single"/>
          </w:rPr>
          <w:t>https://www.nhsemployers.org/articles/beating-burnout-nhs</w:t>
        </w:r>
      </w:hyperlink>
      <w:r w:rsidRPr="00266549">
        <w:rPr>
          <w:rFonts w:ascii="Times New Roman" w:hAnsi="Times New Roman" w:cs="Times New Roman"/>
          <w:color w:val="222222"/>
          <w:sz w:val="24"/>
          <w:szCs w:val="24"/>
          <w:highlight w:val="white"/>
        </w:rPr>
        <w:t xml:space="preserve"> (Accessed on 14 Jan 2026).</w:t>
      </w:r>
    </w:p>
    <w:p w14:paraId="25CCB0F0" w14:textId="4B98E371" w:rsidR="003463D3" w:rsidRPr="00266549" w:rsidRDefault="00000000" w:rsidP="00266549">
      <w:pPr>
        <w:spacing w:after="240"/>
        <w:rPr>
          <w:rFonts w:ascii="Times New Roman" w:hAnsi="Times New Roman" w:cs="Times New Roman"/>
          <w:sz w:val="24"/>
          <w:szCs w:val="24"/>
        </w:rPr>
      </w:pPr>
      <w:r w:rsidRPr="00266549">
        <w:rPr>
          <w:rFonts w:ascii="Times New Roman" w:hAnsi="Times New Roman" w:cs="Times New Roman"/>
          <w:color w:val="222222"/>
          <w:sz w:val="24"/>
          <w:szCs w:val="24"/>
          <w:highlight w:val="white"/>
        </w:rPr>
        <w:t xml:space="preserve">Pereira, D., Leitão, J. and Ramos, L., (2022). ‘Burnout and quality of work life among municipal workers: do motivating and economic factors play a mediating role?’, </w:t>
      </w:r>
      <w:r w:rsidRPr="00266549">
        <w:rPr>
          <w:rFonts w:ascii="Times New Roman" w:hAnsi="Times New Roman" w:cs="Times New Roman"/>
          <w:i/>
          <w:iCs/>
          <w:color w:val="222222"/>
          <w:sz w:val="24"/>
          <w:szCs w:val="24"/>
          <w:highlight w:val="white"/>
        </w:rPr>
        <w:t>International Journal of Environmental Research and Public Health</w:t>
      </w:r>
      <w:r w:rsidRPr="00266549">
        <w:rPr>
          <w:rFonts w:ascii="Times New Roman" w:hAnsi="Times New Roman" w:cs="Times New Roman"/>
          <w:color w:val="222222"/>
          <w:sz w:val="24"/>
          <w:szCs w:val="24"/>
          <w:highlight w:val="white"/>
        </w:rPr>
        <w:t xml:space="preserve">, </w:t>
      </w:r>
      <w:r w:rsidRPr="00266549">
        <w:rPr>
          <w:rFonts w:ascii="Times New Roman" w:hAnsi="Times New Roman" w:cs="Times New Roman"/>
          <w:i/>
          <w:iCs/>
          <w:color w:val="222222"/>
          <w:sz w:val="24"/>
          <w:szCs w:val="24"/>
          <w:highlight w:val="white"/>
        </w:rPr>
        <w:t>19</w:t>
      </w:r>
      <w:r w:rsidRPr="00266549">
        <w:rPr>
          <w:rFonts w:ascii="Times New Roman" w:hAnsi="Times New Roman" w:cs="Times New Roman"/>
          <w:color w:val="222222"/>
          <w:sz w:val="24"/>
          <w:szCs w:val="24"/>
          <w:highlight w:val="white"/>
        </w:rPr>
        <w:t>(20), p.13035.</w:t>
      </w:r>
    </w:p>
    <w:p w14:paraId="38AC9D70" w14:textId="77777777" w:rsidR="003463D3" w:rsidRPr="00266549" w:rsidRDefault="00000000" w:rsidP="00266549">
      <w:pPr>
        <w:spacing w:after="240"/>
        <w:rPr>
          <w:rFonts w:ascii="Times New Roman" w:hAnsi="Times New Roman" w:cs="Times New Roman"/>
          <w:color w:val="222222"/>
          <w:sz w:val="24"/>
          <w:szCs w:val="24"/>
          <w:highlight w:val="white"/>
        </w:rPr>
      </w:pPr>
      <w:proofErr w:type="spellStart"/>
      <w:r w:rsidRPr="00266549">
        <w:rPr>
          <w:rFonts w:ascii="Times New Roman" w:hAnsi="Times New Roman" w:cs="Times New Roman"/>
          <w:color w:val="222222"/>
          <w:sz w:val="24"/>
          <w:szCs w:val="24"/>
          <w:highlight w:val="white"/>
        </w:rPr>
        <w:lastRenderedPageBreak/>
        <w:t>Popucza</w:t>
      </w:r>
      <w:proofErr w:type="spellEnd"/>
      <w:r w:rsidRPr="00266549">
        <w:rPr>
          <w:rFonts w:ascii="Times New Roman" w:hAnsi="Times New Roman" w:cs="Times New Roman"/>
          <w:color w:val="222222"/>
          <w:sz w:val="24"/>
          <w:szCs w:val="24"/>
          <w:highlight w:val="white"/>
        </w:rPr>
        <w:t xml:space="preserve">, T.Z., Eriksson, L. and Eriksson, M., (2025). ‘Emotional demands, burnout, and mental wellbeing in healthcare, care, and service work: the mediating role of surface acting across age’, </w:t>
      </w:r>
      <w:r w:rsidRPr="00266549">
        <w:rPr>
          <w:rFonts w:ascii="Times New Roman" w:hAnsi="Times New Roman" w:cs="Times New Roman"/>
          <w:i/>
          <w:iCs/>
          <w:color w:val="222222"/>
          <w:sz w:val="24"/>
          <w:szCs w:val="24"/>
          <w:highlight w:val="white"/>
        </w:rPr>
        <w:t>Frontiers in Organizational Psychology</w:t>
      </w:r>
      <w:r w:rsidRPr="00266549">
        <w:rPr>
          <w:rFonts w:ascii="Times New Roman" w:hAnsi="Times New Roman" w:cs="Times New Roman"/>
          <w:color w:val="222222"/>
          <w:sz w:val="24"/>
          <w:szCs w:val="24"/>
          <w:highlight w:val="white"/>
        </w:rPr>
        <w:t xml:space="preserve">, </w:t>
      </w:r>
      <w:r w:rsidRPr="00266549">
        <w:rPr>
          <w:rFonts w:ascii="Times New Roman" w:hAnsi="Times New Roman" w:cs="Times New Roman"/>
          <w:i/>
          <w:iCs/>
          <w:color w:val="222222"/>
          <w:sz w:val="24"/>
          <w:szCs w:val="24"/>
          <w:highlight w:val="white"/>
        </w:rPr>
        <w:t>3</w:t>
      </w:r>
      <w:r w:rsidRPr="00266549">
        <w:rPr>
          <w:rFonts w:ascii="Times New Roman" w:hAnsi="Times New Roman" w:cs="Times New Roman"/>
          <w:color w:val="222222"/>
          <w:sz w:val="24"/>
          <w:szCs w:val="24"/>
          <w:highlight w:val="white"/>
        </w:rPr>
        <w:t>, p.1628713.</w:t>
      </w:r>
    </w:p>
    <w:p w14:paraId="512098A5" w14:textId="77777777" w:rsidR="003463D3" w:rsidRPr="00266549" w:rsidRDefault="00000000" w:rsidP="00266549">
      <w:pPr>
        <w:spacing w:after="240"/>
        <w:rPr>
          <w:rFonts w:ascii="Times New Roman" w:hAnsi="Times New Roman" w:cs="Times New Roman"/>
          <w:color w:val="222222"/>
          <w:sz w:val="24"/>
          <w:szCs w:val="24"/>
          <w:highlight w:val="white"/>
        </w:rPr>
      </w:pPr>
      <w:r w:rsidRPr="00266549">
        <w:rPr>
          <w:rFonts w:ascii="Times New Roman" w:hAnsi="Times New Roman" w:cs="Times New Roman"/>
          <w:color w:val="222222"/>
          <w:sz w:val="24"/>
          <w:szCs w:val="24"/>
          <w:highlight w:val="white"/>
        </w:rPr>
        <w:t xml:space="preserve">Rapisarda, F., Vallarino, M., Brousseau-Paradis, C., Benedictis, L.D., Corbière, M., Villotti, P., Cavallini, E., Briand, C., </w:t>
      </w:r>
      <w:proofErr w:type="spellStart"/>
      <w:r w:rsidRPr="00266549">
        <w:rPr>
          <w:rFonts w:ascii="Times New Roman" w:hAnsi="Times New Roman" w:cs="Times New Roman"/>
          <w:color w:val="222222"/>
          <w:sz w:val="24"/>
          <w:szCs w:val="24"/>
          <w:highlight w:val="white"/>
        </w:rPr>
        <w:t>Cailhol</w:t>
      </w:r>
      <w:proofErr w:type="spellEnd"/>
      <w:r w:rsidRPr="00266549">
        <w:rPr>
          <w:rFonts w:ascii="Times New Roman" w:hAnsi="Times New Roman" w:cs="Times New Roman"/>
          <w:color w:val="222222"/>
          <w:sz w:val="24"/>
          <w:szCs w:val="24"/>
          <w:highlight w:val="white"/>
        </w:rPr>
        <w:t xml:space="preserve">, L. and Lesage, A. (2022). ‘Workplace Factors, Burnout Signs, and Clinical Mental Health Symptoms among Mental Health Workers in Lombardy and Quebec during the First Wave of COVID-19’, </w:t>
      </w:r>
      <w:r w:rsidRPr="00266549">
        <w:rPr>
          <w:rFonts w:ascii="Times New Roman" w:hAnsi="Times New Roman" w:cs="Times New Roman"/>
          <w:i/>
          <w:iCs/>
          <w:color w:val="222222"/>
          <w:sz w:val="24"/>
          <w:szCs w:val="24"/>
          <w:highlight w:val="white"/>
        </w:rPr>
        <w:t>International Journal of Environmental Research and Public Health</w:t>
      </w:r>
      <w:r w:rsidRPr="00266549">
        <w:rPr>
          <w:rFonts w:ascii="Times New Roman" w:hAnsi="Times New Roman" w:cs="Times New Roman"/>
          <w:color w:val="222222"/>
          <w:sz w:val="24"/>
          <w:szCs w:val="24"/>
          <w:highlight w:val="white"/>
        </w:rPr>
        <w:t xml:space="preserve">, 19(7), p.3806. </w:t>
      </w:r>
    </w:p>
    <w:p w14:paraId="6A8CCC4D" w14:textId="435A3164" w:rsidR="003463D3" w:rsidRPr="00266549" w:rsidRDefault="00000000" w:rsidP="00266549">
      <w:pPr>
        <w:spacing w:after="240"/>
        <w:rPr>
          <w:rFonts w:ascii="Times New Roman" w:hAnsi="Times New Roman" w:cs="Times New Roman"/>
          <w:color w:val="222222"/>
          <w:sz w:val="24"/>
          <w:szCs w:val="24"/>
          <w:highlight w:val="white"/>
        </w:rPr>
      </w:pPr>
      <w:r w:rsidRPr="00266549">
        <w:rPr>
          <w:rFonts w:ascii="Times New Roman" w:hAnsi="Times New Roman" w:cs="Times New Roman"/>
          <w:color w:val="222222"/>
          <w:sz w:val="24"/>
          <w:szCs w:val="24"/>
          <w:highlight w:val="white"/>
        </w:rPr>
        <w:t xml:space="preserve">Ravalier, J.M., McVicar, A. and </w:t>
      </w:r>
      <w:proofErr w:type="spellStart"/>
      <w:r w:rsidRPr="00266549">
        <w:rPr>
          <w:rFonts w:ascii="Times New Roman" w:hAnsi="Times New Roman" w:cs="Times New Roman"/>
          <w:color w:val="222222"/>
          <w:sz w:val="24"/>
          <w:szCs w:val="24"/>
          <w:highlight w:val="white"/>
        </w:rPr>
        <w:t>Boichat</w:t>
      </w:r>
      <w:proofErr w:type="spellEnd"/>
      <w:r w:rsidRPr="00266549">
        <w:rPr>
          <w:rFonts w:ascii="Times New Roman" w:hAnsi="Times New Roman" w:cs="Times New Roman"/>
          <w:color w:val="222222"/>
          <w:sz w:val="24"/>
          <w:szCs w:val="24"/>
          <w:highlight w:val="white"/>
        </w:rPr>
        <w:t xml:space="preserve">, C. (2020). ‘Work stress in NHS employees: A mixed-methods study’, </w:t>
      </w:r>
      <w:r w:rsidRPr="00266549">
        <w:rPr>
          <w:rFonts w:ascii="Times New Roman" w:hAnsi="Times New Roman" w:cs="Times New Roman"/>
          <w:i/>
          <w:iCs/>
          <w:color w:val="222222"/>
          <w:sz w:val="24"/>
          <w:szCs w:val="24"/>
          <w:highlight w:val="white"/>
        </w:rPr>
        <w:t>International Journal of Environmental Research and Public Health</w:t>
      </w:r>
      <w:r w:rsidRPr="00266549">
        <w:rPr>
          <w:rFonts w:ascii="Times New Roman" w:hAnsi="Times New Roman" w:cs="Times New Roman"/>
          <w:color w:val="222222"/>
          <w:sz w:val="24"/>
          <w:szCs w:val="24"/>
          <w:highlight w:val="white"/>
        </w:rPr>
        <w:t>, 17(18), pp.1–13. ‌</w:t>
      </w:r>
    </w:p>
    <w:p w14:paraId="3686A86C" w14:textId="77777777" w:rsidR="003463D3" w:rsidRPr="00266549" w:rsidRDefault="00000000" w:rsidP="00266549">
      <w:pPr>
        <w:spacing w:after="240"/>
        <w:rPr>
          <w:rFonts w:ascii="Times New Roman" w:hAnsi="Times New Roman" w:cs="Times New Roman"/>
          <w:color w:val="222222"/>
          <w:sz w:val="24"/>
          <w:szCs w:val="24"/>
          <w:highlight w:val="white"/>
        </w:rPr>
      </w:pPr>
      <w:r w:rsidRPr="00266549">
        <w:rPr>
          <w:rFonts w:ascii="Times New Roman" w:hAnsi="Times New Roman" w:cs="Times New Roman"/>
          <w:color w:val="222222"/>
          <w:sz w:val="24"/>
          <w:szCs w:val="24"/>
          <w:highlight w:val="white"/>
        </w:rPr>
        <w:t xml:space="preserve">Salama, W.M., Khairy, H.A., Mansour, A.A., </w:t>
      </w:r>
      <w:proofErr w:type="spellStart"/>
      <w:r w:rsidRPr="00266549">
        <w:rPr>
          <w:rFonts w:ascii="Times New Roman" w:hAnsi="Times New Roman" w:cs="Times New Roman"/>
          <w:color w:val="222222"/>
          <w:sz w:val="24"/>
          <w:szCs w:val="24"/>
          <w:highlight w:val="white"/>
        </w:rPr>
        <w:t>Alrefae</w:t>
      </w:r>
      <w:proofErr w:type="spellEnd"/>
      <w:r w:rsidRPr="00266549">
        <w:rPr>
          <w:rFonts w:ascii="Times New Roman" w:hAnsi="Times New Roman" w:cs="Times New Roman"/>
          <w:color w:val="222222"/>
          <w:sz w:val="24"/>
          <w:szCs w:val="24"/>
          <w:highlight w:val="white"/>
        </w:rPr>
        <w:t xml:space="preserve">, W.M., Afify, S.M. and </w:t>
      </w:r>
      <w:proofErr w:type="spellStart"/>
      <w:r w:rsidRPr="00266549">
        <w:rPr>
          <w:rFonts w:ascii="Times New Roman" w:hAnsi="Times New Roman" w:cs="Times New Roman"/>
          <w:color w:val="222222"/>
          <w:sz w:val="24"/>
          <w:szCs w:val="24"/>
          <w:highlight w:val="white"/>
        </w:rPr>
        <w:t>Shehadat</w:t>
      </w:r>
      <w:proofErr w:type="spellEnd"/>
      <w:r w:rsidRPr="00266549">
        <w:rPr>
          <w:rFonts w:ascii="Times New Roman" w:hAnsi="Times New Roman" w:cs="Times New Roman"/>
          <w:color w:val="222222"/>
          <w:sz w:val="24"/>
          <w:szCs w:val="24"/>
          <w:highlight w:val="white"/>
        </w:rPr>
        <w:t xml:space="preserve">, A.T.A., (2025). ‘How AI awareness drives employee intention to leave in hotels: The mediating roles of job burnout and psychological contract breach’, </w:t>
      </w:r>
      <w:r w:rsidRPr="00266549">
        <w:rPr>
          <w:rFonts w:ascii="Times New Roman" w:hAnsi="Times New Roman" w:cs="Times New Roman"/>
          <w:i/>
          <w:iCs/>
          <w:color w:val="222222"/>
          <w:sz w:val="24"/>
          <w:szCs w:val="24"/>
          <w:highlight w:val="white"/>
        </w:rPr>
        <w:t xml:space="preserve">Geo Journal of Tourism and </w:t>
      </w:r>
      <w:proofErr w:type="spellStart"/>
      <w:r w:rsidRPr="00266549">
        <w:rPr>
          <w:rFonts w:ascii="Times New Roman" w:hAnsi="Times New Roman" w:cs="Times New Roman"/>
          <w:i/>
          <w:iCs/>
          <w:color w:val="222222"/>
          <w:sz w:val="24"/>
          <w:szCs w:val="24"/>
          <w:highlight w:val="white"/>
        </w:rPr>
        <w:t>Geosites</w:t>
      </w:r>
      <w:proofErr w:type="spellEnd"/>
      <w:r w:rsidRPr="00266549">
        <w:rPr>
          <w:rFonts w:ascii="Times New Roman" w:hAnsi="Times New Roman" w:cs="Times New Roman"/>
          <w:color w:val="222222"/>
          <w:sz w:val="24"/>
          <w:szCs w:val="24"/>
          <w:highlight w:val="white"/>
        </w:rPr>
        <w:t xml:space="preserve">, </w:t>
      </w:r>
      <w:r w:rsidRPr="00266549">
        <w:rPr>
          <w:rFonts w:ascii="Times New Roman" w:hAnsi="Times New Roman" w:cs="Times New Roman"/>
          <w:i/>
          <w:iCs/>
          <w:color w:val="222222"/>
          <w:sz w:val="24"/>
          <w:szCs w:val="24"/>
          <w:highlight w:val="white"/>
        </w:rPr>
        <w:t>60</w:t>
      </w:r>
      <w:r w:rsidRPr="00266549">
        <w:rPr>
          <w:rFonts w:ascii="Times New Roman" w:hAnsi="Times New Roman" w:cs="Times New Roman"/>
          <w:color w:val="222222"/>
          <w:sz w:val="24"/>
          <w:szCs w:val="24"/>
          <w:highlight w:val="white"/>
        </w:rPr>
        <w:t>, pp.1206-1220.</w:t>
      </w:r>
    </w:p>
    <w:p w14:paraId="66F81A23" w14:textId="77777777" w:rsidR="003463D3" w:rsidRPr="00266549" w:rsidRDefault="00000000" w:rsidP="00266549">
      <w:pPr>
        <w:spacing w:after="240"/>
        <w:rPr>
          <w:rFonts w:ascii="Times New Roman" w:hAnsi="Times New Roman" w:cs="Times New Roman"/>
          <w:sz w:val="24"/>
          <w:szCs w:val="24"/>
        </w:rPr>
      </w:pPr>
      <w:r w:rsidRPr="00266549">
        <w:rPr>
          <w:rFonts w:ascii="Times New Roman" w:hAnsi="Times New Roman" w:cs="Times New Roman"/>
          <w:sz w:val="24"/>
          <w:szCs w:val="24"/>
        </w:rPr>
        <w:t xml:space="preserve">Saunders, M.N.K., Lewis, P. and Thornhill, A. (2019) </w:t>
      </w:r>
      <w:r w:rsidRPr="00266549">
        <w:rPr>
          <w:rFonts w:ascii="Times New Roman" w:hAnsi="Times New Roman" w:cs="Times New Roman"/>
          <w:i/>
          <w:iCs/>
          <w:sz w:val="24"/>
          <w:szCs w:val="24"/>
        </w:rPr>
        <w:t>Research Methods for Business Students.</w:t>
      </w:r>
      <w:r w:rsidRPr="00266549">
        <w:rPr>
          <w:rFonts w:ascii="Times New Roman" w:hAnsi="Times New Roman" w:cs="Times New Roman"/>
          <w:sz w:val="24"/>
          <w:szCs w:val="24"/>
        </w:rPr>
        <w:t xml:space="preserve"> 8th Edition, Pearson, New York.</w:t>
      </w:r>
    </w:p>
    <w:p w14:paraId="570FA7ED" w14:textId="77777777" w:rsidR="003463D3" w:rsidRPr="00266549" w:rsidRDefault="00000000" w:rsidP="00266549">
      <w:pPr>
        <w:spacing w:after="240"/>
        <w:rPr>
          <w:rFonts w:ascii="Times New Roman" w:hAnsi="Times New Roman" w:cs="Times New Roman"/>
          <w:color w:val="222222"/>
          <w:sz w:val="24"/>
          <w:szCs w:val="24"/>
          <w:highlight w:val="white"/>
        </w:rPr>
      </w:pPr>
      <w:r w:rsidRPr="00266549">
        <w:rPr>
          <w:rFonts w:ascii="Times New Roman" w:hAnsi="Times New Roman" w:cs="Times New Roman"/>
          <w:color w:val="222222"/>
          <w:sz w:val="24"/>
          <w:szCs w:val="24"/>
          <w:highlight w:val="white"/>
        </w:rPr>
        <w:t xml:space="preserve">Selim, I. and Kee, D.M.H. (2022). ‘Using Job Demands–Resources Theory to Predict Work–Life Balance among Academicians in Private Universities in Egypt during the COVID-19 Pandemic’, </w:t>
      </w:r>
      <w:r w:rsidRPr="00266549">
        <w:rPr>
          <w:rFonts w:ascii="Times New Roman" w:hAnsi="Times New Roman" w:cs="Times New Roman"/>
          <w:i/>
          <w:iCs/>
          <w:color w:val="222222"/>
          <w:sz w:val="24"/>
          <w:szCs w:val="24"/>
          <w:highlight w:val="white"/>
        </w:rPr>
        <w:t>Information</w:t>
      </w:r>
      <w:r w:rsidRPr="00266549">
        <w:rPr>
          <w:rFonts w:ascii="Times New Roman" w:hAnsi="Times New Roman" w:cs="Times New Roman"/>
          <w:color w:val="222222"/>
          <w:sz w:val="24"/>
          <w:szCs w:val="24"/>
          <w:highlight w:val="white"/>
        </w:rPr>
        <w:t xml:space="preserve">, 14(1), p.12. </w:t>
      </w:r>
    </w:p>
    <w:p w14:paraId="0EAA0891" w14:textId="77777777" w:rsidR="003463D3" w:rsidRPr="00266549" w:rsidRDefault="00000000" w:rsidP="00266549">
      <w:pPr>
        <w:spacing w:after="240"/>
        <w:rPr>
          <w:rFonts w:ascii="Times New Roman" w:hAnsi="Times New Roman" w:cs="Times New Roman"/>
          <w:color w:val="222222"/>
          <w:sz w:val="24"/>
          <w:szCs w:val="24"/>
          <w:highlight w:val="white"/>
        </w:rPr>
      </w:pPr>
      <w:r w:rsidRPr="00266549">
        <w:rPr>
          <w:rFonts w:ascii="Times New Roman" w:hAnsi="Times New Roman" w:cs="Times New Roman"/>
          <w:color w:val="222222"/>
          <w:sz w:val="24"/>
          <w:szCs w:val="24"/>
          <w:highlight w:val="white"/>
        </w:rPr>
        <w:t xml:space="preserve">Shinde, S., (2025). ‘The Role of Emotional Exhaustion in Employee Turnover and its implications for Retention’, </w:t>
      </w:r>
      <w:r w:rsidRPr="00266549">
        <w:rPr>
          <w:rFonts w:ascii="Times New Roman" w:hAnsi="Times New Roman" w:cs="Times New Roman"/>
          <w:i/>
          <w:iCs/>
          <w:color w:val="222222"/>
          <w:sz w:val="24"/>
          <w:szCs w:val="24"/>
          <w:highlight w:val="white"/>
        </w:rPr>
        <w:t>International Journal of Management and Development Studies</w:t>
      </w:r>
      <w:r w:rsidRPr="00266549">
        <w:rPr>
          <w:rFonts w:ascii="Times New Roman" w:hAnsi="Times New Roman" w:cs="Times New Roman"/>
          <w:color w:val="222222"/>
          <w:sz w:val="24"/>
          <w:szCs w:val="24"/>
          <w:highlight w:val="white"/>
        </w:rPr>
        <w:t xml:space="preserve">, </w:t>
      </w:r>
      <w:r w:rsidRPr="00266549">
        <w:rPr>
          <w:rFonts w:ascii="Times New Roman" w:hAnsi="Times New Roman" w:cs="Times New Roman"/>
          <w:i/>
          <w:iCs/>
          <w:color w:val="222222"/>
          <w:sz w:val="24"/>
          <w:szCs w:val="24"/>
          <w:highlight w:val="white"/>
        </w:rPr>
        <w:t>14</w:t>
      </w:r>
      <w:r w:rsidRPr="00266549">
        <w:rPr>
          <w:rFonts w:ascii="Times New Roman" w:hAnsi="Times New Roman" w:cs="Times New Roman"/>
          <w:color w:val="222222"/>
          <w:sz w:val="24"/>
          <w:szCs w:val="24"/>
          <w:highlight w:val="white"/>
        </w:rPr>
        <w:t>(3), pp.33-44.</w:t>
      </w:r>
    </w:p>
    <w:p w14:paraId="159EAFDC" w14:textId="77777777" w:rsidR="003463D3" w:rsidRPr="00266549" w:rsidRDefault="00000000" w:rsidP="00266549">
      <w:pPr>
        <w:spacing w:after="240"/>
        <w:rPr>
          <w:rFonts w:ascii="Times New Roman" w:hAnsi="Times New Roman" w:cs="Times New Roman"/>
          <w:sz w:val="24"/>
          <w:szCs w:val="24"/>
        </w:rPr>
      </w:pPr>
      <w:r w:rsidRPr="00266549">
        <w:rPr>
          <w:rFonts w:ascii="Times New Roman" w:hAnsi="Times New Roman" w:cs="Times New Roman"/>
          <w:sz w:val="24"/>
          <w:szCs w:val="24"/>
        </w:rPr>
        <w:t xml:space="preserve">Speicher, L.L. and Francis, D., (2023) ‘Improving employee experience: reducing burnout, decreasing turnover and building well-being’, </w:t>
      </w:r>
      <w:r w:rsidRPr="00266549">
        <w:rPr>
          <w:rFonts w:ascii="Times New Roman" w:hAnsi="Times New Roman" w:cs="Times New Roman"/>
          <w:i/>
          <w:iCs/>
          <w:sz w:val="24"/>
          <w:szCs w:val="24"/>
        </w:rPr>
        <w:t>Clinical Gastroenterology and Hepatology, 21</w:t>
      </w:r>
      <w:r w:rsidRPr="00266549">
        <w:rPr>
          <w:rFonts w:ascii="Times New Roman" w:hAnsi="Times New Roman" w:cs="Times New Roman"/>
          <w:sz w:val="24"/>
          <w:szCs w:val="24"/>
        </w:rPr>
        <w:t>(1), pp.11-14.</w:t>
      </w:r>
    </w:p>
    <w:p w14:paraId="03CD5747" w14:textId="77777777" w:rsidR="003463D3" w:rsidRPr="00266549" w:rsidRDefault="00000000" w:rsidP="00266549">
      <w:pPr>
        <w:spacing w:after="240"/>
        <w:rPr>
          <w:rFonts w:ascii="Times New Roman" w:hAnsi="Times New Roman" w:cs="Times New Roman"/>
          <w:color w:val="222222"/>
          <w:sz w:val="24"/>
          <w:szCs w:val="24"/>
          <w:highlight w:val="white"/>
        </w:rPr>
      </w:pPr>
      <w:r w:rsidRPr="00266549">
        <w:rPr>
          <w:rFonts w:ascii="Times New Roman" w:hAnsi="Times New Roman" w:cs="Times New Roman"/>
          <w:color w:val="222222"/>
          <w:sz w:val="24"/>
          <w:szCs w:val="24"/>
          <w:highlight w:val="white"/>
        </w:rPr>
        <w:lastRenderedPageBreak/>
        <w:t xml:space="preserve">The King's Fund (2024). </w:t>
      </w:r>
      <w:r w:rsidRPr="00266549">
        <w:rPr>
          <w:rFonts w:ascii="Times New Roman" w:hAnsi="Times New Roman" w:cs="Times New Roman"/>
          <w:i/>
          <w:iCs/>
          <w:color w:val="222222"/>
          <w:sz w:val="24"/>
          <w:szCs w:val="24"/>
          <w:highlight w:val="white"/>
        </w:rPr>
        <w:t>Adult Social Care: Key Facts and Figures</w:t>
      </w:r>
      <w:r w:rsidRPr="00266549">
        <w:rPr>
          <w:rFonts w:ascii="Times New Roman" w:hAnsi="Times New Roman" w:cs="Times New Roman"/>
          <w:color w:val="222222"/>
          <w:sz w:val="24"/>
          <w:szCs w:val="24"/>
          <w:highlight w:val="white"/>
        </w:rPr>
        <w:t xml:space="preserve">. [online] The King’s Fund. Available at: </w:t>
      </w:r>
      <w:hyperlink r:id="rId26">
        <w:r w:rsidRPr="00266549">
          <w:rPr>
            <w:rFonts w:ascii="Times New Roman" w:hAnsi="Times New Roman" w:cs="Times New Roman"/>
            <w:color w:val="1155CC"/>
            <w:sz w:val="24"/>
            <w:szCs w:val="24"/>
            <w:highlight w:val="white"/>
            <w:u w:val="single"/>
          </w:rPr>
          <w:t>https://www.kingsfund.org.uk/insight-and-analysis/data-and-charts/key-facts-figures-adult-social-care</w:t>
        </w:r>
      </w:hyperlink>
      <w:r w:rsidRPr="00266549">
        <w:rPr>
          <w:rFonts w:ascii="Times New Roman" w:hAnsi="Times New Roman" w:cs="Times New Roman"/>
          <w:color w:val="222222"/>
          <w:sz w:val="24"/>
          <w:szCs w:val="24"/>
          <w:highlight w:val="white"/>
        </w:rPr>
        <w:t>. (Accessed on 14 Jan 2026)</w:t>
      </w:r>
    </w:p>
    <w:p w14:paraId="7799F5CA" w14:textId="77777777" w:rsidR="003463D3" w:rsidRPr="00266549" w:rsidRDefault="00000000" w:rsidP="00266549">
      <w:pPr>
        <w:spacing w:after="240"/>
        <w:rPr>
          <w:rFonts w:ascii="Times New Roman" w:hAnsi="Times New Roman" w:cs="Times New Roman"/>
          <w:color w:val="222222"/>
          <w:sz w:val="24"/>
          <w:szCs w:val="24"/>
          <w:highlight w:val="white"/>
        </w:rPr>
      </w:pPr>
      <w:r w:rsidRPr="00266549">
        <w:rPr>
          <w:rFonts w:ascii="Times New Roman" w:hAnsi="Times New Roman" w:cs="Times New Roman"/>
          <w:color w:val="222222"/>
          <w:sz w:val="24"/>
          <w:szCs w:val="24"/>
          <w:highlight w:val="white"/>
        </w:rPr>
        <w:t xml:space="preserve">Tripathi, R. and Goyal, C. (2024). </w:t>
      </w:r>
      <w:r w:rsidRPr="00266549">
        <w:rPr>
          <w:rFonts w:ascii="Times New Roman" w:hAnsi="Times New Roman" w:cs="Times New Roman"/>
          <w:i/>
          <w:iCs/>
          <w:color w:val="222222"/>
          <w:sz w:val="24"/>
          <w:szCs w:val="24"/>
          <w:highlight w:val="white"/>
        </w:rPr>
        <w:t>Impact of remote working on employee productivity and work-life balance in Indian IT companies</w:t>
      </w:r>
      <w:r w:rsidRPr="00266549">
        <w:rPr>
          <w:rFonts w:ascii="Times New Roman" w:hAnsi="Times New Roman" w:cs="Times New Roman"/>
          <w:color w:val="222222"/>
          <w:sz w:val="24"/>
          <w:szCs w:val="24"/>
          <w:highlight w:val="white"/>
        </w:rPr>
        <w:t xml:space="preserve">. [online] </w:t>
      </w:r>
      <w:r w:rsidRPr="00266549">
        <w:rPr>
          <w:rFonts w:ascii="Times New Roman" w:hAnsi="Times New Roman" w:cs="Times New Roman"/>
          <w:i/>
          <w:iCs/>
          <w:color w:val="222222"/>
          <w:sz w:val="24"/>
          <w:szCs w:val="24"/>
          <w:highlight w:val="white"/>
        </w:rPr>
        <w:t>International Journal of Commerce and Management Research</w:t>
      </w:r>
      <w:r w:rsidRPr="00266549">
        <w:rPr>
          <w:rFonts w:ascii="Times New Roman" w:hAnsi="Times New Roman" w:cs="Times New Roman"/>
          <w:color w:val="222222"/>
          <w:sz w:val="24"/>
          <w:szCs w:val="24"/>
          <w:highlight w:val="white"/>
        </w:rPr>
        <w:t xml:space="preserve">. Available at: </w:t>
      </w:r>
      <w:hyperlink r:id="rId27">
        <w:r w:rsidRPr="00266549">
          <w:rPr>
            <w:rFonts w:ascii="Times New Roman" w:hAnsi="Times New Roman" w:cs="Times New Roman"/>
            <w:color w:val="1155CC"/>
            <w:sz w:val="24"/>
            <w:szCs w:val="24"/>
            <w:highlight w:val="white"/>
            <w:u w:val="single"/>
          </w:rPr>
          <w:t>https://www.managejournal.com/assets/archives/2025/vol11issue7/11106.pdf</w:t>
        </w:r>
      </w:hyperlink>
      <w:r w:rsidRPr="00266549">
        <w:rPr>
          <w:rFonts w:ascii="Times New Roman" w:hAnsi="Times New Roman" w:cs="Times New Roman"/>
          <w:color w:val="222222"/>
          <w:sz w:val="24"/>
          <w:szCs w:val="24"/>
          <w:highlight w:val="white"/>
        </w:rPr>
        <w:t>. (Accessed on 15 Jan 2026)</w:t>
      </w:r>
    </w:p>
    <w:p w14:paraId="68772CA8" w14:textId="77777777" w:rsidR="003463D3" w:rsidRPr="00266549" w:rsidRDefault="00000000" w:rsidP="00266549">
      <w:pPr>
        <w:spacing w:after="240"/>
        <w:rPr>
          <w:rFonts w:ascii="Times New Roman" w:hAnsi="Times New Roman" w:cs="Times New Roman"/>
          <w:color w:val="222222"/>
          <w:sz w:val="24"/>
          <w:szCs w:val="24"/>
          <w:highlight w:val="white"/>
        </w:rPr>
      </w:pPr>
      <w:proofErr w:type="spellStart"/>
      <w:r w:rsidRPr="00266549">
        <w:rPr>
          <w:rFonts w:ascii="Times New Roman" w:hAnsi="Times New Roman" w:cs="Times New Roman"/>
          <w:color w:val="222222"/>
          <w:sz w:val="24"/>
          <w:szCs w:val="24"/>
          <w:highlight w:val="white"/>
        </w:rPr>
        <w:t>Udushirinwa</w:t>
      </w:r>
      <w:proofErr w:type="spellEnd"/>
      <w:r w:rsidRPr="00266549">
        <w:rPr>
          <w:rFonts w:ascii="Times New Roman" w:hAnsi="Times New Roman" w:cs="Times New Roman"/>
          <w:color w:val="222222"/>
          <w:sz w:val="24"/>
          <w:szCs w:val="24"/>
          <w:highlight w:val="white"/>
        </w:rPr>
        <w:t xml:space="preserve">, C.C., McVicar, A. and </w:t>
      </w:r>
      <w:proofErr w:type="spellStart"/>
      <w:r w:rsidRPr="00266549">
        <w:rPr>
          <w:rFonts w:ascii="Times New Roman" w:hAnsi="Times New Roman" w:cs="Times New Roman"/>
          <w:color w:val="222222"/>
          <w:sz w:val="24"/>
          <w:szCs w:val="24"/>
          <w:highlight w:val="white"/>
        </w:rPr>
        <w:t>Teatheredge</w:t>
      </w:r>
      <w:proofErr w:type="spellEnd"/>
      <w:r w:rsidRPr="00266549">
        <w:rPr>
          <w:rFonts w:ascii="Times New Roman" w:hAnsi="Times New Roman" w:cs="Times New Roman"/>
          <w:color w:val="222222"/>
          <w:sz w:val="24"/>
          <w:szCs w:val="24"/>
          <w:highlight w:val="white"/>
        </w:rPr>
        <w:t xml:space="preserve">, J., (2022). ‘Utilization of Job Demands-Resources (JD-R) Theory to Evaluate Workplace Stress Experienced by Health Care Assistants in a UK In-Patient Dementia Unit after 10 Years of National Financial Austerity (2008–2018)’, </w:t>
      </w:r>
      <w:r w:rsidRPr="00266549">
        <w:rPr>
          <w:rFonts w:ascii="Times New Roman" w:hAnsi="Times New Roman" w:cs="Times New Roman"/>
          <w:i/>
          <w:iCs/>
          <w:color w:val="222222"/>
          <w:sz w:val="24"/>
          <w:szCs w:val="24"/>
          <w:highlight w:val="white"/>
        </w:rPr>
        <w:t>International Journal of Environmental Research and Public Health</w:t>
      </w:r>
      <w:r w:rsidRPr="00266549">
        <w:rPr>
          <w:rFonts w:ascii="Times New Roman" w:hAnsi="Times New Roman" w:cs="Times New Roman"/>
          <w:color w:val="222222"/>
          <w:sz w:val="24"/>
          <w:szCs w:val="24"/>
          <w:highlight w:val="white"/>
        </w:rPr>
        <w:t xml:space="preserve">, </w:t>
      </w:r>
      <w:r w:rsidRPr="00266549">
        <w:rPr>
          <w:rFonts w:ascii="Times New Roman" w:hAnsi="Times New Roman" w:cs="Times New Roman"/>
          <w:i/>
          <w:iCs/>
          <w:color w:val="222222"/>
          <w:sz w:val="24"/>
          <w:szCs w:val="24"/>
          <w:highlight w:val="white"/>
        </w:rPr>
        <w:t>20</w:t>
      </w:r>
      <w:r w:rsidRPr="00266549">
        <w:rPr>
          <w:rFonts w:ascii="Times New Roman" w:hAnsi="Times New Roman" w:cs="Times New Roman"/>
          <w:color w:val="222222"/>
          <w:sz w:val="24"/>
          <w:szCs w:val="24"/>
          <w:highlight w:val="white"/>
        </w:rPr>
        <w:t>(1), p.65.</w:t>
      </w:r>
    </w:p>
    <w:p w14:paraId="3EF926FC" w14:textId="77777777" w:rsidR="003463D3" w:rsidRPr="00266549" w:rsidRDefault="00000000" w:rsidP="00266549">
      <w:pPr>
        <w:spacing w:after="240"/>
        <w:rPr>
          <w:rFonts w:ascii="Times New Roman" w:hAnsi="Times New Roman" w:cs="Times New Roman"/>
          <w:color w:val="222222"/>
          <w:sz w:val="24"/>
          <w:szCs w:val="24"/>
          <w:highlight w:val="white"/>
        </w:rPr>
      </w:pPr>
      <w:r w:rsidRPr="00266549">
        <w:rPr>
          <w:rFonts w:ascii="Times New Roman" w:hAnsi="Times New Roman" w:cs="Times New Roman"/>
          <w:color w:val="222222"/>
          <w:sz w:val="24"/>
          <w:szCs w:val="24"/>
          <w:highlight w:val="white"/>
        </w:rPr>
        <w:t xml:space="preserve">Usman, M., Cheng, J., Ghani, U., Gul, H. and Shah, W.U., (2023). ‘Social support and perceived uncertainties during COVID-19: Consequences for employees’ wellbeing’, </w:t>
      </w:r>
      <w:r w:rsidRPr="00266549">
        <w:rPr>
          <w:rFonts w:ascii="Times New Roman" w:hAnsi="Times New Roman" w:cs="Times New Roman"/>
          <w:i/>
          <w:iCs/>
          <w:color w:val="222222"/>
          <w:sz w:val="24"/>
          <w:szCs w:val="24"/>
          <w:highlight w:val="white"/>
        </w:rPr>
        <w:t>Current Psychology</w:t>
      </w:r>
      <w:r w:rsidRPr="00266549">
        <w:rPr>
          <w:rFonts w:ascii="Times New Roman" w:hAnsi="Times New Roman" w:cs="Times New Roman"/>
          <w:color w:val="222222"/>
          <w:sz w:val="24"/>
          <w:szCs w:val="24"/>
          <w:highlight w:val="white"/>
        </w:rPr>
        <w:t xml:space="preserve">, </w:t>
      </w:r>
      <w:r w:rsidRPr="00266549">
        <w:rPr>
          <w:rFonts w:ascii="Times New Roman" w:hAnsi="Times New Roman" w:cs="Times New Roman"/>
          <w:i/>
          <w:iCs/>
          <w:color w:val="222222"/>
          <w:sz w:val="24"/>
          <w:szCs w:val="24"/>
          <w:highlight w:val="white"/>
        </w:rPr>
        <w:t>42</w:t>
      </w:r>
      <w:r w:rsidRPr="00266549">
        <w:rPr>
          <w:rFonts w:ascii="Times New Roman" w:hAnsi="Times New Roman" w:cs="Times New Roman"/>
          <w:color w:val="222222"/>
          <w:sz w:val="24"/>
          <w:szCs w:val="24"/>
          <w:highlight w:val="white"/>
        </w:rPr>
        <w:t>(12), pp.10248-10259.</w:t>
      </w:r>
    </w:p>
    <w:p w14:paraId="77597858" w14:textId="77777777" w:rsidR="003463D3" w:rsidRPr="00266549" w:rsidRDefault="00000000" w:rsidP="00266549">
      <w:pPr>
        <w:spacing w:after="240"/>
        <w:rPr>
          <w:rFonts w:ascii="Times New Roman" w:hAnsi="Times New Roman" w:cs="Times New Roman"/>
          <w:sz w:val="24"/>
          <w:szCs w:val="24"/>
        </w:rPr>
      </w:pPr>
      <w:r w:rsidRPr="00266549">
        <w:rPr>
          <w:rFonts w:ascii="Times New Roman" w:hAnsi="Times New Roman" w:cs="Times New Roman"/>
          <w:sz w:val="24"/>
          <w:szCs w:val="24"/>
        </w:rPr>
        <w:t xml:space="preserve">Villamin, P., Lopez, V., Thapa, D.K. and Cleary, M., (2025) ‘A worked example of qualitative descriptive design: A step‐by‐step guide for novice and early career researchers’, </w:t>
      </w:r>
      <w:r w:rsidRPr="00266549">
        <w:rPr>
          <w:rFonts w:ascii="Times New Roman" w:hAnsi="Times New Roman" w:cs="Times New Roman"/>
          <w:i/>
          <w:iCs/>
          <w:sz w:val="24"/>
          <w:szCs w:val="24"/>
        </w:rPr>
        <w:t>Journal of Advanced Nursing,</w:t>
      </w:r>
      <w:r w:rsidRPr="00266549">
        <w:rPr>
          <w:rFonts w:ascii="Times New Roman" w:hAnsi="Times New Roman" w:cs="Times New Roman"/>
          <w:sz w:val="24"/>
          <w:szCs w:val="24"/>
        </w:rPr>
        <w:t xml:space="preserve"> 81(8), pp.5181-5195.</w:t>
      </w:r>
    </w:p>
    <w:p w14:paraId="3E6AD044" w14:textId="77777777" w:rsidR="003463D3" w:rsidRPr="00266549" w:rsidRDefault="00000000" w:rsidP="00266549">
      <w:pPr>
        <w:spacing w:after="240"/>
        <w:rPr>
          <w:rFonts w:ascii="Times New Roman" w:hAnsi="Times New Roman" w:cs="Times New Roman"/>
          <w:sz w:val="24"/>
          <w:szCs w:val="24"/>
        </w:rPr>
      </w:pPr>
      <w:r w:rsidRPr="00266549">
        <w:rPr>
          <w:rFonts w:ascii="Times New Roman" w:hAnsi="Times New Roman" w:cs="Times New Roman"/>
          <w:sz w:val="24"/>
          <w:szCs w:val="24"/>
        </w:rPr>
        <w:t>Wang, X., Li, C., Chen, Y., Zheng, C., Zhang, F., Huang, Y. and Birch, S., (2022) ‘Relationships between job satisfaction, organizational commitment, burnout and job performance of healthcare professionals in a district-level health care system of Shenzhen, China’,</w:t>
      </w:r>
      <w:r w:rsidRPr="00266549">
        <w:rPr>
          <w:rFonts w:ascii="Times New Roman" w:hAnsi="Times New Roman" w:cs="Times New Roman"/>
          <w:i/>
          <w:iCs/>
          <w:sz w:val="24"/>
          <w:szCs w:val="24"/>
        </w:rPr>
        <w:t xml:space="preserve"> Frontiers in psychology, 13</w:t>
      </w:r>
      <w:r w:rsidRPr="00266549">
        <w:rPr>
          <w:rFonts w:ascii="Times New Roman" w:hAnsi="Times New Roman" w:cs="Times New Roman"/>
          <w:sz w:val="24"/>
          <w:szCs w:val="24"/>
        </w:rPr>
        <w:t xml:space="preserve">, p.992258. </w:t>
      </w:r>
    </w:p>
    <w:p w14:paraId="22C483C4" w14:textId="77777777" w:rsidR="003463D3" w:rsidRPr="00266549" w:rsidRDefault="00000000" w:rsidP="00266549">
      <w:pPr>
        <w:spacing w:after="240"/>
        <w:rPr>
          <w:rFonts w:ascii="Times New Roman" w:hAnsi="Times New Roman" w:cs="Times New Roman"/>
          <w:color w:val="222222"/>
          <w:sz w:val="24"/>
          <w:szCs w:val="24"/>
          <w:highlight w:val="white"/>
        </w:rPr>
      </w:pPr>
      <w:r w:rsidRPr="00266549">
        <w:rPr>
          <w:rFonts w:ascii="Times New Roman" w:hAnsi="Times New Roman" w:cs="Times New Roman"/>
          <w:color w:val="222222"/>
          <w:sz w:val="24"/>
          <w:szCs w:val="24"/>
          <w:highlight w:val="white"/>
        </w:rPr>
        <w:t xml:space="preserve">Yue, Z., Qin, Y., Li, Y., Wang, J., Nicholas, S., Maitland, E. and Liu, C., (2022) ‘Empathy and burnout in medical staff: mediating role of job satisfaction and job commitment’, </w:t>
      </w:r>
      <w:r w:rsidRPr="00266549">
        <w:rPr>
          <w:rFonts w:ascii="Times New Roman" w:hAnsi="Times New Roman" w:cs="Times New Roman"/>
          <w:i/>
          <w:iCs/>
          <w:color w:val="222222"/>
          <w:sz w:val="24"/>
          <w:szCs w:val="24"/>
          <w:highlight w:val="white"/>
        </w:rPr>
        <w:t>BMC public health</w:t>
      </w:r>
      <w:r w:rsidRPr="00266549">
        <w:rPr>
          <w:rFonts w:ascii="Times New Roman" w:hAnsi="Times New Roman" w:cs="Times New Roman"/>
          <w:color w:val="222222"/>
          <w:sz w:val="24"/>
          <w:szCs w:val="24"/>
          <w:highlight w:val="white"/>
        </w:rPr>
        <w:t xml:space="preserve">, </w:t>
      </w:r>
      <w:r w:rsidRPr="00266549">
        <w:rPr>
          <w:rFonts w:ascii="Times New Roman" w:hAnsi="Times New Roman" w:cs="Times New Roman"/>
          <w:i/>
          <w:iCs/>
          <w:color w:val="222222"/>
          <w:sz w:val="24"/>
          <w:szCs w:val="24"/>
          <w:highlight w:val="white"/>
        </w:rPr>
        <w:t>22</w:t>
      </w:r>
      <w:r w:rsidRPr="00266549">
        <w:rPr>
          <w:rFonts w:ascii="Times New Roman" w:hAnsi="Times New Roman" w:cs="Times New Roman"/>
          <w:color w:val="222222"/>
          <w:sz w:val="24"/>
          <w:szCs w:val="24"/>
          <w:highlight w:val="white"/>
        </w:rPr>
        <w:t>(1), p.1033.</w:t>
      </w:r>
    </w:p>
    <w:p w14:paraId="67FFBF7B" w14:textId="77777777" w:rsidR="003463D3" w:rsidRPr="00266549" w:rsidRDefault="00000000" w:rsidP="00266549">
      <w:pPr>
        <w:spacing w:after="240"/>
        <w:rPr>
          <w:rFonts w:ascii="Times New Roman" w:hAnsi="Times New Roman" w:cs="Times New Roman"/>
          <w:color w:val="222222"/>
          <w:sz w:val="24"/>
          <w:szCs w:val="24"/>
          <w:highlight w:val="white"/>
        </w:rPr>
      </w:pPr>
      <w:r w:rsidRPr="00266549">
        <w:rPr>
          <w:rFonts w:ascii="Times New Roman" w:hAnsi="Times New Roman" w:cs="Times New Roman"/>
          <w:color w:val="222222"/>
          <w:sz w:val="24"/>
          <w:szCs w:val="24"/>
          <w:highlight w:val="white"/>
        </w:rPr>
        <w:t xml:space="preserve">Zhang, H., Sun, L. and Zhang, Q., (2022). ‘How workplace social capital affects turnover intention: The mediating role of job satisfaction and burnout’, </w:t>
      </w:r>
      <w:r w:rsidRPr="00266549">
        <w:rPr>
          <w:rFonts w:ascii="Times New Roman" w:hAnsi="Times New Roman" w:cs="Times New Roman"/>
          <w:i/>
          <w:iCs/>
          <w:color w:val="222222"/>
          <w:sz w:val="24"/>
          <w:szCs w:val="24"/>
          <w:highlight w:val="white"/>
        </w:rPr>
        <w:t>International Journal of Environmental Research and Public Health</w:t>
      </w:r>
      <w:r w:rsidRPr="00266549">
        <w:rPr>
          <w:rFonts w:ascii="Times New Roman" w:hAnsi="Times New Roman" w:cs="Times New Roman"/>
          <w:color w:val="222222"/>
          <w:sz w:val="24"/>
          <w:szCs w:val="24"/>
          <w:highlight w:val="white"/>
        </w:rPr>
        <w:t xml:space="preserve">, </w:t>
      </w:r>
      <w:r w:rsidRPr="00266549">
        <w:rPr>
          <w:rFonts w:ascii="Times New Roman" w:hAnsi="Times New Roman" w:cs="Times New Roman"/>
          <w:i/>
          <w:iCs/>
          <w:color w:val="222222"/>
          <w:sz w:val="24"/>
          <w:szCs w:val="24"/>
          <w:highlight w:val="white"/>
        </w:rPr>
        <w:t>19</w:t>
      </w:r>
      <w:r w:rsidRPr="00266549">
        <w:rPr>
          <w:rFonts w:ascii="Times New Roman" w:hAnsi="Times New Roman" w:cs="Times New Roman"/>
          <w:color w:val="222222"/>
          <w:sz w:val="24"/>
          <w:szCs w:val="24"/>
          <w:highlight w:val="white"/>
        </w:rPr>
        <w:t>(15), p.9587.</w:t>
      </w:r>
    </w:p>
    <w:sectPr w:rsidR="003463D3" w:rsidRPr="00266549">
      <w:headerReference w:type="default" r:id="rId28"/>
      <w:footerReference w:type="default" r:id="rId29"/>
      <w:footerReference w:type="first" r:id="rId30"/>
      <w:pgSz w:w="11909" w:h="16834"/>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3682585" w14:textId="77777777" w:rsidR="00090068" w:rsidRDefault="00090068">
      <w:pPr>
        <w:spacing w:line="240" w:lineRule="auto"/>
      </w:pPr>
      <w:r>
        <w:separator/>
      </w:r>
    </w:p>
  </w:endnote>
  <w:endnote w:type="continuationSeparator" w:id="0">
    <w:p w14:paraId="0BF2E58A" w14:textId="77777777" w:rsidR="00090068" w:rsidRDefault="0009006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1" w:fontKey="{FB3C375E-00F3-45B6-9C30-AA364967E25C}"/>
  </w:font>
  <w:font w:name="Calibri">
    <w:panose1 w:val="020F0502020204030204"/>
    <w:charset w:val="00"/>
    <w:family w:val="swiss"/>
    <w:pitch w:val="variable"/>
    <w:sig w:usb0="E4002EFF" w:usb1="C200247B" w:usb2="00000009" w:usb3="00000000" w:csb0="000001FF" w:csb1="00000000"/>
    <w:embedRegular r:id="rId2" w:fontKey="{EFDD8FD5-6359-45AE-8F2C-7ACA35C7B904}"/>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380DD49" w14:textId="77777777" w:rsidR="003463D3" w:rsidRDefault="00000000">
    <w:pPr>
      <w:spacing w:before="200" w:after="200"/>
      <w:jc w:val="right"/>
    </w:pPr>
    <w:r>
      <w:fldChar w:fldCharType="begin"/>
    </w:r>
    <w:r>
      <w:instrText>PAGE</w:instrText>
    </w:r>
    <w:r>
      <w:fldChar w:fldCharType="separate"/>
    </w:r>
    <w:r w:rsidR="00C3615C">
      <w:rPr>
        <w:noProof/>
      </w:rPr>
      <w:t>1</w:t>
    </w:r>
    <w:r>
      <w:fldChar w:fldCharType="end"/>
    </w:r>
  </w:p>
  <w:p w14:paraId="31B640D7" w14:textId="77777777" w:rsidR="003463D3" w:rsidRDefault="003463D3"/>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B37F7C" w14:textId="77777777" w:rsidR="003463D3" w:rsidRDefault="003463D3"/>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24F127" w14:textId="77777777" w:rsidR="00090068" w:rsidRDefault="00090068">
      <w:pPr>
        <w:spacing w:line="240" w:lineRule="auto"/>
      </w:pPr>
      <w:r>
        <w:separator/>
      </w:r>
    </w:p>
  </w:footnote>
  <w:footnote w:type="continuationSeparator" w:id="0">
    <w:p w14:paraId="624BC31C" w14:textId="77777777" w:rsidR="00090068" w:rsidRDefault="00090068">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C3BFDB2" w14:textId="77777777" w:rsidR="003463D3" w:rsidRDefault="003463D3"/>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2CE76ED"/>
    <w:multiLevelType w:val="multilevel"/>
    <w:tmpl w:val="4DB2283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6B158BA"/>
    <w:multiLevelType w:val="multilevel"/>
    <w:tmpl w:val="3A646B4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60F5626D"/>
    <w:multiLevelType w:val="multilevel"/>
    <w:tmpl w:val="FC2E356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65053430"/>
    <w:multiLevelType w:val="hybridMultilevel"/>
    <w:tmpl w:val="C818FD9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6EF86416"/>
    <w:multiLevelType w:val="multilevel"/>
    <w:tmpl w:val="D11A7E3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798527FE"/>
    <w:multiLevelType w:val="multilevel"/>
    <w:tmpl w:val="F3D00CD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301155193">
    <w:abstractNumId w:val="2"/>
  </w:num>
  <w:num w:numId="2" w16cid:durableId="1278491995">
    <w:abstractNumId w:val="1"/>
  </w:num>
  <w:num w:numId="3" w16cid:durableId="1792553261">
    <w:abstractNumId w:val="4"/>
  </w:num>
  <w:num w:numId="4" w16cid:durableId="769162801">
    <w:abstractNumId w:val="0"/>
  </w:num>
  <w:num w:numId="5" w16cid:durableId="815803123">
    <w:abstractNumId w:val="5"/>
  </w:num>
  <w:num w:numId="6" w16cid:durableId="9641513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463D3"/>
    <w:rsid w:val="00090068"/>
    <w:rsid w:val="00266549"/>
    <w:rsid w:val="003463D3"/>
    <w:rsid w:val="00966067"/>
    <w:rsid w:val="00C3615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DAF4FB"/>
  <w15:docId w15:val="{8DAF1762-7F36-4B9F-AA59-266C6A18EC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b/>
      <w:bCs/>
      <w:sz w:val="28"/>
      <w:szCs w:val="28"/>
    </w:rPr>
  </w:style>
  <w:style w:type="paragraph" w:styleId="Heading2">
    <w:name w:val="heading 2"/>
    <w:basedOn w:val="Normal"/>
    <w:next w:val="Normal"/>
    <w:uiPriority w:val="9"/>
    <w:unhideWhenUsed/>
    <w:qFormat/>
    <w:pPr>
      <w:keepNext/>
      <w:keepLines/>
      <w:outlineLvl w:val="1"/>
    </w:pPr>
    <w:rPr>
      <w:b/>
      <w:bCs/>
      <w:i/>
      <w:iCs/>
      <w:sz w:val="26"/>
      <w:szCs w:val="26"/>
    </w:rPr>
  </w:style>
  <w:style w:type="paragraph" w:styleId="Heading3">
    <w:name w:val="heading 3"/>
    <w:basedOn w:val="Normal"/>
    <w:next w:val="Normal"/>
    <w:uiPriority w:val="9"/>
    <w:unhideWhenUsed/>
    <w:qFormat/>
    <w:pPr>
      <w:keepNext/>
      <w:keepLines/>
      <w:outlineLvl w:val="2"/>
    </w:pPr>
    <w:rPr>
      <w:b/>
      <w:bCs/>
      <w:sz w:val="24"/>
      <w:szCs w:val="24"/>
    </w:rPr>
  </w:style>
  <w:style w:type="paragraph" w:styleId="Heading4">
    <w:name w:val="heading 4"/>
    <w:basedOn w:val="Normal"/>
    <w:next w:val="Normal"/>
    <w:uiPriority w:val="9"/>
    <w:unhideWhenUsed/>
    <w:qFormat/>
    <w:pPr>
      <w:keepNext/>
      <w:keepLines/>
      <w:jc w:val="center"/>
      <w:outlineLvl w:val="3"/>
    </w:pPr>
    <w:rPr>
      <w:b/>
      <w:bCs/>
    </w:rPr>
  </w:style>
  <w:style w:type="paragraph" w:styleId="Heading5">
    <w:name w:val="heading 5"/>
    <w:basedOn w:val="Normal"/>
    <w:next w:val="Normal"/>
    <w:uiPriority w:val="9"/>
    <w:unhideWhenUsed/>
    <w:qFormat/>
    <w:pPr>
      <w:keepNext/>
      <w:keepLines/>
      <w:jc w:val="center"/>
      <w:outlineLvl w:val="4"/>
    </w:pPr>
    <w:rPr>
      <w:b/>
      <w:bCs/>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table" w:customStyle="1" w:styleId="TableNormal1">
    <w:name w:val="TableNormal"/>
    <w:tblPr>
      <w:tblCellMar>
        <w:top w:w="100" w:type="dxa"/>
        <w:left w:w="100" w:type="dxa"/>
        <w:bottom w:w="100" w:type="dxa"/>
        <w:right w:w="100" w:type="dxa"/>
      </w:tblCellMar>
    </w:tblPr>
  </w:style>
  <w:style w:type="table" w:customStyle="1" w:styleId="a">
    <w:basedOn w:val="TableNormal1"/>
    <w:tblPr>
      <w:tblStyleRowBandSize w:val="1"/>
      <w:tblStyleColBandSize w:val="1"/>
    </w:tblPr>
  </w:style>
  <w:style w:type="table" w:customStyle="1" w:styleId="a0">
    <w:basedOn w:val="TableNormal1"/>
    <w:tblPr>
      <w:tblStyleRowBandSize w:val="1"/>
      <w:tblStyleColBandSize w:val="1"/>
    </w:tblPr>
  </w:style>
  <w:style w:type="paragraph" w:styleId="TOC1">
    <w:name w:val="toc 1"/>
    <w:basedOn w:val="Normal"/>
    <w:next w:val="Normal"/>
    <w:autoRedefine/>
    <w:uiPriority w:val="39"/>
    <w:unhideWhenUsed/>
    <w:rsid w:val="003145D9"/>
    <w:pPr>
      <w:spacing w:after="100"/>
    </w:pPr>
  </w:style>
  <w:style w:type="paragraph" w:styleId="TOC2">
    <w:name w:val="toc 2"/>
    <w:basedOn w:val="Normal"/>
    <w:next w:val="Normal"/>
    <w:autoRedefine/>
    <w:uiPriority w:val="39"/>
    <w:unhideWhenUsed/>
    <w:rsid w:val="003145D9"/>
    <w:pPr>
      <w:spacing w:after="100"/>
      <w:ind w:left="220"/>
    </w:pPr>
  </w:style>
  <w:style w:type="paragraph" w:styleId="TOC3">
    <w:name w:val="toc 3"/>
    <w:basedOn w:val="Normal"/>
    <w:next w:val="Normal"/>
    <w:autoRedefine/>
    <w:uiPriority w:val="39"/>
    <w:unhideWhenUsed/>
    <w:rsid w:val="00266549"/>
    <w:pPr>
      <w:tabs>
        <w:tab w:val="right" w:pos="9019"/>
      </w:tabs>
      <w:spacing w:after="100"/>
      <w:ind w:left="440"/>
    </w:pPr>
    <w:rPr>
      <w:noProof/>
    </w:rPr>
  </w:style>
  <w:style w:type="character" w:styleId="Hyperlink">
    <w:name w:val="Hyperlink"/>
    <w:basedOn w:val="DefaultParagraphFont"/>
    <w:uiPriority w:val="99"/>
    <w:unhideWhenUsed/>
    <w:rsid w:val="003145D9"/>
    <w:rPr>
      <w:color w:val="0000FF" w:themeColor="hyperlink"/>
      <w:u w:val="single"/>
    </w:rPr>
  </w:style>
  <w:style w:type="paragraph" w:styleId="TOC4">
    <w:name w:val="toc 4"/>
    <w:basedOn w:val="Normal"/>
    <w:next w:val="Normal"/>
    <w:autoRedefine/>
    <w:uiPriority w:val="39"/>
    <w:unhideWhenUsed/>
    <w:rsid w:val="003145D9"/>
    <w:pPr>
      <w:spacing w:after="100"/>
      <w:ind w:left="660"/>
    </w:pPr>
  </w:style>
  <w:style w:type="paragraph" w:styleId="TOC5">
    <w:name w:val="toc 5"/>
    <w:basedOn w:val="Normal"/>
    <w:next w:val="Normal"/>
    <w:autoRedefine/>
    <w:uiPriority w:val="39"/>
    <w:unhideWhenUsed/>
    <w:rsid w:val="003145D9"/>
    <w:pPr>
      <w:spacing w:after="100"/>
      <w:ind w:left="880"/>
    </w:p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 w:type="paragraph" w:styleId="ListParagraph">
    <w:name w:val="List Paragraph"/>
    <w:basedOn w:val="Normal"/>
    <w:uiPriority w:val="34"/>
    <w:qFormat/>
    <w:rsid w:val="00C3615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cqc.org.uk/publications/major-reports/soc202021_01g_stress-burnout" TargetMode="External"/><Relationship Id="rId26" Type="http://schemas.openxmlformats.org/officeDocument/2006/relationships/hyperlink" Target="https://www.kingsfund.org.uk/insight-and-analysis/data-and-charts/key-facts-figures-adult-social-care" TargetMode="External"/><Relationship Id="rId3" Type="http://schemas.openxmlformats.org/officeDocument/2006/relationships/styles" Target="styles.xml"/><Relationship Id="rId21" Type="http://schemas.openxmlformats.org/officeDocument/2006/relationships/hyperlink" Target="https://www.theguardian.com/society/article/2024/jul/31/hidden-cost-of-uk-workplace-sickness-rockets-to-100bn-a-year-report-finds"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forbes.com/sites/lisabodell/2025/05/23/burnout-the-silent-struggle-of-the-strong/" TargetMode="External"/><Relationship Id="rId25" Type="http://schemas.openxmlformats.org/officeDocument/2006/relationships/hyperlink" Target="https://www.nhsemployers.org/articles/beating-burnout-nhs"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www.legislation.gov.uk/ukpga/1988/48/contents"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mentalhealth.org.uk/explore-mental-health/statistics/mental-health-work-statistics"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healthcare-management.uk/domestic-recruitment-retention-challenges-persist-adult-social-care" TargetMode="External"/><Relationship Id="rId28" Type="http://schemas.openxmlformats.org/officeDocument/2006/relationships/header" Target="header1.xml"/><Relationship Id="rId10" Type="http://schemas.openxmlformats.org/officeDocument/2006/relationships/image" Target="media/image3.png"/><Relationship Id="rId19" Type="http://schemas.openxmlformats.org/officeDocument/2006/relationships/hyperlink" Target="https://www.forbes.com/sites/forbeseq/2024/09/06/understanding-and-addressing-burnout-in-the-workplace/"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forbes.com/sites/julianhayesii/2025/03/17/employee-burnout-the-hidden-threat-costing-companies-millions/" TargetMode="External"/><Relationship Id="rId27" Type="http://schemas.openxmlformats.org/officeDocument/2006/relationships/hyperlink" Target="https://www.managejournal.com/assets/archives/2025/vol11issue7/11106.pdf" TargetMode="External"/><Relationship Id="rId30" Type="http://schemas.openxmlformats.org/officeDocument/2006/relationships/footer" Target="footer2.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goGrLx08TDkgNCnLYOBR3UnxSlg==">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</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46</Pages>
  <Words>12766</Words>
  <Characters>72770</Characters>
  <DocSecurity>0</DocSecurity>
  <Lines>606</Lines>
  <Paragraphs>170</Paragraphs>
  <ScaleCrop>false</ScaleCrop>
  <Company/>
  <LinksUpToDate>false</LinksUpToDate>
  <CharactersWithSpaces>85366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2026-01-20T16:43:00Z</dcterms:created>
  <dcterms:modified xsi:type="dcterms:W3CDTF">2026-01-20T17:25:00Z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6df34ccb-9cd0-4a84-a813-c15e337c2e8e</vt:lpwstr>
  </property>
</Properties>
</file>