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38EED" w14:textId="77777777" w:rsidR="00036400" w:rsidRPr="0081236F" w:rsidRDefault="00036400" w:rsidP="0081236F">
      <w:pPr>
        <w:spacing w:line="360" w:lineRule="auto"/>
        <w:jc w:val="center"/>
        <w:rPr>
          <w:u w:val="single"/>
        </w:rPr>
      </w:pPr>
      <w:r w:rsidRPr="0081236F">
        <w:rPr>
          <w:u w:val="single"/>
        </w:rPr>
        <w:t xml:space="preserve">Exploration of eating disorders in athletes - A Narrative literature review </w:t>
      </w:r>
    </w:p>
    <w:p w14:paraId="611EE792" w14:textId="77777777" w:rsidR="00036400" w:rsidRPr="0081236F" w:rsidRDefault="00036400" w:rsidP="0081236F">
      <w:pPr>
        <w:spacing w:line="360" w:lineRule="auto"/>
        <w:jc w:val="center"/>
        <w:rPr>
          <w:u w:val="single"/>
        </w:rPr>
      </w:pPr>
      <w:r w:rsidRPr="0081236F">
        <w:rPr>
          <w:u w:val="single"/>
        </w:rPr>
        <w:t>Research proposal</w:t>
      </w:r>
    </w:p>
    <w:p w14:paraId="2771AA9B" w14:textId="77777777" w:rsidR="00C357F0" w:rsidRPr="0081236F" w:rsidRDefault="00C357F0" w:rsidP="0081236F">
      <w:pPr>
        <w:spacing w:line="360" w:lineRule="auto"/>
      </w:pPr>
    </w:p>
    <w:p w14:paraId="0DE8045B" w14:textId="4F1C8E23" w:rsidR="00036400" w:rsidRPr="0081236F" w:rsidRDefault="00036400" w:rsidP="0081236F">
      <w:pPr>
        <w:spacing w:line="360" w:lineRule="auto"/>
      </w:pPr>
      <w:r w:rsidRPr="0081236F">
        <w:t>Cook-</w:t>
      </w:r>
      <w:proofErr w:type="spellStart"/>
      <w:r w:rsidRPr="0081236F">
        <w:t>Cottone</w:t>
      </w:r>
      <w:proofErr w:type="spellEnd"/>
      <w:r w:rsidRPr="0081236F">
        <w:t xml:space="preserve"> (2015) states that significant and persistent disturbances in eating behaviour, coupled with unpleasant thoughts and feelings, are indicative of an eating disorder</w:t>
      </w:r>
      <w:r w:rsidR="0041506A" w:rsidRPr="0081236F">
        <w:t xml:space="preserve">, with the abuse of </w:t>
      </w:r>
      <w:r w:rsidR="00753229" w:rsidRPr="0081236F">
        <w:t>diuretics, laxatives, and diet pills. T</w:t>
      </w:r>
      <w:r w:rsidR="001F598D" w:rsidRPr="0081236F">
        <w:t xml:space="preserve">he </w:t>
      </w:r>
      <w:r w:rsidR="00A02F44" w:rsidRPr="0081236F">
        <w:t>purpose</w:t>
      </w:r>
      <w:r w:rsidR="001F598D" w:rsidRPr="0081236F">
        <w:t xml:space="preserve"> of an eating disorder is to </w:t>
      </w:r>
      <w:r w:rsidR="00A02F44" w:rsidRPr="0081236F">
        <w:t>accomplish being ‘thin’ to compensate for pervasive body dissatis</w:t>
      </w:r>
      <w:r w:rsidR="0041506A" w:rsidRPr="0081236F">
        <w:t>faction</w:t>
      </w:r>
      <w:r w:rsidR="00E23B87" w:rsidRPr="0081236F">
        <w:t xml:space="preserve"> </w:t>
      </w:r>
      <w:r w:rsidR="00E23B87" w:rsidRPr="0081236F">
        <w:t>(Pearson, Follette and Hayes, 2012)</w:t>
      </w:r>
      <w:r w:rsidR="0041506A" w:rsidRPr="0081236F">
        <w:t xml:space="preserve">. </w:t>
      </w:r>
      <w:r w:rsidRPr="0081236F">
        <w:t xml:space="preserve">According to Manning and Greenfield (2022), there are 1.25 million eating disorder patients in the UK. Among the general population, the lifetime prevalence rates of binge eating disorder, bulimia nervosa, and anorexia nervosa are roughly 3%(BED) (Hudson et al., 2007), 1% in males and 3% in females (BN) (Van Eeden et al. 2021), and 0.6%(AN) (Treasure et al. 2010). When a person fear being overweight, even though they are considered underweight, it is considered anorexia nervosa (Currie, 2010). This is related to body distortion, the difficulty to recognise one's underweight, the rejection of one's low weight, and the incapacity to maintain one's normal body weight. The more prevalent kind of eating disorder is bulimia nervosa and is characterised by frequent, regular food binges (often involving large amounts consumed quickly and out of control) (Currie, 2010), which are usually followed by compensatory vomiting and bowel movements, usually self-induced, and morbid fear of being overweight. </w:t>
      </w:r>
    </w:p>
    <w:p w14:paraId="18FBCDD5" w14:textId="77777777" w:rsidR="00036400" w:rsidRPr="0081236F" w:rsidRDefault="00036400" w:rsidP="0081236F">
      <w:pPr>
        <w:spacing w:line="360" w:lineRule="auto"/>
        <w:rPr>
          <w:color w:val="212121"/>
          <w:shd w:val="clear" w:color="auto" w:fill="FFFFFF"/>
        </w:rPr>
      </w:pPr>
    </w:p>
    <w:p w14:paraId="0F1435C1" w14:textId="77777777" w:rsidR="00036400" w:rsidRPr="0081236F" w:rsidRDefault="00036400" w:rsidP="0081236F">
      <w:pPr>
        <w:spacing w:line="360" w:lineRule="auto"/>
        <w:rPr>
          <w:color w:val="32325D"/>
          <w:shd w:val="clear" w:color="auto" w:fill="FFFFFF"/>
        </w:rPr>
      </w:pPr>
      <w:r w:rsidRPr="0081236F">
        <w:rPr>
          <w:color w:val="222222"/>
          <w:shd w:val="clear" w:color="auto" w:fill="FFFFFF"/>
        </w:rPr>
        <w:t xml:space="preserve">Eating disorders are more common in adolescents and young adults, and they seem to afflict athletes more than the general population (Martinsen and Sundgot-borgen, 2013). </w:t>
      </w:r>
      <w:r w:rsidRPr="0081236F">
        <w:t>El Ghoch et al. (2013) discovered that the overall prevalence of eating disorders was 13.5% in their research of professional athletes. El Ghoch et al. continued to find that eating disorders are more common in females with 20.1% of female athletes compared to 7.7% of male athletes struggling. However, compared to male non-athletes, male athletes had an approximately 16 times higher frequency of eating disorders.</w:t>
      </w:r>
    </w:p>
    <w:p w14:paraId="155EEAA2" w14:textId="77777777" w:rsidR="00036400" w:rsidRPr="0081236F" w:rsidRDefault="00036400" w:rsidP="0081236F">
      <w:pPr>
        <w:spacing w:line="360" w:lineRule="auto"/>
        <w:rPr>
          <w:color w:val="222222"/>
          <w:shd w:val="clear" w:color="auto" w:fill="FFFFFF"/>
        </w:rPr>
      </w:pPr>
    </w:p>
    <w:p w14:paraId="755C0132" w14:textId="5B66D304" w:rsidR="00036400" w:rsidRPr="0081236F" w:rsidRDefault="00036400" w:rsidP="0081236F">
      <w:pPr>
        <w:spacing w:line="360" w:lineRule="auto"/>
        <w:rPr>
          <w:color w:val="212121"/>
          <w:shd w:val="clear" w:color="auto" w:fill="FFFFFF"/>
        </w:rPr>
      </w:pPr>
      <w:r w:rsidRPr="0081236F">
        <w:rPr>
          <w:color w:val="212121"/>
          <w:shd w:val="clear" w:color="auto" w:fill="FFFFFF"/>
        </w:rPr>
        <w:t>Leanness is associated to performance for clear physiological reasons in high-risk sports like endurance sports like long-distance running (Currie, 2010).</w:t>
      </w:r>
      <w:r w:rsidR="005B0481" w:rsidRPr="0081236F">
        <w:rPr>
          <w:color w:val="212121"/>
          <w:shd w:val="clear" w:color="auto" w:fill="FFFFFF"/>
        </w:rPr>
        <w:t xml:space="preserve"> An individual who is lean, </w:t>
      </w:r>
      <w:r w:rsidR="001D614C" w:rsidRPr="0081236F">
        <w:rPr>
          <w:color w:val="212121"/>
          <w:shd w:val="clear" w:color="auto" w:fill="FFFFFF"/>
        </w:rPr>
        <w:t>is someone who does not hav</w:t>
      </w:r>
      <w:r w:rsidR="00B752EF" w:rsidRPr="0081236F">
        <w:rPr>
          <w:color w:val="212121"/>
          <w:shd w:val="clear" w:color="auto" w:fill="FFFFFF"/>
        </w:rPr>
        <w:t>e a lot of fat, they are thin and fit</w:t>
      </w:r>
      <w:r w:rsidR="004943E0" w:rsidRPr="0081236F">
        <w:rPr>
          <w:color w:val="212121"/>
          <w:shd w:val="clear" w:color="auto" w:fill="FFFFFF"/>
        </w:rPr>
        <w:t xml:space="preserve"> </w:t>
      </w:r>
      <w:r w:rsidR="004943E0" w:rsidRPr="0081236F">
        <w:rPr>
          <w:color w:val="212121"/>
          <w:shd w:val="clear" w:color="auto" w:fill="FFFFFF"/>
        </w:rPr>
        <w:t>(</w:t>
      </w:r>
      <w:proofErr w:type="spellStart"/>
      <w:r w:rsidR="004943E0" w:rsidRPr="0081236F">
        <w:rPr>
          <w:color w:val="212121"/>
          <w:shd w:val="clear" w:color="auto" w:fill="FFFFFF"/>
        </w:rPr>
        <w:t>Cafri</w:t>
      </w:r>
      <w:proofErr w:type="spellEnd"/>
      <w:r w:rsidR="004943E0" w:rsidRPr="0081236F">
        <w:rPr>
          <w:color w:val="212121"/>
          <w:shd w:val="clear" w:color="auto" w:fill="FFFFFF"/>
        </w:rPr>
        <w:t>, Blevins and Thompson, 2006)</w:t>
      </w:r>
      <w:r w:rsidR="00B752EF" w:rsidRPr="0081236F">
        <w:rPr>
          <w:color w:val="212121"/>
          <w:shd w:val="clear" w:color="auto" w:fill="FFFFFF"/>
        </w:rPr>
        <w:t xml:space="preserve">. </w:t>
      </w:r>
      <w:r w:rsidRPr="0081236F">
        <w:rPr>
          <w:color w:val="212121"/>
          <w:shd w:val="clear" w:color="auto" w:fill="FFFFFF"/>
        </w:rPr>
        <w:t xml:space="preserve">According to </w:t>
      </w:r>
      <w:proofErr w:type="spellStart"/>
      <w:r w:rsidRPr="0081236F">
        <w:rPr>
          <w:color w:val="212121"/>
          <w:shd w:val="clear" w:color="auto" w:fill="FFFFFF"/>
        </w:rPr>
        <w:t>Hulley</w:t>
      </w:r>
      <w:proofErr w:type="spellEnd"/>
      <w:r w:rsidRPr="0081236F">
        <w:rPr>
          <w:color w:val="212121"/>
          <w:shd w:val="clear" w:color="auto" w:fill="FFFFFF"/>
        </w:rPr>
        <w:t xml:space="preserve"> and Hill's (2001) study, out of 184 female athletes participating in distance running in the UK, 29 (16%) had an eating disorder. Of these, 10% had an eating disorder not otherwise defined (EDNOS) or a subclinical disorder, 1.1% had bulimia nervosa, </w:t>
      </w:r>
      <w:r w:rsidRPr="0081236F">
        <w:rPr>
          <w:color w:val="212121"/>
          <w:shd w:val="clear" w:color="auto" w:fill="FFFFFF"/>
        </w:rPr>
        <w:lastRenderedPageBreak/>
        <w:t>and 3.8% had anorexia nervosa. It is believed that there is more social pressure on athletes to have the ideal body type (Stoyel et al., 2021). Apart from the societal norm that encourages people to have a slender figure, athletes could face additional pressure from their respective sports organisations to enhance their physical appearance and consequently their overall performance. Athletes participating in sports like ballet, gymnastics, or light-weight rowing, where a low body weight or low body fat is necessary for performance or look, may be under the most strain in this area (Fogelholm, 1994).</w:t>
      </w:r>
    </w:p>
    <w:p w14:paraId="65A6CBC8" w14:textId="77777777" w:rsidR="00036400" w:rsidRPr="0081236F" w:rsidRDefault="00036400" w:rsidP="0081236F">
      <w:pPr>
        <w:spacing w:line="360" w:lineRule="auto"/>
        <w:rPr>
          <w:color w:val="212121"/>
          <w:shd w:val="clear" w:color="auto" w:fill="FFFFFF"/>
        </w:rPr>
      </w:pPr>
    </w:p>
    <w:p w14:paraId="4AE491CB" w14:textId="77777777" w:rsidR="00036400" w:rsidRPr="0081236F" w:rsidRDefault="00036400" w:rsidP="0081236F">
      <w:pPr>
        <w:spacing w:line="360" w:lineRule="auto"/>
        <w:rPr>
          <w:color w:val="333333"/>
        </w:rPr>
      </w:pPr>
      <w:r w:rsidRPr="0081236F">
        <w:rPr>
          <w:color w:val="212121"/>
          <w:shd w:val="clear" w:color="auto" w:fill="FFFFFF"/>
        </w:rPr>
        <w:t>A disease that affects women is known as the female athlete triad. Three interconnected bodily functions are impacted by the illness</w:t>
      </w:r>
      <w:r w:rsidRPr="0081236F">
        <w:t xml:space="preserve"> </w:t>
      </w:r>
      <w:r w:rsidRPr="0081236F">
        <w:rPr>
          <w:color w:val="212121"/>
          <w:shd w:val="clear" w:color="auto" w:fill="FFFFFF"/>
        </w:rPr>
        <w:t xml:space="preserve">(Beals and Meyer, 2007). The condition, which is more recently referred to as Relative Energy Deficiency in Sports, arises from an imbalance between low energy intake and excessive caloric expenditure (Bouchleh, 2023). This triad manifests in women as 1) low energy availability, which happens when athletes consume less energy than they burn during physical activity, 2) menstrual dysfunction, which is generally understood to be the absence of menstruation for three or more months, and 3) low mineral bone density (Stroʈhle, 2019) (Raj, Creech and Rogol, 2020). </w:t>
      </w:r>
      <w:r w:rsidRPr="0081236F">
        <w:rPr>
          <w:color w:val="333333"/>
        </w:rPr>
        <w:t xml:space="preserve">According to Fredericson et al., (2021), the triad manifests in men as 1) low energy availability, 2) hypogonadotropic hypogonadism, a disorder in which the testicles produce insufficient amounts of sex hormones, and 3) low bone mineral density. Although 5.4% to 26.4% of athletes have at least two of the three components of this disease, the prevalence of all three features in athletes is about 4.3%, which is not much different from the 3.4% of healthy controls (El Ghoch et al., 2013). </w:t>
      </w:r>
    </w:p>
    <w:p w14:paraId="3DBA064B" w14:textId="77777777" w:rsidR="00036400" w:rsidRPr="0081236F" w:rsidRDefault="00036400" w:rsidP="0081236F">
      <w:pPr>
        <w:spacing w:line="360" w:lineRule="auto"/>
        <w:rPr>
          <w:color w:val="333333"/>
        </w:rPr>
      </w:pPr>
    </w:p>
    <w:p w14:paraId="24903427" w14:textId="77777777" w:rsidR="00036400" w:rsidRPr="0081236F" w:rsidRDefault="00036400" w:rsidP="0081236F">
      <w:pPr>
        <w:spacing w:line="360" w:lineRule="auto"/>
      </w:pPr>
      <w:r w:rsidRPr="0081236F">
        <w:t>Eating disorders in athletes are a crucial topic that requires in-depth research because of the strains and responsibilities associated with athletics. This research project aims to conduct a narrative review of the literature to provide knowledge on the prevalence, contributing factors, and impact of eating disorders on athletes. The different eating disorder diagnoses that afflict people, such as bulimia and anorexia nervosa, will be examined in this review of the literature. The review is an interdisciplinary endeavour with practical implications in addition to contributing to the academic community. For athletes to succeed and maintain their wellbeing across a range of sports, it provides guidance for interventions and support systems. The study aims to guide future research in this area and support evidence-based strategies for reducing eating disorders in the sports community.</w:t>
      </w:r>
    </w:p>
    <w:p w14:paraId="6AED9F82" w14:textId="77777777" w:rsidR="0081236F" w:rsidRDefault="0081236F"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p>
    <w:p w14:paraId="2D5C8DDC" w14:textId="5FBCD96A"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
        </w:rPr>
      </w:pPr>
      <w:r w:rsidRPr="0081236F">
        <w:rPr>
          <w:b/>
        </w:rPr>
        <w:lastRenderedPageBreak/>
        <w:t xml:space="preserve">Aims and Objectives </w:t>
      </w:r>
    </w:p>
    <w:p w14:paraId="49EFF1E5" w14:textId="20DAD7E0" w:rsidR="003B62CC" w:rsidRPr="0081236F" w:rsidRDefault="003B62CC"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rPr>
      </w:pPr>
      <w:r w:rsidRPr="0081236F">
        <w:rPr>
          <w:bCs/>
        </w:rPr>
        <w:t xml:space="preserve">Aims </w:t>
      </w:r>
    </w:p>
    <w:p w14:paraId="47390686" w14:textId="46AF8D49" w:rsidR="004E7BA8" w:rsidRPr="0081236F" w:rsidRDefault="004E7BA8" w:rsidP="0081236F">
      <w:pPr>
        <w:pStyle w:val="ListParagraph"/>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rPr>
      </w:pPr>
      <w:r w:rsidRPr="0081236F">
        <w:rPr>
          <w:bCs/>
        </w:rPr>
        <w:t>To carry out in-depth research on the prevalence of eating disorders ion athletes</w:t>
      </w:r>
    </w:p>
    <w:p w14:paraId="73E56B1C" w14:textId="388C3F9B" w:rsidR="00B07FA3" w:rsidRPr="0081236F" w:rsidRDefault="00B07FA3"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rPr>
      </w:pPr>
      <w:r w:rsidRPr="0081236F">
        <w:rPr>
          <w:bCs/>
        </w:rPr>
        <w:t>Objectives</w:t>
      </w:r>
    </w:p>
    <w:p w14:paraId="481FB84D" w14:textId="18E37B9C" w:rsidR="004E7BA8" w:rsidRPr="0081236F" w:rsidRDefault="00BF1B78" w:rsidP="0081236F">
      <w:pPr>
        <w:pStyle w:val="ListParagraph"/>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rPr>
      </w:pPr>
      <w:r w:rsidRPr="0081236F">
        <w:rPr>
          <w:bCs/>
        </w:rPr>
        <w:t xml:space="preserve">To investigate the impact of eating disorders on the body and mins in connection to sports performance, including the effects on relationships, </w:t>
      </w:r>
      <w:r w:rsidR="00FF5C52" w:rsidRPr="0081236F">
        <w:rPr>
          <w:bCs/>
        </w:rPr>
        <w:t>self-esteem,</w:t>
      </w:r>
      <w:r w:rsidRPr="0081236F">
        <w:rPr>
          <w:bCs/>
        </w:rPr>
        <w:t xml:space="preserve"> and general wellness. </w:t>
      </w:r>
    </w:p>
    <w:p w14:paraId="09CABBBC" w14:textId="1DD3B316" w:rsidR="00BF1B78" w:rsidRPr="0081236F" w:rsidRDefault="00BF1B78" w:rsidP="0081236F">
      <w:pPr>
        <w:pStyle w:val="ListParagraph"/>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rPr>
      </w:pPr>
      <w:r w:rsidRPr="0081236F">
        <w:rPr>
          <w:bCs/>
        </w:rPr>
        <w:t xml:space="preserve">To look at eating disorders </w:t>
      </w:r>
      <w:r w:rsidR="00BA3FB8" w:rsidRPr="0081236F">
        <w:rPr>
          <w:bCs/>
        </w:rPr>
        <w:t xml:space="preserve">to determine if there are any differences. </w:t>
      </w:r>
    </w:p>
    <w:p w14:paraId="52BAF734" w14:textId="21DFF933" w:rsidR="00036400" w:rsidRPr="0081236F" w:rsidRDefault="00BA3FB8" w:rsidP="0081236F">
      <w:pPr>
        <w:pStyle w:val="ListParagraph"/>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rPr>
      </w:pPr>
      <w:r w:rsidRPr="0081236F">
        <w:rPr>
          <w:bCs/>
        </w:rPr>
        <w:t xml:space="preserve">To examine successful interventions and prevention strategies applied in the sports sector ad offer recommendations for further study. </w:t>
      </w:r>
    </w:p>
    <w:p w14:paraId="69AA6E43"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pPr>
    </w:p>
    <w:p w14:paraId="4A550184" w14:textId="0DE2CBF1"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rPr>
          <w:b/>
        </w:rPr>
        <w:t xml:space="preserve">Method </w:t>
      </w:r>
    </w:p>
    <w:p w14:paraId="3A28047D"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rPr>
          <w:b/>
        </w:rPr>
        <w:t xml:space="preserve">Inclusion and exclusion criteria </w:t>
      </w:r>
    </w:p>
    <w:p w14:paraId="2C40F997"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t xml:space="preserve">To ensure that the research is pertinent to the main issue of the review, I will incorporate papers that particularly look at eating disorders in the athletic community into my study. Information about eating disorders, risk factors, clinical standards, and interventions aimed at reducing eating disorders in athletes will all be covered. To narrow the emphasis and draw conclusions on eating disorders in athletes and develop preventative strategies, the study will incorporate exclusion criteria. To accomplish this, I will need to obtain pertinent papers to make educated guesses about innovative forms of interventions and offer justifications for further investigation. The review was limited to English-language articles published within a specific timeframe, often the last ten years, to ensure the inclusion of current and pertinent research. Nevertheless, some findings from earlier studies that are still relevant today may be included. To maintain the level of academic rigour, non-peer reviewed materials including conference abstracts and unpublished papers were also disregarded.   </w:t>
      </w:r>
    </w:p>
    <w:p w14:paraId="30CFC7A6" w14:textId="77777777" w:rsidR="002E6996" w:rsidRPr="0081236F" w:rsidRDefault="002E6996"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p>
    <w:p w14:paraId="53B3E8F3"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rPr>
          <w:b/>
        </w:rPr>
        <w:t>Information source</w:t>
      </w:r>
    </w:p>
    <w:p w14:paraId="37FC9CFA" w14:textId="41685998"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t>Research was carried out to identify trustworthy sources, such as Google Scholar, PubMed, PsychINDO, and SPORTDiscus, that offer trustworthy papers within my method of research. This search was conducted on the library site of University of Wales Trinity St. David (UWTSD).</w:t>
      </w:r>
      <w:r w:rsidR="007C227F" w:rsidRPr="0081236F">
        <w:t xml:space="preserve"> </w:t>
      </w:r>
    </w:p>
    <w:p w14:paraId="2AF47AE4" w14:textId="77777777" w:rsidR="002E6996" w:rsidRPr="0081236F" w:rsidRDefault="002E6996"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p>
    <w:p w14:paraId="711EEF78"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rPr>
          <w:b/>
        </w:rPr>
        <w:t xml:space="preserve">Search strategy </w:t>
      </w:r>
    </w:p>
    <w:p w14:paraId="4AD5C7D4"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color w:val="FFFFFF"/>
        </w:rPr>
      </w:pPr>
      <w:r w:rsidRPr="0081236F">
        <w:lastRenderedPageBreak/>
        <w:t xml:space="preserve">A search approach was used to find pertinent research. The terms "eating disorders" and "athletes" were defined as the main concepts. These included terms like "anorexia nervosa," "bulimia nervosa," "binge eating disorder," "OSFED," "athletes," "sports," "athletic performance," and "exercise." The search was refined using Boolean Operators to achieve a compromise between inclusivity and specificity. Using the search terms "eating disorders" OR "anorexia nervosa" OR "bulimia nervosa" OR "binge eating disorder" OR "OSFED") AND "athletes" OR "sports" OR "athletic performance" OR "exercise" was one example. Three criteria were used to filter searches conducted in the sources I provided: publication date, study type, and language. </w:t>
      </w:r>
      <w:r w:rsidRPr="0081236F">
        <w:rPr>
          <w:color w:val="FFFFFF"/>
        </w:rPr>
        <w:t>detailed documentation</w:t>
      </w:r>
    </w:p>
    <w:p w14:paraId="3251C162" w14:textId="77777777" w:rsidR="002E6996" w:rsidRPr="0081236F" w:rsidRDefault="002E6996"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color w:val="D1D5DB"/>
          <w:shd w:val="clear" w:color="auto" w:fill="444654"/>
        </w:rPr>
      </w:pPr>
    </w:p>
    <w:p w14:paraId="065FE5D0"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rPr>
          <w:b/>
        </w:rPr>
        <w:t xml:space="preserve">Data collection process and data items </w:t>
      </w:r>
    </w:p>
    <w:p w14:paraId="28000F37" w14:textId="33191EE2"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t>Using terms like eating disorders and athletes, a search across electronic databases was conducted to gather information.</w:t>
      </w:r>
      <w:r w:rsidR="00C75901" w:rsidRPr="0081236F">
        <w:t xml:space="preserve"> </w:t>
      </w:r>
      <w:r w:rsidRPr="0081236F">
        <w:t>Key data items from each chosen study were extracted, including study design, participant characteristics, prevalence rates of eating disorders, identified risk factors, descriptions of interventions, and outcome measures, as well as bibliographic information like author(s) and publication year.</w:t>
      </w:r>
    </w:p>
    <w:p w14:paraId="255482BB"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p>
    <w:p w14:paraId="3627F9EE"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rPr>
          <w:b/>
        </w:rPr>
        <w:t>Data Analysis</w:t>
      </w:r>
      <w:r w:rsidRPr="0081236F">
        <w:t xml:space="preserve"> </w:t>
      </w:r>
    </w:p>
    <w:p w14:paraId="36ABE991"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t>To present important themes and insights from multiple studies, a data analysis was conducted. The occurrence of these illnesses in athletes, from weight-class sports to endurance sports, highlights a serious issue for the sports community. A review of the literature reveals that risk factors are complex and include social pressures, performance standards, and body image issues. Studies use a variety of methodologies, including qualitative techniques like case studies and interviews in addition to quantitative surveys and statistical analyses, which reflects the interdisciplinary aspect of this field of study. Gender distinctions stand up as a significant theme, with different social expectations impacting how eating disorders present in male and female athletes. Building on the body of existing literature stimulates new guidelines, and a final summary highlights the key findings and their implications for athletes, coaches, medical professionals, and legislators. Lastly, recommendations for advancing preventative, intervention, and awareness initiatives are offered based on the advanced understandings obtained from the literature.</w:t>
      </w:r>
    </w:p>
    <w:p w14:paraId="7C2C2BCD" w14:textId="77777777"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p>
    <w:p w14:paraId="4599464B" w14:textId="3A3E0BC5" w:rsidR="00036400" w:rsidRPr="0081236F" w:rsidRDefault="00036400" w:rsidP="0081236F">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 w:rsidRPr="0081236F">
        <w:t xml:space="preserve">SANRA (Baethge, Goldbeck-Wood and Mertens, 2019), which is utilised for narrative literature reviews, will evaluate each article. The six components on this scale ranges from 0 </w:t>
      </w:r>
      <w:r w:rsidRPr="0081236F">
        <w:lastRenderedPageBreak/>
        <w:t xml:space="preserve">(low </w:t>
      </w:r>
      <w:proofErr w:type="spellStart"/>
      <w:proofErr w:type="gramStart"/>
      <w:r w:rsidRPr="0081236F">
        <w:t>stand</w:t>
      </w:r>
      <w:r w:rsidR="00CE5FA4" w:rsidRPr="0081236F">
        <w:t>,lmuy</w:t>
      </w:r>
      <w:proofErr w:type="spellEnd"/>
      <w:proofErr w:type="gramEnd"/>
      <w:r w:rsidR="00CE5FA4" w:rsidRPr="0081236F">
        <w:t xml:space="preserve"> </w:t>
      </w:r>
      <w:proofErr w:type="spellStart"/>
      <w:r w:rsidR="00CE5FA4" w:rsidRPr="0081236F">
        <w:t>vc</w:t>
      </w:r>
      <w:r w:rsidRPr="0081236F">
        <w:t>ard</w:t>
      </w:r>
      <w:proofErr w:type="spellEnd"/>
      <w:r w:rsidRPr="0081236F">
        <w:t xml:space="preserve">) to 2 (high standard) and address the following subjects: (1) an explanation of the significance and (2) the review's objectives; (3) a search of the literature; (4) reference and presentation of the evidence level; and (6) pertinent endpoint data. Following the data collection, a narrative technique was used to synthesise the data, which made it possible to identify recurring themes, patterns, and gaps in the literature of eating disorders in athletes. </w:t>
      </w:r>
    </w:p>
    <w:p w14:paraId="242A779A" w14:textId="77777777" w:rsidR="00036400" w:rsidRPr="0081236F" w:rsidRDefault="00036400" w:rsidP="0081236F">
      <w:pPr>
        <w:pStyle w:val="z-TopofForm"/>
        <w:spacing w:line="360" w:lineRule="auto"/>
        <w:rPr>
          <w:rFonts w:ascii="Times New Roman" w:hAnsi="Times New Roman" w:cs="Times New Roman"/>
          <w:sz w:val="24"/>
          <w:szCs w:val="24"/>
        </w:rPr>
      </w:pPr>
      <w:r w:rsidRPr="0081236F">
        <w:rPr>
          <w:rFonts w:ascii="Times New Roman" w:hAnsi="Times New Roman" w:cs="Times New Roman"/>
          <w:sz w:val="24"/>
          <w:szCs w:val="24"/>
        </w:rPr>
        <w:t>Top of Form</w:t>
      </w:r>
    </w:p>
    <w:p w14:paraId="0C3B05F2" w14:textId="77777777" w:rsidR="00036400" w:rsidRPr="0081236F" w:rsidRDefault="00036400" w:rsidP="0081236F">
      <w:pPr>
        <w:pStyle w:val="z-BottomofForm"/>
        <w:spacing w:line="360" w:lineRule="auto"/>
        <w:rPr>
          <w:rFonts w:ascii="Times New Roman" w:hAnsi="Times New Roman" w:cs="Times New Roman"/>
          <w:sz w:val="24"/>
          <w:szCs w:val="24"/>
        </w:rPr>
      </w:pPr>
      <w:r w:rsidRPr="0081236F">
        <w:rPr>
          <w:rFonts w:ascii="Times New Roman" w:hAnsi="Times New Roman" w:cs="Times New Roman"/>
          <w:sz w:val="24"/>
          <w:szCs w:val="24"/>
        </w:rPr>
        <w:t>Bottom of Form</w:t>
      </w:r>
    </w:p>
    <w:p w14:paraId="64D88BF7" w14:textId="77777777" w:rsidR="0081236F" w:rsidRDefault="0081236F" w:rsidP="0081236F">
      <w:pPr>
        <w:spacing w:line="360" w:lineRule="auto"/>
        <w:rPr>
          <w:color w:val="D1D5DB"/>
          <w:shd w:val="clear" w:color="auto" w:fill="444654"/>
        </w:rPr>
      </w:pPr>
    </w:p>
    <w:p w14:paraId="7CB75DFD" w14:textId="4FF77F39" w:rsidR="00EB2171" w:rsidRPr="0081236F" w:rsidRDefault="00EB2171" w:rsidP="0081236F">
      <w:pPr>
        <w:spacing w:line="360" w:lineRule="auto"/>
        <w:rPr>
          <w:b/>
          <w:bCs/>
        </w:rPr>
      </w:pPr>
      <w:r w:rsidRPr="0081236F">
        <w:rPr>
          <w:b/>
          <w:bCs/>
        </w:rPr>
        <w:t>Research Timetable</w:t>
      </w:r>
    </w:p>
    <w:tbl>
      <w:tblPr>
        <w:tblStyle w:val="TableGrid"/>
        <w:tblW w:w="0" w:type="auto"/>
        <w:tblLook w:val="04A0" w:firstRow="1" w:lastRow="0" w:firstColumn="1" w:lastColumn="0" w:noHBand="0" w:noVBand="1"/>
      </w:tblPr>
      <w:tblGrid>
        <w:gridCol w:w="4508"/>
        <w:gridCol w:w="4508"/>
      </w:tblGrid>
      <w:tr w:rsidR="00885A4C" w:rsidRPr="0081236F" w14:paraId="421AD3B5" w14:textId="77777777" w:rsidTr="00885A4C">
        <w:tc>
          <w:tcPr>
            <w:tcW w:w="4508" w:type="dxa"/>
          </w:tcPr>
          <w:p w14:paraId="6D41C730" w14:textId="026AB87A" w:rsidR="00885A4C" w:rsidRPr="0081236F" w:rsidRDefault="00885A4C" w:rsidP="0081236F">
            <w:pPr>
              <w:spacing w:line="360" w:lineRule="auto"/>
            </w:pPr>
            <w:r w:rsidRPr="0081236F">
              <w:t xml:space="preserve">Month </w:t>
            </w:r>
          </w:p>
        </w:tc>
        <w:tc>
          <w:tcPr>
            <w:tcW w:w="4508" w:type="dxa"/>
          </w:tcPr>
          <w:p w14:paraId="0F837B38" w14:textId="4C2011CA" w:rsidR="00885A4C" w:rsidRPr="0081236F" w:rsidRDefault="006D6DAC" w:rsidP="0081236F">
            <w:pPr>
              <w:spacing w:line="360" w:lineRule="auto"/>
            </w:pPr>
            <w:r w:rsidRPr="0081236F">
              <w:t xml:space="preserve">Research </w:t>
            </w:r>
          </w:p>
        </w:tc>
      </w:tr>
      <w:tr w:rsidR="00885A4C" w:rsidRPr="0081236F" w14:paraId="7A631093" w14:textId="77777777" w:rsidTr="00885A4C">
        <w:tc>
          <w:tcPr>
            <w:tcW w:w="4508" w:type="dxa"/>
          </w:tcPr>
          <w:p w14:paraId="1A38A1B8" w14:textId="4B86DB53" w:rsidR="00885A4C" w:rsidRPr="0081236F" w:rsidRDefault="006D6DAC" w:rsidP="0081236F">
            <w:pPr>
              <w:spacing w:line="360" w:lineRule="auto"/>
            </w:pPr>
            <w:r w:rsidRPr="0081236F">
              <w:t xml:space="preserve">October </w:t>
            </w:r>
          </w:p>
        </w:tc>
        <w:tc>
          <w:tcPr>
            <w:tcW w:w="4508" w:type="dxa"/>
          </w:tcPr>
          <w:p w14:paraId="09A0D6F4" w14:textId="20639931" w:rsidR="00885A4C" w:rsidRPr="0081236F" w:rsidRDefault="00EB2171" w:rsidP="0081236F">
            <w:pPr>
              <w:spacing w:line="360" w:lineRule="auto"/>
            </w:pPr>
            <w:r w:rsidRPr="0081236F">
              <w:t>Decide on an interesting subject. Create a title question. Gather reliable and pertinent materials for the review of the literature. Write a dissertation proposal. </w:t>
            </w:r>
          </w:p>
        </w:tc>
      </w:tr>
      <w:tr w:rsidR="00885A4C" w:rsidRPr="0081236F" w14:paraId="37090D31" w14:textId="77777777" w:rsidTr="00885A4C">
        <w:tc>
          <w:tcPr>
            <w:tcW w:w="4508" w:type="dxa"/>
          </w:tcPr>
          <w:p w14:paraId="457FD19C" w14:textId="6E9A50E9" w:rsidR="00885A4C" w:rsidRPr="0081236F" w:rsidRDefault="006D6DAC" w:rsidP="0081236F">
            <w:pPr>
              <w:spacing w:line="360" w:lineRule="auto"/>
            </w:pPr>
            <w:r w:rsidRPr="0081236F">
              <w:t xml:space="preserve">November </w:t>
            </w:r>
          </w:p>
        </w:tc>
        <w:tc>
          <w:tcPr>
            <w:tcW w:w="4508" w:type="dxa"/>
          </w:tcPr>
          <w:p w14:paraId="53993167" w14:textId="6966375C" w:rsidR="00885A4C" w:rsidRPr="0081236F" w:rsidRDefault="00EB2171" w:rsidP="0081236F">
            <w:pPr>
              <w:spacing w:line="360" w:lineRule="auto"/>
            </w:pPr>
            <w:r w:rsidRPr="0081236F">
              <w:t>Gather literature further.</w:t>
            </w:r>
          </w:p>
        </w:tc>
      </w:tr>
      <w:tr w:rsidR="00885A4C" w:rsidRPr="0081236F" w14:paraId="6412525A" w14:textId="77777777" w:rsidTr="00885A4C">
        <w:tc>
          <w:tcPr>
            <w:tcW w:w="4508" w:type="dxa"/>
          </w:tcPr>
          <w:p w14:paraId="714BE34B" w14:textId="0CDD2B44" w:rsidR="00885A4C" w:rsidRPr="0081236F" w:rsidRDefault="006D6DAC" w:rsidP="0081236F">
            <w:pPr>
              <w:spacing w:line="360" w:lineRule="auto"/>
            </w:pPr>
            <w:r w:rsidRPr="0081236F">
              <w:t xml:space="preserve">December </w:t>
            </w:r>
          </w:p>
        </w:tc>
        <w:tc>
          <w:tcPr>
            <w:tcW w:w="4508" w:type="dxa"/>
          </w:tcPr>
          <w:p w14:paraId="075BB3ED" w14:textId="671F2922" w:rsidR="00885A4C" w:rsidRPr="0081236F" w:rsidRDefault="00EB2171" w:rsidP="0081236F">
            <w:pPr>
              <w:spacing w:line="360" w:lineRule="auto"/>
            </w:pPr>
            <w:r w:rsidRPr="0081236F">
              <w:t>Write an introduction literature review to be assessed by supervisor prior to Christmas.</w:t>
            </w:r>
          </w:p>
        </w:tc>
      </w:tr>
      <w:tr w:rsidR="00885A4C" w:rsidRPr="0081236F" w14:paraId="69470200" w14:textId="77777777" w:rsidTr="00885A4C">
        <w:tc>
          <w:tcPr>
            <w:tcW w:w="4508" w:type="dxa"/>
          </w:tcPr>
          <w:p w14:paraId="2DEE3CEF" w14:textId="5CAF96EA" w:rsidR="00885A4C" w:rsidRPr="0081236F" w:rsidRDefault="00EB2171" w:rsidP="0081236F">
            <w:pPr>
              <w:spacing w:line="360" w:lineRule="auto"/>
            </w:pPr>
            <w:r w:rsidRPr="0081236F">
              <w:t xml:space="preserve">January </w:t>
            </w:r>
          </w:p>
        </w:tc>
        <w:tc>
          <w:tcPr>
            <w:tcW w:w="4508" w:type="dxa"/>
          </w:tcPr>
          <w:p w14:paraId="27A4686E" w14:textId="2C8BAA17" w:rsidR="00885A4C" w:rsidRPr="0081236F" w:rsidRDefault="00EB2171" w:rsidP="0081236F">
            <w:pPr>
              <w:spacing w:line="360" w:lineRule="auto"/>
            </w:pPr>
            <w:r w:rsidRPr="0081236F">
              <w:t>Write discussion.</w:t>
            </w:r>
          </w:p>
        </w:tc>
      </w:tr>
      <w:tr w:rsidR="00EB2171" w:rsidRPr="0081236F" w14:paraId="3A761DFA" w14:textId="77777777" w:rsidTr="00885A4C">
        <w:tc>
          <w:tcPr>
            <w:tcW w:w="4508" w:type="dxa"/>
          </w:tcPr>
          <w:p w14:paraId="619B3705" w14:textId="3E3D8085" w:rsidR="00EB2171" w:rsidRPr="0081236F" w:rsidRDefault="00EB2171" w:rsidP="0081236F">
            <w:pPr>
              <w:spacing w:line="360" w:lineRule="auto"/>
            </w:pPr>
            <w:r w:rsidRPr="0081236F">
              <w:t xml:space="preserve">February </w:t>
            </w:r>
          </w:p>
        </w:tc>
        <w:tc>
          <w:tcPr>
            <w:tcW w:w="4508" w:type="dxa"/>
          </w:tcPr>
          <w:p w14:paraId="1A9AA9F0" w14:textId="692D53FA" w:rsidR="00EB2171" w:rsidRPr="0081236F" w:rsidRDefault="00EB2171" w:rsidP="0081236F">
            <w:pPr>
              <w:spacing w:line="360" w:lineRule="auto"/>
            </w:pPr>
            <w:r w:rsidRPr="0081236F">
              <w:t>Write about interventions and further research.</w:t>
            </w:r>
          </w:p>
        </w:tc>
      </w:tr>
      <w:tr w:rsidR="00EB2171" w:rsidRPr="0081236F" w14:paraId="29F10612" w14:textId="77777777" w:rsidTr="00885A4C">
        <w:tc>
          <w:tcPr>
            <w:tcW w:w="4508" w:type="dxa"/>
          </w:tcPr>
          <w:p w14:paraId="357BD838" w14:textId="66F14B49" w:rsidR="00EB2171" w:rsidRPr="0081236F" w:rsidRDefault="00EB2171" w:rsidP="0081236F">
            <w:pPr>
              <w:spacing w:line="360" w:lineRule="auto"/>
            </w:pPr>
            <w:r w:rsidRPr="0081236F">
              <w:t xml:space="preserve">March </w:t>
            </w:r>
          </w:p>
        </w:tc>
        <w:tc>
          <w:tcPr>
            <w:tcW w:w="4508" w:type="dxa"/>
          </w:tcPr>
          <w:p w14:paraId="6B229D14" w14:textId="4454BFBD" w:rsidR="00EB2171" w:rsidRPr="0081236F" w:rsidRDefault="00EB2171" w:rsidP="0081236F">
            <w:pPr>
              <w:spacing w:line="360" w:lineRule="auto"/>
            </w:pPr>
            <w:r w:rsidRPr="0081236F">
              <w:t>Write and finalise conclusion. Re-write after supervisor has read it if anything needs changing.</w:t>
            </w:r>
          </w:p>
        </w:tc>
      </w:tr>
      <w:tr w:rsidR="00EB2171" w:rsidRPr="0081236F" w14:paraId="72D470F2" w14:textId="77777777" w:rsidTr="00885A4C">
        <w:tc>
          <w:tcPr>
            <w:tcW w:w="4508" w:type="dxa"/>
          </w:tcPr>
          <w:p w14:paraId="215BA38D" w14:textId="2E837320" w:rsidR="00EB2171" w:rsidRPr="0081236F" w:rsidRDefault="00EB2171" w:rsidP="0081236F">
            <w:pPr>
              <w:spacing w:line="360" w:lineRule="auto"/>
            </w:pPr>
            <w:r w:rsidRPr="0081236F">
              <w:t>April</w:t>
            </w:r>
          </w:p>
        </w:tc>
        <w:tc>
          <w:tcPr>
            <w:tcW w:w="4508" w:type="dxa"/>
          </w:tcPr>
          <w:p w14:paraId="539E1690" w14:textId="39883D16" w:rsidR="00EB2171" w:rsidRPr="0081236F" w:rsidRDefault="00EB2171" w:rsidP="0081236F">
            <w:pPr>
              <w:spacing w:line="360" w:lineRule="auto"/>
            </w:pPr>
            <w:r w:rsidRPr="0081236F">
              <w:t>Final discussions and editing before submitting a final draft.</w:t>
            </w:r>
          </w:p>
        </w:tc>
      </w:tr>
    </w:tbl>
    <w:p w14:paraId="538FB028" w14:textId="77777777" w:rsidR="00C5372F" w:rsidRPr="0081236F" w:rsidRDefault="00C5372F" w:rsidP="0081236F">
      <w:pPr>
        <w:spacing w:line="360" w:lineRule="auto"/>
      </w:pPr>
    </w:p>
    <w:p w14:paraId="4AD4E47D" w14:textId="3D39BA30" w:rsidR="008E4126" w:rsidRPr="0081236F" w:rsidRDefault="008E4126" w:rsidP="0081236F">
      <w:pPr>
        <w:spacing w:line="360" w:lineRule="auto"/>
      </w:pPr>
      <w:r w:rsidRPr="0081236F">
        <w:t xml:space="preserve">Word count </w:t>
      </w:r>
      <w:r w:rsidR="0081236F" w:rsidRPr="0081236F">
        <w:t>–</w:t>
      </w:r>
      <w:r w:rsidRPr="0081236F">
        <w:t xml:space="preserve"> 148</w:t>
      </w:r>
      <w:r w:rsidR="0081236F" w:rsidRPr="0081236F">
        <w:t xml:space="preserve">7 </w:t>
      </w:r>
    </w:p>
    <w:p w14:paraId="5F75F7AF" w14:textId="77777777" w:rsidR="0081236F" w:rsidRPr="0081236F" w:rsidRDefault="0081236F" w:rsidP="0081236F">
      <w:pPr>
        <w:spacing w:line="360" w:lineRule="auto"/>
      </w:pPr>
    </w:p>
    <w:p w14:paraId="18BBAE73" w14:textId="77777777" w:rsidR="0081236F" w:rsidRPr="0081236F" w:rsidRDefault="0081236F" w:rsidP="0081236F">
      <w:pPr>
        <w:spacing w:line="360" w:lineRule="auto"/>
      </w:pPr>
    </w:p>
    <w:p w14:paraId="3652BCFB" w14:textId="77777777" w:rsidR="0081236F" w:rsidRPr="0081236F" w:rsidRDefault="0081236F" w:rsidP="0081236F">
      <w:pPr>
        <w:spacing w:line="360" w:lineRule="auto"/>
      </w:pPr>
    </w:p>
    <w:p w14:paraId="77E02518" w14:textId="77777777" w:rsidR="0081236F" w:rsidRPr="0081236F" w:rsidRDefault="0081236F" w:rsidP="0081236F">
      <w:pPr>
        <w:spacing w:line="360" w:lineRule="auto"/>
      </w:pPr>
    </w:p>
    <w:p w14:paraId="1901D7EB" w14:textId="77777777" w:rsidR="0081236F" w:rsidRPr="0081236F" w:rsidRDefault="0081236F" w:rsidP="0081236F">
      <w:pPr>
        <w:spacing w:line="360" w:lineRule="auto"/>
      </w:pPr>
    </w:p>
    <w:p w14:paraId="02F93F6B" w14:textId="77777777" w:rsidR="0081236F" w:rsidRPr="0081236F" w:rsidRDefault="0081236F" w:rsidP="0081236F">
      <w:pPr>
        <w:spacing w:line="360" w:lineRule="auto"/>
      </w:pPr>
    </w:p>
    <w:p w14:paraId="6074A262" w14:textId="77777777" w:rsidR="0081236F" w:rsidRDefault="0081236F" w:rsidP="0081236F">
      <w:pPr>
        <w:spacing w:line="360" w:lineRule="auto"/>
      </w:pPr>
    </w:p>
    <w:p w14:paraId="4364AC66" w14:textId="77777777" w:rsidR="0081236F" w:rsidRDefault="0081236F" w:rsidP="0081236F">
      <w:pPr>
        <w:spacing w:line="360" w:lineRule="auto"/>
      </w:pPr>
    </w:p>
    <w:p w14:paraId="4E0DB34F" w14:textId="75867C8A" w:rsidR="0081236F" w:rsidRPr="0081236F" w:rsidRDefault="0081236F" w:rsidP="0081236F">
      <w:pPr>
        <w:spacing w:line="360" w:lineRule="auto"/>
      </w:pPr>
      <w:r w:rsidRPr="0081236F">
        <w:lastRenderedPageBreak/>
        <w:t xml:space="preserve">References – </w:t>
      </w:r>
    </w:p>
    <w:p w14:paraId="5DE07661" w14:textId="77777777" w:rsidR="0081236F" w:rsidRPr="0081236F" w:rsidRDefault="0081236F" w:rsidP="0081236F">
      <w:pPr>
        <w:spacing w:line="360" w:lineRule="auto"/>
      </w:pPr>
    </w:p>
    <w:p w14:paraId="11056DE0" w14:textId="77777777" w:rsidR="0081236F" w:rsidRPr="0081236F" w:rsidRDefault="0081236F" w:rsidP="0081236F">
      <w:pPr>
        <w:pStyle w:val="NormalWeb"/>
        <w:spacing w:before="0" w:beforeAutospacing="0" w:after="240" w:afterAutospacing="0" w:line="360" w:lineRule="auto"/>
      </w:pPr>
      <w:proofErr w:type="spellStart"/>
      <w:r w:rsidRPr="0081236F">
        <w:t>Baethge</w:t>
      </w:r>
      <w:proofErr w:type="spellEnd"/>
      <w:r w:rsidRPr="0081236F">
        <w:t xml:space="preserve">, C., </w:t>
      </w:r>
      <w:proofErr w:type="spellStart"/>
      <w:r w:rsidRPr="0081236F">
        <w:t>Goldbeck</w:t>
      </w:r>
      <w:proofErr w:type="spellEnd"/>
      <w:r w:rsidRPr="0081236F">
        <w:t xml:space="preserve">-Wood, S. and Mertens, S. (2019). SANRA—a scale for the quality assessment of narrative review articles. </w:t>
      </w:r>
      <w:r w:rsidRPr="0081236F">
        <w:rPr>
          <w:i/>
          <w:iCs/>
        </w:rPr>
        <w:t>Research Integrity and Peer Review</w:t>
      </w:r>
      <w:r w:rsidRPr="0081236F">
        <w:t xml:space="preserve">, [online] 4(1). </w:t>
      </w:r>
      <w:proofErr w:type="spellStart"/>
      <w:proofErr w:type="gramStart"/>
      <w:r w:rsidRPr="0081236F">
        <w:t>doi:https</w:t>
      </w:r>
      <w:proofErr w:type="spellEnd"/>
      <w:r w:rsidRPr="0081236F">
        <w:t>://doi.org/10.1186/s41073-019-0064-8</w:t>
      </w:r>
      <w:proofErr w:type="gramEnd"/>
      <w:r w:rsidRPr="0081236F">
        <w:t>.</w:t>
      </w:r>
    </w:p>
    <w:p w14:paraId="1854D490" w14:textId="77777777" w:rsidR="0081236F" w:rsidRPr="0081236F" w:rsidRDefault="0081236F" w:rsidP="0081236F">
      <w:pPr>
        <w:pStyle w:val="NormalWeb"/>
        <w:spacing w:before="0" w:beforeAutospacing="0" w:after="240" w:afterAutospacing="0" w:line="360" w:lineRule="auto"/>
      </w:pPr>
      <w:proofErr w:type="spellStart"/>
      <w:r w:rsidRPr="0081236F">
        <w:t>Beals</w:t>
      </w:r>
      <w:proofErr w:type="spellEnd"/>
      <w:r w:rsidRPr="0081236F">
        <w:t xml:space="preserve">, K.A. and Meyer, N.L. (2007). Female Athlete Triad Update. </w:t>
      </w:r>
      <w:r w:rsidRPr="0081236F">
        <w:rPr>
          <w:i/>
          <w:iCs/>
        </w:rPr>
        <w:t>Clinics in Sports Medicine</w:t>
      </w:r>
      <w:r w:rsidRPr="0081236F">
        <w:t xml:space="preserve">, 26(1), pp.69–89. </w:t>
      </w:r>
      <w:proofErr w:type="spellStart"/>
      <w:proofErr w:type="gramStart"/>
      <w:r w:rsidRPr="0081236F">
        <w:t>doi:https</w:t>
      </w:r>
      <w:proofErr w:type="spellEnd"/>
      <w:r w:rsidRPr="0081236F">
        <w:t>://doi.org/10.1016/j.csm.2006.11.002</w:t>
      </w:r>
      <w:proofErr w:type="gramEnd"/>
      <w:r w:rsidRPr="0081236F">
        <w:t>.</w:t>
      </w:r>
    </w:p>
    <w:p w14:paraId="096B55E8" w14:textId="77777777" w:rsidR="0081236F" w:rsidRPr="0081236F" w:rsidRDefault="0081236F" w:rsidP="0081236F">
      <w:pPr>
        <w:pStyle w:val="NormalWeb"/>
        <w:spacing w:before="0" w:beforeAutospacing="0" w:after="240" w:afterAutospacing="0" w:line="360" w:lineRule="auto"/>
      </w:pPr>
      <w:proofErr w:type="spellStart"/>
      <w:r w:rsidRPr="0081236F">
        <w:t>Bouchleh</w:t>
      </w:r>
      <w:proofErr w:type="spellEnd"/>
      <w:r w:rsidRPr="0081236F">
        <w:t xml:space="preserve">, M.M. (2023). Within-day Energy Deficiency Before and After a Sports Nutrition Intervention in Female Endurance Athletes at Risk of Relative Energy Deficiency in Sport (REDs). </w:t>
      </w:r>
      <w:r w:rsidRPr="0081236F">
        <w:rPr>
          <w:i/>
          <w:iCs/>
        </w:rPr>
        <w:t>Duo.uio.no</w:t>
      </w:r>
      <w:r w:rsidRPr="0081236F">
        <w:t xml:space="preserve">. [online] </w:t>
      </w:r>
      <w:proofErr w:type="spellStart"/>
      <w:proofErr w:type="gramStart"/>
      <w:r w:rsidRPr="0081236F">
        <w:t>doi:http</w:t>
      </w:r>
      <w:proofErr w:type="spellEnd"/>
      <w:r w:rsidRPr="0081236F">
        <w:t>://hdl.handle.net/10852/103759</w:t>
      </w:r>
      <w:proofErr w:type="gramEnd"/>
      <w:r w:rsidRPr="0081236F">
        <w:t>.</w:t>
      </w:r>
    </w:p>
    <w:p w14:paraId="75CB6498" w14:textId="77777777" w:rsidR="0081236F" w:rsidRPr="0081236F" w:rsidRDefault="0081236F" w:rsidP="0081236F">
      <w:pPr>
        <w:pStyle w:val="NormalWeb"/>
        <w:spacing w:before="0" w:beforeAutospacing="0" w:after="240" w:afterAutospacing="0" w:line="360" w:lineRule="auto"/>
      </w:pPr>
      <w:proofErr w:type="spellStart"/>
      <w:r w:rsidRPr="0081236F">
        <w:t>Cafri</w:t>
      </w:r>
      <w:proofErr w:type="spellEnd"/>
      <w:r w:rsidRPr="0081236F">
        <w:t xml:space="preserve">, G., Blevins, </w:t>
      </w:r>
      <w:proofErr w:type="gramStart"/>
      <w:r w:rsidRPr="0081236F">
        <w:t>N.</w:t>
      </w:r>
      <w:proofErr w:type="gramEnd"/>
      <w:r w:rsidRPr="0081236F">
        <w:t xml:space="preserve"> and Thompson, J.K. (2006). The drive for muscle leanness: A complex case with features of muscle dysmorphia and eating disorder not otherwise specified. </w:t>
      </w:r>
      <w:r w:rsidRPr="0081236F">
        <w:rPr>
          <w:i/>
          <w:iCs/>
        </w:rPr>
        <w:t>Eating and Weight Disorders - Studies on Anorexia, Bulimia and Obesity</w:t>
      </w:r>
      <w:r w:rsidRPr="0081236F">
        <w:t xml:space="preserve">, 11(4), </w:t>
      </w:r>
      <w:proofErr w:type="gramStart"/>
      <w:r w:rsidRPr="0081236F">
        <w:t>pp.e</w:t>
      </w:r>
      <w:proofErr w:type="gramEnd"/>
      <w:r w:rsidRPr="0081236F">
        <w:t xml:space="preserve">117–e118. </w:t>
      </w:r>
      <w:proofErr w:type="spellStart"/>
      <w:proofErr w:type="gramStart"/>
      <w:r w:rsidRPr="0081236F">
        <w:t>doi:https</w:t>
      </w:r>
      <w:proofErr w:type="spellEnd"/>
      <w:r w:rsidRPr="0081236F">
        <w:t>://doi.org/10.1007/bf03327575</w:t>
      </w:r>
      <w:proofErr w:type="gramEnd"/>
      <w:r w:rsidRPr="0081236F">
        <w:t>.</w:t>
      </w:r>
    </w:p>
    <w:p w14:paraId="16DF07B8" w14:textId="77777777" w:rsidR="0081236F" w:rsidRPr="0081236F" w:rsidRDefault="0081236F" w:rsidP="0081236F">
      <w:pPr>
        <w:pStyle w:val="NormalWeb"/>
        <w:spacing w:before="0" w:beforeAutospacing="0" w:after="240" w:afterAutospacing="0" w:line="360" w:lineRule="auto"/>
      </w:pPr>
      <w:r w:rsidRPr="0081236F">
        <w:t>Cook-</w:t>
      </w:r>
      <w:proofErr w:type="spellStart"/>
      <w:r w:rsidRPr="0081236F">
        <w:t>Cottone</w:t>
      </w:r>
      <w:proofErr w:type="spellEnd"/>
      <w:r w:rsidRPr="0081236F">
        <w:t xml:space="preserve">, C.P. (2015). Incorporating Positive Body Image into the Treatment of Eating disorders: a Model for </w:t>
      </w:r>
      <w:proofErr w:type="spellStart"/>
      <w:r w:rsidRPr="0081236F">
        <w:t>Attunement</w:t>
      </w:r>
      <w:proofErr w:type="spellEnd"/>
      <w:r w:rsidRPr="0081236F">
        <w:t xml:space="preserve"> and Mindful self-care. </w:t>
      </w:r>
      <w:r w:rsidRPr="0081236F">
        <w:rPr>
          <w:i/>
          <w:iCs/>
        </w:rPr>
        <w:t>Body Image</w:t>
      </w:r>
      <w:r w:rsidRPr="0081236F">
        <w:t xml:space="preserve">, 14, pp.158–167. </w:t>
      </w:r>
      <w:proofErr w:type="spellStart"/>
      <w:proofErr w:type="gramStart"/>
      <w:r w:rsidRPr="0081236F">
        <w:t>doi:https</w:t>
      </w:r>
      <w:proofErr w:type="spellEnd"/>
      <w:r w:rsidRPr="0081236F">
        <w:t>://doi.org/10.1016/j.bodyim.2015.03.004</w:t>
      </w:r>
      <w:proofErr w:type="gramEnd"/>
      <w:r w:rsidRPr="0081236F">
        <w:t>.</w:t>
      </w:r>
    </w:p>
    <w:p w14:paraId="0537D1EC" w14:textId="77777777" w:rsidR="0081236F" w:rsidRPr="0081236F" w:rsidRDefault="0081236F" w:rsidP="0081236F">
      <w:pPr>
        <w:pStyle w:val="NormalWeb"/>
        <w:spacing w:before="0" w:beforeAutospacing="0" w:after="240" w:afterAutospacing="0" w:line="360" w:lineRule="auto"/>
      </w:pPr>
      <w:r w:rsidRPr="0081236F">
        <w:t xml:space="preserve">Currie, A. (2010). Sport and eating disorders - understanding and managing the risks. </w:t>
      </w:r>
      <w:r w:rsidRPr="0081236F">
        <w:rPr>
          <w:i/>
          <w:iCs/>
        </w:rPr>
        <w:t>Asian journal of sports medicine</w:t>
      </w:r>
      <w:r w:rsidRPr="0081236F">
        <w:t>, [online] 1(2), pp.63–8. Available at: https://www.ncbi.nlm.nih.gov/pmc/articles/PMC3289170/ [Accessed 19 Oct. 2023].</w:t>
      </w:r>
    </w:p>
    <w:p w14:paraId="497D076D" w14:textId="77777777" w:rsidR="0081236F" w:rsidRPr="0081236F" w:rsidRDefault="0081236F" w:rsidP="0081236F">
      <w:pPr>
        <w:pStyle w:val="NormalWeb"/>
        <w:spacing w:before="0" w:beforeAutospacing="0" w:after="240" w:afterAutospacing="0" w:line="360" w:lineRule="auto"/>
      </w:pPr>
      <w:r w:rsidRPr="0081236F">
        <w:t xml:space="preserve">El </w:t>
      </w:r>
      <w:proofErr w:type="spellStart"/>
      <w:r w:rsidRPr="0081236F">
        <w:t>Ghoch</w:t>
      </w:r>
      <w:proofErr w:type="spellEnd"/>
      <w:r w:rsidRPr="0081236F">
        <w:t xml:space="preserve">, M., Soave, F., </w:t>
      </w:r>
      <w:proofErr w:type="spellStart"/>
      <w:r w:rsidRPr="0081236F">
        <w:t>Calugi</w:t>
      </w:r>
      <w:proofErr w:type="spellEnd"/>
      <w:r w:rsidRPr="0081236F">
        <w:t xml:space="preserve">, S. and </w:t>
      </w:r>
      <w:proofErr w:type="spellStart"/>
      <w:r w:rsidRPr="0081236F">
        <w:t>Dalle</w:t>
      </w:r>
      <w:proofErr w:type="spellEnd"/>
      <w:r w:rsidRPr="0081236F">
        <w:t xml:space="preserve"> Grave, R. (2013). Eating Disorders, Physical Fitness and Sport Performance: A Systematic Review. </w:t>
      </w:r>
      <w:r w:rsidRPr="0081236F">
        <w:rPr>
          <w:i/>
          <w:iCs/>
        </w:rPr>
        <w:t>Nutrients</w:t>
      </w:r>
      <w:r w:rsidRPr="0081236F">
        <w:t xml:space="preserve">, [online] 5(12), pp.5140–5160. </w:t>
      </w:r>
      <w:proofErr w:type="spellStart"/>
      <w:proofErr w:type="gramStart"/>
      <w:r w:rsidRPr="0081236F">
        <w:t>doi:https</w:t>
      </w:r>
      <w:proofErr w:type="spellEnd"/>
      <w:r w:rsidRPr="0081236F">
        <w:t>://doi.org/10.3390/nu5125140</w:t>
      </w:r>
      <w:proofErr w:type="gramEnd"/>
      <w:r w:rsidRPr="0081236F">
        <w:t>.</w:t>
      </w:r>
    </w:p>
    <w:p w14:paraId="5C92BF61" w14:textId="77777777" w:rsidR="0081236F" w:rsidRPr="0081236F" w:rsidRDefault="0081236F" w:rsidP="0081236F">
      <w:pPr>
        <w:pStyle w:val="NormalWeb"/>
        <w:spacing w:before="0" w:beforeAutospacing="0" w:after="240" w:afterAutospacing="0" w:line="360" w:lineRule="auto"/>
      </w:pPr>
      <w:proofErr w:type="spellStart"/>
      <w:r w:rsidRPr="0081236F">
        <w:t>Fogelholm</w:t>
      </w:r>
      <w:proofErr w:type="spellEnd"/>
      <w:r w:rsidRPr="0081236F">
        <w:t xml:space="preserve">, M. (1994). Effects of Bodyweight Reduction on Sports Performance. </w:t>
      </w:r>
      <w:r w:rsidRPr="0081236F">
        <w:rPr>
          <w:i/>
          <w:iCs/>
        </w:rPr>
        <w:t>Sports Medicine</w:t>
      </w:r>
      <w:r w:rsidRPr="0081236F">
        <w:t xml:space="preserve">, 18(4), pp.249–267. </w:t>
      </w:r>
      <w:proofErr w:type="spellStart"/>
      <w:proofErr w:type="gramStart"/>
      <w:r w:rsidRPr="0081236F">
        <w:t>doi:https</w:t>
      </w:r>
      <w:proofErr w:type="spellEnd"/>
      <w:r w:rsidRPr="0081236F">
        <w:t>://doi.org/10.2165/00007256-199418040-00004</w:t>
      </w:r>
      <w:proofErr w:type="gramEnd"/>
      <w:r w:rsidRPr="0081236F">
        <w:t>.</w:t>
      </w:r>
    </w:p>
    <w:p w14:paraId="04C4E3D4" w14:textId="77777777" w:rsidR="0081236F" w:rsidRPr="0081236F" w:rsidRDefault="0081236F" w:rsidP="0081236F">
      <w:pPr>
        <w:pStyle w:val="NormalWeb"/>
        <w:spacing w:before="0" w:beforeAutospacing="0" w:after="240" w:afterAutospacing="0" w:line="360" w:lineRule="auto"/>
      </w:pPr>
      <w:proofErr w:type="spellStart"/>
      <w:r w:rsidRPr="0081236F">
        <w:t>Fredericson</w:t>
      </w:r>
      <w:proofErr w:type="spellEnd"/>
      <w:r w:rsidRPr="0081236F">
        <w:t xml:space="preserve">, M., </w:t>
      </w:r>
      <w:proofErr w:type="spellStart"/>
      <w:r w:rsidRPr="0081236F">
        <w:t>Kussman</w:t>
      </w:r>
      <w:proofErr w:type="spellEnd"/>
      <w:r w:rsidRPr="0081236F">
        <w:t xml:space="preserve">, A., </w:t>
      </w:r>
      <w:proofErr w:type="spellStart"/>
      <w:r w:rsidRPr="0081236F">
        <w:t>Misra</w:t>
      </w:r>
      <w:proofErr w:type="spellEnd"/>
      <w:r w:rsidRPr="0081236F">
        <w:t xml:space="preserve">, M., Barrack, M.T., De Souza, M.J., Kraus, E., </w:t>
      </w:r>
      <w:proofErr w:type="spellStart"/>
      <w:r w:rsidRPr="0081236F">
        <w:t>Koltun</w:t>
      </w:r>
      <w:proofErr w:type="spellEnd"/>
      <w:r w:rsidRPr="0081236F">
        <w:t xml:space="preserve">, K.J., Williams, N.I., Joy, E. and </w:t>
      </w:r>
      <w:proofErr w:type="spellStart"/>
      <w:r w:rsidRPr="0081236F">
        <w:t>Nattiv</w:t>
      </w:r>
      <w:proofErr w:type="spellEnd"/>
      <w:r w:rsidRPr="0081236F">
        <w:t xml:space="preserve">, A. (2021). The Male Athlete Triad—A Consensus Statement </w:t>
      </w:r>
      <w:proofErr w:type="gramStart"/>
      <w:r w:rsidRPr="0081236F">
        <w:t>From</w:t>
      </w:r>
      <w:proofErr w:type="gramEnd"/>
      <w:r w:rsidRPr="0081236F">
        <w:t xml:space="preserve"> the Female and Male Athlete Triad Coalition Part II: Diagnosis, Treatment, </w:t>
      </w:r>
      <w:r w:rsidRPr="0081236F">
        <w:lastRenderedPageBreak/>
        <w:t xml:space="preserve">and Return-To-Play. </w:t>
      </w:r>
      <w:r w:rsidRPr="0081236F">
        <w:rPr>
          <w:i/>
          <w:iCs/>
        </w:rPr>
        <w:t>Clinical Journal of Sport Medicine</w:t>
      </w:r>
      <w:r w:rsidRPr="0081236F">
        <w:t xml:space="preserve">, 31(4), pp.349–366. </w:t>
      </w:r>
      <w:proofErr w:type="spellStart"/>
      <w:proofErr w:type="gramStart"/>
      <w:r w:rsidRPr="0081236F">
        <w:t>doi:https</w:t>
      </w:r>
      <w:proofErr w:type="spellEnd"/>
      <w:r w:rsidRPr="0081236F">
        <w:t>://doi.org/10.1097/jsm.0000000000000948</w:t>
      </w:r>
      <w:proofErr w:type="gramEnd"/>
      <w:r w:rsidRPr="0081236F">
        <w:t>.</w:t>
      </w:r>
    </w:p>
    <w:p w14:paraId="1064EB99" w14:textId="77777777" w:rsidR="0081236F" w:rsidRPr="0081236F" w:rsidRDefault="0081236F" w:rsidP="0081236F">
      <w:pPr>
        <w:pStyle w:val="NormalWeb"/>
        <w:spacing w:before="0" w:beforeAutospacing="0" w:after="240" w:afterAutospacing="0" w:line="360" w:lineRule="auto"/>
      </w:pPr>
      <w:r w:rsidRPr="0081236F">
        <w:t xml:space="preserve">Hudson, J.I., </w:t>
      </w:r>
      <w:proofErr w:type="spellStart"/>
      <w:r w:rsidRPr="0081236F">
        <w:t>Hiripi</w:t>
      </w:r>
      <w:proofErr w:type="spellEnd"/>
      <w:r w:rsidRPr="0081236F">
        <w:t xml:space="preserve">, E., Pope, H.G. and Kessler, R.C. (2007). The Prevalence and Correlates of Eating Disorders in the National Comorbidity Survey Replication. </w:t>
      </w:r>
      <w:r w:rsidRPr="0081236F">
        <w:rPr>
          <w:i/>
          <w:iCs/>
        </w:rPr>
        <w:t>Biological Psychiatry</w:t>
      </w:r>
      <w:r w:rsidRPr="0081236F">
        <w:t xml:space="preserve">, [online] 61(3), pp.348–358. </w:t>
      </w:r>
      <w:proofErr w:type="spellStart"/>
      <w:proofErr w:type="gramStart"/>
      <w:r w:rsidRPr="0081236F">
        <w:t>doi:https</w:t>
      </w:r>
      <w:proofErr w:type="spellEnd"/>
      <w:r w:rsidRPr="0081236F">
        <w:t>://doi.org/10.1016/j.biopsych.2006.03.040</w:t>
      </w:r>
      <w:proofErr w:type="gramEnd"/>
      <w:r w:rsidRPr="0081236F">
        <w:t>.</w:t>
      </w:r>
    </w:p>
    <w:p w14:paraId="0AAF0D2C" w14:textId="77777777" w:rsidR="0081236F" w:rsidRPr="0081236F" w:rsidRDefault="0081236F" w:rsidP="0081236F">
      <w:pPr>
        <w:pStyle w:val="NormalWeb"/>
        <w:spacing w:before="0" w:beforeAutospacing="0" w:after="240" w:afterAutospacing="0" w:line="360" w:lineRule="auto"/>
      </w:pPr>
      <w:proofErr w:type="spellStart"/>
      <w:r w:rsidRPr="0081236F">
        <w:t>Hulley</w:t>
      </w:r>
      <w:proofErr w:type="spellEnd"/>
      <w:r w:rsidRPr="0081236F">
        <w:t xml:space="preserve">, A.J. and Hill, A.J. (2001). Eating disorders and health in elite women distance runners. </w:t>
      </w:r>
      <w:r w:rsidRPr="0081236F">
        <w:rPr>
          <w:i/>
          <w:iCs/>
        </w:rPr>
        <w:t>International Journal of Eating Disorders</w:t>
      </w:r>
      <w:r w:rsidRPr="0081236F">
        <w:t xml:space="preserve">, 30(3), pp.312–317. </w:t>
      </w:r>
      <w:proofErr w:type="spellStart"/>
      <w:proofErr w:type="gramStart"/>
      <w:r w:rsidRPr="0081236F">
        <w:t>doi:https</w:t>
      </w:r>
      <w:proofErr w:type="spellEnd"/>
      <w:r w:rsidRPr="0081236F">
        <w:t>://doi.org/10.1002/eat.1090</w:t>
      </w:r>
      <w:proofErr w:type="gramEnd"/>
      <w:r w:rsidRPr="0081236F">
        <w:t>.</w:t>
      </w:r>
    </w:p>
    <w:p w14:paraId="78991A7C" w14:textId="77777777" w:rsidR="0081236F" w:rsidRPr="0081236F" w:rsidRDefault="0081236F" w:rsidP="0081236F">
      <w:pPr>
        <w:pStyle w:val="NormalWeb"/>
        <w:spacing w:before="0" w:beforeAutospacing="0" w:after="240" w:afterAutospacing="0" w:line="360" w:lineRule="auto"/>
      </w:pPr>
      <w:r w:rsidRPr="0081236F">
        <w:t xml:space="preserve">Manning, M. and Greenfield, S. (2022). University students’ understanding and opinions of eating disorders: a qualitative study. </w:t>
      </w:r>
      <w:r w:rsidRPr="0081236F">
        <w:rPr>
          <w:i/>
          <w:iCs/>
        </w:rPr>
        <w:t>BMJ open</w:t>
      </w:r>
      <w:r w:rsidRPr="0081236F">
        <w:t xml:space="preserve">, [online] 12(7), p.e056391. </w:t>
      </w:r>
      <w:proofErr w:type="spellStart"/>
      <w:proofErr w:type="gramStart"/>
      <w:r w:rsidRPr="0081236F">
        <w:t>doi:https</w:t>
      </w:r>
      <w:proofErr w:type="spellEnd"/>
      <w:r w:rsidRPr="0081236F">
        <w:t>://doi.org/10.1136/bmjopen-2021-056391</w:t>
      </w:r>
      <w:proofErr w:type="gramEnd"/>
      <w:r w:rsidRPr="0081236F">
        <w:t>.</w:t>
      </w:r>
    </w:p>
    <w:p w14:paraId="249A0E85" w14:textId="77777777" w:rsidR="0081236F" w:rsidRPr="0081236F" w:rsidRDefault="0081236F" w:rsidP="0081236F">
      <w:pPr>
        <w:pStyle w:val="NormalWeb"/>
        <w:spacing w:before="0" w:beforeAutospacing="0" w:after="240" w:afterAutospacing="0" w:line="360" w:lineRule="auto"/>
      </w:pPr>
      <w:r w:rsidRPr="0081236F">
        <w:t xml:space="preserve">Martinsen, M. and </w:t>
      </w:r>
      <w:proofErr w:type="spellStart"/>
      <w:r w:rsidRPr="0081236F">
        <w:t>Sundgot-borgen</w:t>
      </w:r>
      <w:proofErr w:type="spellEnd"/>
      <w:r w:rsidRPr="0081236F">
        <w:t xml:space="preserve">, J. (2013). Higher Prevalence of Eating Disorders among Adolescent Elite Athletes than Controls. </w:t>
      </w:r>
      <w:r w:rsidRPr="0081236F">
        <w:rPr>
          <w:i/>
          <w:iCs/>
        </w:rPr>
        <w:t>Medicine &amp; Science in Sports &amp; Exercise</w:t>
      </w:r>
      <w:r w:rsidRPr="0081236F">
        <w:t xml:space="preserve">, 45(6), pp.1188–1197. </w:t>
      </w:r>
      <w:proofErr w:type="spellStart"/>
      <w:proofErr w:type="gramStart"/>
      <w:r w:rsidRPr="0081236F">
        <w:t>doi:https</w:t>
      </w:r>
      <w:proofErr w:type="spellEnd"/>
      <w:r w:rsidRPr="0081236F">
        <w:t>://doi.org/10.1249/mss.0b013e318281a939</w:t>
      </w:r>
      <w:proofErr w:type="gramEnd"/>
      <w:r w:rsidRPr="0081236F">
        <w:t>.</w:t>
      </w:r>
    </w:p>
    <w:p w14:paraId="452BC761" w14:textId="77777777" w:rsidR="0081236F" w:rsidRPr="0081236F" w:rsidRDefault="0081236F" w:rsidP="0081236F">
      <w:pPr>
        <w:pStyle w:val="NormalWeb"/>
        <w:spacing w:before="0" w:beforeAutospacing="0" w:after="240" w:afterAutospacing="0" w:line="360" w:lineRule="auto"/>
      </w:pPr>
      <w:r w:rsidRPr="0081236F">
        <w:t xml:space="preserve">Pearson, A.N., Follette, V.M. and Hayes, S.C. (2012). A Pilot Study of Acceptance and Commitment Therapy as a Workshop Intervention for Body Dissatisfaction and Disordered Eating Attitudes. </w:t>
      </w:r>
      <w:r w:rsidRPr="0081236F">
        <w:rPr>
          <w:i/>
          <w:iCs/>
        </w:rPr>
        <w:t xml:space="preserve">Cognitive and </w:t>
      </w:r>
      <w:proofErr w:type="spellStart"/>
      <w:r w:rsidRPr="0081236F">
        <w:rPr>
          <w:i/>
          <w:iCs/>
        </w:rPr>
        <w:t>Behavioral</w:t>
      </w:r>
      <w:proofErr w:type="spellEnd"/>
      <w:r w:rsidRPr="0081236F">
        <w:rPr>
          <w:i/>
          <w:iCs/>
        </w:rPr>
        <w:t xml:space="preserve"> Practice</w:t>
      </w:r>
      <w:r w:rsidRPr="0081236F">
        <w:t xml:space="preserve">, 19(1), pp.181–197. </w:t>
      </w:r>
      <w:proofErr w:type="spellStart"/>
      <w:proofErr w:type="gramStart"/>
      <w:r w:rsidRPr="0081236F">
        <w:t>doi:https</w:t>
      </w:r>
      <w:proofErr w:type="spellEnd"/>
      <w:r w:rsidRPr="0081236F">
        <w:t>://doi.org/10.1016/j.cbpra.2011.03.001</w:t>
      </w:r>
      <w:proofErr w:type="gramEnd"/>
      <w:r w:rsidRPr="0081236F">
        <w:t>.</w:t>
      </w:r>
    </w:p>
    <w:p w14:paraId="3B8C9D85" w14:textId="77777777" w:rsidR="0081236F" w:rsidRPr="0081236F" w:rsidRDefault="0081236F" w:rsidP="0081236F">
      <w:pPr>
        <w:pStyle w:val="NormalWeb"/>
        <w:spacing w:before="0" w:beforeAutospacing="0" w:after="240" w:afterAutospacing="0" w:line="360" w:lineRule="auto"/>
      </w:pPr>
      <w:r w:rsidRPr="0081236F">
        <w:t xml:space="preserve">Raj, M.A., Creech, J.A. and </w:t>
      </w:r>
      <w:proofErr w:type="spellStart"/>
      <w:r w:rsidRPr="0081236F">
        <w:t>Rogol</w:t>
      </w:r>
      <w:proofErr w:type="spellEnd"/>
      <w:r w:rsidRPr="0081236F">
        <w:t xml:space="preserve">, A.D. (2020). </w:t>
      </w:r>
      <w:r w:rsidRPr="0081236F">
        <w:rPr>
          <w:i/>
          <w:iCs/>
        </w:rPr>
        <w:t>Female Athlete Triad</w:t>
      </w:r>
      <w:r w:rsidRPr="0081236F">
        <w:t>. [online] PubMed. Available at: https://www.ncbi.nlm.nih.gov/books/NBK430787/ [Accessed 20 Oct. 2023].</w:t>
      </w:r>
    </w:p>
    <w:p w14:paraId="1C83C385" w14:textId="77777777" w:rsidR="0081236F" w:rsidRPr="0081236F" w:rsidRDefault="0081236F" w:rsidP="0081236F">
      <w:pPr>
        <w:pStyle w:val="NormalWeb"/>
        <w:spacing w:before="0" w:beforeAutospacing="0" w:after="240" w:afterAutospacing="0" w:line="360" w:lineRule="auto"/>
      </w:pPr>
      <w:proofErr w:type="spellStart"/>
      <w:r w:rsidRPr="0081236F">
        <w:t>Stoyel</w:t>
      </w:r>
      <w:proofErr w:type="spellEnd"/>
      <w:r w:rsidRPr="0081236F">
        <w:t xml:space="preserve">, H., </w:t>
      </w:r>
      <w:proofErr w:type="spellStart"/>
      <w:r w:rsidRPr="0081236F">
        <w:t>Delderfield</w:t>
      </w:r>
      <w:proofErr w:type="spellEnd"/>
      <w:r w:rsidRPr="0081236F">
        <w:t xml:space="preserve">, R., </w:t>
      </w:r>
      <w:proofErr w:type="spellStart"/>
      <w:r w:rsidRPr="0081236F">
        <w:t>Shanmuganathan</w:t>
      </w:r>
      <w:proofErr w:type="spellEnd"/>
      <w:r w:rsidRPr="0081236F">
        <w:t xml:space="preserve">-Felton, V., </w:t>
      </w:r>
      <w:proofErr w:type="spellStart"/>
      <w:r w:rsidRPr="0081236F">
        <w:t>Stoyel</w:t>
      </w:r>
      <w:proofErr w:type="spellEnd"/>
      <w:r w:rsidRPr="0081236F">
        <w:t xml:space="preserve">, A. and </w:t>
      </w:r>
      <w:proofErr w:type="spellStart"/>
      <w:r w:rsidRPr="0081236F">
        <w:t>Serpell</w:t>
      </w:r>
      <w:proofErr w:type="spellEnd"/>
      <w:r w:rsidRPr="0081236F">
        <w:t xml:space="preserve">, L. (2021). A Qualitative Exploration of Sport and Social Pressures on Elite Athletes in Relation to Disordered Eating. </w:t>
      </w:r>
      <w:r w:rsidRPr="0081236F">
        <w:rPr>
          <w:i/>
          <w:iCs/>
        </w:rPr>
        <w:t>Frontiers in Psychology</w:t>
      </w:r>
      <w:r w:rsidRPr="0081236F">
        <w:t xml:space="preserve">, 12. </w:t>
      </w:r>
      <w:proofErr w:type="spellStart"/>
      <w:proofErr w:type="gramStart"/>
      <w:r w:rsidRPr="0081236F">
        <w:t>doi:https</w:t>
      </w:r>
      <w:proofErr w:type="spellEnd"/>
      <w:r w:rsidRPr="0081236F">
        <w:t>://doi.org/10.3389/fpsyg.2021.633490</w:t>
      </w:r>
      <w:proofErr w:type="gramEnd"/>
      <w:r w:rsidRPr="0081236F">
        <w:t>.</w:t>
      </w:r>
    </w:p>
    <w:p w14:paraId="05F094BF" w14:textId="77777777" w:rsidR="0081236F" w:rsidRPr="0081236F" w:rsidRDefault="0081236F" w:rsidP="0081236F">
      <w:pPr>
        <w:pStyle w:val="NormalWeb"/>
        <w:spacing w:before="0" w:beforeAutospacing="0" w:after="240" w:afterAutospacing="0" w:line="360" w:lineRule="auto"/>
      </w:pPr>
      <w:r w:rsidRPr="0081236F">
        <w:t xml:space="preserve">Treasure, J., </w:t>
      </w:r>
      <w:proofErr w:type="spellStart"/>
      <w:r w:rsidRPr="0081236F">
        <w:t>Claudino</w:t>
      </w:r>
      <w:proofErr w:type="spellEnd"/>
      <w:r w:rsidRPr="0081236F">
        <w:t xml:space="preserve">, A.M. and Zucker, N. (2010). Eating disorders. </w:t>
      </w:r>
      <w:r w:rsidRPr="0081236F">
        <w:rPr>
          <w:i/>
          <w:iCs/>
        </w:rPr>
        <w:t>Lancet (London, England)</w:t>
      </w:r>
      <w:r w:rsidRPr="0081236F">
        <w:t xml:space="preserve">, [online] 375(9714), pp.583–93. </w:t>
      </w:r>
      <w:proofErr w:type="spellStart"/>
      <w:proofErr w:type="gramStart"/>
      <w:r w:rsidRPr="0081236F">
        <w:t>doi:https</w:t>
      </w:r>
      <w:proofErr w:type="spellEnd"/>
      <w:r w:rsidRPr="0081236F">
        <w:t>://doi.org/10.1016/S0140-6736(09)61748-7</w:t>
      </w:r>
      <w:proofErr w:type="gramEnd"/>
      <w:r w:rsidRPr="0081236F">
        <w:t>.</w:t>
      </w:r>
    </w:p>
    <w:p w14:paraId="7987052D" w14:textId="77777777" w:rsidR="0081236F" w:rsidRPr="0081236F" w:rsidRDefault="0081236F" w:rsidP="0081236F">
      <w:pPr>
        <w:pStyle w:val="NormalWeb"/>
        <w:spacing w:before="0" w:beforeAutospacing="0" w:after="240" w:afterAutospacing="0" w:line="360" w:lineRule="auto"/>
      </w:pPr>
      <w:r w:rsidRPr="0081236F">
        <w:lastRenderedPageBreak/>
        <w:t xml:space="preserve">van </w:t>
      </w:r>
      <w:proofErr w:type="spellStart"/>
      <w:r w:rsidRPr="0081236F">
        <w:t>Eeden</w:t>
      </w:r>
      <w:proofErr w:type="spellEnd"/>
      <w:r w:rsidRPr="0081236F">
        <w:t xml:space="preserve">, A.E., van </w:t>
      </w:r>
      <w:proofErr w:type="spellStart"/>
      <w:r w:rsidRPr="0081236F">
        <w:t>Hoeken</w:t>
      </w:r>
      <w:proofErr w:type="spellEnd"/>
      <w:r w:rsidRPr="0081236F">
        <w:t xml:space="preserve">, D. and Hoek, H.W. (2021). Incidence, prevalence and mortality of anorexia nervosa and bulimia nervosa. </w:t>
      </w:r>
      <w:r w:rsidRPr="0081236F">
        <w:rPr>
          <w:i/>
          <w:iCs/>
        </w:rPr>
        <w:t>Current Opinion in Psychiatry</w:t>
      </w:r>
      <w:r w:rsidRPr="0081236F">
        <w:t xml:space="preserve">, [online] 34(6), pp.515–524. </w:t>
      </w:r>
      <w:proofErr w:type="spellStart"/>
      <w:proofErr w:type="gramStart"/>
      <w:r w:rsidRPr="0081236F">
        <w:t>doi:https</w:t>
      </w:r>
      <w:proofErr w:type="spellEnd"/>
      <w:r w:rsidRPr="0081236F">
        <w:t>://doi.org/10.1097/yco.0000000000000739</w:t>
      </w:r>
      <w:proofErr w:type="gramEnd"/>
      <w:r w:rsidRPr="0081236F">
        <w:t>.</w:t>
      </w:r>
    </w:p>
    <w:p w14:paraId="0CD248FD" w14:textId="77777777" w:rsidR="0081236F" w:rsidRDefault="0081236F"/>
    <w:sectPr w:rsidR="00812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17244"/>
    <w:multiLevelType w:val="hybridMultilevel"/>
    <w:tmpl w:val="ABB01F6E"/>
    <w:lvl w:ilvl="0" w:tplc="6FAA49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22557"/>
    <w:multiLevelType w:val="hybridMultilevel"/>
    <w:tmpl w:val="644E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021022">
    <w:abstractNumId w:val="0"/>
  </w:num>
  <w:num w:numId="2" w16cid:durableId="2103602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400"/>
    <w:rsid w:val="00022BE8"/>
    <w:rsid w:val="00036400"/>
    <w:rsid w:val="000B7499"/>
    <w:rsid w:val="001D614C"/>
    <w:rsid w:val="001F598D"/>
    <w:rsid w:val="002E6996"/>
    <w:rsid w:val="003B62CC"/>
    <w:rsid w:val="0041506A"/>
    <w:rsid w:val="004943E0"/>
    <w:rsid w:val="004E7BA8"/>
    <w:rsid w:val="0054722F"/>
    <w:rsid w:val="005B0481"/>
    <w:rsid w:val="00615641"/>
    <w:rsid w:val="006D6DAC"/>
    <w:rsid w:val="00753229"/>
    <w:rsid w:val="007C227F"/>
    <w:rsid w:val="0081236F"/>
    <w:rsid w:val="00885A4C"/>
    <w:rsid w:val="008E4126"/>
    <w:rsid w:val="00965F5D"/>
    <w:rsid w:val="00A02F44"/>
    <w:rsid w:val="00B07FA3"/>
    <w:rsid w:val="00B752EF"/>
    <w:rsid w:val="00BA3FB8"/>
    <w:rsid w:val="00BE095F"/>
    <w:rsid w:val="00BF1B78"/>
    <w:rsid w:val="00C357F0"/>
    <w:rsid w:val="00C5372F"/>
    <w:rsid w:val="00C75901"/>
    <w:rsid w:val="00CE5FA4"/>
    <w:rsid w:val="00D86096"/>
    <w:rsid w:val="00E1638D"/>
    <w:rsid w:val="00E23B87"/>
    <w:rsid w:val="00EB2171"/>
    <w:rsid w:val="00FA1D8A"/>
    <w:rsid w:val="00FF5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7439CE"/>
  <w15:chartTrackingRefBased/>
  <w15:docId w15:val="{6C819F0C-95E7-784A-96DC-1E30627D8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400"/>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400"/>
    <w:pPr>
      <w:ind w:left="720"/>
      <w:contextualSpacing/>
    </w:pPr>
  </w:style>
  <w:style w:type="paragraph" w:styleId="z-TopofForm">
    <w:name w:val="HTML Top of Form"/>
    <w:basedOn w:val="Normal"/>
    <w:next w:val="Normal"/>
    <w:link w:val="z-TopofFormChar"/>
    <w:hidden/>
    <w:uiPriority w:val="99"/>
    <w:semiHidden/>
    <w:unhideWhenUsed/>
    <w:rsid w:val="0003640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36400"/>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unhideWhenUsed/>
    <w:rsid w:val="0003640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036400"/>
    <w:rPr>
      <w:rFonts w:ascii="Arial" w:eastAsia="Times New Roman" w:hAnsi="Arial" w:cs="Arial"/>
      <w:vanish/>
      <w:kern w:val="0"/>
      <w:sz w:val="16"/>
      <w:szCs w:val="16"/>
      <w:lang w:eastAsia="en-GB"/>
      <w14:ligatures w14:val="none"/>
    </w:rPr>
  </w:style>
  <w:style w:type="table" w:styleId="TableGrid">
    <w:name w:val="Table Grid"/>
    <w:basedOn w:val="TableNormal"/>
    <w:uiPriority w:val="39"/>
    <w:rsid w:val="00885A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123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162468">
      <w:bodyDiv w:val="1"/>
      <w:marLeft w:val="0"/>
      <w:marRight w:val="0"/>
      <w:marTop w:val="0"/>
      <w:marBottom w:val="0"/>
      <w:divBdr>
        <w:top w:val="none" w:sz="0" w:space="0" w:color="auto"/>
        <w:left w:val="none" w:sz="0" w:space="0" w:color="auto"/>
        <w:bottom w:val="none" w:sz="0" w:space="0" w:color="auto"/>
        <w:right w:val="none" w:sz="0" w:space="0" w:color="auto"/>
      </w:divBdr>
      <w:divsChild>
        <w:div w:id="1575889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8</Pages>
  <Words>2280</Words>
  <Characters>12996</Characters>
  <Application>Microsoft Office Word</Application>
  <DocSecurity>0</DocSecurity>
  <Lines>108</Lines>
  <Paragraphs>30</Paragraphs>
  <ScaleCrop>false</ScaleCrop>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Osborne (2102881)</dc:creator>
  <cp:keywords/>
  <dc:description/>
  <cp:lastModifiedBy>Amber Osborne (2102881)</cp:lastModifiedBy>
  <cp:revision>34</cp:revision>
  <dcterms:created xsi:type="dcterms:W3CDTF">2023-10-20T15:04:00Z</dcterms:created>
  <dcterms:modified xsi:type="dcterms:W3CDTF">2023-10-27T08:35:00Z</dcterms:modified>
</cp:coreProperties>
</file>