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17CFE" w:rsidRPr="00917CFE" w:rsidRDefault="00917CFE" w:rsidP="00917CFE">
      <w:pPr>
        <w:spacing w:line="360" w:lineRule="auto"/>
        <w:jc w:val="center"/>
        <w:rPr>
          <w:rFonts w:ascii="Arial" w:hAnsi="Arial" w:cs="Arial"/>
          <w:b/>
          <w:bCs/>
          <w:sz w:val="24"/>
          <w:szCs w:val="24"/>
          <w:u w:val="single"/>
        </w:rPr>
      </w:pPr>
      <w:r w:rsidRPr="00917CFE">
        <w:rPr>
          <w:rFonts w:ascii="Arial" w:hAnsi="Arial" w:cs="Arial"/>
          <w:b/>
          <w:bCs/>
          <w:sz w:val="24"/>
          <w:szCs w:val="24"/>
          <w:u w:val="single"/>
        </w:rPr>
        <w:t>Methodology</w:t>
      </w:r>
    </w:p>
    <w:p w:rsidR="00917CFE" w:rsidRPr="00917CFE" w:rsidRDefault="00917CFE" w:rsidP="00917CFE">
      <w:pPr>
        <w:spacing w:line="360" w:lineRule="auto"/>
        <w:rPr>
          <w:rFonts w:ascii="Arial" w:hAnsi="Arial" w:cs="Arial"/>
          <w:sz w:val="24"/>
          <w:szCs w:val="24"/>
        </w:rPr>
      </w:pPr>
      <w:r w:rsidRPr="00917CFE">
        <w:rPr>
          <w:rFonts w:ascii="Arial" w:hAnsi="Arial" w:cs="Arial"/>
          <w:sz w:val="24"/>
          <w:szCs w:val="24"/>
        </w:rPr>
        <w:t xml:space="preserve">The purpose of the research being conducted and discussed is to assist in ascertaining the correct and most appropriate response to a person who is described as suffering a mental ill-health crisis and in need of immediate care and or assistance.  As communities in England and Wales are service users of both the National Health Service and the Police service, the aim of this research is to identify what the majority of society believe to be the most appropriate response to those in mental health Crisis. Identifying public opinion on response to incidents of a mental-ill health nature allows for the services to establish a responsibility and service level that meets public expectations whilst considering the best outcomes for individuals in crisis. </w:t>
      </w:r>
    </w:p>
    <w:p w:rsidR="00917CFE" w:rsidRPr="00917CFE" w:rsidRDefault="00917CFE" w:rsidP="00917CFE">
      <w:pPr>
        <w:spacing w:line="360" w:lineRule="auto"/>
        <w:rPr>
          <w:rFonts w:ascii="Arial" w:hAnsi="Arial" w:cs="Arial"/>
          <w:sz w:val="24"/>
          <w:szCs w:val="24"/>
        </w:rPr>
      </w:pPr>
    </w:p>
    <w:p w:rsidR="00917CFE" w:rsidRPr="00917CFE" w:rsidRDefault="00917CFE" w:rsidP="00917CFE">
      <w:pPr>
        <w:spacing w:line="360" w:lineRule="auto"/>
        <w:rPr>
          <w:rFonts w:ascii="Arial" w:hAnsi="Arial" w:cs="Arial"/>
          <w:sz w:val="24"/>
          <w:szCs w:val="24"/>
        </w:rPr>
      </w:pPr>
      <w:r w:rsidRPr="00917CFE">
        <w:rPr>
          <w:rFonts w:ascii="Arial" w:hAnsi="Arial" w:cs="Arial"/>
          <w:sz w:val="24"/>
          <w:szCs w:val="24"/>
        </w:rPr>
        <w:t xml:space="preserve">Within this chapter, the research design will be explained together with reasoning behind certain methods used and those not utilised.  It will also explain limitations to provide a comprehensive understanding of, not only the methods used but also results gained throughout this research project. </w:t>
      </w:r>
    </w:p>
    <w:p w:rsidR="00917CFE" w:rsidRPr="00917CFE" w:rsidRDefault="00917CFE" w:rsidP="00917CFE">
      <w:pPr>
        <w:spacing w:line="360" w:lineRule="auto"/>
        <w:rPr>
          <w:rFonts w:ascii="Arial" w:hAnsi="Arial" w:cs="Arial"/>
          <w:b/>
          <w:bCs/>
          <w:color w:val="FF0000"/>
          <w:sz w:val="24"/>
          <w:szCs w:val="24"/>
        </w:rPr>
      </w:pPr>
    </w:p>
    <w:p w:rsidR="00917CFE" w:rsidRPr="00917CFE" w:rsidRDefault="00917CFE" w:rsidP="00917CFE">
      <w:pPr>
        <w:spacing w:line="360" w:lineRule="auto"/>
        <w:rPr>
          <w:rFonts w:ascii="Arial" w:hAnsi="Arial" w:cs="Arial"/>
          <w:sz w:val="24"/>
          <w:szCs w:val="24"/>
        </w:rPr>
      </w:pPr>
      <w:r w:rsidRPr="00917CFE">
        <w:rPr>
          <w:rFonts w:ascii="Arial" w:hAnsi="Arial" w:cs="Arial"/>
          <w:sz w:val="24"/>
          <w:szCs w:val="24"/>
        </w:rPr>
        <w:t>There were two research philosophies considered whe</w:t>
      </w:r>
      <w:r w:rsidRPr="00917CFE">
        <w:rPr>
          <w:rFonts w:ascii="Arial" w:hAnsi="Arial" w:cs="Arial"/>
          <w:sz w:val="24"/>
          <w:szCs w:val="24"/>
        </w:rPr>
        <w:t>n deciding what method would most</w:t>
      </w:r>
      <w:r w:rsidRPr="00917CFE">
        <w:rPr>
          <w:rFonts w:ascii="Arial" w:hAnsi="Arial" w:cs="Arial"/>
          <w:sz w:val="24"/>
          <w:szCs w:val="24"/>
        </w:rPr>
        <w:t xml:space="preserve"> suitably underpin the research being conducted, positivism and interpretivism. </w:t>
      </w:r>
    </w:p>
    <w:p w:rsidR="00917CFE" w:rsidRPr="00917CFE" w:rsidRDefault="00917CFE" w:rsidP="00917CFE">
      <w:pPr>
        <w:spacing w:line="360" w:lineRule="auto"/>
        <w:rPr>
          <w:rFonts w:ascii="Arial" w:hAnsi="Arial" w:cs="Arial"/>
          <w:sz w:val="24"/>
          <w:szCs w:val="24"/>
        </w:rPr>
      </w:pPr>
    </w:p>
    <w:p w:rsidR="00917CFE" w:rsidRPr="00917CFE" w:rsidRDefault="00917CFE" w:rsidP="00917CFE">
      <w:pPr>
        <w:spacing w:line="360" w:lineRule="auto"/>
        <w:rPr>
          <w:rFonts w:ascii="Arial" w:hAnsi="Arial" w:cs="Arial"/>
          <w:sz w:val="24"/>
          <w:szCs w:val="24"/>
        </w:rPr>
      </w:pPr>
      <w:r w:rsidRPr="00917CFE">
        <w:rPr>
          <w:rFonts w:ascii="Arial" w:hAnsi="Arial" w:cs="Arial"/>
          <w:sz w:val="24"/>
          <w:szCs w:val="24"/>
        </w:rPr>
        <w:t xml:space="preserve">Positivism philosophy investigates and confirms patterns of behaviour in a bid to make law-like predictions going forward </w:t>
      </w:r>
      <w:sdt>
        <w:sdtPr>
          <w:rPr>
            <w:rFonts w:ascii="Arial" w:hAnsi="Arial" w:cs="Arial"/>
            <w:color w:val="222222"/>
            <w:sz w:val="24"/>
            <w:szCs w:val="24"/>
            <w:shd w:val="clear" w:color="auto" w:fill="FFFFFF"/>
          </w:rPr>
          <w:id w:val="-1645262210"/>
          <w:citation/>
        </w:sdtPr>
        <w:sdtContent>
          <w:r w:rsidRPr="00917CFE">
            <w:rPr>
              <w:rFonts w:ascii="Arial" w:hAnsi="Arial" w:cs="Arial"/>
              <w:color w:val="222222"/>
              <w:sz w:val="24"/>
              <w:szCs w:val="24"/>
              <w:shd w:val="clear" w:color="auto" w:fill="FFFFFF"/>
            </w:rPr>
            <w:fldChar w:fldCharType="begin"/>
          </w:r>
          <w:r w:rsidRPr="00917CFE">
            <w:rPr>
              <w:rFonts w:ascii="Arial" w:hAnsi="Arial" w:cs="Arial"/>
              <w:color w:val="222222"/>
              <w:sz w:val="24"/>
              <w:szCs w:val="24"/>
              <w:shd w:val="clear" w:color="auto" w:fill="FFFFFF"/>
            </w:rPr>
            <w:instrText xml:space="preserve"> CITATION Tay11 \l 2057 </w:instrText>
          </w:r>
          <w:r w:rsidRPr="00917CFE">
            <w:rPr>
              <w:rFonts w:ascii="Arial" w:hAnsi="Arial" w:cs="Arial"/>
              <w:color w:val="222222"/>
              <w:sz w:val="24"/>
              <w:szCs w:val="24"/>
              <w:shd w:val="clear" w:color="auto" w:fill="FFFFFF"/>
            </w:rPr>
            <w:fldChar w:fldCharType="separate"/>
          </w:r>
          <w:r w:rsidRPr="00917CFE">
            <w:rPr>
              <w:rFonts w:ascii="Arial" w:hAnsi="Arial" w:cs="Arial"/>
              <w:noProof/>
              <w:color w:val="222222"/>
              <w:sz w:val="24"/>
              <w:szCs w:val="24"/>
              <w:shd w:val="clear" w:color="auto" w:fill="FFFFFF"/>
            </w:rPr>
            <w:t>(Taylor &amp; Medina, 2011)</w:t>
          </w:r>
          <w:r w:rsidRPr="00917CFE">
            <w:rPr>
              <w:rFonts w:ascii="Arial" w:hAnsi="Arial" w:cs="Arial"/>
              <w:color w:val="222222"/>
              <w:sz w:val="24"/>
              <w:szCs w:val="24"/>
              <w:shd w:val="clear" w:color="auto" w:fill="FFFFFF"/>
            </w:rPr>
            <w:fldChar w:fldCharType="end"/>
          </w:r>
        </w:sdtContent>
      </w:sdt>
      <w:r w:rsidRPr="00917CFE">
        <w:rPr>
          <w:rFonts w:ascii="Arial" w:hAnsi="Arial" w:cs="Arial"/>
          <w:color w:val="222222"/>
          <w:sz w:val="24"/>
          <w:szCs w:val="24"/>
          <w:shd w:val="clear" w:color="auto" w:fill="FFFFFF"/>
        </w:rPr>
        <w:t>. Positivism is based on the principle that experience provides the foundation of all knowledge, therefore if it has not manifested into existence, it cannot be regarded as fact (Bryant, 1985)</w:t>
      </w:r>
      <w:r w:rsidRPr="00917CFE">
        <w:rPr>
          <w:rFonts w:ascii="Arial" w:hAnsi="Arial" w:cs="Arial"/>
          <w:sz w:val="24"/>
          <w:szCs w:val="24"/>
        </w:rPr>
        <w:t>.  This in turn means that if knowledge is based solely on observable fact, it negates personal feelings of the respondents (Javed, 2008), which could provide avenues not otherwise considered.</w:t>
      </w:r>
    </w:p>
    <w:p w:rsidR="00917CFE" w:rsidRPr="00917CFE" w:rsidRDefault="00917CFE" w:rsidP="00917CFE">
      <w:pPr>
        <w:spacing w:line="360" w:lineRule="auto"/>
        <w:rPr>
          <w:rFonts w:ascii="Arial" w:hAnsi="Arial" w:cs="Arial"/>
          <w:sz w:val="24"/>
          <w:szCs w:val="24"/>
        </w:rPr>
      </w:pPr>
    </w:p>
    <w:p w:rsidR="00917CFE" w:rsidRPr="00917CFE" w:rsidRDefault="00917CFE" w:rsidP="00917CFE">
      <w:pPr>
        <w:spacing w:line="360" w:lineRule="auto"/>
        <w:rPr>
          <w:rFonts w:ascii="Arial" w:hAnsi="Arial" w:cs="Arial"/>
          <w:sz w:val="24"/>
          <w:szCs w:val="24"/>
        </w:rPr>
      </w:pPr>
      <w:r w:rsidRPr="00917CFE">
        <w:rPr>
          <w:rFonts w:ascii="Arial" w:hAnsi="Arial" w:cs="Arial"/>
          <w:sz w:val="24"/>
          <w:szCs w:val="24"/>
        </w:rPr>
        <w:lastRenderedPageBreak/>
        <w:t xml:space="preserve">Freud stated that there is a clash between human instinct and civilised values  </w:t>
      </w:r>
      <w:sdt>
        <w:sdtPr>
          <w:rPr>
            <w:rFonts w:ascii="Arial" w:hAnsi="Arial" w:cs="Arial"/>
            <w:sz w:val="24"/>
            <w:szCs w:val="24"/>
          </w:rPr>
          <w:id w:val="994832387"/>
          <w:citation/>
        </w:sdtPr>
        <w:sdtContent>
          <w:r w:rsidRPr="00917CFE">
            <w:rPr>
              <w:rFonts w:ascii="Arial" w:hAnsi="Arial" w:cs="Arial"/>
              <w:sz w:val="24"/>
              <w:szCs w:val="24"/>
            </w:rPr>
            <w:fldChar w:fldCharType="begin"/>
          </w:r>
          <w:r w:rsidRPr="00917CFE">
            <w:rPr>
              <w:rFonts w:ascii="Arial" w:hAnsi="Arial" w:cs="Arial"/>
              <w:sz w:val="24"/>
              <w:szCs w:val="24"/>
            </w:rPr>
            <w:instrText xml:space="preserve"> CITATION Fre57 \l 2057 </w:instrText>
          </w:r>
          <w:r w:rsidRPr="00917CFE">
            <w:rPr>
              <w:rFonts w:ascii="Arial" w:hAnsi="Arial" w:cs="Arial"/>
              <w:sz w:val="24"/>
              <w:szCs w:val="24"/>
            </w:rPr>
            <w:fldChar w:fldCharType="separate"/>
          </w:r>
          <w:r w:rsidRPr="00917CFE">
            <w:rPr>
              <w:rFonts w:ascii="Arial" w:hAnsi="Arial" w:cs="Arial"/>
              <w:noProof/>
              <w:sz w:val="24"/>
              <w:szCs w:val="24"/>
            </w:rPr>
            <w:t>(Freud, 1957)</w:t>
          </w:r>
          <w:r w:rsidRPr="00917CFE">
            <w:rPr>
              <w:rFonts w:ascii="Arial" w:hAnsi="Arial" w:cs="Arial"/>
              <w:sz w:val="24"/>
              <w:szCs w:val="24"/>
            </w:rPr>
            <w:fldChar w:fldCharType="end"/>
          </w:r>
        </w:sdtContent>
      </w:sdt>
      <w:r w:rsidRPr="00917CFE">
        <w:rPr>
          <w:rFonts w:ascii="Arial" w:hAnsi="Arial" w:cs="Arial"/>
          <w:sz w:val="24"/>
          <w:szCs w:val="24"/>
        </w:rPr>
        <w:t xml:space="preserve">, if this is correct, positivism would not be a suitable philosophy to adopt within this research as without the public’s instinctive thought processes and opinion, it cannot be established whether changes are required to respond to those in crisis, therefore upholding possibly outdated societal values.  Had the research been solely to identify statistically who currently attends these calls, it may have been more appropriate. </w:t>
      </w:r>
    </w:p>
    <w:p w:rsidR="00917CFE" w:rsidRPr="00917CFE" w:rsidRDefault="00917CFE" w:rsidP="00917CFE">
      <w:pPr>
        <w:spacing w:line="360" w:lineRule="auto"/>
        <w:rPr>
          <w:rFonts w:ascii="Arial" w:hAnsi="Arial" w:cs="Arial"/>
          <w:sz w:val="24"/>
          <w:szCs w:val="24"/>
        </w:rPr>
      </w:pPr>
    </w:p>
    <w:p w:rsidR="00917CFE" w:rsidRPr="00917CFE" w:rsidRDefault="00917CFE" w:rsidP="00917CFE">
      <w:pPr>
        <w:spacing w:line="360" w:lineRule="auto"/>
        <w:rPr>
          <w:rFonts w:ascii="Arial" w:hAnsi="Arial" w:cs="Arial"/>
          <w:b/>
          <w:bCs/>
          <w:color w:val="222222"/>
          <w:sz w:val="24"/>
          <w:szCs w:val="24"/>
          <w:shd w:val="clear" w:color="auto" w:fill="FFFFFF"/>
        </w:rPr>
      </w:pPr>
    </w:p>
    <w:p w:rsidR="00917CFE" w:rsidRPr="00917CFE" w:rsidRDefault="00917CFE" w:rsidP="00917CFE">
      <w:pPr>
        <w:spacing w:line="360" w:lineRule="auto"/>
        <w:rPr>
          <w:rFonts w:ascii="Arial" w:hAnsi="Arial" w:cs="Arial"/>
          <w:color w:val="222222"/>
          <w:sz w:val="24"/>
          <w:szCs w:val="24"/>
          <w:shd w:val="clear" w:color="auto" w:fill="FFFFFF"/>
        </w:rPr>
      </w:pPr>
      <w:r w:rsidRPr="00917CFE">
        <w:rPr>
          <w:rFonts w:ascii="Arial" w:hAnsi="Arial" w:cs="Arial"/>
          <w:color w:val="222222"/>
          <w:sz w:val="24"/>
          <w:szCs w:val="24"/>
          <w:shd w:val="clear" w:color="auto" w:fill="FFFFFF"/>
        </w:rPr>
        <w:t xml:space="preserve">Interpretivism research philosophy encompasses </w:t>
      </w:r>
      <w:r w:rsidRPr="00917CFE">
        <w:rPr>
          <w:rFonts w:ascii="Arial" w:hAnsi="Arial" w:cs="Arial"/>
          <w:color w:val="222222"/>
          <w:sz w:val="24"/>
          <w:szCs w:val="24"/>
          <w:shd w:val="clear" w:color="auto" w:fill="FFFFFF"/>
        </w:rPr>
        <w:t>participant’s</w:t>
      </w:r>
      <w:r w:rsidRPr="00917CFE">
        <w:rPr>
          <w:rFonts w:ascii="Arial" w:hAnsi="Arial" w:cs="Arial"/>
          <w:color w:val="222222"/>
          <w:sz w:val="24"/>
          <w:szCs w:val="24"/>
          <w:shd w:val="clear" w:color="auto" w:fill="FFFFFF"/>
        </w:rPr>
        <w:t xml:space="preserve"> character and accepts that each person’s perception of reality is subjective based on social construct (Chowdhury, 2014). The theory that individuals are guided by their opinion more so than actions, dates back to ancient Greek philosopher Epictetus </w:t>
      </w:r>
      <w:sdt>
        <w:sdtPr>
          <w:rPr>
            <w:rFonts w:ascii="Arial" w:hAnsi="Arial" w:cs="Arial"/>
            <w:color w:val="222222"/>
            <w:sz w:val="24"/>
            <w:szCs w:val="24"/>
            <w:shd w:val="clear" w:color="auto" w:fill="FFFFFF"/>
          </w:rPr>
          <w:id w:val="-70125715"/>
          <w:citation/>
        </w:sdtPr>
        <w:sdtContent>
          <w:r w:rsidRPr="00917CFE">
            <w:rPr>
              <w:rFonts w:ascii="Arial" w:hAnsi="Arial" w:cs="Arial"/>
              <w:color w:val="222222"/>
              <w:sz w:val="24"/>
              <w:szCs w:val="24"/>
              <w:shd w:val="clear" w:color="auto" w:fill="FFFFFF"/>
            </w:rPr>
            <w:fldChar w:fldCharType="begin"/>
          </w:r>
          <w:r w:rsidRPr="00917CFE">
            <w:rPr>
              <w:rFonts w:ascii="Arial" w:hAnsi="Arial" w:cs="Arial"/>
              <w:color w:val="222222"/>
              <w:sz w:val="24"/>
              <w:szCs w:val="24"/>
              <w:shd w:val="clear" w:color="auto" w:fill="FFFFFF"/>
            </w:rPr>
            <w:instrText xml:space="preserve"> CITATION Mer95 \l 2057 </w:instrText>
          </w:r>
          <w:r w:rsidRPr="00917CFE">
            <w:rPr>
              <w:rFonts w:ascii="Arial" w:hAnsi="Arial" w:cs="Arial"/>
              <w:color w:val="222222"/>
              <w:sz w:val="24"/>
              <w:szCs w:val="24"/>
              <w:shd w:val="clear" w:color="auto" w:fill="FFFFFF"/>
            </w:rPr>
            <w:fldChar w:fldCharType="separate"/>
          </w:r>
          <w:r w:rsidRPr="00917CFE">
            <w:rPr>
              <w:rFonts w:ascii="Arial" w:hAnsi="Arial" w:cs="Arial"/>
              <w:noProof/>
              <w:color w:val="222222"/>
              <w:sz w:val="24"/>
              <w:szCs w:val="24"/>
              <w:shd w:val="clear" w:color="auto" w:fill="FFFFFF"/>
            </w:rPr>
            <w:t>(Merton, 1995)</w:t>
          </w:r>
          <w:r w:rsidRPr="00917CFE">
            <w:rPr>
              <w:rFonts w:ascii="Arial" w:hAnsi="Arial" w:cs="Arial"/>
              <w:color w:val="222222"/>
              <w:sz w:val="24"/>
              <w:szCs w:val="24"/>
              <w:shd w:val="clear" w:color="auto" w:fill="FFFFFF"/>
            </w:rPr>
            <w:fldChar w:fldCharType="end"/>
          </w:r>
        </w:sdtContent>
      </w:sdt>
      <w:r w:rsidRPr="00917CFE">
        <w:rPr>
          <w:rFonts w:ascii="Arial" w:hAnsi="Arial" w:cs="Arial"/>
          <w:color w:val="222222"/>
          <w:sz w:val="24"/>
          <w:szCs w:val="24"/>
          <w:shd w:val="clear" w:color="auto" w:fill="FFFFFF"/>
        </w:rPr>
        <w:t xml:space="preserve"> and is re-affirmed by Freud’s 1957 statement regarding instinct versus values. </w:t>
      </w:r>
    </w:p>
    <w:p w:rsidR="00917CFE" w:rsidRPr="00917CFE" w:rsidRDefault="00917CFE" w:rsidP="00917CFE">
      <w:pPr>
        <w:spacing w:line="360" w:lineRule="auto"/>
        <w:rPr>
          <w:rFonts w:ascii="Arial" w:hAnsi="Arial" w:cs="Arial"/>
          <w:color w:val="000000"/>
          <w:sz w:val="24"/>
          <w:szCs w:val="24"/>
          <w:shd w:val="clear" w:color="auto" w:fill="FFFFFF"/>
        </w:rPr>
      </w:pPr>
    </w:p>
    <w:p w:rsidR="00917CFE" w:rsidRPr="00917CFE" w:rsidRDefault="00917CFE" w:rsidP="00917CFE">
      <w:pPr>
        <w:spacing w:line="360" w:lineRule="auto"/>
        <w:rPr>
          <w:rFonts w:ascii="Arial" w:hAnsi="Arial" w:cs="Arial"/>
          <w:sz w:val="24"/>
          <w:szCs w:val="24"/>
        </w:rPr>
      </w:pPr>
      <w:r w:rsidRPr="00917CFE">
        <w:rPr>
          <w:rFonts w:ascii="Arial" w:hAnsi="Arial" w:cs="Arial"/>
          <w:color w:val="000000"/>
          <w:sz w:val="24"/>
          <w:szCs w:val="24"/>
          <w:shd w:val="clear" w:color="auto" w:fill="FFFFFF"/>
        </w:rPr>
        <w:t xml:space="preserve">Interpretivism allows for the evolution of values and social construct within research, whilst the positivism approach allows no room for what could be based on societal want as it is not already in existence (Chowdhury, 2014). Interpretivism aims to acknowledge social reality based on experiences of its participants </w:t>
      </w:r>
      <w:sdt>
        <w:sdtPr>
          <w:rPr>
            <w:rFonts w:ascii="Arial" w:hAnsi="Arial" w:cs="Arial"/>
            <w:color w:val="000000"/>
            <w:sz w:val="24"/>
            <w:szCs w:val="24"/>
            <w:shd w:val="clear" w:color="auto" w:fill="FFFFFF"/>
          </w:rPr>
          <w:id w:val="1754551206"/>
          <w:citation/>
        </w:sdtPr>
        <w:sdtContent>
          <w:r w:rsidRPr="00917CFE">
            <w:rPr>
              <w:rFonts w:ascii="Arial" w:hAnsi="Arial" w:cs="Arial"/>
              <w:color w:val="000000"/>
              <w:sz w:val="24"/>
              <w:szCs w:val="24"/>
              <w:shd w:val="clear" w:color="auto" w:fill="FFFFFF"/>
            </w:rPr>
            <w:fldChar w:fldCharType="begin"/>
          </w:r>
          <w:r w:rsidRPr="00917CFE">
            <w:rPr>
              <w:rFonts w:ascii="Arial" w:hAnsi="Arial" w:cs="Arial"/>
              <w:color w:val="000000"/>
              <w:sz w:val="24"/>
              <w:szCs w:val="24"/>
              <w:shd w:val="clear" w:color="auto" w:fill="FFFFFF"/>
            </w:rPr>
            <w:instrText xml:space="preserve"> CITATION Hea99 \l 2057 </w:instrText>
          </w:r>
          <w:r w:rsidRPr="00917CFE">
            <w:rPr>
              <w:rFonts w:ascii="Arial" w:hAnsi="Arial" w:cs="Arial"/>
              <w:color w:val="000000"/>
              <w:sz w:val="24"/>
              <w:szCs w:val="24"/>
              <w:shd w:val="clear" w:color="auto" w:fill="FFFFFF"/>
            </w:rPr>
            <w:fldChar w:fldCharType="separate"/>
          </w:r>
          <w:r w:rsidRPr="00917CFE">
            <w:rPr>
              <w:rFonts w:ascii="Arial" w:hAnsi="Arial" w:cs="Arial"/>
              <w:noProof/>
              <w:color w:val="000000"/>
              <w:sz w:val="24"/>
              <w:szCs w:val="24"/>
              <w:shd w:val="clear" w:color="auto" w:fill="FFFFFF"/>
            </w:rPr>
            <w:t>(Heath &amp; Devine, 1999)</w:t>
          </w:r>
          <w:r w:rsidRPr="00917CFE">
            <w:rPr>
              <w:rFonts w:ascii="Arial" w:hAnsi="Arial" w:cs="Arial"/>
              <w:color w:val="000000"/>
              <w:sz w:val="24"/>
              <w:szCs w:val="24"/>
              <w:shd w:val="clear" w:color="auto" w:fill="FFFFFF"/>
            </w:rPr>
            <w:fldChar w:fldCharType="end"/>
          </w:r>
        </w:sdtContent>
      </w:sdt>
      <w:r w:rsidRPr="00917CFE">
        <w:rPr>
          <w:rFonts w:ascii="Arial" w:hAnsi="Arial" w:cs="Arial"/>
          <w:color w:val="000000"/>
          <w:sz w:val="24"/>
          <w:szCs w:val="24"/>
          <w:shd w:val="clear" w:color="auto" w:fill="FFFFFF"/>
        </w:rPr>
        <w:t>.</w:t>
      </w:r>
    </w:p>
    <w:p w:rsidR="00917CFE" w:rsidRPr="00917CFE" w:rsidRDefault="00917CFE" w:rsidP="00917CFE">
      <w:pPr>
        <w:spacing w:line="360" w:lineRule="auto"/>
        <w:rPr>
          <w:rFonts w:ascii="Arial" w:hAnsi="Arial" w:cs="Arial"/>
          <w:sz w:val="24"/>
          <w:szCs w:val="24"/>
        </w:rPr>
      </w:pPr>
    </w:p>
    <w:p w:rsidR="00917CFE" w:rsidRPr="00917CFE" w:rsidRDefault="00917CFE" w:rsidP="00917CFE">
      <w:pPr>
        <w:spacing w:line="360" w:lineRule="auto"/>
        <w:rPr>
          <w:rFonts w:ascii="Arial" w:hAnsi="Arial" w:cs="Arial"/>
          <w:color w:val="000000"/>
          <w:sz w:val="24"/>
          <w:szCs w:val="24"/>
          <w:shd w:val="clear" w:color="auto" w:fill="FFFFFF"/>
        </w:rPr>
      </w:pPr>
      <w:r w:rsidRPr="00917CFE">
        <w:rPr>
          <w:rFonts w:ascii="Arial" w:hAnsi="Arial" w:cs="Arial"/>
          <w:color w:val="000000"/>
          <w:sz w:val="24"/>
          <w:szCs w:val="24"/>
          <w:shd w:val="clear" w:color="auto" w:fill="FFFFFF"/>
        </w:rPr>
        <w:t xml:space="preserve">With such a diverse community within </w:t>
      </w:r>
      <w:r w:rsidRPr="00917CFE">
        <w:rPr>
          <w:rFonts w:ascii="Arial" w:hAnsi="Arial" w:cs="Arial"/>
          <w:color w:val="000000"/>
          <w:sz w:val="24"/>
          <w:szCs w:val="24"/>
          <w:shd w:val="clear" w:color="auto" w:fill="FFFFFF"/>
        </w:rPr>
        <w:t>the United Kingdom,</w:t>
      </w:r>
      <w:r w:rsidRPr="00917CFE">
        <w:rPr>
          <w:rFonts w:ascii="Arial" w:hAnsi="Arial" w:cs="Arial"/>
          <w:color w:val="000000"/>
          <w:sz w:val="24"/>
          <w:szCs w:val="24"/>
          <w:shd w:val="clear" w:color="auto" w:fill="FFFFFF"/>
        </w:rPr>
        <w:t xml:space="preserve"> adopting the </w:t>
      </w:r>
      <w:r w:rsidRPr="00917CFE">
        <w:rPr>
          <w:rFonts w:ascii="Arial" w:hAnsi="Arial" w:cs="Arial"/>
          <w:color w:val="000000"/>
          <w:sz w:val="24"/>
          <w:szCs w:val="24"/>
          <w:shd w:val="clear" w:color="auto" w:fill="FFFFFF"/>
        </w:rPr>
        <w:t>interpretivism</w:t>
      </w:r>
      <w:r w:rsidRPr="00917CFE">
        <w:rPr>
          <w:rFonts w:ascii="Arial" w:hAnsi="Arial" w:cs="Arial"/>
          <w:color w:val="000000"/>
          <w:sz w:val="24"/>
          <w:szCs w:val="24"/>
          <w:shd w:val="clear" w:color="auto" w:fill="FFFFFF"/>
        </w:rPr>
        <w:t xml:space="preserve"> philosophy for this project is essential to allow for an accurate view of societal expectations in the current time.  It will also eliminate prejudicial influence by the researcher allowing participants to authentically answer the </w:t>
      </w:r>
      <w:r w:rsidRPr="00917CFE">
        <w:rPr>
          <w:rFonts w:ascii="Arial" w:hAnsi="Arial" w:cs="Arial"/>
          <w:color w:val="000000"/>
          <w:sz w:val="24"/>
          <w:szCs w:val="24"/>
          <w:shd w:val="clear" w:color="auto" w:fill="FFFFFF"/>
        </w:rPr>
        <w:t>questions</w:t>
      </w:r>
      <w:r w:rsidRPr="00917CFE">
        <w:rPr>
          <w:rFonts w:ascii="Arial" w:hAnsi="Arial" w:cs="Arial"/>
          <w:color w:val="000000"/>
          <w:sz w:val="24"/>
          <w:szCs w:val="24"/>
          <w:shd w:val="clear" w:color="auto" w:fill="FFFFFF"/>
        </w:rPr>
        <w:t xml:space="preserve"> posed. </w:t>
      </w:r>
    </w:p>
    <w:p w:rsidR="00917CFE" w:rsidRPr="00917CFE" w:rsidRDefault="00917CFE" w:rsidP="00917CFE">
      <w:pPr>
        <w:spacing w:line="360" w:lineRule="auto"/>
        <w:rPr>
          <w:rFonts w:ascii="Arial" w:hAnsi="Arial" w:cs="Arial"/>
          <w:b/>
          <w:bCs/>
          <w:color w:val="FF0000"/>
          <w:sz w:val="24"/>
          <w:szCs w:val="24"/>
        </w:rPr>
      </w:pPr>
    </w:p>
    <w:p w:rsidR="00917CFE" w:rsidRPr="00917CFE" w:rsidRDefault="00917CFE" w:rsidP="00917CFE">
      <w:pPr>
        <w:spacing w:line="360" w:lineRule="auto"/>
        <w:rPr>
          <w:rFonts w:ascii="Arial" w:hAnsi="Arial" w:cs="Arial"/>
          <w:sz w:val="24"/>
          <w:szCs w:val="24"/>
        </w:rPr>
      </w:pPr>
      <w:r w:rsidRPr="00917CFE">
        <w:rPr>
          <w:rFonts w:ascii="Arial" w:hAnsi="Arial" w:cs="Arial"/>
          <w:sz w:val="24"/>
          <w:szCs w:val="24"/>
        </w:rPr>
        <w:t xml:space="preserve">For this project, two types of research were considered, inductive and deductive. Deductive is described as data collected based on existing theory in order to test it (O’Reilly, 2009) (Streefkerk, 2019).  In contrast to this, the inductive research approach aims to develop a theory (Streefklerk, 2019) with less risk of </w:t>
      </w:r>
      <w:r w:rsidRPr="00917CFE">
        <w:rPr>
          <w:rFonts w:ascii="Arial" w:hAnsi="Arial" w:cs="Arial"/>
          <w:sz w:val="24"/>
          <w:szCs w:val="24"/>
        </w:rPr>
        <w:lastRenderedPageBreak/>
        <w:t xml:space="preserve">preconceptions around existing theory </w:t>
      </w:r>
      <w:sdt>
        <w:sdtPr>
          <w:rPr>
            <w:rFonts w:ascii="Arial" w:hAnsi="Arial" w:cs="Arial"/>
            <w:sz w:val="24"/>
            <w:szCs w:val="24"/>
          </w:rPr>
          <w:id w:val="518212449"/>
          <w:citation/>
        </w:sdtPr>
        <w:sdtContent>
          <w:r w:rsidRPr="00917CFE">
            <w:rPr>
              <w:rFonts w:ascii="Arial" w:hAnsi="Arial" w:cs="Arial"/>
              <w:sz w:val="24"/>
              <w:szCs w:val="24"/>
            </w:rPr>
            <w:fldChar w:fldCharType="begin"/>
          </w:r>
          <w:r w:rsidRPr="00917CFE">
            <w:rPr>
              <w:rFonts w:ascii="Arial" w:hAnsi="Arial" w:cs="Arial"/>
              <w:sz w:val="24"/>
              <w:szCs w:val="24"/>
            </w:rPr>
            <w:instrText xml:space="preserve"> CITATION ORe09 \l 2057 </w:instrText>
          </w:r>
          <w:r w:rsidRPr="00917CFE">
            <w:rPr>
              <w:rFonts w:ascii="Arial" w:hAnsi="Arial" w:cs="Arial"/>
              <w:sz w:val="24"/>
              <w:szCs w:val="24"/>
            </w:rPr>
            <w:fldChar w:fldCharType="separate"/>
          </w:r>
          <w:r w:rsidRPr="00917CFE">
            <w:rPr>
              <w:rFonts w:ascii="Arial" w:hAnsi="Arial" w:cs="Arial"/>
              <w:noProof/>
              <w:sz w:val="24"/>
              <w:szCs w:val="24"/>
            </w:rPr>
            <w:t>(O'Reilly, 2009)</w:t>
          </w:r>
          <w:r w:rsidRPr="00917CFE">
            <w:rPr>
              <w:rFonts w:ascii="Arial" w:hAnsi="Arial" w:cs="Arial"/>
              <w:sz w:val="24"/>
              <w:szCs w:val="24"/>
            </w:rPr>
            <w:fldChar w:fldCharType="end"/>
          </w:r>
        </w:sdtContent>
      </w:sdt>
      <w:r w:rsidRPr="00917CFE">
        <w:rPr>
          <w:rFonts w:ascii="Arial" w:hAnsi="Arial" w:cs="Arial"/>
          <w:sz w:val="24"/>
          <w:szCs w:val="24"/>
        </w:rPr>
        <w:t xml:space="preserve">. In short Inductive research allows for new theories to be developed instead of testing existing ones. </w:t>
      </w:r>
    </w:p>
    <w:p w:rsidR="00917CFE" w:rsidRPr="00917CFE" w:rsidRDefault="00917CFE" w:rsidP="00917CFE">
      <w:pPr>
        <w:spacing w:line="360" w:lineRule="auto"/>
        <w:rPr>
          <w:rFonts w:ascii="Arial" w:hAnsi="Arial" w:cs="Arial"/>
          <w:sz w:val="24"/>
          <w:szCs w:val="24"/>
        </w:rPr>
      </w:pPr>
    </w:p>
    <w:p w:rsidR="00917CFE" w:rsidRPr="00917CFE" w:rsidRDefault="00917CFE" w:rsidP="00917CFE">
      <w:pPr>
        <w:spacing w:line="360" w:lineRule="auto"/>
        <w:rPr>
          <w:rFonts w:ascii="Arial" w:hAnsi="Arial" w:cs="Arial"/>
          <w:sz w:val="24"/>
          <w:szCs w:val="24"/>
        </w:rPr>
      </w:pPr>
      <w:r w:rsidRPr="00917CFE">
        <w:rPr>
          <w:rFonts w:ascii="Arial" w:hAnsi="Arial" w:cs="Arial"/>
          <w:sz w:val="24"/>
          <w:szCs w:val="24"/>
        </w:rPr>
        <w:t xml:space="preserve">Although it could be argued that deductive research may be applicable when considering the topic of mental health crisis response, there is a lack of confirmation of ownership from which to deduce data.  Therefore, by conducting research of an inductive nature, public desire and expectation can be accurately recorded, without influence of current misconceptions or prejudice.  This allows for recommendations to be made solely based on what the public want, which could be of great importance as all services are for the benefit of the public,. </w:t>
      </w:r>
    </w:p>
    <w:p w:rsidR="00917CFE" w:rsidRPr="00917CFE" w:rsidRDefault="00917CFE" w:rsidP="00917CFE">
      <w:pPr>
        <w:pStyle w:val="NormalWeb"/>
        <w:spacing w:line="360" w:lineRule="auto"/>
        <w:rPr>
          <w:rFonts w:ascii="Arial" w:hAnsi="Arial" w:cs="Arial"/>
          <w:color w:val="000000" w:themeColor="text1"/>
        </w:rPr>
      </w:pPr>
      <w:r w:rsidRPr="00917CFE">
        <w:rPr>
          <w:rFonts w:ascii="Arial" w:hAnsi="Arial" w:cs="Arial"/>
        </w:rPr>
        <w:t xml:space="preserve">The three common approaches to conducting research are quantitative, qualitative, and mixed methods </w:t>
      </w:r>
      <w:sdt>
        <w:sdtPr>
          <w:rPr>
            <w:rFonts w:ascii="Arial" w:hAnsi="Arial" w:cs="Arial"/>
            <w:color w:val="222222"/>
          </w:rPr>
          <w:id w:val="582024235"/>
          <w:citation/>
        </w:sdtPr>
        <w:sdtContent>
          <w:r w:rsidRPr="00917CFE">
            <w:rPr>
              <w:rFonts w:ascii="Arial" w:hAnsi="Arial" w:cs="Arial"/>
              <w:color w:val="222222"/>
            </w:rPr>
            <w:fldChar w:fldCharType="begin"/>
          </w:r>
          <w:r w:rsidRPr="00917CFE">
            <w:rPr>
              <w:rFonts w:ascii="Arial" w:hAnsi="Arial" w:cs="Arial"/>
              <w:color w:val="222222"/>
            </w:rPr>
            <w:instrText xml:space="preserve"> CITATION Alm16 \l 2057 </w:instrText>
          </w:r>
          <w:r w:rsidRPr="00917CFE">
            <w:rPr>
              <w:rFonts w:ascii="Arial" w:hAnsi="Arial" w:cs="Arial"/>
              <w:color w:val="222222"/>
            </w:rPr>
            <w:fldChar w:fldCharType="separate"/>
          </w:r>
          <w:r w:rsidRPr="00917CFE">
            <w:rPr>
              <w:rFonts w:ascii="Arial" w:hAnsi="Arial" w:cs="Arial"/>
              <w:noProof/>
              <w:color w:val="222222"/>
            </w:rPr>
            <w:t xml:space="preserve"> (Almalki, 2016)</w:t>
          </w:r>
          <w:r w:rsidRPr="00917CFE">
            <w:rPr>
              <w:rFonts w:ascii="Arial" w:hAnsi="Arial" w:cs="Arial"/>
              <w:color w:val="222222"/>
            </w:rPr>
            <w:fldChar w:fldCharType="end"/>
          </w:r>
        </w:sdtContent>
      </w:sdt>
      <w:r w:rsidRPr="00917CFE">
        <w:rPr>
          <w:rFonts w:ascii="Arial" w:hAnsi="Arial" w:cs="Arial"/>
          <w:color w:val="222222"/>
        </w:rPr>
        <w:t xml:space="preserve"> </w:t>
      </w:r>
      <w:r w:rsidRPr="00917CFE">
        <w:rPr>
          <w:rFonts w:ascii="Arial" w:hAnsi="Arial" w:cs="Arial"/>
          <w:color w:val="000000" w:themeColor="text1"/>
        </w:rPr>
        <w:t xml:space="preserve">of which all were considered. </w:t>
      </w:r>
    </w:p>
    <w:p w:rsidR="00917CFE" w:rsidRPr="00917CFE" w:rsidRDefault="00917CFE" w:rsidP="00917CFE">
      <w:pPr>
        <w:pStyle w:val="NormalWeb"/>
        <w:spacing w:line="360" w:lineRule="auto"/>
        <w:rPr>
          <w:rFonts w:ascii="Arial" w:hAnsi="Arial" w:cs="Arial"/>
          <w:color w:val="000000" w:themeColor="text1"/>
        </w:rPr>
      </w:pPr>
      <w:r w:rsidRPr="00917CFE">
        <w:rPr>
          <w:rFonts w:ascii="Arial" w:hAnsi="Arial" w:cs="Arial"/>
          <w:color w:val="000000" w:themeColor="text1"/>
        </w:rPr>
        <w:t xml:space="preserve">Quantitative research approach collects data of a numerical nature so that statistics may be used to support or disprove theories, actions or approaches (Williams, 2007). While Qualitative research focusses more on the collection of peoples experiences </w:t>
      </w:r>
      <w:sdt>
        <w:sdtPr>
          <w:rPr>
            <w:rFonts w:ascii="Arial" w:hAnsi="Arial" w:cs="Arial"/>
            <w:color w:val="000000" w:themeColor="text1"/>
          </w:rPr>
          <w:id w:val="-1974977054"/>
          <w:citation/>
        </w:sdtPr>
        <w:sdtContent>
          <w:r w:rsidRPr="00917CFE">
            <w:rPr>
              <w:rFonts w:ascii="Arial" w:hAnsi="Arial" w:cs="Arial"/>
              <w:color w:val="000000" w:themeColor="text1"/>
            </w:rPr>
            <w:fldChar w:fldCharType="begin"/>
          </w:r>
          <w:r w:rsidRPr="00917CFE">
            <w:rPr>
              <w:rFonts w:ascii="Arial" w:hAnsi="Arial" w:cs="Arial"/>
              <w:color w:val="000000" w:themeColor="text1"/>
            </w:rPr>
            <w:instrText xml:space="preserve"> CITATION Pol05 \l 2057 </w:instrText>
          </w:r>
          <w:r w:rsidRPr="00917CFE">
            <w:rPr>
              <w:rFonts w:ascii="Arial" w:hAnsi="Arial" w:cs="Arial"/>
              <w:color w:val="000000" w:themeColor="text1"/>
            </w:rPr>
            <w:fldChar w:fldCharType="separate"/>
          </w:r>
          <w:r w:rsidRPr="00917CFE">
            <w:rPr>
              <w:rFonts w:ascii="Arial" w:hAnsi="Arial" w:cs="Arial"/>
              <w:noProof/>
              <w:color w:val="000000" w:themeColor="text1"/>
            </w:rPr>
            <w:t>(Polkinghorne, 2005)</w:t>
          </w:r>
          <w:r w:rsidRPr="00917CFE">
            <w:rPr>
              <w:rFonts w:ascii="Arial" w:hAnsi="Arial" w:cs="Arial"/>
              <w:color w:val="000000" w:themeColor="text1"/>
            </w:rPr>
            <w:fldChar w:fldCharType="end"/>
          </w:r>
        </w:sdtContent>
      </w:sdt>
      <w:r w:rsidRPr="00917CFE">
        <w:rPr>
          <w:rFonts w:ascii="Arial" w:hAnsi="Arial" w:cs="Arial"/>
          <w:color w:val="000000" w:themeColor="text1"/>
        </w:rPr>
        <w:t>. A mixed method approach utilises both qualitative and quantitative research methods and has been said to provide more in-depth findings by combining experiences to provided numerical data (Almalki, 2016).</w:t>
      </w:r>
    </w:p>
    <w:p w:rsidR="00917CFE" w:rsidRPr="00917CFE" w:rsidRDefault="00917CFE" w:rsidP="00917CFE">
      <w:pPr>
        <w:pStyle w:val="NormalWeb"/>
        <w:spacing w:line="360" w:lineRule="auto"/>
        <w:rPr>
          <w:rFonts w:ascii="Arial" w:hAnsi="Arial" w:cs="Arial"/>
          <w:color w:val="000000" w:themeColor="text1"/>
        </w:rPr>
      </w:pPr>
      <w:r w:rsidRPr="00917CFE">
        <w:rPr>
          <w:rFonts w:ascii="Arial" w:hAnsi="Arial" w:cs="Arial"/>
          <w:color w:val="000000" w:themeColor="text1"/>
        </w:rPr>
        <w:t>Given the research project topic a mixed methods approach is intended so that a majority opinion can be categorised to establish a majority viewpoint. This way the quantitative data will be based solely on individual experience and the likelihood of prejudice is greatly reduced, while maintaining anonymity which could not be obtained through in-person interviews or other face to face methods. The numbers will be reflected on discovered fact as opposed to established working strategies in line with the interpretivism philosophy and inductive research type.  It had been decided, due to time constraints that the fastest way to achieve this research is through the form of an online survey.</w:t>
      </w:r>
    </w:p>
    <w:p w:rsidR="00917CFE" w:rsidRPr="00917CFE" w:rsidRDefault="00917CFE" w:rsidP="00917CFE">
      <w:pPr>
        <w:spacing w:line="360" w:lineRule="auto"/>
        <w:rPr>
          <w:rFonts w:ascii="Arial" w:hAnsi="Arial" w:cs="Arial"/>
          <w:sz w:val="24"/>
          <w:szCs w:val="24"/>
        </w:rPr>
      </w:pPr>
      <w:r w:rsidRPr="00917CFE">
        <w:rPr>
          <w:rFonts w:ascii="Arial" w:hAnsi="Arial" w:cs="Arial"/>
          <w:sz w:val="24"/>
          <w:szCs w:val="24"/>
        </w:rPr>
        <w:t xml:space="preserve">In doing ethnography in the form of an anonymous online survey the research will obtain insider perspective by targeting a specific group, in this case, all citizens who are entitled to the services discussed if and when required. Ethnography studies a </w:t>
      </w:r>
      <w:r w:rsidRPr="00917CFE">
        <w:rPr>
          <w:rFonts w:ascii="Arial" w:hAnsi="Arial" w:cs="Arial"/>
          <w:sz w:val="24"/>
          <w:szCs w:val="24"/>
        </w:rPr>
        <w:lastRenderedPageBreak/>
        <w:t xml:space="preserve">particular group in a bid to gain further understanding of perspectives, experiences and expectations </w:t>
      </w:r>
      <w:sdt>
        <w:sdtPr>
          <w:rPr>
            <w:rFonts w:ascii="Arial" w:hAnsi="Arial" w:cs="Arial"/>
            <w:sz w:val="24"/>
            <w:szCs w:val="24"/>
          </w:rPr>
          <w:id w:val="280689075"/>
          <w:citation/>
        </w:sdtPr>
        <w:sdtContent>
          <w:r w:rsidRPr="00917CFE">
            <w:rPr>
              <w:rFonts w:ascii="Arial" w:hAnsi="Arial" w:cs="Arial"/>
              <w:sz w:val="24"/>
              <w:szCs w:val="24"/>
            </w:rPr>
            <w:fldChar w:fldCharType="begin"/>
          </w:r>
          <w:r w:rsidRPr="00917CFE">
            <w:rPr>
              <w:rFonts w:ascii="Arial" w:hAnsi="Arial" w:cs="Arial"/>
              <w:sz w:val="24"/>
              <w:szCs w:val="24"/>
            </w:rPr>
            <w:instrText xml:space="preserve"> CITATION All17 \l 2057 </w:instrText>
          </w:r>
          <w:r w:rsidRPr="00917CFE">
            <w:rPr>
              <w:rFonts w:ascii="Arial" w:hAnsi="Arial" w:cs="Arial"/>
              <w:sz w:val="24"/>
              <w:szCs w:val="24"/>
            </w:rPr>
            <w:fldChar w:fldCharType="separate"/>
          </w:r>
          <w:r w:rsidRPr="00917CFE">
            <w:rPr>
              <w:rFonts w:ascii="Arial" w:hAnsi="Arial" w:cs="Arial"/>
              <w:noProof/>
              <w:sz w:val="24"/>
              <w:szCs w:val="24"/>
            </w:rPr>
            <w:t>(Allen, 2017)</w:t>
          </w:r>
          <w:r w:rsidRPr="00917CFE">
            <w:rPr>
              <w:rFonts w:ascii="Arial" w:hAnsi="Arial" w:cs="Arial"/>
              <w:sz w:val="24"/>
              <w:szCs w:val="24"/>
            </w:rPr>
            <w:fldChar w:fldCharType="end"/>
          </w:r>
        </w:sdtContent>
      </w:sdt>
      <w:r w:rsidRPr="00917CFE">
        <w:rPr>
          <w:rFonts w:ascii="Arial" w:hAnsi="Arial" w:cs="Arial"/>
          <w:sz w:val="24"/>
          <w:szCs w:val="24"/>
        </w:rPr>
        <w:t>. This approach will be utilised as it is most likely to meet the desired research requirements which is to establish who the public believe should respond to people in crisis.  If the findings do not align with current trends, causation can then be explored as a result.</w:t>
      </w:r>
    </w:p>
    <w:p w:rsidR="00917CFE" w:rsidRPr="00917CFE" w:rsidRDefault="00917CFE" w:rsidP="00917CFE">
      <w:pPr>
        <w:spacing w:line="360" w:lineRule="auto"/>
        <w:rPr>
          <w:rFonts w:ascii="Arial" w:hAnsi="Arial" w:cs="Arial"/>
          <w:sz w:val="24"/>
          <w:szCs w:val="24"/>
        </w:rPr>
      </w:pPr>
    </w:p>
    <w:p w:rsidR="00917CFE" w:rsidRPr="00917CFE" w:rsidRDefault="00917CFE" w:rsidP="00917CFE">
      <w:pPr>
        <w:spacing w:line="360" w:lineRule="auto"/>
        <w:rPr>
          <w:rFonts w:ascii="Arial" w:hAnsi="Arial" w:cs="Arial"/>
          <w:sz w:val="24"/>
          <w:szCs w:val="24"/>
        </w:rPr>
      </w:pPr>
      <w:r w:rsidRPr="00917CFE">
        <w:rPr>
          <w:rFonts w:ascii="Arial" w:hAnsi="Arial" w:cs="Arial"/>
          <w:sz w:val="24"/>
          <w:szCs w:val="24"/>
        </w:rPr>
        <w:t xml:space="preserve">Due to the time limitations set, the research is unable to be longitudinal, and assessed over various points in time.  However by completing the research at this singular point in time, from a cross sectional perspective, it would provide a starting point for future research to be conducted which can assess and compare between now and then and whether views on responding services have changed. The obvious limitation identified is that, due to the research being conducted anonymously, participants cannot be contacted for future study.  However, on the basis this research is intended to be focussed on public opinion, it can be argued that any member of the public, regardless of their participation in this research would contribute valuable perspective. </w:t>
      </w:r>
    </w:p>
    <w:p w:rsidR="00917CFE" w:rsidRPr="00917CFE" w:rsidRDefault="00917CFE" w:rsidP="00917CFE">
      <w:pPr>
        <w:spacing w:line="360" w:lineRule="auto"/>
        <w:rPr>
          <w:rFonts w:ascii="Arial" w:hAnsi="Arial" w:cs="Arial"/>
          <w:sz w:val="24"/>
          <w:szCs w:val="24"/>
        </w:rPr>
      </w:pPr>
    </w:p>
    <w:p w:rsidR="00917CFE" w:rsidRPr="00917CFE" w:rsidRDefault="00917CFE" w:rsidP="00917CFE">
      <w:pPr>
        <w:spacing w:line="360" w:lineRule="auto"/>
        <w:rPr>
          <w:rFonts w:ascii="Arial" w:hAnsi="Arial" w:cs="Arial"/>
          <w:sz w:val="24"/>
          <w:szCs w:val="24"/>
        </w:rPr>
      </w:pPr>
      <w:r w:rsidRPr="00917CFE">
        <w:rPr>
          <w:rFonts w:ascii="Arial" w:hAnsi="Arial" w:cs="Arial"/>
          <w:sz w:val="24"/>
          <w:szCs w:val="24"/>
        </w:rPr>
        <w:t>Considering the sample strategy, there were two options considered, probability sampling and non-probability sampling.  Probability Sampling is a random selection or chance participation which allows for a generalisation of the larger population</w:t>
      </w:r>
      <w:sdt>
        <w:sdtPr>
          <w:rPr>
            <w:rFonts w:ascii="Arial" w:hAnsi="Arial" w:cs="Arial"/>
            <w:sz w:val="24"/>
            <w:szCs w:val="24"/>
          </w:rPr>
          <w:id w:val="-1466268028"/>
          <w:citation/>
        </w:sdtPr>
        <w:sdtContent>
          <w:r w:rsidRPr="00917CFE">
            <w:rPr>
              <w:rFonts w:ascii="Arial" w:hAnsi="Arial" w:cs="Arial"/>
              <w:sz w:val="24"/>
              <w:szCs w:val="24"/>
            </w:rPr>
            <w:fldChar w:fldCharType="begin"/>
          </w:r>
          <w:r w:rsidRPr="00917CFE">
            <w:rPr>
              <w:rFonts w:ascii="Arial" w:hAnsi="Arial" w:cs="Arial"/>
              <w:sz w:val="24"/>
              <w:szCs w:val="24"/>
            </w:rPr>
            <w:instrText xml:space="preserve"> CITATION Ach13 \l 2057 </w:instrText>
          </w:r>
          <w:r w:rsidRPr="00917CFE">
            <w:rPr>
              <w:rFonts w:ascii="Arial" w:hAnsi="Arial" w:cs="Arial"/>
              <w:sz w:val="24"/>
              <w:szCs w:val="24"/>
            </w:rPr>
            <w:fldChar w:fldCharType="separate"/>
          </w:r>
          <w:r w:rsidRPr="00917CFE">
            <w:rPr>
              <w:rFonts w:ascii="Arial" w:hAnsi="Arial" w:cs="Arial"/>
              <w:noProof/>
              <w:sz w:val="24"/>
              <w:szCs w:val="24"/>
            </w:rPr>
            <w:t xml:space="preserve"> (Acharya, et al., 2013)</w:t>
          </w:r>
          <w:r w:rsidRPr="00917CFE">
            <w:rPr>
              <w:rFonts w:ascii="Arial" w:hAnsi="Arial" w:cs="Arial"/>
              <w:sz w:val="24"/>
              <w:szCs w:val="24"/>
            </w:rPr>
            <w:fldChar w:fldCharType="end"/>
          </w:r>
        </w:sdtContent>
      </w:sdt>
      <w:r w:rsidRPr="00917CFE">
        <w:rPr>
          <w:rFonts w:ascii="Arial" w:hAnsi="Arial" w:cs="Arial"/>
          <w:sz w:val="24"/>
          <w:szCs w:val="24"/>
        </w:rPr>
        <w:t xml:space="preserve"> whereas Non-probability sampling targets a specific area, elim</w:t>
      </w:r>
      <w:r w:rsidR="00BB604E">
        <w:rPr>
          <w:rFonts w:ascii="Arial" w:hAnsi="Arial" w:cs="Arial"/>
          <w:sz w:val="24"/>
          <w:szCs w:val="24"/>
        </w:rPr>
        <w:t>in</w:t>
      </w:r>
      <w:r w:rsidRPr="00917CFE">
        <w:rPr>
          <w:rFonts w:ascii="Arial" w:hAnsi="Arial" w:cs="Arial"/>
          <w:sz w:val="24"/>
          <w:szCs w:val="24"/>
        </w:rPr>
        <w:t xml:space="preserve">ating the chance or opportunity for a wider audience to be reached or to rule them out </w:t>
      </w:r>
      <w:sdt>
        <w:sdtPr>
          <w:rPr>
            <w:rFonts w:ascii="Arial" w:hAnsi="Arial" w:cs="Arial"/>
            <w:sz w:val="24"/>
            <w:szCs w:val="24"/>
          </w:rPr>
          <w:id w:val="-823201581"/>
          <w:citation/>
        </w:sdtPr>
        <w:sdtContent>
          <w:r w:rsidRPr="00917CFE">
            <w:rPr>
              <w:rFonts w:ascii="Arial" w:hAnsi="Arial" w:cs="Arial"/>
              <w:sz w:val="24"/>
              <w:szCs w:val="24"/>
            </w:rPr>
            <w:fldChar w:fldCharType="begin"/>
          </w:r>
          <w:r w:rsidRPr="00917CFE">
            <w:rPr>
              <w:rFonts w:ascii="Arial" w:hAnsi="Arial" w:cs="Arial"/>
              <w:sz w:val="24"/>
              <w:szCs w:val="24"/>
            </w:rPr>
            <w:instrText xml:space="preserve"> CITATION Veh16 \l 2057 </w:instrText>
          </w:r>
          <w:r w:rsidRPr="00917CFE">
            <w:rPr>
              <w:rFonts w:ascii="Arial" w:hAnsi="Arial" w:cs="Arial"/>
              <w:sz w:val="24"/>
              <w:szCs w:val="24"/>
            </w:rPr>
            <w:fldChar w:fldCharType="separate"/>
          </w:r>
          <w:r w:rsidRPr="00917CFE">
            <w:rPr>
              <w:rFonts w:ascii="Arial" w:hAnsi="Arial" w:cs="Arial"/>
              <w:noProof/>
              <w:sz w:val="24"/>
              <w:szCs w:val="24"/>
            </w:rPr>
            <w:t>(Vehovar, et al., 2016)</w:t>
          </w:r>
          <w:r w:rsidRPr="00917CFE">
            <w:rPr>
              <w:rFonts w:ascii="Arial" w:hAnsi="Arial" w:cs="Arial"/>
              <w:sz w:val="24"/>
              <w:szCs w:val="24"/>
            </w:rPr>
            <w:fldChar w:fldCharType="end"/>
          </w:r>
        </w:sdtContent>
      </w:sdt>
      <w:r w:rsidRPr="00917CFE">
        <w:rPr>
          <w:rFonts w:ascii="Arial" w:hAnsi="Arial" w:cs="Arial"/>
          <w:sz w:val="24"/>
          <w:szCs w:val="24"/>
        </w:rPr>
        <w:t xml:space="preserve">. </w:t>
      </w:r>
    </w:p>
    <w:p w:rsidR="00917CFE" w:rsidRPr="00917CFE" w:rsidRDefault="00917CFE" w:rsidP="00917CFE">
      <w:pPr>
        <w:spacing w:line="360" w:lineRule="auto"/>
        <w:rPr>
          <w:rFonts w:ascii="Arial" w:hAnsi="Arial" w:cs="Arial"/>
          <w:sz w:val="24"/>
          <w:szCs w:val="24"/>
        </w:rPr>
      </w:pPr>
    </w:p>
    <w:p w:rsidR="00917CFE" w:rsidRPr="00917CFE" w:rsidRDefault="00917CFE" w:rsidP="00917CFE">
      <w:pPr>
        <w:spacing w:line="360" w:lineRule="auto"/>
        <w:rPr>
          <w:rFonts w:ascii="Arial" w:hAnsi="Arial" w:cs="Arial"/>
          <w:sz w:val="24"/>
          <w:szCs w:val="24"/>
        </w:rPr>
      </w:pPr>
      <w:r w:rsidRPr="00917CFE">
        <w:rPr>
          <w:rFonts w:ascii="Arial" w:hAnsi="Arial" w:cs="Arial"/>
          <w:sz w:val="24"/>
          <w:szCs w:val="24"/>
        </w:rPr>
        <w:t xml:space="preserve">Despite the benefits of experience provided by police officers or other workers in the public services, this research is intended to ascertain who, as a service user, the public believe would be better suited to provide the response and care required for someone in a mental health crisis.  For this purpose, a probability sampling method will be utilised, in a bid to reach as many members of the community, regardless of working experience.  A non-probability sample of police officers alone would provide a bias perceptive response to the questions, despite possibly being the more </w:t>
      </w:r>
      <w:r w:rsidRPr="00917CFE">
        <w:rPr>
          <w:rFonts w:ascii="Arial" w:hAnsi="Arial" w:cs="Arial"/>
          <w:sz w:val="24"/>
          <w:szCs w:val="24"/>
        </w:rPr>
        <w:lastRenderedPageBreak/>
        <w:t xml:space="preserve">convenient option given the time limitations. Although this cannot be eliminated completely, by including people from all walks of life and varying experiences the responses are more able to be generalised. </w:t>
      </w:r>
    </w:p>
    <w:p w:rsidR="00917CFE" w:rsidRPr="00917CFE" w:rsidRDefault="00917CFE" w:rsidP="00917CFE">
      <w:pPr>
        <w:spacing w:line="360" w:lineRule="auto"/>
        <w:rPr>
          <w:rFonts w:ascii="Arial" w:hAnsi="Arial" w:cs="Arial"/>
          <w:sz w:val="24"/>
          <w:szCs w:val="24"/>
        </w:rPr>
      </w:pPr>
    </w:p>
    <w:p w:rsidR="00917CFE" w:rsidRPr="00917CFE" w:rsidRDefault="00917CFE" w:rsidP="00917CFE">
      <w:pPr>
        <w:spacing w:line="360" w:lineRule="auto"/>
        <w:rPr>
          <w:rFonts w:ascii="Arial" w:hAnsi="Arial" w:cs="Arial"/>
          <w:sz w:val="24"/>
          <w:szCs w:val="24"/>
        </w:rPr>
      </w:pPr>
      <w:r w:rsidRPr="00917CFE">
        <w:rPr>
          <w:rFonts w:ascii="Arial" w:hAnsi="Arial" w:cs="Arial"/>
          <w:sz w:val="24"/>
          <w:szCs w:val="24"/>
        </w:rPr>
        <w:t xml:space="preserve">Upon completion of the survey, each response will be categorised in to those with experience in mental health both personally and professionally and those who have not to establish thoughts on system as it is. This will provide an overview on general consensus from those who know the system and those who do not.  Regardless of experience I will ask who in their opinion would be the most appropriate professional to provide the immediate care of a person in mental health crisis. </w:t>
      </w:r>
    </w:p>
    <w:p w:rsidR="00917CFE" w:rsidRPr="00917CFE" w:rsidRDefault="00917CFE" w:rsidP="00917CFE">
      <w:pPr>
        <w:spacing w:line="360" w:lineRule="auto"/>
        <w:rPr>
          <w:rFonts w:ascii="Arial" w:hAnsi="Arial" w:cs="Arial"/>
          <w:sz w:val="24"/>
          <w:szCs w:val="24"/>
        </w:rPr>
      </w:pPr>
      <w:r w:rsidRPr="00917CFE">
        <w:rPr>
          <w:rFonts w:ascii="Arial" w:hAnsi="Arial" w:cs="Arial"/>
          <w:sz w:val="24"/>
          <w:szCs w:val="24"/>
        </w:rPr>
        <w:t xml:space="preserve"> </w:t>
      </w:r>
    </w:p>
    <w:p w:rsidR="00917CFE" w:rsidRPr="00917CFE" w:rsidRDefault="00917CFE" w:rsidP="00917CFE">
      <w:pPr>
        <w:spacing w:line="360" w:lineRule="auto"/>
        <w:rPr>
          <w:rFonts w:ascii="Arial" w:hAnsi="Arial" w:cs="Arial"/>
          <w:sz w:val="24"/>
          <w:szCs w:val="24"/>
        </w:rPr>
      </w:pPr>
      <w:r w:rsidRPr="00917CFE">
        <w:rPr>
          <w:rFonts w:ascii="Arial" w:hAnsi="Arial" w:cs="Arial"/>
          <w:sz w:val="24"/>
          <w:szCs w:val="24"/>
        </w:rPr>
        <w:t>Free text a</w:t>
      </w:r>
      <w:r w:rsidRPr="00917CFE">
        <w:rPr>
          <w:rFonts w:ascii="Arial" w:hAnsi="Arial" w:cs="Arial"/>
          <w:sz w:val="24"/>
          <w:szCs w:val="24"/>
        </w:rPr>
        <w:t xml:space="preserve">nswers will then be combined to highlight trends </w:t>
      </w:r>
      <w:r w:rsidRPr="00917CFE">
        <w:rPr>
          <w:rFonts w:ascii="Arial" w:hAnsi="Arial" w:cs="Arial"/>
          <w:sz w:val="24"/>
          <w:szCs w:val="24"/>
        </w:rPr>
        <w:t>in order to</w:t>
      </w:r>
      <w:r w:rsidRPr="00917CFE">
        <w:rPr>
          <w:rFonts w:ascii="Arial" w:hAnsi="Arial" w:cs="Arial"/>
          <w:sz w:val="24"/>
          <w:szCs w:val="24"/>
        </w:rPr>
        <w:t xml:space="preserve"> qu</w:t>
      </w:r>
      <w:r w:rsidRPr="00917CFE">
        <w:rPr>
          <w:rFonts w:ascii="Arial" w:hAnsi="Arial" w:cs="Arial"/>
          <w:sz w:val="24"/>
          <w:szCs w:val="24"/>
        </w:rPr>
        <w:t>antify them as results using</w:t>
      </w:r>
      <w:r w:rsidRPr="00917CFE">
        <w:rPr>
          <w:rFonts w:ascii="Arial" w:hAnsi="Arial" w:cs="Arial"/>
          <w:sz w:val="24"/>
          <w:szCs w:val="24"/>
        </w:rPr>
        <w:t xml:space="preserve"> percentages</w:t>
      </w:r>
      <w:r w:rsidRPr="00917CFE">
        <w:rPr>
          <w:rFonts w:ascii="Arial" w:hAnsi="Arial" w:cs="Arial"/>
          <w:sz w:val="24"/>
          <w:szCs w:val="24"/>
        </w:rPr>
        <w:t xml:space="preserve"> to </w:t>
      </w:r>
      <w:r w:rsidRPr="00917CFE">
        <w:rPr>
          <w:rFonts w:ascii="Arial" w:hAnsi="Arial" w:cs="Arial"/>
          <w:sz w:val="24"/>
          <w:szCs w:val="24"/>
        </w:rPr>
        <w:t>establish an overall consensus which can be broken down into further categories if re</w:t>
      </w:r>
      <w:r w:rsidRPr="00917CFE">
        <w:rPr>
          <w:rFonts w:ascii="Arial" w:hAnsi="Arial" w:cs="Arial"/>
          <w:sz w:val="24"/>
          <w:szCs w:val="24"/>
        </w:rPr>
        <w:t>quired.</w:t>
      </w:r>
    </w:p>
    <w:p w:rsidR="00917CFE" w:rsidRPr="00917CFE" w:rsidRDefault="00917CFE" w:rsidP="00917CFE">
      <w:pPr>
        <w:spacing w:line="360" w:lineRule="auto"/>
        <w:rPr>
          <w:rFonts w:ascii="Arial" w:hAnsi="Arial" w:cs="Arial"/>
          <w:sz w:val="24"/>
          <w:szCs w:val="24"/>
        </w:rPr>
      </w:pPr>
    </w:p>
    <w:p w:rsidR="00917CFE" w:rsidRPr="00917CFE" w:rsidRDefault="00917CFE" w:rsidP="00917CFE">
      <w:pPr>
        <w:spacing w:line="360" w:lineRule="auto"/>
        <w:rPr>
          <w:rFonts w:ascii="Arial" w:hAnsi="Arial" w:cs="Arial"/>
          <w:sz w:val="24"/>
          <w:szCs w:val="24"/>
        </w:rPr>
      </w:pPr>
      <w:r w:rsidRPr="00917CFE">
        <w:rPr>
          <w:rFonts w:ascii="Arial" w:hAnsi="Arial" w:cs="Arial"/>
          <w:sz w:val="24"/>
          <w:szCs w:val="24"/>
        </w:rPr>
        <w:t>Some limitations to the research have been identified and highlighted throughout this chapter, but the approach documented has been done so to minimise this as much as possible. The identified limitations have been documented to endure the research conducted remains transparent and ethical as much as possible.</w:t>
      </w:r>
    </w:p>
    <w:p w:rsidR="00917CFE" w:rsidRPr="00917CFE" w:rsidRDefault="00917CFE" w:rsidP="00917CFE">
      <w:pPr>
        <w:spacing w:line="360" w:lineRule="auto"/>
        <w:rPr>
          <w:rFonts w:ascii="Arial" w:hAnsi="Arial" w:cs="Arial"/>
          <w:sz w:val="24"/>
          <w:szCs w:val="24"/>
        </w:rPr>
      </w:pPr>
    </w:p>
    <w:p w:rsidR="00917CFE" w:rsidRPr="00917CFE" w:rsidRDefault="00917CFE" w:rsidP="00917CFE">
      <w:pPr>
        <w:spacing w:line="360" w:lineRule="auto"/>
        <w:rPr>
          <w:rFonts w:ascii="Arial" w:hAnsi="Arial" w:cs="Arial"/>
          <w:sz w:val="24"/>
          <w:szCs w:val="24"/>
        </w:rPr>
      </w:pPr>
      <w:r w:rsidRPr="00917CFE">
        <w:rPr>
          <w:rFonts w:ascii="Arial" w:hAnsi="Arial" w:cs="Arial"/>
          <w:sz w:val="24"/>
          <w:szCs w:val="24"/>
        </w:rPr>
        <w:t xml:space="preserve">Due to the nature of the study given time limitations, the number of participants will naturally be limited than if the study had many months or a year to collect the data required.   In a bid to overcome this, the link to the online survey will be shared with friends, family and colleagues with the request they too share the link to reach a more diverse audience that would not ordinarily be included. The anonymity of the survey allows for it to be completed ethically with no influence from the researcher. The researcher will not participate in the survey. The aim of reaching a wider audience provides value to the survey despite the limitations discussed. </w:t>
      </w:r>
    </w:p>
    <w:p w:rsidR="00917CFE" w:rsidRPr="00917CFE" w:rsidRDefault="00917CFE" w:rsidP="00917CFE">
      <w:pPr>
        <w:spacing w:line="360" w:lineRule="auto"/>
        <w:rPr>
          <w:rFonts w:ascii="Arial" w:hAnsi="Arial" w:cs="Arial"/>
          <w:sz w:val="24"/>
          <w:szCs w:val="24"/>
        </w:rPr>
      </w:pPr>
    </w:p>
    <w:p w:rsidR="00917CFE" w:rsidRDefault="00917CFE" w:rsidP="00917CFE">
      <w:pPr>
        <w:spacing w:line="360" w:lineRule="auto"/>
        <w:rPr>
          <w:rFonts w:ascii="Arial" w:hAnsi="Arial" w:cs="Arial"/>
        </w:rPr>
      </w:pPr>
      <w:r w:rsidRPr="00917CFE">
        <w:rPr>
          <w:rFonts w:ascii="Arial" w:hAnsi="Arial" w:cs="Arial"/>
          <w:sz w:val="24"/>
          <w:szCs w:val="24"/>
        </w:rPr>
        <w:lastRenderedPageBreak/>
        <w:t>To conclude, this research will be conducted with the intention of using the interpretivism philosophy and inductive theory to allow for mixed methods of ethnography over a 1 month period (cross sectional) with probability sampling of participants. These decisions have been made, despite some limitations, as they are believed to provide the most accurate feedback required to establish who</w:t>
      </w:r>
      <w:r w:rsidRPr="00917CFE">
        <w:rPr>
          <w:rFonts w:ascii="Arial" w:hAnsi="Arial" w:cs="Arial"/>
          <w:sz w:val="24"/>
          <w:szCs w:val="24"/>
        </w:rPr>
        <w:t xml:space="preserve"> the public in the United Kingdom b</w:t>
      </w:r>
      <w:r w:rsidRPr="00917CFE">
        <w:rPr>
          <w:rFonts w:ascii="Arial" w:hAnsi="Arial" w:cs="Arial"/>
          <w:sz w:val="24"/>
          <w:szCs w:val="24"/>
        </w:rPr>
        <w:t>elieve should provide the correct response and care to individuals suffering a mental health crisis.</w:t>
      </w:r>
      <w:r w:rsidRPr="00C05C73">
        <w:rPr>
          <w:rFonts w:ascii="Arial" w:hAnsi="Arial" w:cs="Arial"/>
        </w:rPr>
        <w:t xml:space="preserve"> </w:t>
      </w:r>
    </w:p>
    <w:p w:rsidR="00BB604E" w:rsidRPr="00BB604E" w:rsidRDefault="00BB604E" w:rsidP="00917CFE">
      <w:pPr>
        <w:spacing w:line="360" w:lineRule="auto"/>
        <w:rPr>
          <w:rFonts w:ascii="Arial" w:hAnsi="Arial" w:cs="Arial"/>
          <w:b/>
          <w:sz w:val="24"/>
          <w:szCs w:val="24"/>
          <w:u w:val="single"/>
        </w:rPr>
      </w:pPr>
      <w:r w:rsidRPr="00BB604E">
        <w:rPr>
          <w:rFonts w:ascii="Arial" w:hAnsi="Arial" w:cs="Arial"/>
          <w:b/>
          <w:sz w:val="24"/>
          <w:szCs w:val="24"/>
          <w:u w:val="single"/>
        </w:rPr>
        <w:t>Word Count:</w:t>
      </w:r>
      <w:r>
        <w:rPr>
          <w:rFonts w:ascii="Arial" w:hAnsi="Arial" w:cs="Arial"/>
          <w:b/>
          <w:sz w:val="24"/>
          <w:szCs w:val="24"/>
          <w:u w:val="single"/>
        </w:rPr>
        <w:t xml:space="preserve"> 1580</w:t>
      </w:r>
      <w:bookmarkStart w:id="0" w:name="_GoBack"/>
      <w:bookmarkEnd w:id="0"/>
    </w:p>
    <w:p w:rsidR="00391B58" w:rsidRPr="00BB604E" w:rsidRDefault="00293F7D">
      <w:pPr>
        <w:rPr>
          <w:rFonts w:ascii="Arial" w:hAnsi="Arial" w:cs="Arial"/>
          <w:b/>
          <w:sz w:val="24"/>
          <w:szCs w:val="24"/>
          <w:u w:val="single"/>
        </w:rPr>
      </w:pPr>
      <w:r w:rsidRPr="00BB604E">
        <w:rPr>
          <w:rFonts w:ascii="Arial" w:hAnsi="Arial" w:cs="Arial"/>
          <w:b/>
          <w:sz w:val="24"/>
          <w:szCs w:val="24"/>
          <w:u w:val="single"/>
        </w:rPr>
        <w:t>References:</w:t>
      </w:r>
    </w:p>
    <w:p w:rsidR="00293F7D" w:rsidRPr="00293F7D" w:rsidRDefault="00293F7D" w:rsidP="00293F7D">
      <w:pPr>
        <w:spacing w:after="0" w:line="240" w:lineRule="auto"/>
        <w:rPr>
          <w:rFonts w:ascii="Arial" w:eastAsia="Times New Roman" w:hAnsi="Arial" w:cs="Arial"/>
          <w:color w:val="000000"/>
          <w:sz w:val="24"/>
          <w:szCs w:val="24"/>
          <w:lang w:eastAsia="en-GB"/>
        </w:rPr>
      </w:pPr>
      <w:r w:rsidRPr="00293F7D">
        <w:rPr>
          <w:rFonts w:ascii="Arial" w:eastAsia="Times New Roman" w:hAnsi="Arial" w:cs="Arial"/>
          <w:color w:val="000000"/>
          <w:sz w:val="24"/>
          <w:szCs w:val="24"/>
          <w:lang w:val="en-US" w:eastAsia="en-GB"/>
        </w:rPr>
        <w:t>Acharya, A. S., Prakash, A., Saxena, P. &amp; Nigum, A., 2013. Symposium. </w:t>
      </w:r>
      <w:r w:rsidRPr="00293F7D">
        <w:rPr>
          <w:rFonts w:ascii="Arial" w:eastAsia="Times New Roman" w:hAnsi="Arial" w:cs="Arial"/>
          <w:i/>
          <w:iCs/>
          <w:color w:val="000000"/>
          <w:sz w:val="24"/>
          <w:szCs w:val="24"/>
          <w:lang w:val="en-US" w:eastAsia="en-GB"/>
        </w:rPr>
        <w:t>Indian journal of medical specialities, </w:t>
      </w:r>
      <w:r w:rsidRPr="00293F7D">
        <w:rPr>
          <w:rFonts w:ascii="Arial" w:eastAsia="Times New Roman" w:hAnsi="Arial" w:cs="Arial"/>
          <w:color w:val="000000"/>
          <w:sz w:val="24"/>
          <w:szCs w:val="24"/>
          <w:lang w:val="en-US" w:eastAsia="en-GB"/>
        </w:rPr>
        <w:t>4(2), pp. 330-333. </w:t>
      </w:r>
    </w:p>
    <w:p w:rsidR="00293F7D" w:rsidRPr="00293F7D" w:rsidRDefault="00293F7D" w:rsidP="00293F7D">
      <w:pPr>
        <w:spacing w:after="0" w:line="240" w:lineRule="auto"/>
        <w:rPr>
          <w:rFonts w:ascii="Arial" w:eastAsia="Times New Roman" w:hAnsi="Arial" w:cs="Arial"/>
          <w:color w:val="000000"/>
          <w:sz w:val="24"/>
          <w:szCs w:val="24"/>
          <w:lang w:val="en-US" w:eastAsia="en-GB"/>
        </w:rPr>
      </w:pPr>
    </w:p>
    <w:p w:rsidR="00293F7D" w:rsidRPr="00293F7D" w:rsidRDefault="00293F7D" w:rsidP="00293F7D">
      <w:pPr>
        <w:spacing w:after="0" w:line="240" w:lineRule="auto"/>
        <w:rPr>
          <w:rFonts w:ascii="Arial" w:eastAsia="Times New Roman" w:hAnsi="Arial" w:cs="Arial"/>
          <w:color w:val="000000"/>
          <w:sz w:val="24"/>
          <w:szCs w:val="24"/>
          <w:lang w:eastAsia="en-GB"/>
        </w:rPr>
      </w:pPr>
      <w:r w:rsidRPr="00293F7D">
        <w:rPr>
          <w:rFonts w:ascii="Arial" w:eastAsia="Times New Roman" w:hAnsi="Arial" w:cs="Arial"/>
          <w:color w:val="000000"/>
          <w:sz w:val="24"/>
          <w:szCs w:val="24"/>
          <w:lang w:val="en-US" w:eastAsia="en-GB"/>
        </w:rPr>
        <w:t>Allen, M., 2017. </w:t>
      </w:r>
      <w:r w:rsidRPr="00293F7D">
        <w:rPr>
          <w:rFonts w:ascii="Arial" w:eastAsia="Times New Roman" w:hAnsi="Arial" w:cs="Arial"/>
          <w:i/>
          <w:iCs/>
          <w:color w:val="000000"/>
          <w:sz w:val="24"/>
          <w:szCs w:val="24"/>
          <w:lang w:val="en-US" w:eastAsia="en-GB"/>
        </w:rPr>
        <w:t>Ethnography. </w:t>
      </w:r>
      <w:r w:rsidRPr="00293F7D">
        <w:rPr>
          <w:rFonts w:ascii="Arial" w:eastAsia="Times New Roman" w:hAnsi="Arial" w:cs="Arial"/>
          <w:color w:val="000000"/>
          <w:sz w:val="24"/>
          <w:szCs w:val="24"/>
          <w:lang w:val="en-US" w:eastAsia="en-GB"/>
        </w:rPr>
        <w:t>[Online] </w:t>
      </w:r>
      <w:r w:rsidRPr="00293F7D">
        <w:rPr>
          <w:rFonts w:ascii="Arial" w:eastAsia="Times New Roman" w:hAnsi="Arial" w:cs="Arial"/>
          <w:color w:val="000000"/>
          <w:sz w:val="24"/>
          <w:szCs w:val="24"/>
          <w:lang w:val="en-US" w:eastAsia="en-GB"/>
        </w:rPr>
        <w:br/>
        <w:t>Available at: </w:t>
      </w:r>
      <w:hyperlink r:id="rId7" w:history="1">
        <w:r w:rsidRPr="00293F7D">
          <w:rPr>
            <w:rFonts w:ascii="Arial" w:eastAsia="Times New Roman" w:hAnsi="Arial" w:cs="Arial"/>
            <w:color w:val="0563C1" w:themeColor="hyperlink"/>
            <w:sz w:val="24"/>
            <w:szCs w:val="24"/>
            <w:u w:val="single"/>
            <w:lang w:val="en-US" w:eastAsia="en-GB"/>
          </w:rPr>
          <w:t>https://dx.doi.org/10.4135/9781483381411.n169</w:t>
        </w:r>
      </w:hyperlink>
      <w:r w:rsidRPr="00293F7D">
        <w:rPr>
          <w:rFonts w:ascii="Arial" w:eastAsia="Times New Roman" w:hAnsi="Arial" w:cs="Arial"/>
          <w:color w:val="000000"/>
          <w:sz w:val="24"/>
          <w:szCs w:val="24"/>
          <w:lang w:val="en-US" w:eastAsia="en-GB"/>
        </w:rPr>
        <w:br/>
        <w:t>[Accessed 15 02 2021]. </w:t>
      </w:r>
    </w:p>
    <w:p w:rsidR="00293F7D" w:rsidRPr="00293F7D" w:rsidRDefault="00293F7D" w:rsidP="00293F7D">
      <w:pPr>
        <w:spacing w:after="0" w:line="240" w:lineRule="auto"/>
        <w:rPr>
          <w:rFonts w:ascii="Arial" w:eastAsia="Times New Roman" w:hAnsi="Arial" w:cs="Arial"/>
          <w:color w:val="000000"/>
          <w:sz w:val="24"/>
          <w:szCs w:val="24"/>
          <w:lang w:val="en-US" w:eastAsia="en-GB"/>
        </w:rPr>
      </w:pPr>
    </w:p>
    <w:p w:rsidR="00293F7D" w:rsidRPr="00293F7D" w:rsidRDefault="00293F7D" w:rsidP="00293F7D">
      <w:pPr>
        <w:spacing w:after="0" w:line="240" w:lineRule="auto"/>
        <w:rPr>
          <w:rFonts w:ascii="Arial" w:eastAsia="Times New Roman" w:hAnsi="Arial" w:cs="Arial"/>
          <w:color w:val="000000"/>
          <w:sz w:val="24"/>
          <w:szCs w:val="24"/>
          <w:lang w:eastAsia="en-GB"/>
        </w:rPr>
      </w:pPr>
      <w:r w:rsidRPr="00293F7D">
        <w:rPr>
          <w:rFonts w:ascii="Arial" w:eastAsia="Times New Roman" w:hAnsi="Arial" w:cs="Arial"/>
          <w:color w:val="000000"/>
          <w:sz w:val="24"/>
          <w:szCs w:val="24"/>
          <w:lang w:val="en-US" w:eastAsia="en-GB"/>
        </w:rPr>
        <w:t>Almalki, S., 2016. Integrating Quantitative and Qualitative Data in Mixed Methods Research--Challenges and Benefits. </w:t>
      </w:r>
      <w:r w:rsidRPr="00293F7D">
        <w:rPr>
          <w:rFonts w:ascii="Arial" w:eastAsia="Times New Roman" w:hAnsi="Arial" w:cs="Arial"/>
          <w:i/>
          <w:iCs/>
          <w:color w:val="000000"/>
          <w:sz w:val="24"/>
          <w:szCs w:val="24"/>
          <w:lang w:val="en-US" w:eastAsia="en-GB"/>
        </w:rPr>
        <w:t>Journal of Education and Learning, </w:t>
      </w:r>
      <w:r w:rsidRPr="00293F7D">
        <w:rPr>
          <w:rFonts w:ascii="Arial" w:eastAsia="Times New Roman" w:hAnsi="Arial" w:cs="Arial"/>
          <w:color w:val="000000"/>
          <w:sz w:val="24"/>
          <w:szCs w:val="24"/>
          <w:lang w:val="en-US" w:eastAsia="en-GB"/>
        </w:rPr>
        <w:t>5(3), pp. 288-296. </w:t>
      </w:r>
    </w:p>
    <w:p w:rsidR="00293F7D" w:rsidRPr="00293F7D" w:rsidRDefault="00293F7D" w:rsidP="00293F7D">
      <w:pPr>
        <w:spacing w:after="0" w:line="240" w:lineRule="auto"/>
        <w:rPr>
          <w:rFonts w:ascii="Arial" w:eastAsia="Times New Roman" w:hAnsi="Arial" w:cs="Arial"/>
          <w:color w:val="000000"/>
          <w:sz w:val="24"/>
          <w:szCs w:val="24"/>
          <w:lang w:val="en-US" w:eastAsia="en-GB"/>
        </w:rPr>
      </w:pPr>
    </w:p>
    <w:p w:rsidR="00293F7D" w:rsidRPr="00293F7D" w:rsidRDefault="00293F7D" w:rsidP="00293F7D">
      <w:pPr>
        <w:spacing w:after="0" w:line="240" w:lineRule="auto"/>
        <w:rPr>
          <w:rFonts w:ascii="Arial" w:eastAsia="Times New Roman" w:hAnsi="Arial" w:cs="Arial"/>
          <w:color w:val="000000"/>
          <w:sz w:val="24"/>
          <w:szCs w:val="24"/>
          <w:lang w:eastAsia="en-GB"/>
        </w:rPr>
      </w:pPr>
      <w:r w:rsidRPr="00293F7D">
        <w:rPr>
          <w:rFonts w:ascii="Arial" w:eastAsia="Times New Roman" w:hAnsi="Arial" w:cs="Arial"/>
          <w:color w:val="000000"/>
          <w:sz w:val="24"/>
          <w:szCs w:val="24"/>
          <w:lang w:val="en-US" w:eastAsia="en-GB"/>
        </w:rPr>
        <w:t>Bryant, C. G. A., 1985. </w:t>
      </w:r>
      <w:r w:rsidRPr="00293F7D">
        <w:rPr>
          <w:rFonts w:ascii="Arial" w:eastAsia="Times New Roman" w:hAnsi="Arial" w:cs="Arial"/>
          <w:i/>
          <w:iCs/>
          <w:color w:val="000000"/>
          <w:sz w:val="24"/>
          <w:szCs w:val="24"/>
          <w:lang w:val="en-US" w:eastAsia="en-GB"/>
        </w:rPr>
        <w:t>Positivism in Social Theory and Research. </w:t>
      </w:r>
      <w:r w:rsidRPr="00293F7D">
        <w:rPr>
          <w:rFonts w:ascii="Arial" w:eastAsia="Times New Roman" w:hAnsi="Arial" w:cs="Arial"/>
          <w:color w:val="000000"/>
          <w:sz w:val="24"/>
          <w:szCs w:val="24"/>
          <w:lang w:val="en-US" w:eastAsia="en-GB"/>
        </w:rPr>
        <w:t>1st ed. London: Macmillan. </w:t>
      </w:r>
    </w:p>
    <w:p w:rsidR="00293F7D" w:rsidRPr="00293F7D" w:rsidRDefault="00293F7D" w:rsidP="00293F7D">
      <w:pPr>
        <w:spacing w:after="0" w:line="240" w:lineRule="auto"/>
        <w:rPr>
          <w:rFonts w:ascii="Arial" w:eastAsia="Times New Roman" w:hAnsi="Arial" w:cs="Arial"/>
          <w:color w:val="000000"/>
          <w:sz w:val="24"/>
          <w:szCs w:val="24"/>
          <w:lang w:val="en-US" w:eastAsia="en-GB"/>
        </w:rPr>
      </w:pPr>
    </w:p>
    <w:p w:rsidR="00293F7D" w:rsidRPr="00293F7D" w:rsidRDefault="00293F7D" w:rsidP="00293F7D">
      <w:pPr>
        <w:spacing w:after="0" w:line="240" w:lineRule="auto"/>
        <w:rPr>
          <w:rFonts w:ascii="Arial" w:eastAsia="Times New Roman" w:hAnsi="Arial" w:cs="Arial"/>
          <w:color w:val="000000"/>
          <w:sz w:val="24"/>
          <w:szCs w:val="24"/>
          <w:lang w:eastAsia="en-GB"/>
        </w:rPr>
      </w:pPr>
      <w:r w:rsidRPr="00293F7D">
        <w:rPr>
          <w:rFonts w:ascii="Arial" w:eastAsia="Times New Roman" w:hAnsi="Arial" w:cs="Arial"/>
          <w:color w:val="000000"/>
          <w:sz w:val="24"/>
          <w:szCs w:val="24"/>
          <w:lang w:val="en-US" w:eastAsia="en-GB"/>
        </w:rPr>
        <w:t>Chowdhury, M. H., 2014. Interpretivism in Aiding Our Understanding of the Contemporary Social World. </w:t>
      </w:r>
      <w:r w:rsidRPr="00293F7D">
        <w:rPr>
          <w:rFonts w:ascii="Arial" w:eastAsia="Times New Roman" w:hAnsi="Arial" w:cs="Arial"/>
          <w:i/>
          <w:iCs/>
          <w:color w:val="000000"/>
          <w:sz w:val="24"/>
          <w:szCs w:val="24"/>
          <w:lang w:val="en-US" w:eastAsia="en-GB"/>
        </w:rPr>
        <w:t>Open Journal of Philosophy, </w:t>
      </w:r>
      <w:r w:rsidRPr="00293F7D">
        <w:rPr>
          <w:rFonts w:ascii="Arial" w:eastAsia="Times New Roman" w:hAnsi="Arial" w:cs="Arial"/>
          <w:color w:val="000000"/>
          <w:sz w:val="24"/>
          <w:szCs w:val="24"/>
          <w:lang w:val="en-US" w:eastAsia="en-GB"/>
        </w:rPr>
        <w:t>4(3), pp. 432-438. </w:t>
      </w:r>
    </w:p>
    <w:p w:rsidR="00293F7D" w:rsidRPr="00293F7D" w:rsidRDefault="00293F7D" w:rsidP="00293F7D">
      <w:pPr>
        <w:spacing w:after="0" w:line="240" w:lineRule="auto"/>
        <w:rPr>
          <w:rFonts w:ascii="Arial" w:eastAsia="Times New Roman" w:hAnsi="Arial" w:cs="Arial"/>
          <w:color w:val="000000"/>
          <w:sz w:val="24"/>
          <w:szCs w:val="24"/>
          <w:lang w:val="en-US" w:eastAsia="en-GB"/>
        </w:rPr>
      </w:pPr>
    </w:p>
    <w:p w:rsidR="00293F7D" w:rsidRPr="00293F7D" w:rsidRDefault="00293F7D" w:rsidP="00293F7D">
      <w:pPr>
        <w:spacing w:after="0" w:line="240" w:lineRule="auto"/>
        <w:rPr>
          <w:rFonts w:ascii="Arial" w:eastAsia="Times New Roman" w:hAnsi="Arial" w:cs="Arial"/>
          <w:color w:val="000000"/>
          <w:sz w:val="24"/>
          <w:szCs w:val="24"/>
          <w:lang w:eastAsia="en-GB"/>
        </w:rPr>
      </w:pPr>
      <w:r w:rsidRPr="00293F7D">
        <w:rPr>
          <w:rFonts w:ascii="Arial" w:eastAsia="Times New Roman" w:hAnsi="Arial" w:cs="Arial"/>
          <w:color w:val="000000"/>
          <w:sz w:val="24"/>
          <w:szCs w:val="24"/>
          <w:lang w:val="en-US" w:eastAsia="en-GB"/>
        </w:rPr>
        <w:t>Freud, S., 1957. Thoughts for the times on war and death.. </w:t>
      </w:r>
      <w:r w:rsidRPr="00293F7D">
        <w:rPr>
          <w:rFonts w:ascii="Arial" w:eastAsia="Times New Roman" w:hAnsi="Arial" w:cs="Arial"/>
          <w:i/>
          <w:iCs/>
          <w:color w:val="000000"/>
          <w:sz w:val="24"/>
          <w:szCs w:val="24"/>
          <w:lang w:val="en-US" w:eastAsia="en-GB"/>
        </w:rPr>
        <w:t>In The Standard Edition of the Complete Psychological Works of Sigmund Freud, Volume XIV (1914-1916): On the History of the Psycho-Analytic Movement, Papers on Metapsychology and Other Works, </w:t>
      </w:r>
      <w:r w:rsidRPr="00293F7D">
        <w:rPr>
          <w:rFonts w:ascii="Arial" w:eastAsia="Times New Roman" w:hAnsi="Arial" w:cs="Arial"/>
          <w:color w:val="000000"/>
          <w:sz w:val="24"/>
          <w:szCs w:val="24"/>
          <w:lang w:val="en-US" w:eastAsia="en-GB"/>
        </w:rPr>
        <w:t>pp. 273-300. </w:t>
      </w:r>
    </w:p>
    <w:p w:rsidR="00293F7D" w:rsidRPr="00293F7D" w:rsidRDefault="00293F7D" w:rsidP="00293F7D">
      <w:pPr>
        <w:spacing w:after="0" w:line="240" w:lineRule="auto"/>
        <w:rPr>
          <w:rFonts w:ascii="Arial" w:eastAsia="Times New Roman" w:hAnsi="Arial" w:cs="Arial"/>
          <w:color w:val="000000"/>
          <w:sz w:val="24"/>
          <w:szCs w:val="24"/>
          <w:lang w:val="en-US" w:eastAsia="en-GB"/>
        </w:rPr>
      </w:pPr>
    </w:p>
    <w:p w:rsidR="00293F7D" w:rsidRPr="00293F7D" w:rsidRDefault="00293F7D" w:rsidP="00293F7D">
      <w:pPr>
        <w:spacing w:after="0" w:line="240" w:lineRule="auto"/>
        <w:rPr>
          <w:rFonts w:ascii="Arial" w:eastAsia="Times New Roman" w:hAnsi="Arial" w:cs="Arial"/>
          <w:color w:val="000000"/>
          <w:sz w:val="24"/>
          <w:szCs w:val="24"/>
          <w:lang w:eastAsia="en-GB"/>
        </w:rPr>
      </w:pPr>
      <w:r w:rsidRPr="00293F7D">
        <w:rPr>
          <w:rFonts w:ascii="Arial" w:eastAsia="Times New Roman" w:hAnsi="Arial" w:cs="Arial"/>
          <w:color w:val="000000"/>
          <w:sz w:val="24"/>
          <w:szCs w:val="24"/>
          <w:lang w:val="en-US" w:eastAsia="en-GB"/>
        </w:rPr>
        <w:t>Heath, S. &amp; Devine, F., 1999. </w:t>
      </w:r>
      <w:r w:rsidRPr="00293F7D">
        <w:rPr>
          <w:rFonts w:ascii="Arial" w:eastAsia="Times New Roman" w:hAnsi="Arial" w:cs="Arial"/>
          <w:i/>
          <w:iCs/>
          <w:color w:val="000000"/>
          <w:sz w:val="24"/>
          <w:szCs w:val="24"/>
          <w:lang w:val="en-US" w:eastAsia="en-GB"/>
        </w:rPr>
        <w:t>Sociological Research Methods in Context. </w:t>
      </w:r>
      <w:r w:rsidRPr="00293F7D">
        <w:rPr>
          <w:rFonts w:ascii="Arial" w:eastAsia="Times New Roman" w:hAnsi="Arial" w:cs="Arial"/>
          <w:color w:val="000000"/>
          <w:sz w:val="24"/>
          <w:szCs w:val="24"/>
          <w:lang w:val="en-US" w:eastAsia="en-GB"/>
        </w:rPr>
        <w:t>Basingstoke: Macmillan. </w:t>
      </w:r>
    </w:p>
    <w:p w:rsidR="00293F7D" w:rsidRPr="00293F7D" w:rsidRDefault="00293F7D" w:rsidP="00293F7D">
      <w:pPr>
        <w:spacing w:after="0" w:line="240" w:lineRule="auto"/>
        <w:rPr>
          <w:rFonts w:ascii="Arial" w:eastAsia="Times New Roman" w:hAnsi="Arial" w:cs="Arial"/>
          <w:color w:val="000000"/>
          <w:sz w:val="24"/>
          <w:szCs w:val="24"/>
          <w:lang w:val="en-US" w:eastAsia="en-GB"/>
        </w:rPr>
      </w:pPr>
    </w:p>
    <w:p w:rsidR="00293F7D" w:rsidRPr="00293F7D" w:rsidRDefault="00293F7D" w:rsidP="00293F7D">
      <w:pPr>
        <w:spacing w:after="0" w:line="240" w:lineRule="auto"/>
        <w:rPr>
          <w:rFonts w:ascii="Arial" w:eastAsia="Times New Roman" w:hAnsi="Arial" w:cs="Arial"/>
          <w:color w:val="000000"/>
          <w:sz w:val="24"/>
          <w:szCs w:val="24"/>
          <w:lang w:eastAsia="en-GB"/>
        </w:rPr>
      </w:pPr>
      <w:r w:rsidRPr="00293F7D">
        <w:rPr>
          <w:rFonts w:ascii="Arial" w:eastAsia="Times New Roman" w:hAnsi="Arial" w:cs="Arial"/>
          <w:color w:val="000000"/>
          <w:sz w:val="24"/>
          <w:szCs w:val="24"/>
          <w:lang w:val="en-US" w:eastAsia="en-GB"/>
        </w:rPr>
        <w:t>Javed, S. H., 2008. </w:t>
      </w:r>
      <w:r w:rsidRPr="00293F7D">
        <w:rPr>
          <w:rFonts w:ascii="Arial" w:eastAsia="Times New Roman" w:hAnsi="Arial" w:cs="Arial"/>
          <w:i/>
          <w:iCs/>
          <w:color w:val="000000"/>
          <w:sz w:val="24"/>
          <w:szCs w:val="24"/>
          <w:lang w:val="en-US" w:eastAsia="en-GB"/>
        </w:rPr>
        <w:t>Online facilitated mathematics learning in vocational education: a design-based study. </w:t>
      </w:r>
      <w:r w:rsidRPr="00293F7D">
        <w:rPr>
          <w:rFonts w:ascii="Arial" w:eastAsia="Times New Roman" w:hAnsi="Arial" w:cs="Arial"/>
          <w:color w:val="000000"/>
          <w:sz w:val="24"/>
          <w:szCs w:val="24"/>
          <w:lang w:val="en-US" w:eastAsia="en-GB"/>
        </w:rPr>
        <w:t>[Online] </w:t>
      </w:r>
      <w:r w:rsidRPr="00293F7D">
        <w:rPr>
          <w:rFonts w:ascii="Arial" w:eastAsia="Times New Roman" w:hAnsi="Arial" w:cs="Arial"/>
          <w:color w:val="000000"/>
          <w:sz w:val="24"/>
          <w:szCs w:val="24"/>
          <w:lang w:val="en-US" w:eastAsia="en-GB"/>
        </w:rPr>
        <w:br/>
        <w:t>Available at: </w:t>
      </w:r>
      <w:hyperlink r:id="rId8" w:history="1">
        <w:r w:rsidRPr="00293F7D">
          <w:rPr>
            <w:rFonts w:ascii="Arial" w:eastAsia="Times New Roman" w:hAnsi="Arial" w:cs="Arial"/>
            <w:color w:val="0563C1" w:themeColor="hyperlink"/>
            <w:sz w:val="24"/>
            <w:szCs w:val="24"/>
            <w:u w:val="single"/>
            <w:lang w:val="en-US" w:eastAsia="en-GB"/>
          </w:rPr>
          <w:t>https://vuir.vu.edu.au/15198/</w:t>
        </w:r>
      </w:hyperlink>
      <w:r w:rsidRPr="00293F7D">
        <w:rPr>
          <w:rFonts w:ascii="Arial" w:eastAsia="Times New Roman" w:hAnsi="Arial" w:cs="Arial"/>
          <w:color w:val="000000"/>
          <w:sz w:val="24"/>
          <w:szCs w:val="24"/>
          <w:lang w:val="en-US" w:eastAsia="en-GB"/>
        </w:rPr>
        <w:t> </w:t>
      </w:r>
    </w:p>
    <w:p w:rsidR="00293F7D" w:rsidRPr="00293F7D" w:rsidRDefault="00293F7D" w:rsidP="00293F7D">
      <w:pPr>
        <w:spacing w:after="0" w:line="240" w:lineRule="auto"/>
        <w:rPr>
          <w:rFonts w:ascii="Arial" w:eastAsia="Times New Roman" w:hAnsi="Arial" w:cs="Arial"/>
          <w:color w:val="000000"/>
          <w:sz w:val="24"/>
          <w:szCs w:val="24"/>
          <w:lang w:val="en-US" w:eastAsia="en-GB"/>
        </w:rPr>
      </w:pPr>
    </w:p>
    <w:p w:rsidR="00293F7D" w:rsidRPr="00293F7D" w:rsidRDefault="00293F7D" w:rsidP="00293F7D">
      <w:pPr>
        <w:spacing w:after="0" w:line="240" w:lineRule="auto"/>
        <w:rPr>
          <w:rFonts w:ascii="Arial" w:eastAsia="Times New Roman" w:hAnsi="Arial" w:cs="Arial"/>
          <w:color w:val="000000"/>
          <w:sz w:val="24"/>
          <w:szCs w:val="24"/>
          <w:lang w:eastAsia="en-GB"/>
        </w:rPr>
      </w:pPr>
      <w:r w:rsidRPr="00293F7D">
        <w:rPr>
          <w:rFonts w:ascii="Arial" w:eastAsia="Times New Roman" w:hAnsi="Arial" w:cs="Arial"/>
          <w:color w:val="000000"/>
          <w:sz w:val="24"/>
          <w:szCs w:val="24"/>
          <w:lang w:val="en-US" w:eastAsia="en-GB"/>
        </w:rPr>
        <w:t>Merton, R. k., 1995. The Thomas Theorem and the Matthew Effect. </w:t>
      </w:r>
      <w:r w:rsidRPr="00293F7D">
        <w:rPr>
          <w:rFonts w:ascii="Arial" w:eastAsia="Times New Roman" w:hAnsi="Arial" w:cs="Arial"/>
          <w:i/>
          <w:iCs/>
          <w:color w:val="000000"/>
          <w:sz w:val="24"/>
          <w:szCs w:val="24"/>
          <w:lang w:val="en-US" w:eastAsia="en-GB"/>
        </w:rPr>
        <w:t>Social Forces, </w:t>
      </w:r>
      <w:r w:rsidRPr="00293F7D">
        <w:rPr>
          <w:rFonts w:ascii="Arial" w:eastAsia="Times New Roman" w:hAnsi="Arial" w:cs="Arial"/>
          <w:color w:val="000000"/>
          <w:sz w:val="24"/>
          <w:szCs w:val="24"/>
          <w:lang w:val="en-US" w:eastAsia="en-GB"/>
        </w:rPr>
        <w:t>Volume 74, pp. 379-422. </w:t>
      </w:r>
    </w:p>
    <w:p w:rsidR="00293F7D" w:rsidRPr="00293F7D" w:rsidRDefault="00293F7D" w:rsidP="00293F7D">
      <w:pPr>
        <w:spacing w:after="0" w:line="240" w:lineRule="auto"/>
        <w:rPr>
          <w:rFonts w:ascii="Arial" w:eastAsia="Times New Roman" w:hAnsi="Arial" w:cs="Arial"/>
          <w:color w:val="000000"/>
          <w:sz w:val="24"/>
          <w:szCs w:val="24"/>
          <w:lang w:val="en-US" w:eastAsia="en-GB"/>
        </w:rPr>
      </w:pPr>
    </w:p>
    <w:p w:rsidR="00293F7D" w:rsidRPr="00293F7D" w:rsidRDefault="00293F7D" w:rsidP="00293F7D">
      <w:pPr>
        <w:spacing w:after="0" w:line="240" w:lineRule="auto"/>
        <w:rPr>
          <w:rFonts w:ascii="Arial" w:eastAsia="Times New Roman" w:hAnsi="Arial" w:cs="Arial"/>
          <w:color w:val="000000"/>
          <w:sz w:val="24"/>
          <w:szCs w:val="24"/>
          <w:lang w:eastAsia="en-GB"/>
        </w:rPr>
      </w:pPr>
      <w:r w:rsidRPr="00293F7D">
        <w:rPr>
          <w:rFonts w:ascii="Arial" w:eastAsia="Times New Roman" w:hAnsi="Arial" w:cs="Arial"/>
          <w:color w:val="000000"/>
          <w:sz w:val="24"/>
          <w:szCs w:val="24"/>
          <w:lang w:val="en-US" w:eastAsia="en-GB"/>
        </w:rPr>
        <w:t>O'Reilly, K., 2009. Inductive and Deductive. In: </w:t>
      </w:r>
      <w:r w:rsidRPr="00293F7D">
        <w:rPr>
          <w:rFonts w:ascii="Arial" w:eastAsia="Times New Roman" w:hAnsi="Arial" w:cs="Arial"/>
          <w:i/>
          <w:iCs/>
          <w:color w:val="000000"/>
          <w:sz w:val="24"/>
          <w:szCs w:val="24"/>
          <w:lang w:val="en-US" w:eastAsia="en-GB"/>
        </w:rPr>
        <w:t>Key Concepts in Ethnography. </w:t>
      </w:r>
      <w:r w:rsidRPr="00293F7D">
        <w:rPr>
          <w:rFonts w:ascii="Arial" w:eastAsia="Times New Roman" w:hAnsi="Arial" w:cs="Arial"/>
          <w:color w:val="000000"/>
          <w:sz w:val="24"/>
          <w:szCs w:val="24"/>
          <w:lang w:val="en-US" w:eastAsia="en-GB"/>
        </w:rPr>
        <w:t>s.l.:Sage publications ltd, pp. 104-109. </w:t>
      </w:r>
    </w:p>
    <w:p w:rsidR="00293F7D" w:rsidRPr="00293F7D" w:rsidRDefault="00293F7D" w:rsidP="00293F7D">
      <w:pPr>
        <w:spacing w:after="0" w:line="240" w:lineRule="auto"/>
        <w:rPr>
          <w:rFonts w:ascii="Arial" w:eastAsia="Times New Roman" w:hAnsi="Arial" w:cs="Arial"/>
          <w:color w:val="000000"/>
          <w:sz w:val="24"/>
          <w:szCs w:val="24"/>
          <w:lang w:val="en-US" w:eastAsia="en-GB"/>
        </w:rPr>
      </w:pPr>
    </w:p>
    <w:p w:rsidR="00293F7D" w:rsidRPr="00293F7D" w:rsidRDefault="00293F7D" w:rsidP="00293F7D">
      <w:pPr>
        <w:spacing w:after="0" w:line="240" w:lineRule="auto"/>
        <w:rPr>
          <w:rFonts w:ascii="Arial" w:eastAsia="Times New Roman" w:hAnsi="Arial" w:cs="Arial"/>
          <w:color w:val="000000"/>
          <w:sz w:val="24"/>
          <w:szCs w:val="24"/>
          <w:lang w:eastAsia="en-GB"/>
        </w:rPr>
      </w:pPr>
      <w:r w:rsidRPr="00293F7D">
        <w:rPr>
          <w:rFonts w:ascii="Arial" w:eastAsia="Times New Roman" w:hAnsi="Arial" w:cs="Arial"/>
          <w:color w:val="000000"/>
          <w:sz w:val="24"/>
          <w:szCs w:val="24"/>
          <w:lang w:val="en-US" w:eastAsia="en-GB"/>
        </w:rPr>
        <w:lastRenderedPageBreak/>
        <w:t>Polkinghorne, D. E., 2005. Language and meaning: Data collection in qualitative research.. </w:t>
      </w:r>
      <w:r w:rsidRPr="00293F7D">
        <w:rPr>
          <w:rFonts w:ascii="Arial" w:eastAsia="Times New Roman" w:hAnsi="Arial" w:cs="Arial"/>
          <w:i/>
          <w:iCs/>
          <w:color w:val="000000"/>
          <w:sz w:val="24"/>
          <w:szCs w:val="24"/>
          <w:lang w:val="en-US" w:eastAsia="en-GB"/>
        </w:rPr>
        <w:t>Journal of Counseling Psychology, </w:t>
      </w:r>
      <w:r w:rsidRPr="00293F7D">
        <w:rPr>
          <w:rFonts w:ascii="Arial" w:eastAsia="Times New Roman" w:hAnsi="Arial" w:cs="Arial"/>
          <w:color w:val="000000"/>
          <w:sz w:val="24"/>
          <w:szCs w:val="24"/>
          <w:lang w:val="en-US" w:eastAsia="en-GB"/>
        </w:rPr>
        <w:t>52(2), pp. 137-145. </w:t>
      </w:r>
    </w:p>
    <w:p w:rsidR="00293F7D" w:rsidRPr="00293F7D" w:rsidRDefault="00293F7D" w:rsidP="00293F7D">
      <w:pPr>
        <w:spacing w:after="0" w:line="240" w:lineRule="auto"/>
        <w:rPr>
          <w:rFonts w:ascii="Arial" w:eastAsia="Times New Roman" w:hAnsi="Arial" w:cs="Arial"/>
          <w:color w:val="000000"/>
          <w:sz w:val="24"/>
          <w:szCs w:val="24"/>
          <w:lang w:val="en-US" w:eastAsia="en-GB"/>
        </w:rPr>
      </w:pPr>
    </w:p>
    <w:p w:rsidR="00293F7D" w:rsidRPr="00293F7D" w:rsidRDefault="00293F7D" w:rsidP="00293F7D">
      <w:pPr>
        <w:spacing w:after="0" w:line="240" w:lineRule="auto"/>
        <w:rPr>
          <w:rFonts w:ascii="Arial" w:eastAsia="Times New Roman" w:hAnsi="Arial" w:cs="Arial"/>
          <w:color w:val="000000"/>
          <w:sz w:val="24"/>
          <w:szCs w:val="24"/>
          <w:lang w:eastAsia="en-GB"/>
        </w:rPr>
      </w:pPr>
      <w:r w:rsidRPr="00293F7D">
        <w:rPr>
          <w:rFonts w:ascii="Arial" w:eastAsia="Times New Roman" w:hAnsi="Arial" w:cs="Arial"/>
          <w:color w:val="000000"/>
          <w:sz w:val="24"/>
          <w:szCs w:val="24"/>
          <w:lang w:val="en-US" w:eastAsia="en-GB"/>
        </w:rPr>
        <w:t>Streefkerk, R., 2019. </w:t>
      </w:r>
      <w:r w:rsidRPr="00293F7D">
        <w:rPr>
          <w:rFonts w:ascii="Arial" w:eastAsia="Times New Roman" w:hAnsi="Arial" w:cs="Arial"/>
          <w:i/>
          <w:iCs/>
          <w:color w:val="000000"/>
          <w:sz w:val="24"/>
          <w:szCs w:val="24"/>
          <w:lang w:val="en-US" w:eastAsia="en-GB"/>
        </w:rPr>
        <w:t>Inductive vs. Deductive Research Approach (with Examples). </w:t>
      </w:r>
      <w:r w:rsidRPr="00293F7D">
        <w:rPr>
          <w:rFonts w:ascii="Arial" w:eastAsia="Times New Roman" w:hAnsi="Arial" w:cs="Arial"/>
          <w:color w:val="000000"/>
          <w:sz w:val="24"/>
          <w:szCs w:val="24"/>
          <w:lang w:val="en-US" w:eastAsia="en-GB"/>
        </w:rPr>
        <w:t>[Online] </w:t>
      </w:r>
      <w:r w:rsidRPr="00293F7D">
        <w:rPr>
          <w:rFonts w:ascii="Arial" w:eastAsia="Times New Roman" w:hAnsi="Arial" w:cs="Arial"/>
          <w:color w:val="000000"/>
          <w:sz w:val="24"/>
          <w:szCs w:val="24"/>
          <w:lang w:val="en-US" w:eastAsia="en-GB"/>
        </w:rPr>
        <w:br/>
        <w:t>Available at: </w:t>
      </w:r>
      <w:hyperlink r:id="rId9" w:history="1">
        <w:r w:rsidRPr="00293F7D">
          <w:rPr>
            <w:rFonts w:ascii="Arial" w:eastAsia="Times New Roman" w:hAnsi="Arial" w:cs="Arial"/>
            <w:color w:val="0563C1" w:themeColor="hyperlink"/>
            <w:sz w:val="24"/>
            <w:szCs w:val="24"/>
            <w:u w:val="single"/>
            <w:lang w:val="en-US" w:eastAsia="en-GB"/>
          </w:rPr>
          <w:t>https://www.scribbr.com/methodology/inductive-deductive-reasoning/</w:t>
        </w:r>
      </w:hyperlink>
      <w:r w:rsidRPr="00293F7D">
        <w:rPr>
          <w:rFonts w:ascii="Arial" w:eastAsia="Times New Roman" w:hAnsi="Arial" w:cs="Arial"/>
          <w:color w:val="000000"/>
          <w:sz w:val="24"/>
          <w:szCs w:val="24"/>
          <w:lang w:val="en-US" w:eastAsia="en-GB"/>
        </w:rPr>
        <w:br/>
        <w:t>[Accessed 01 03 2021]. </w:t>
      </w:r>
    </w:p>
    <w:p w:rsidR="00293F7D" w:rsidRPr="00293F7D" w:rsidRDefault="00293F7D" w:rsidP="00293F7D">
      <w:pPr>
        <w:spacing w:after="0" w:line="240" w:lineRule="auto"/>
        <w:rPr>
          <w:rFonts w:ascii="Arial" w:eastAsia="Times New Roman" w:hAnsi="Arial" w:cs="Arial"/>
          <w:color w:val="000000"/>
          <w:sz w:val="24"/>
          <w:szCs w:val="24"/>
          <w:lang w:val="en-US" w:eastAsia="en-GB"/>
        </w:rPr>
      </w:pPr>
    </w:p>
    <w:p w:rsidR="00293F7D" w:rsidRPr="00293F7D" w:rsidRDefault="00293F7D" w:rsidP="00293F7D">
      <w:pPr>
        <w:spacing w:after="0" w:line="240" w:lineRule="auto"/>
        <w:rPr>
          <w:rFonts w:ascii="Arial" w:eastAsia="Times New Roman" w:hAnsi="Arial" w:cs="Arial"/>
          <w:color w:val="000000"/>
          <w:sz w:val="24"/>
          <w:szCs w:val="24"/>
          <w:lang w:eastAsia="en-GB"/>
        </w:rPr>
      </w:pPr>
      <w:r w:rsidRPr="00293F7D">
        <w:rPr>
          <w:rFonts w:ascii="Arial" w:eastAsia="Times New Roman" w:hAnsi="Arial" w:cs="Arial"/>
          <w:color w:val="000000"/>
          <w:sz w:val="24"/>
          <w:szCs w:val="24"/>
          <w:lang w:val="en-US" w:eastAsia="en-GB"/>
        </w:rPr>
        <w:t>Taylor, P. C. &amp; Medina, M., 2011. Educational research paradigms: From positivism to pluralism. </w:t>
      </w:r>
      <w:r w:rsidRPr="00293F7D">
        <w:rPr>
          <w:rFonts w:ascii="Arial" w:eastAsia="Times New Roman" w:hAnsi="Arial" w:cs="Arial"/>
          <w:i/>
          <w:iCs/>
          <w:color w:val="000000"/>
          <w:sz w:val="24"/>
          <w:szCs w:val="24"/>
          <w:lang w:val="en-US" w:eastAsia="en-GB"/>
        </w:rPr>
        <w:t>College Research Journal, </w:t>
      </w:r>
      <w:r w:rsidRPr="00293F7D">
        <w:rPr>
          <w:rFonts w:ascii="Arial" w:eastAsia="Times New Roman" w:hAnsi="Arial" w:cs="Arial"/>
          <w:color w:val="000000"/>
          <w:sz w:val="24"/>
          <w:szCs w:val="24"/>
          <w:lang w:val="en-US" w:eastAsia="en-GB"/>
        </w:rPr>
        <w:t>1(1), pp. 1-16. </w:t>
      </w:r>
    </w:p>
    <w:p w:rsidR="00293F7D" w:rsidRPr="00293F7D" w:rsidRDefault="00293F7D" w:rsidP="00293F7D">
      <w:pPr>
        <w:spacing w:after="0" w:line="240" w:lineRule="auto"/>
        <w:rPr>
          <w:rFonts w:ascii="Arial" w:eastAsia="Times New Roman" w:hAnsi="Arial" w:cs="Arial"/>
          <w:color w:val="000000"/>
          <w:sz w:val="24"/>
          <w:szCs w:val="24"/>
          <w:lang w:val="en-US" w:eastAsia="en-GB"/>
        </w:rPr>
      </w:pPr>
    </w:p>
    <w:p w:rsidR="00293F7D" w:rsidRPr="00293F7D" w:rsidRDefault="00293F7D" w:rsidP="00293F7D">
      <w:pPr>
        <w:spacing w:after="0" w:line="240" w:lineRule="auto"/>
        <w:rPr>
          <w:rFonts w:ascii="Arial" w:eastAsia="Times New Roman" w:hAnsi="Arial" w:cs="Arial"/>
          <w:color w:val="000000"/>
          <w:sz w:val="24"/>
          <w:szCs w:val="24"/>
          <w:lang w:eastAsia="en-GB"/>
        </w:rPr>
      </w:pPr>
      <w:r w:rsidRPr="00293F7D">
        <w:rPr>
          <w:rFonts w:ascii="Arial" w:eastAsia="Times New Roman" w:hAnsi="Arial" w:cs="Arial"/>
          <w:color w:val="000000"/>
          <w:sz w:val="24"/>
          <w:szCs w:val="24"/>
          <w:lang w:val="en-US" w:eastAsia="en-GB"/>
        </w:rPr>
        <w:t>Vehovar, V., Toepoel, V. &amp; Steinmetz, S., 2016. Non-probability sampling. In: C. Wolf, et al. eds. </w:t>
      </w:r>
      <w:r w:rsidRPr="00293F7D">
        <w:rPr>
          <w:rFonts w:ascii="Arial" w:eastAsia="Times New Roman" w:hAnsi="Arial" w:cs="Arial"/>
          <w:i/>
          <w:iCs/>
          <w:color w:val="000000"/>
          <w:sz w:val="24"/>
          <w:szCs w:val="24"/>
          <w:lang w:val="en-US" w:eastAsia="en-GB"/>
        </w:rPr>
        <w:t>The SAGE handbook of survey methodology. </w:t>
      </w:r>
      <w:r w:rsidRPr="00293F7D">
        <w:rPr>
          <w:rFonts w:ascii="Arial" w:eastAsia="Times New Roman" w:hAnsi="Arial" w:cs="Arial"/>
          <w:color w:val="000000"/>
          <w:sz w:val="24"/>
          <w:szCs w:val="24"/>
          <w:lang w:val="en-US" w:eastAsia="en-GB"/>
        </w:rPr>
        <w:t>s.l.:SAGE publication, pp. 329-345. </w:t>
      </w:r>
    </w:p>
    <w:p w:rsidR="00293F7D" w:rsidRPr="00293F7D" w:rsidRDefault="00293F7D" w:rsidP="00293F7D">
      <w:pPr>
        <w:spacing w:after="0" w:line="240" w:lineRule="auto"/>
        <w:rPr>
          <w:rFonts w:ascii="Arial" w:eastAsia="Times New Roman" w:hAnsi="Arial" w:cs="Arial"/>
          <w:color w:val="000000"/>
          <w:sz w:val="24"/>
          <w:szCs w:val="24"/>
          <w:lang w:val="en-US" w:eastAsia="en-GB"/>
        </w:rPr>
      </w:pPr>
    </w:p>
    <w:p w:rsidR="00293F7D" w:rsidRPr="00293F7D" w:rsidRDefault="00293F7D" w:rsidP="00293F7D">
      <w:pPr>
        <w:spacing w:after="0" w:line="240" w:lineRule="auto"/>
        <w:rPr>
          <w:rFonts w:ascii="Arial" w:eastAsia="Times New Roman" w:hAnsi="Arial" w:cs="Arial"/>
          <w:sz w:val="24"/>
          <w:szCs w:val="24"/>
          <w:lang w:eastAsia="en-GB"/>
        </w:rPr>
      </w:pPr>
      <w:r w:rsidRPr="00293F7D">
        <w:rPr>
          <w:rFonts w:ascii="Arial" w:eastAsia="Times New Roman" w:hAnsi="Arial" w:cs="Arial"/>
          <w:color w:val="000000"/>
          <w:sz w:val="24"/>
          <w:szCs w:val="24"/>
          <w:lang w:val="en-US" w:eastAsia="en-GB"/>
        </w:rPr>
        <w:t>Williams, C., 2007. Research Methods. </w:t>
      </w:r>
      <w:r w:rsidRPr="00293F7D">
        <w:rPr>
          <w:rFonts w:ascii="Arial" w:eastAsia="Times New Roman" w:hAnsi="Arial" w:cs="Arial"/>
          <w:i/>
          <w:iCs/>
          <w:color w:val="000000"/>
          <w:sz w:val="24"/>
          <w:szCs w:val="24"/>
          <w:lang w:val="en-US" w:eastAsia="en-GB"/>
        </w:rPr>
        <w:t>Journal or business and economic research, </w:t>
      </w:r>
      <w:r w:rsidRPr="00293F7D">
        <w:rPr>
          <w:rFonts w:ascii="Arial" w:eastAsia="Times New Roman" w:hAnsi="Arial" w:cs="Arial"/>
          <w:color w:val="000000"/>
          <w:sz w:val="24"/>
          <w:szCs w:val="24"/>
          <w:lang w:val="en-US" w:eastAsia="en-GB"/>
        </w:rPr>
        <w:t>5(3), pp. 65-70.</w:t>
      </w:r>
    </w:p>
    <w:p w:rsidR="00293F7D" w:rsidRDefault="00293F7D"/>
    <w:sectPr w:rsidR="00293F7D" w:rsidSect="00917CFE">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17CFE" w:rsidRDefault="00917CFE" w:rsidP="00917CFE">
      <w:pPr>
        <w:spacing w:after="0" w:line="240" w:lineRule="auto"/>
      </w:pPr>
      <w:r>
        <w:separator/>
      </w:r>
    </w:p>
  </w:endnote>
  <w:endnote w:type="continuationSeparator" w:id="0">
    <w:p w:rsidR="00917CFE" w:rsidRDefault="00917CFE" w:rsidP="00917C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17CFE" w:rsidRDefault="00BB604E" w:rsidP="00BB604E">
    <w:pPr>
      <w:pStyle w:val="Footer"/>
      <w:rPr>
        <w:color w:val="000000"/>
        <w:sz w:val="17"/>
      </w:rPr>
    </w:pPr>
    <w:bookmarkStart w:id="3" w:name="TITUS1FooterEvenPages"/>
    <w:r>
      <w:rPr>
        <w:color w:val="000000"/>
        <w:sz w:val="17"/>
      </w:rPr>
      <w:t> </w:t>
    </w:r>
  </w:p>
  <w:bookmarkEnd w:id="3"/>
  <w:p w:rsidR="00917CFE" w:rsidRDefault="00917CFE" w:rsidP="00917CFE">
    <w:pPr>
      <w:pStyle w:val="Footer"/>
    </w:pPr>
  </w:p>
  <w:p w:rsidR="00C04F5F" w:rsidRDefault="00BB60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04F5F" w:rsidRDefault="00BB604E" w:rsidP="00BB604E">
    <w:pPr>
      <w:pStyle w:val="Footer"/>
      <w:rPr>
        <w:color w:val="000000"/>
        <w:sz w:val="17"/>
      </w:rPr>
    </w:pPr>
    <w:bookmarkStart w:id="4" w:name="TITUS1FooterPrimary"/>
    <w:r>
      <w:rPr>
        <w:color w:val="000000"/>
        <w:sz w:val="17"/>
      </w:rPr>
      <w:t> </w:t>
    </w:r>
  </w:p>
  <w:bookmarkEnd w:id="4"/>
  <w:p w:rsidR="00C04F5F" w:rsidRDefault="00BB604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04F5F" w:rsidRDefault="00BB604E" w:rsidP="00BB604E">
    <w:pPr>
      <w:pStyle w:val="Footer"/>
      <w:rPr>
        <w:color w:val="000000"/>
        <w:sz w:val="17"/>
      </w:rPr>
    </w:pPr>
    <w:bookmarkStart w:id="6" w:name="TITUS1FooterFirstPage"/>
    <w:r>
      <w:rPr>
        <w:color w:val="000000"/>
        <w:sz w:val="17"/>
      </w:rPr>
      <w:t> </w:t>
    </w:r>
  </w:p>
  <w:bookmarkEnd w:id="6"/>
  <w:p w:rsidR="00C04F5F" w:rsidRDefault="00BB60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17CFE" w:rsidRDefault="00917CFE" w:rsidP="00917CFE">
      <w:pPr>
        <w:spacing w:after="0" w:line="240" w:lineRule="auto"/>
      </w:pPr>
      <w:r>
        <w:separator/>
      </w:r>
    </w:p>
  </w:footnote>
  <w:footnote w:type="continuationSeparator" w:id="0">
    <w:p w:rsidR="00917CFE" w:rsidRDefault="00917CFE" w:rsidP="00917C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17CFE" w:rsidRDefault="00BB604E" w:rsidP="00BB604E">
    <w:pPr>
      <w:pStyle w:val="Header"/>
      <w:rPr>
        <w:color w:val="000000"/>
        <w:sz w:val="17"/>
      </w:rPr>
    </w:pPr>
    <w:bookmarkStart w:id="1" w:name="TITUS1HeaderEvenPages"/>
    <w:r>
      <w:rPr>
        <w:color w:val="000000"/>
        <w:sz w:val="17"/>
      </w:rPr>
      <w:t> </w:t>
    </w:r>
  </w:p>
  <w:bookmarkEnd w:id="1"/>
  <w:p w:rsidR="00917CFE" w:rsidRDefault="00917CFE" w:rsidP="00917CFE">
    <w:pPr>
      <w:pStyle w:val="Header"/>
    </w:pPr>
  </w:p>
  <w:p w:rsidR="00C04F5F" w:rsidRDefault="00BB60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04F5F" w:rsidRDefault="00BB604E" w:rsidP="00BB604E">
    <w:pPr>
      <w:pStyle w:val="Header"/>
      <w:rPr>
        <w:color w:val="000000"/>
        <w:sz w:val="17"/>
      </w:rPr>
    </w:pPr>
    <w:bookmarkStart w:id="2" w:name="TITUS1HeaderPrimary"/>
    <w:r>
      <w:rPr>
        <w:color w:val="000000"/>
        <w:sz w:val="17"/>
      </w:rPr>
      <w:t> </w:t>
    </w:r>
  </w:p>
  <w:bookmarkEnd w:id="2"/>
  <w:p w:rsidR="00C04F5F" w:rsidRDefault="00BB60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04F5F" w:rsidRDefault="00BB604E" w:rsidP="00BB604E">
    <w:pPr>
      <w:pStyle w:val="Header"/>
      <w:rPr>
        <w:color w:val="000000"/>
        <w:sz w:val="17"/>
      </w:rPr>
    </w:pPr>
    <w:bookmarkStart w:id="5" w:name="TITUS1HeaderFirstPage"/>
    <w:r>
      <w:rPr>
        <w:color w:val="000000"/>
        <w:sz w:val="17"/>
      </w:rPr>
      <w:t> </w:t>
    </w:r>
  </w:p>
  <w:bookmarkEnd w:id="5"/>
  <w:p w:rsidR="00C04F5F" w:rsidRDefault="00BB604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7CFE"/>
    <w:rsid w:val="00293F7D"/>
    <w:rsid w:val="007B5911"/>
    <w:rsid w:val="00917CFE"/>
    <w:rsid w:val="009A0523"/>
    <w:rsid w:val="00BB604E"/>
    <w:rsid w:val="00EF5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333E86"/>
  <w15:chartTrackingRefBased/>
  <w15:docId w15:val="{F42E6511-30B8-4917-B53D-D4C808B01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17CFE"/>
    <w:rPr>
      <w:sz w:val="16"/>
      <w:szCs w:val="16"/>
    </w:rPr>
  </w:style>
  <w:style w:type="paragraph" w:styleId="CommentText">
    <w:name w:val="annotation text"/>
    <w:basedOn w:val="Normal"/>
    <w:link w:val="CommentTextChar"/>
    <w:uiPriority w:val="99"/>
    <w:semiHidden/>
    <w:unhideWhenUsed/>
    <w:rsid w:val="00917CFE"/>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semiHidden/>
    <w:rsid w:val="00917CFE"/>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917CFE"/>
    <w:pPr>
      <w:tabs>
        <w:tab w:val="center" w:pos="4513"/>
        <w:tab w:val="right" w:pos="9026"/>
      </w:tabs>
      <w:spacing w:after="0" w:line="240" w:lineRule="auto"/>
    </w:pPr>
    <w:rPr>
      <w:rFonts w:ascii="Times New Roman" w:eastAsia="Times New Roman" w:hAnsi="Times New Roman" w:cs="Times New Roman"/>
      <w:sz w:val="24"/>
      <w:szCs w:val="24"/>
      <w:lang w:eastAsia="en-GB"/>
    </w:rPr>
  </w:style>
  <w:style w:type="character" w:customStyle="1" w:styleId="HeaderChar">
    <w:name w:val="Header Char"/>
    <w:basedOn w:val="DefaultParagraphFont"/>
    <w:link w:val="Header"/>
    <w:uiPriority w:val="99"/>
    <w:rsid w:val="00917CFE"/>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17CFE"/>
    <w:pPr>
      <w:tabs>
        <w:tab w:val="center" w:pos="4513"/>
        <w:tab w:val="right" w:pos="9026"/>
      </w:tabs>
      <w:spacing w:after="0" w:line="240" w:lineRule="auto"/>
    </w:pPr>
    <w:rPr>
      <w:rFonts w:ascii="Times New Roman" w:eastAsia="Times New Roman" w:hAnsi="Times New Roman" w:cs="Times New Roman"/>
      <w:sz w:val="24"/>
      <w:szCs w:val="24"/>
      <w:lang w:eastAsia="en-GB"/>
    </w:rPr>
  </w:style>
  <w:style w:type="character" w:customStyle="1" w:styleId="FooterChar">
    <w:name w:val="Footer Char"/>
    <w:basedOn w:val="DefaultParagraphFont"/>
    <w:link w:val="Footer"/>
    <w:uiPriority w:val="99"/>
    <w:rsid w:val="00917CFE"/>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17C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7CFE"/>
    <w:rPr>
      <w:rFonts w:ascii="Segoe UI" w:hAnsi="Segoe UI" w:cs="Segoe UI"/>
      <w:sz w:val="18"/>
      <w:szCs w:val="18"/>
    </w:rPr>
  </w:style>
  <w:style w:type="paragraph" w:styleId="NormalWeb">
    <w:name w:val="Normal (Web)"/>
    <w:basedOn w:val="Normal"/>
    <w:uiPriority w:val="99"/>
    <w:unhideWhenUsed/>
    <w:rsid w:val="00917CF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uiPriority w:val="37"/>
    <w:semiHidden/>
    <w:unhideWhenUsed/>
    <w:rsid w:val="00293F7D"/>
    <w:pPr>
      <w:spacing w:after="0"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293F7D"/>
    <w:rPr>
      <w:rFonts w:cs="Times New Roman"/>
    </w:rPr>
  </w:style>
  <w:style w:type="character" w:styleId="Hyperlink">
    <w:name w:val="Hyperlink"/>
    <w:basedOn w:val="DefaultParagraphFont"/>
    <w:uiPriority w:val="99"/>
    <w:unhideWhenUsed/>
    <w:rsid w:val="00293F7D"/>
    <w:rPr>
      <w:rFonts w:cs="Times New Roma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uir.vu.edu.au/15198/"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dx.doi.org/10.4135/9781483381411.n169"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cribbr.com/methodology/inductive-deductive-reasoning/"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Tay11</b:Tag>
    <b:SourceType>JournalArticle</b:SourceType>
    <b:Guid>{7ADFB844-1928-3D44-8E29-ADC070E11937}</b:Guid>
    <b:Title>Educational research paradigms: From positivism to pluralism</b:Title>
    <b:JournalName>College Research Journal</b:JournalName>
    <b:Year>2011</b:Year>
    <b:Volume>1</b:Volume>
    <b:Issue>1</b:Issue>
    <b:Pages>1-16</b:Pages>
    <b:Author>
      <b:Author>
        <b:NameList>
          <b:Person>
            <b:Last>Taylor</b:Last>
            <b:Middle>C</b:Middle>
            <b:First>P</b:First>
          </b:Person>
          <b:Person>
            <b:Last>Medina</b:Last>
            <b:First>M</b:First>
          </b:Person>
        </b:NameList>
      </b:Author>
    </b:Author>
    <b:RefOrder>1</b:RefOrder>
  </b:Source>
  <b:Source>
    <b:Tag>Fre57</b:Tag>
    <b:SourceType>JournalArticle</b:SourceType>
    <b:Guid>{E76FFCE4-30A3-CB43-BDC8-354F7683FC3F}</b:Guid>
    <b:Title>Thoughts for the times on war and death.</b:Title>
    <b:Year>1957</b:Year>
    <b:Author>
      <b:Author>
        <b:NameList>
          <b:Person>
            <b:Last>Freud</b:Last>
            <b:First>S</b:First>
          </b:Person>
        </b:NameList>
      </b:Author>
    </b:Author>
    <b:JournalName>In The Standard Edition of the Complete Psychological Works of Sigmund Freud, Volume XIV (1914-1916): On the History of the Psycho-Analytic Movement, Papers on Metapsychology and Other Works</b:JournalName>
    <b:Pages>273-300</b:Pages>
    <b:Comments>https://pep-web.org/browse/document/se.014.0273a</b:Comments>
    <b:RefOrder>2</b:RefOrder>
  </b:Source>
  <b:Source>
    <b:Tag>Mer95</b:Tag>
    <b:SourceType>JournalArticle</b:SourceType>
    <b:Guid>{3BDAAD94-EDCD-5449-8D6B-CE2D2F69D95D}</b:Guid>
    <b:Title>The Thomas Theorem and the Matthew Effect</b:Title>
    <b:JournalName>Social Forces</b:JournalName>
    <b:Year>1995</b:Year>
    <b:Volume>74</b:Volume>
    <b:Pages>379-422</b:Pages>
    <b:Author>
      <b:Author>
        <b:NameList>
          <b:Person>
            <b:Last>Merton</b:Last>
            <b:Middle>k</b:Middle>
            <b:First>R</b:First>
          </b:Person>
        </b:NameList>
      </b:Author>
    </b:Author>
    <b:RefOrder>3</b:RefOrder>
  </b:Source>
  <b:Source>
    <b:Tag>Hea99</b:Tag>
    <b:SourceType>Book</b:SourceType>
    <b:Guid>{C69717C8-4A8B-7D4C-88C3-0A29CA0282DC}</b:Guid>
    <b:Title>Sociological Research Methods in Context</b:Title>
    <b:Year>1999</b:Year>
    <b:City>Basingstoke</b:City>
    <b:Publisher>Macmillan</b:Publisher>
    <b:Author>
      <b:Author>
        <b:NameList>
          <b:Person>
            <b:Last>Heath</b:Last>
            <b:First>S</b:First>
          </b:Person>
          <b:Person>
            <b:Last>Devine</b:Last>
            <b:First>F</b:First>
          </b:Person>
        </b:NameList>
      </b:Author>
    </b:Author>
    <b:RefOrder>4</b:RefOrder>
  </b:Source>
  <b:Source>
    <b:Tag>ORe09</b:Tag>
    <b:SourceType>BookSection</b:SourceType>
    <b:Guid>{9D608E7B-0B29-F94B-A436-1A2647BA01E4}</b:Guid>
    <b:Title>Inductive and Deductive</b:Title>
    <b:Publisher>Sage publications ltd</b:Publisher>
    <b:Year>2009</b:Year>
    <b:Author>
      <b:Author>
        <b:NameList>
          <b:Person>
            <b:Last>O'Reilly</b:Last>
            <b:First>K</b:First>
          </b:Person>
        </b:NameList>
      </b:Author>
    </b:Author>
    <b:BookTitle>Key Concepts in Ethnography</b:BookTitle>
    <b:Pages>104-109</b:Pages>
    <b:Comments>https://www.doi.org/10.4135/9781446268308</b:Comments>
    <b:RefOrder>5</b:RefOrder>
  </b:Source>
  <b:Source>
    <b:Tag>Alm16</b:Tag>
    <b:SourceType>JournalArticle</b:SourceType>
    <b:Guid>{53518968-1D27-4B43-9D18-212408629174}</b:Guid>
    <b:Title>Integrating Quantitative and Qualitative Data in Mixed Methods Research--Challenges and Benefits</b:Title>
    <b:JournalName>Journal of Education and Learning</b:JournalName>
    <b:Year>2016</b:Year>
    <b:Volume>5</b:Volume>
    <b:Issue>3</b:Issue>
    <b:Pages>288-296</b:Pages>
    <b:Author>
      <b:Author>
        <b:NameList>
          <b:Person>
            <b:Last>Almalki</b:Last>
            <b:First>S</b:First>
          </b:Person>
        </b:NameList>
      </b:Author>
    </b:Author>
    <b:RefOrder>6</b:RefOrder>
  </b:Source>
  <b:Source>
    <b:Tag>Pol05</b:Tag>
    <b:SourceType>JournalArticle</b:SourceType>
    <b:Guid>{EF76A50A-B2A2-A943-9397-7317E35BED21}</b:Guid>
    <b:Author>
      <b:Author>
        <b:NameList>
          <b:Person>
            <b:Last>Polkinghorne</b:Last>
            <b:First>D</b:First>
            <b:Middle>E</b:Middle>
          </b:Person>
        </b:NameList>
      </b:Author>
    </b:Author>
    <b:Title>Language and meaning: Data collection in qualitative research.</b:Title>
    <b:JournalName>Journal of Counseling Psychology</b:JournalName>
    <b:Year>2005</b:Year>
    <b:Volume>52</b:Volume>
    <b:Issue>2</b:Issue>
    <b:Pages>137-145</b:Pages>
    <b:Comments>https://doi.org/10.1037/0022-0167.52.2.137</b:Comments>
    <b:RefOrder>7</b:RefOrder>
  </b:Source>
  <b:Source>
    <b:Tag>All17</b:Tag>
    <b:SourceType>DocumentFromInternetSite</b:SourceType>
    <b:Guid>{2908A07D-C3DE-A748-9074-F041A6075455}</b:Guid>
    <b:Title>Ethnography</b:Title>
    <b:Year>2017</b:Year>
    <b:URL>https://dx.doi.org/10.4135/9781483381411.n169</b:URL>
    <b:YearAccessed>2021</b:YearAccessed>
    <b:MonthAccessed>02</b:MonthAccessed>
    <b:DayAccessed>15</b:DayAccessed>
    <b:Author>
      <b:Author>
        <b:NameList>
          <b:Person>
            <b:Last>Allen</b:Last>
            <b:First>M</b:First>
          </b:Person>
        </b:NameList>
      </b:Author>
    </b:Author>
    <b:InternetSiteTitle>Sage Research Methods</b:InternetSiteTitle>
    <b:RefOrder>8</b:RefOrder>
  </b:Source>
  <b:Source>
    <b:Tag>Ach13</b:Tag>
    <b:SourceType>JournalArticle</b:SourceType>
    <b:Guid>{60D9212A-71AD-E74D-9140-C0012B26F580}</b:Guid>
    <b:Title>Symposium</b:Title>
    <b:Year>2013</b:Year>
    <b:JournalName>Indian journal of medical specialities</b:JournalName>
    <b:Volume>4</b:Volume>
    <b:Issue>2</b:Issue>
    <b:Pages>330-333</b:Pages>
    <b:Author>
      <b:Author>
        <b:NameList>
          <b:Person>
            <b:Last>Acharya</b:Last>
            <b:Middle>S</b:Middle>
            <b:First>A</b:First>
          </b:Person>
          <b:Person>
            <b:Last>Prakash</b:Last>
            <b:First>A</b:First>
          </b:Person>
          <b:Person>
            <b:Last>Saxena</b:Last>
            <b:First>P</b:First>
          </b:Person>
          <b:Person>
            <b:Last>Nigum</b:Last>
            <b:First>A</b:First>
          </b:Person>
        </b:NameList>
      </b:Author>
    </b:Author>
    <b:RefOrder>9</b:RefOrder>
  </b:Source>
  <b:Source>
    <b:Tag>Veh16</b:Tag>
    <b:SourceType>BookSection</b:SourceType>
    <b:Guid>{AF70A89F-61A6-BF44-B09C-16580C932E4A}</b:Guid>
    <b:Title>Non-probability sampling</b:Title>
    <b:Year>2016</b:Year>
    <b:Pages>329-345</b:Pages>
    <b:BookTitle>The SAGE handbook of survey methodology</b:BookTitle>
    <b:Publisher>SAGE publication</b:Publisher>
    <b:Author>
      <b:Author>
        <b:NameList>
          <b:Person>
            <b:Last>Vehovar</b:Last>
            <b:First>V</b:First>
          </b:Person>
          <b:Person>
            <b:Last>Toepoel</b:Last>
            <b:First>V</b:First>
          </b:Person>
          <b:Person>
            <b:Last>Steinmetz</b:Last>
            <b:First>S</b:First>
          </b:Person>
        </b:NameList>
      </b:Author>
      <b:Editor>
        <b:NameList>
          <b:Person>
            <b:Last>Wolf</b:Last>
            <b:First>C</b:First>
          </b:Person>
          <b:Person>
            <b:Last>Joye</b:Last>
            <b:First>D</b:First>
          </b:Person>
          <b:Person>
            <b:Last>Smith</b:Last>
            <b:First>T</b:First>
            <b:Middle>E C</b:Middle>
          </b:Person>
          <b:Person>
            <b:Last>Smith</b:Last>
            <b:First>T</b:First>
          </b:Person>
          <b:Person>
            <b:Last>Fu</b:Last>
            <b:First>Y</b:First>
          </b:Person>
        </b:NameList>
      </b:Editor>
    </b:Author>
    <b:RefOrder>10</b:RefOrder>
  </b:Source>
</b:Sources>
</file>

<file path=customXml/itemProps1.xml><?xml version="1.0" encoding="utf-8"?>
<ds:datastoreItem xmlns:ds="http://schemas.openxmlformats.org/officeDocument/2006/customXml" ds:itemID="{E9F4F845-8D32-4E64-8DC4-E14715453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7</Pages>
  <Words>1982</Words>
  <Characters>11304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Arran,Danielle swp6480</dc:creator>
  <cp:keywords/>
  <dc:description/>
  <cp:lastModifiedBy>Arran,Danielle swp6480</cp:lastModifiedBy>
  <cp:revision>4</cp:revision>
  <dcterms:created xsi:type="dcterms:W3CDTF">2022-03-01T11:35:00Z</dcterms:created>
  <dcterms:modified xsi:type="dcterms:W3CDTF">2022-03-01T12:46:00Z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006681f2-36bb-4f60-9903-57d15487e952</vt:lpwstr>
  </property>
  <property fmtid="{D5CDD505-2E9C-101B-9397-08002B2CF9AE}" pid="3" name="Classification">
    <vt:lpwstr>OFFICIAL</vt:lpwstr>
  </property>
  <property fmtid="{D5CDD505-2E9C-101B-9397-08002B2CF9AE}" pid="4" name="Visibility">
    <vt:lpwstr>NOT VISIBLE</vt:lpwstr>
  </property>
</Properties>
</file>