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16BF01" w14:textId="77777777" w:rsidR="0056448C" w:rsidRDefault="0056448C" w:rsidP="0056448C">
      <w:pPr>
        <w:rPr>
          <w:rFonts w:ascii="Times New Roman" w:hAnsi="Times New Roman" w:cs="Times New Roman"/>
          <w:sz w:val="28"/>
          <w:szCs w:val="28"/>
          <w:u w:val="single"/>
        </w:rPr>
      </w:pPr>
      <w:r>
        <w:rPr>
          <w:rFonts w:ascii="Times New Roman" w:hAnsi="Times New Roman" w:cs="Times New Roman"/>
          <w:sz w:val="28"/>
          <w:szCs w:val="28"/>
          <w:u w:val="single"/>
        </w:rPr>
        <w:t>Bernadette Horton</w:t>
      </w:r>
    </w:p>
    <w:p w14:paraId="1EAA79FC" w14:textId="77777777" w:rsidR="0056448C" w:rsidRDefault="0056448C" w:rsidP="0056448C">
      <w:pPr>
        <w:rPr>
          <w:rFonts w:ascii="Times New Roman" w:hAnsi="Times New Roman" w:cs="Times New Roman"/>
          <w:sz w:val="28"/>
          <w:szCs w:val="28"/>
          <w:u w:val="single"/>
        </w:rPr>
      </w:pPr>
      <w:r>
        <w:rPr>
          <w:rFonts w:ascii="Times New Roman" w:hAnsi="Times New Roman" w:cs="Times New Roman"/>
          <w:sz w:val="28"/>
          <w:szCs w:val="28"/>
          <w:u w:val="single"/>
        </w:rPr>
        <w:t>Student No: 1800006</w:t>
      </w:r>
    </w:p>
    <w:p w14:paraId="0D166C40" w14:textId="77777777" w:rsidR="0056448C" w:rsidRDefault="0056448C" w:rsidP="0056448C">
      <w:pPr>
        <w:rPr>
          <w:rFonts w:ascii="Times New Roman" w:hAnsi="Times New Roman" w:cs="Times New Roman"/>
          <w:sz w:val="28"/>
          <w:szCs w:val="28"/>
          <w:u w:val="single"/>
        </w:rPr>
      </w:pPr>
      <w:r>
        <w:rPr>
          <w:rFonts w:ascii="Times New Roman" w:hAnsi="Times New Roman" w:cs="Times New Roman"/>
          <w:sz w:val="28"/>
          <w:szCs w:val="28"/>
          <w:u w:val="single"/>
        </w:rPr>
        <w:t>Module: HPAH4009</w:t>
      </w:r>
    </w:p>
    <w:p w14:paraId="30439377" w14:textId="77777777" w:rsidR="0056448C" w:rsidRDefault="0056448C" w:rsidP="0056448C">
      <w:pPr>
        <w:rPr>
          <w:rFonts w:ascii="Times New Roman" w:hAnsi="Times New Roman" w:cs="Times New Roman"/>
          <w:sz w:val="28"/>
          <w:szCs w:val="28"/>
          <w:u w:val="single"/>
        </w:rPr>
      </w:pPr>
    </w:p>
    <w:p w14:paraId="2B7D0942" w14:textId="77777777" w:rsidR="0056448C" w:rsidRDefault="0056448C" w:rsidP="0056448C">
      <w:pPr>
        <w:rPr>
          <w:rFonts w:ascii="Times New Roman" w:hAnsi="Times New Roman" w:cs="Times New Roman"/>
          <w:sz w:val="28"/>
          <w:szCs w:val="28"/>
          <w:u w:val="single"/>
        </w:rPr>
      </w:pPr>
    </w:p>
    <w:p w14:paraId="76D8F853" w14:textId="77777777" w:rsidR="0056448C" w:rsidRDefault="0056448C" w:rsidP="0056448C">
      <w:pPr>
        <w:rPr>
          <w:rFonts w:ascii="Times New Roman" w:hAnsi="Times New Roman" w:cs="Times New Roman"/>
          <w:sz w:val="28"/>
          <w:szCs w:val="28"/>
          <w:u w:val="single"/>
        </w:rPr>
      </w:pPr>
    </w:p>
    <w:p w14:paraId="7CBB6FB3" w14:textId="6322CFA9" w:rsidR="0056448C" w:rsidRDefault="0056448C" w:rsidP="0056448C">
      <w:pPr>
        <w:spacing w:after="100" w:afterAutospacing="1" w:line="360" w:lineRule="auto"/>
        <w:rPr>
          <w:rFonts w:ascii="Times New Roman" w:hAnsi="Times New Roman" w:cs="Times New Roman"/>
          <w:sz w:val="28"/>
          <w:szCs w:val="28"/>
          <w:u w:val="single"/>
          <w:shd w:val="clear" w:color="auto" w:fill="FFFFFF"/>
        </w:rPr>
      </w:pPr>
      <w:r>
        <w:rPr>
          <w:rFonts w:ascii="Times New Roman" w:hAnsi="Times New Roman" w:cs="Times New Roman"/>
          <w:b/>
          <w:sz w:val="28"/>
          <w:szCs w:val="28"/>
        </w:rPr>
        <w:t xml:space="preserve">Gobbet: </w:t>
      </w:r>
      <w:r>
        <w:rPr>
          <w:rFonts w:ascii="Times New Roman" w:hAnsi="Times New Roman" w:cs="Times New Roman"/>
          <w:sz w:val="28"/>
          <w:szCs w:val="28"/>
        </w:rPr>
        <w:t xml:space="preserve"> </w:t>
      </w:r>
      <w:r w:rsidRPr="0056448C">
        <w:rPr>
          <w:rFonts w:ascii="Times New Roman" w:hAnsi="Times New Roman" w:cs="Times New Roman"/>
          <w:sz w:val="28"/>
          <w:szCs w:val="28"/>
          <w:u w:val="single"/>
          <w:shd w:val="clear" w:color="auto" w:fill="FFFFFF"/>
        </w:rPr>
        <w:t>Vergil </w:t>
      </w:r>
      <w:r w:rsidRPr="0056448C">
        <w:rPr>
          <w:rFonts w:ascii="Times New Roman" w:hAnsi="Times New Roman" w:cs="Times New Roman"/>
          <w:i/>
          <w:iCs/>
          <w:sz w:val="28"/>
          <w:szCs w:val="28"/>
          <w:u w:val="single"/>
          <w:shd w:val="clear" w:color="auto" w:fill="FFFFFF"/>
        </w:rPr>
        <w:t>Eclogue</w:t>
      </w:r>
      <w:r w:rsidRPr="0056448C">
        <w:rPr>
          <w:rFonts w:ascii="Times New Roman" w:hAnsi="Times New Roman" w:cs="Times New Roman"/>
          <w:sz w:val="28"/>
          <w:szCs w:val="28"/>
          <w:u w:val="single"/>
          <w:shd w:val="clear" w:color="auto" w:fill="FFFFFF"/>
        </w:rPr>
        <w:t> 2.12-27</w:t>
      </w:r>
    </w:p>
    <w:p w14:paraId="498564F4" w14:textId="1D7EC753" w:rsidR="0056448C" w:rsidRDefault="0056448C" w:rsidP="0056448C">
      <w:pPr>
        <w:spacing w:after="100" w:afterAutospacing="1" w:line="360" w:lineRule="auto"/>
        <w:rPr>
          <w:rFonts w:ascii="Times New Roman" w:hAnsi="Times New Roman" w:cs="Times New Roman"/>
          <w:sz w:val="28"/>
          <w:szCs w:val="28"/>
        </w:rPr>
      </w:pPr>
    </w:p>
    <w:p w14:paraId="23B17719" w14:textId="0639C3CC" w:rsidR="0056448C" w:rsidRDefault="0056448C" w:rsidP="0056448C">
      <w:pPr>
        <w:spacing w:after="100" w:afterAutospacing="1" w:line="360" w:lineRule="auto"/>
        <w:rPr>
          <w:rFonts w:ascii="Times New Roman" w:hAnsi="Times New Roman" w:cs="Times New Roman"/>
          <w:sz w:val="24"/>
          <w:szCs w:val="24"/>
        </w:rPr>
      </w:pPr>
      <w:r>
        <w:rPr>
          <w:rFonts w:ascii="Times New Roman" w:hAnsi="Times New Roman" w:cs="Times New Roman"/>
          <w:sz w:val="24"/>
          <w:szCs w:val="24"/>
        </w:rPr>
        <w:t>Vergil lived from 70 – 19 BC, during a time when the wars of the Republic</w:t>
      </w:r>
      <w:r w:rsidR="00DA1E09">
        <w:rPr>
          <w:rFonts w:ascii="Times New Roman" w:hAnsi="Times New Roman" w:cs="Times New Roman"/>
          <w:sz w:val="24"/>
          <w:szCs w:val="24"/>
        </w:rPr>
        <w:t>an</w:t>
      </w:r>
      <w:r>
        <w:rPr>
          <w:rFonts w:ascii="Times New Roman" w:hAnsi="Times New Roman" w:cs="Times New Roman"/>
          <w:sz w:val="24"/>
          <w:szCs w:val="24"/>
        </w:rPr>
        <w:t xml:space="preserve"> era then made way for the rule of Augustus. He wrote ten eclogues</w:t>
      </w:r>
      <w:r w:rsidR="00DA1E09">
        <w:rPr>
          <w:rFonts w:ascii="Times New Roman" w:hAnsi="Times New Roman" w:cs="Times New Roman"/>
          <w:sz w:val="24"/>
          <w:szCs w:val="24"/>
        </w:rPr>
        <w:t xml:space="preserve"> of triumviral literature</w:t>
      </w:r>
      <w:r w:rsidR="00F87764">
        <w:rPr>
          <w:rFonts w:ascii="Times New Roman" w:hAnsi="Times New Roman" w:cs="Times New Roman"/>
          <w:sz w:val="24"/>
          <w:szCs w:val="24"/>
        </w:rPr>
        <w:t xml:space="preserve"> </w:t>
      </w:r>
      <w:r w:rsidR="00DA1E09">
        <w:rPr>
          <w:rFonts w:ascii="Times New Roman" w:hAnsi="Times New Roman" w:cs="Times New Roman"/>
          <w:sz w:val="24"/>
          <w:szCs w:val="24"/>
        </w:rPr>
        <w:t>between 42-37 BC</w:t>
      </w:r>
      <w:r w:rsidR="00F87764">
        <w:rPr>
          <w:rFonts w:ascii="Times New Roman" w:hAnsi="Times New Roman" w:cs="Times New Roman"/>
          <w:sz w:val="24"/>
          <w:szCs w:val="24"/>
        </w:rPr>
        <w:t xml:space="preserve"> which was the first of his major works; the others being The Georgics and the Aeneid epic.</w:t>
      </w:r>
      <w:r w:rsidR="00DA1E09">
        <w:rPr>
          <w:rFonts w:ascii="Times New Roman" w:hAnsi="Times New Roman" w:cs="Times New Roman"/>
          <w:sz w:val="24"/>
          <w:szCs w:val="24"/>
        </w:rPr>
        <w:t xml:space="preserve"> Vergil was the first to compose Latin pastoral poetry, but</w:t>
      </w:r>
      <w:r w:rsidR="00FB12D7">
        <w:rPr>
          <w:rFonts w:ascii="Times New Roman" w:hAnsi="Times New Roman" w:cs="Times New Roman"/>
          <w:sz w:val="24"/>
          <w:szCs w:val="24"/>
        </w:rPr>
        <w:t>, comments Richard Jenkyns</w:t>
      </w:r>
      <w:r w:rsidR="00FB12D7">
        <w:rPr>
          <w:rStyle w:val="FootnoteReference"/>
          <w:rFonts w:ascii="Times New Roman" w:hAnsi="Times New Roman" w:cs="Times New Roman"/>
          <w:sz w:val="24"/>
          <w:szCs w:val="24"/>
        </w:rPr>
        <w:footnoteReference w:id="1"/>
      </w:r>
      <w:r w:rsidR="00FB12D7">
        <w:rPr>
          <w:rFonts w:ascii="Times New Roman" w:hAnsi="Times New Roman" w:cs="Times New Roman"/>
          <w:sz w:val="24"/>
          <w:szCs w:val="24"/>
        </w:rPr>
        <w:t xml:space="preserve"> “Vergil himself acknowledged that he was imitating Theocritus, a Greek poet of the third century BC, born in Sicily.”</w:t>
      </w:r>
      <w:r w:rsidR="00BB6AC4">
        <w:rPr>
          <w:rFonts w:ascii="Times New Roman" w:hAnsi="Times New Roman" w:cs="Times New Roman"/>
          <w:sz w:val="24"/>
          <w:szCs w:val="24"/>
        </w:rPr>
        <w:t xml:space="preserve"> Theocritus wrote Greek Idylls, pastoral poems which idealised the country way of life and country folk. He wrote in hexameter</w:t>
      </w:r>
      <w:r w:rsidR="00D77934">
        <w:rPr>
          <w:rFonts w:ascii="Times New Roman" w:hAnsi="Times New Roman" w:cs="Times New Roman"/>
          <w:sz w:val="24"/>
          <w:szCs w:val="24"/>
        </w:rPr>
        <w:t xml:space="preserve"> </w:t>
      </w:r>
      <w:bookmarkStart w:id="0" w:name="_GoBack"/>
      <w:bookmarkEnd w:id="0"/>
      <w:r w:rsidR="00BB6AC4">
        <w:rPr>
          <w:rFonts w:ascii="Times New Roman" w:hAnsi="Times New Roman" w:cs="Times New Roman"/>
          <w:sz w:val="24"/>
          <w:szCs w:val="24"/>
        </w:rPr>
        <w:t>which Vergil then used also for his eclogues.</w:t>
      </w:r>
    </w:p>
    <w:p w14:paraId="07799020" w14:textId="7207A8F6" w:rsidR="00486B7A" w:rsidRDefault="00BB6AC4" w:rsidP="0056448C">
      <w:pPr>
        <w:spacing w:after="100" w:afterAutospacing="1" w:line="360" w:lineRule="auto"/>
        <w:rPr>
          <w:rFonts w:ascii="Times New Roman" w:hAnsi="Times New Roman" w:cs="Times New Roman"/>
          <w:sz w:val="24"/>
          <w:szCs w:val="24"/>
        </w:rPr>
      </w:pPr>
      <w:r>
        <w:rPr>
          <w:rFonts w:ascii="Times New Roman" w:hAnsi="Times New Roman" w:cs="Times New Roman"/>
          <w:sz w:val="24"/>
          <w:szCs w:val="24"/>
        </w:rPr>
        <w:t>Where Vergil differs from Theocritus is by his innovative use of bringing in politics to his Latin pastoral genre.</w:t>
      </w:r>
      <w:r w:rsidR="00486B7A">
        <w:rPr>
          <w:rFonts w:ascii="Times New Roman" w:hAnsi="Times New Roman" w:cs="Times New Roman"/>
          <w:sz w:val="24"/>
          <w:szCs w:val="24"/>
        </w:rPr>
        <w:t xml:space="preserve"> This can be evidenced in the way Corydon the </w:t>
      </w:r>
      <w:r w:rsidR="007E29A5">
        <w:rPr>
          <w:rFonts w:ascii="Times New Roman" w:hAnsi="Times New Roman" w:cs="Times New Roman"/>
          <w:sz w:val="24"/>
          <w:szCs w:val="24"/>
        </w:rPr>
        <w:t>shepherd is attempting to woo Alexis from the city to the countryside in Eclogue 2</w:t>
      </w:r>
      <w:r w:rsidR="007E49E8">
        <w:rPr>
          <w:rFonts w:ascii="Times New Roman" w:hAnsi="Times New Roman" w:cs="Times New Roman"/>
          <w:sz w:val="24"/>
          <w:szCs w:val="24"/>
        </w:rPr>
        <w:t xml:space="preserve"> (ll 61-63)</w:t>
      </w:r>
      <w:r w:rsidR="007E29A5">
        <w:rPr>
          <w:rFonts w:ascii="Times New Roman" w:hAnsi="Times New Roman" w:cs="Times New Roman"/>
          <w:sz w:val="24"/>
          <w:szCs w:val="24"/>
        </w:rPr>
        <w:t>: “Let Pallas dwell by herself in the citie</w:t>
      </w:r>
      <w:r w:rsidR="007E49E8">
        <w:rPr>
          <w:rFonts w:ascii="Times New Roman" w:hAnsi="Times New Roman" w:cs="Times New Roman"/>
          <w:sz w:val="24"/>
          <w:szCs w:val="24"/>
        </w:rPr>
        <w:t>s</w:t>
      </w:r>
      <w:r w:rsidR="007E29A5">
        <w:rPr>
          <w:rFonts w:ascii="Times New Roman" w:hAnsi="Times New Roman" w:cs="Times New Roman"/>
          <w:sz w:val="24"/>
          <w:szCs w:val="24"/>
        </w:rPr>
        <w:t xml:space="preserve"> she has built: but let my </w:t>
      </w:r>
      <w:r w:rsidR="007E49E8">
        <w:rPr>
          <w:rFonts w:ascii="Times New Roman" w:hAnsi="Times New Roman" w:cs="Times New Roman"/>
          <w:sz w:val="24"/>
          <w:szCs w:val="24"/>
        </w:rPr>
        <w:t xml:space="preserve">chief delight be the woods!” </w:t>
      </w:r>
      <w:r w:rsidR="007E29A5">
        <w:rPr>
          <w:rStyle w:val="FootnoteReference"/>
          <w:rFonts w:ascii="Times New Roman" w:hAnsi="Times New Roman" w:cs="Times New Roman"/>
          <w:sz w:val="24"/>
          <w:szCs w:val="24"/>
        </w:rPr>
        <w:footnoteReference w:id="2"/>
      </w:r>
      <w:r w:rsidR="00334556">
        <w:rPr>
          <w:rFonts w:ascii="Times New Roman" w:hAnsi="Times New Roman" w:cs="Times New Roman"/>
          <w:sz w:val="24"/>
          <w:szCs w:val="24"/>
        </w:rPr>
        <w:t xml:space="preserve"> </w:t>
      </w:r>
      <w:r w:rsidR="00B01EBF">
        <w:rPr>
          <w:rFonts w:ascii="Times New Roman" w:hAnsi="Times New Roman" w:cs="Times New Roman"/>
          <w:sz w:val="24"/>
          <w:szCs w:val="24"/>
        </w:rPr>
        <w:t>Corydon uses every ounce of persuasive imagery to create an idealised image of the countryside against the harsh city inhabited by Alexis. There is also the politics of the class divide hidden in the eclogue: that of Corydon the shepherd and the slave boy Alexis, but also that of the harvesters, Corydon is looking down upon near the eclogues end. In Eclogues 1 and 9 Vergil talks about eviction and land resettlement</w:t>
      </w:r>
      <w:r w:rsidR="001E2E2E">
        <w:rPr>
          <w:rFonts w:ascii="Times New Roman" w:hAnsi="Times New Roman" w:cs="Times New Roman"/>
          <w:sz w:val="24"/>
          <w:szCs w:val="24"/>
        </w:rPr>
        <w:t>, where after The Battle of Phillippi in 42 BC, Antony and Octavian throw the people off the land and redistribute</w:t>
      </w:r>
      <w:r w:rsidR="00372740">
        <w:rPr>
          <w:rFonts w:ascii="Times New Roman" w:hAnsi="Times New Roman" w:cs="Times New Roman"/>
          <w:sz w:val="24"/>
          <w:szCs w:val="24"/>
        </w:rPr>
        <w:t>d</w:t>
      </w:r>
      <w:r w:rsidR="001E2E2E">
        <w:rPr>
          <w:rFonts w:ascii="Times New Roman" w:hAnsi="Times New Roman" w:cs="Times New Roman"/>
          <w:sz w:val="24"/>
          <w:szCs w:val="24"/>
        </w:rPr>
        <w:t xml:space="preserve"> it to soldiers</w:t>
      </w:r>
      <w:r w:rsidR="00372740">
        <w:rPr>
          <w:rFonts w:ascii="Times New Roman" w:hAnsi="Times New Roman" w:cs="Times New Roman"/>
          <w:sz w:val="24"/>
          <w:szCs w:val="24"/>
        </w:rPr>
        <w:t>. Appian informs us:</w:t>
      </w:r>
      <w:r w:rsidR="00372740">
        <w:rPr>
          <w:rStyle w:val="FootnoteReference"/>
          <w:rFonts w:ascii="Times New Roman" w:hAnsi="Times New Roman" w:cs="Times New Roman"/>
          <w:sz w:val="24"/>
          <w:szCs w:val="24"/>
        </w:rPr>
        <w:footnoteReference w:id="3"/>
      </w:r>
      <w:r w:rsidR="00372740">
        <w:rPr>
          <w:rFonts w:ascii="Times New Roman" w:hAnsi="Times New Roman" w:cs="Times New Roman"/>
          <w:sz w:val="24"/>
          <w:szCs w:val="24"/>
        </w:rPr>
        <w:t xml:space="preserve"> “</w:t>
      </w:r>
      <w:r w:rsidR="00372740" w:rsidRPr="00372740">
        <w:rPr>
          <w:rFonts w:ascii="Times New Roman" w:eastAsia="+mn-ea" w:hAnsi="Times New Roman" w:cs="Times New Roman"/>
          <w:color w:val="010101"/>
          <w:kern w:val="24"/>
          <w:sz w:val="24"/>
          <w:szCs w:val="24"/>
          <w:lang w:val="en-US"/>
        </w:rPr>
        <w:t xml:space="preserve">They came to Rome in crowds, young and old, women and children, to the </w:t>
      </w:r>
      <w:r w:rsidR="00372740" w:rsidRPr="00372740">
        <w:rPr>
          <w:rFonts w:ascii="Times New Roman" w:eastAsia="+mn-ea" w:hAnsi="Times New Roman" w:cs="Times New Roman"/>
          <w:color w:val="010101"/>
          <w:kern w:val="24"/>
          <w:sz w:val="24"/>
          <w:szCs w:val="24"/>
          <w:lang w:val="en-US"/>
        </w:rPr>
        <w:lastRenderedPageBreak/>
        <w:t>forum and the temples, uttering lamentations, saying that they had done no wrong for which they, Italians, should be driven from their fields and their hearthstones, like people conquered in war.”</w:t>
      </w:r>
      <w:r w:rsidR="003D36DA">
        <w:rPr>
          <w:rFonts w:ascii="Times New Roman" w:eastAsia="+mn-ea" w:hAnsi="Times New Roman" w:cs="Times New Roman"/>
          <w:color w:val="010101"/>
          <w:kern w:val="24"/>
          <w:sz w:val="24"/>
          <w:szCs w:val="24"/>
          <w:lang w:val="en-US"/>
        </w:rPr>
        <w:t xml:space="preserve"> So-called ‘Green Politics’ is very much at play in Eclogue 2 and the colour itself invokes the countryside, pastoral land and a country way of life.</w:t>
      </w:r>
      <w:r w:rsidR="003D36DA">
        <w:rPr>
          <w:rFonts w:ascii="Times New Roman" w:hAnsi="Times New Roman" w:cs="Times New Roman"/>
          <w:sz w:val="24"/>
          <w:szCs w:val="24"/>
        </w:rPr>
        <w:t xml:space="preserve"> </w:t>
      </w:r>
      <w:r w:rsidR="00334556">
        <w:rPr>
          <w:rFonts w:ascii="Times New Roman" w:hAnsi="Times New Roman" w:cs="Times New Roman"/>
          <w:sz w:val="24"/>
          <w:szCs w:val="24"/>
        </w:rPr>
        <w:t>Charles Martindale observes</w:t>
      </w:r>
      <w:r w:rsidR="00486B7A">
        <w:rPr>
          <w:rFonts w:ascii="Times New Roman" w:hAnsi="Times New Roman" w:cs="Times New Roman"/>
          <w:sz w:val="24"/>
          <w:szCs w:val="24"/>
        </w:rPr>
        <w:t>:</w:t>
      </w:r>
      <w:r w:rsidR="00486B7A">
        <w:rPr>
          <w:rStyle w:val="FootnoteReference"/>
          <w:rFonts w:ascii="Times New Roman" w:hAnsi="Times New Roman" w:cs="Times New Roman"/>
          <w:sz w:val="24"/>
          <w:szCs w:val="24"/>
        </w:rPr>
        <w:footnoteReference w:id="4"/>
      </w:r>
      <w:r w:rsidR="00486B7A">
        <w:rPr>
          <w:rFonts w:ascii="Times New Roman" w:hAnsi="Times New Roman" w:cs="Times New Roman"/>
          <w:sz w:val="24"/>
          <w:szCs w:val="24"/>
        </w:rPr>
        <w:t xml:space="preserve"> </w:t>
      </w:r>
    </w:p>
    <w:p w14:paraId="377053A7" w14:textId="04F91E91" w:rsidR="00486B7A" w:rsidRDefault="00486B7A" w:rsidP="0056448C">
      <w:pPr>
        <w:spacing w:after="100" w:afterAutospacing="1" w:line="360" w:lineRule="auto"/>
        <w:rPr>
          <w:rFonts w:ascii="Times New Roman" w:hAnsi="Times New Roman" w:cs="Times New Roman"/>
          <w:sz w:val="24"/>
          <w:szCs w:val="24"/>
        </w:rPr>
      </w:pPr>
      <w:r>
        <w:rPr>
          <w:rFonts w:ascii="Times New Roman" w:hAnsi="Times New Roman" w:cs="Times New Roman"/>
          <w:sz w:val="24"/>
          <w:szCs w:val="24"/>
        </w:rPr>
        <w:t xml:space="preserve">     “ Vergil politicises pastoral space by admitting elements of the wider world, including the   world of high politics into his green one (…) green politics also hints at the modern environmental movement where prescriptions for the good life (…) the rape of nature, might be construed as another modern version of pastoral.”</w:t>
      </w:r>
    </w:p>
    <w:p w14:paraId="3DB9276E" w14:textId="2D4C890B" w:rsidR="00936399" w:rsidRDefault="001E2E2E" w:rsidP="009D2AEE">
      <w:pPr>
        <w:spacing w:after="100" w:afterAutospacing="1" w:line="360" w:lineRule="auto"/>
        <w:rPr>
          <w:rFonts w:ascii="Times New Roman" w:hAnsi="Times New Roman" w:cs="Times New Roman"/>
          <w:sz w:val="24"/>
          <w:szCs w:val="24"/>
        </w:rPr>
      </w:pPr>
      <w:r>
        <w:rPr>
          <w:rFonts w:ascii="Times New Roman" w:hAnsi="Times New Roman" w:cs="Times New Roman"/>
          <w:sz w:val="24"/>
          <w:szCs w:val="24"/>
        </w:rPr>
        <w:t xml:space="preserve">The Eclogue throughout has Corydon the shepherd in his own imaginative state proclaiming his love for the distant  slave boy Alexis who is not with him, or ever will be. Many of the other poets of Ancient Rome, like Catullus writing about Lesbia were in the vicinity of their intended </w:t>
      </w:r>
      <w:r w:rsidR="00D77934">
        <w:rPr>
          <w:rFonts w:ascii="Times New Roman" w:hAnsi="Times New Roman" w:cs="Times New Roman"/>
          <w:sz w:val="24"/>
          <w:szCs w:val="24"/>
        </w:rPr>
        <w:t>beloved or</w:t>
      </w:r>
      <w:r>
        <w:rPr>
          <w:rFonts w:ascii="Times New Roman" w:hAnsi="Times New Roman" w:cs="Times New Roman"/>
          <w:sz w:val="24"/>
          <w:szCs w:val="24"/>
        </w:rPr>
        <w:t xml:space="preserve"> had indeed experienced love with them.</w:t>
      </w:r>
      <w:r w:rsidR="003A5645">
        <w:rPr>
          <w:rFonts w:ascii="Times New Roman" w:hAnsi="Times New Roman" w:cs="Times New Roman"/>
          <w:sz w:val="24"/>
          <w:szCs w:val="24"/>
        </w:rPr>
        <w:t xml:space="preserve"> </w:t>
      </w:r>
      <w:r w:rsidR="00D77934">
        <w:rPr>
          <w:rFonts w:ascii="Times New Roman" w:hAnsi="Times New Roman" w:cs="Times New Roman"/>
          <w:sz w:val="24"/>
          <w:szCs w:val="24"/>
        </w:rPr>
        <w:t>Thus,</w:t>
      </w:r>
      <w:r w:rsidR="003A5645">
        <w:rPr>
          <w:rFonts w:ascii="Times New Roman" w:hAnsi="Times New Roman" w:cs="Times New Roman"/>
          <w:sz w:val="24"/>
          <w:szCs w:val="24"/>
        </w:rPr>
        <w:t xml:space="preserve"> Corydon in his words is ‘aflame’ for Alexis. His solitary state roaming around the Sicilian hills with his sheep has rendered him into a form of ‘love madness’. His laments of (l-6)</w:t>
      </w:r>
      <w:r w:rsidR="003A5645">
        <w:rPr>
          <w:rStyle w:val="FootnoteReference"/>
          <w:rFonts w:ascii="Times New Roman" w:hAnsi="Times New Roman" w:cs="Times New Roman"/>
          <w:sz w:val="24"/>
          <w:szCs w:val="24"/>
        </w:rPr>
        <w:footnoteReference w:id="5"/>
      </w:r>
      <w:r w:rsidR="003A5645">
        <w:rPr>
          <w:rFonts w:ascii="Times New Roman" w:hAnsi="Times New Roman" w:cs="Times New Roman"/>
          <w:sz w:val="24"/>
          <w:szCs w:val="24"/>
        </w:rPr>
        <w:t xml:space="preserve"> ‘O cruel Alexis, care you naught for my songs? Have you no pity on me?’ evidently cannot be heard by the absent Alexis and this form of love as madness is also evident in Eclogue Ten where Gallus is pining for Arcadia,</w:t>
      </w:r>
      <w:r w:rsidR="008349FF">
        <w:rPr>
          <w:rFonts w:ascii="Times New Roman" w:hAnsi="Times New Roman" w:cs="Times New Roman"/>
          <w:sz w:val="24"/>
          <w:szCs w:val="24"/>
        </w:rPr>
        <w:t xml:space="preserve"> (ll.6-9)</w:t>
      </w:r>
      <w:r w:rsidR="008349FF">
        <w:rPr>
          <w:rStyle w:val="FootnoteReference"/>
          <w:rFonts w:ascii="Times New Roman" w:hAnsi="Times New Roman" w:cs="Times New Roman"/>
          <w:sz w:val="24"/>
          <w:szCs w:val="24"/>
        </w:rPr>
        <w:footnoteReference w:id="6"/>
      </w:r>
      <w:r w:rsidR="003A5645">
        <w:rPr>
          <w:rFonts w:ascii="Times New Roman" w:hAnsi="Times New Roman" w:cs="Times New Roman"/>
          <w:sz w:val="24"/>
          <w:szCs w:val="24"/>
        </w:rPr>
        <w:t xml:space="preserve"> ‘Let us tell of Gallus’ anxious lov</w:t>
      </w:r>
      <w:r w:rsidR="008349FF">
        <w:rPr>
          <w:rFonts w:ascii="Times New Roman" w:hAnsi="Times New Roman" w:cs="Times New Roman"/>
          <w:sz w:val="24"/>
          <w:szCs w:val="24"/>
        </w:rPr>
        <w:t>es (…)  What groves , what glades were your abode, ye virgin Naiads when Gallus was pining with a love unrequited?’ Theocritus 11</w:t>
      </w:r>
      <w:r w:rsidR="00B97E03">
        <w:rPr>
          <w:rFonts w:ascii="Times New Roman" w:hAnsi="Times New Roman" w:cs="Times New Roman"/>
          <w:sz w:val="24"/>
          <w:szCs w:val="24"/>
        </w:rPr>
        <w:t>,</w:t>
      </w:r>
      <w:r w:rsidR="008349FF">
        <w:rPr>
          <w:rFonts w:ascii="Times New Roman" w:hAnsi="Times New Roman" w:cs="Times New Roman"/>
          <w:sz w:val="24"/>
          <w:szCs w:val="24"/>
        </w:rPr>
        <w:t xml:space="preserve"> Cyclops, also opens with a lament about love</w:t>
      </w:r>
      <w:r w:rsidR="008349FF">
        <w:rPr>
          <w:rStyle w:val="FootnoteReference"/>
          <w:rFonts w:ascii="Times New Roman" w:hAnsi="Times New Roman" w:cs="Times New Roman"/>
          <w:sz w:val="24"/>
          <w:szCs w:val="24"/>
        </w:rPr>
        <w:footnoteReference w:id="7"/>
      </w:r>
      <w:r w:rsidR="008349FF">
        <w:rPr>
          <w:rFonts w:ascii="Times New Roman" w:hAnsi="Times New Roman" w:cs="Times New Roman"/>
          <w:sz w:val="24"/>
          <w:szCs w:val="24"/>
        </w:rPr>
        <w:t>, ‘ there’s no drug Nicias to cure desire…’</w:t>
      </w:r>
      <w:r w:rsidR="003D36DA">
        <w:rPr>
          <w:rFonts w:ascii="Times New Roman" w:hAnsi="Times New Roman" w:cs="Times New Roman"/>
          <w:sz w:val="24"/>
          <w:szCs w:val="24"/>
        </w:rPr>
        <w:t xml:space="preserve"> Love sickness and pining is evident in all.</w:t>
      </w:r>
    </w:p>
    <w:p w14:paraId="45D8C346" w14:textId="242B14F7" w:rsidR="009D2AEE" w:rsidRDefault="009D2AEE" w:rsidP="009D2AEE">
      <w:pPr>
        <w:spacing w:after="100" w:afterAutospacing="1" w:line="360" w:lineRule="auto"/>
        <w:rPr>
          <w:rFonts w:ascii="Times New Roman" w:hAnsi="Times New Roman" w:cs="Times New Roman"/>
          <w:sz w:val="24"/>
          <w:szCs w:val="24"/>
        </w:rPr>
      </w:pPr>
      <w:r>
        <w:rPr>
          <w:rFonts w:ascii="Times New Roman" w:hAnsi="Times New Roman" w:cs="Times New Roman"/>
          <w:sz w:val="24"/>
          <w:szCs w:val="24"/>
        </w:rPr>
        <w:t xml:space="preserve">In my </w:t>
      </w:r>
      <w:r w:rsidR="00C10449">
        <w:rPr>
          <w:rFonts w:ascii="Times New Roman" w:hAnsi="Times New Roman" w:cs="Times New Roman"/>
          <w:sz w:val="24"/>
          <w:szCs w:val="24"/>
        </w:rPr>
        <w:t>opinion</w:t>
      </w:r>
      <w:r>
        <w:rPr>
          <w:rFonts w:ascii="Times New Roman" w:hAnsi="Times New Roman" w:cs="Times New Roman"/>
          <w:sz w:val="24"/>
          <w:szCs w:val="24"/>
        </w:rPr>
        <w:t xml:space="preserve"> I find Corydon and his dramatic language and vivid imagery of the countryside, ‘Come hither lovely boy! See for you the Nymphs bring </w:t>
      </w:r>
      <w:r w:rsidR="00D77934">
        <w:rPr>
          <w:rFonts w:ascii="Times New Roman" w:hAnsi="Times New Roman" w:cs="Times New Roman"/>
          <w:sz w:val="24"/>
          <w:szCs w:val="24"/>
        </w:rPr>
        <w:t>lilies</w:t>
      </w:r>
      <w:r>
        <w:rPr>
          <w:rFonts w:ascii="Times New Roman" w:hAnsi="Times New Roman" w:cs="Times New Roman"/>
          <w:sz w:val="24"/>
          <w:szCs w:val="24"/>
        </w:rPr>
        <w:t xml:space="preserve"> in heaped-up baskets; for you the fair Naiad, plucking pale violets and poppy heads, blend narcissus and sweet- scented fennel </w:t>
      </w:r>
      <w:r w:rsidR="00D77934">
        <w:rPr>
          <w:rFonts w:ascii="Times New Roman" w:hAnsi="Times New Roman" w:cs="Times New Roman"/>
          <w:sz w:val="24"/>
          <w:szCs w:val="24"/>
        </w:rPr>
        <w:t>flower...</w:t>
      </w:r>
      <w:r>
        <w:rPr>
          <w:rFonts w:ascii="Times New Roman" w:hAnsi="Times New Roman" w:cs="Times New Roman"/>
          <w:sz w:val="24"/>
          <w:szCs w:val="24"/>
        </w:rPr>
        <w:t>’ rather at odds with his occupation as a lowly</w:t>
      </w:r>
      <w:r w:rsidR="00502E37">
        <w:rPr>
          <w:rFonts w:ascii="Times New Roman" w:hAnsi="Times New Roman" w:cs="Times New Roman"/>
          <w:sz w:val="24"/>
          <w:szCs w:val="24"/>
        </w:rPr>
        <w:t xml:space="preserve"> uneducated</w:t>
      </w:r>
      <w:r>
        <w:rPr>
          <w:rFonts w:ascii="Times New Roman" w:hAnsi="Times New Roman" w:cs="Times New Roman"/>
          <w:sz w:val="24"/>
          <w:szCs w:val="24"/>
        </w:rPr>
        <w:t xml:space="preserve"> shepherd. My view is echoed by Du Quesnay in his essay ‘From Polyphemus to Corydon’:</w:t>
      </w:r>
      <w:r>
        <w:rPr>
          <w:rStyle w:val="FootnoteReference"/>
          <w:rFonts w:ascii="Times New Roman" w:hAnsi="Times New Roman" w:cs="Times New Roman"/>
          <w:sz w:val="24"/>
          <w:szCs w:val="24"/>
        </w:rPr>
        <w:footnoteReference w:id="8"/>
      </w:r>
      <w:r>
        <w:rPr>
          <w:rFonts w:ascii="Times New Roman" w:hAnsi="Times New Roman" w:cs="Times New Roman"/>
          <w:sz w:val="24"/>
          <w:szCs w:val="24"/>
        </w:rPr>
        <w:t xml:space="preserve"> “Corydon presents himself</w:t>
      </w:r>
      <w:r w:rsidR="00C10449">
        <w:rPr>
          <w:rFonts w:ascii="Times New Roman" w:hAnsi="Times New Roman" w:cs="Times New Roman"/>
          <w:sz w:val="24"/>
          <w:szCs w:val="24"/>
        </w:rPr>
        <w:t xml:space="preserve"> and his rustic world in a way that is deliberately reminiscent of the rhetorical praises of the countryside and thus calculated to present an idyllic image to his </w:t>
      </w:r>
      <w:r w:rsidR="00C10449">
        <w:rPr>
          <w:rFonts w:ascii="Times New Roman" w:hAnsi="Times New Roman" w:cs="Times New Roman"/>
          <w:sz w:val="24"/>
          <w:szCs w:val="24"/>
        </w:rPr>
        <w:lastRenderedPageBreak/>
        <w:t>urbane and urban beloved.”</w:t>
      </w:r>
      <w:r w:rsidR="00502E37">
        <w:rPr>
          <w:rFonts w:ascii="Times New Roman" w:hAnsi="Times New Roman" w:cs="Times New Roman"/>
          <w:sz w:val="24"/>
          <w:szCs w:val="24"/>
        </w:rPr>
        <w:t xml:space="preserve"> Further, Du Quesnay alludes to the fact Vergil was conscious of the readership of the eclogue,</w:t>
      </w:r>
      <w:r w:rsidR="00502E37">
        <w:rPr>
          <w:rStyle w:val="FootnoteReference"/>
          <w:rFonts w:ascii="Times New Roman" w:hAnsi="Times New Roman" w:cs="Times New Roman"/>
          <w:sz w:val="24"/>
          <w:szCs w:val="24"/>
        </w:rPr>
        <w:footnoteReference w:id="9"/>
      </w:r>
      <w:r w:rsidR="00502E37">
        <w:rPr>
          <w:rFonts w:ascii="Times New Roman" w:hAnsi="Times New Roman" w:cs="Times New Roman"/>
          <w:sz w:val="24"/>
          <w:szCs w:val="24"/>
        </w:rPr>
        <w:t xml:space="preserve"> ‘Corydon and his rustic world appeal to the urbane and urban reader because of their naturalness and their simplicity.’ Yet the language used by Corydon certainly isn’t that of an uneducated shepherd, thus putting him at odds with his occupation.</w:t>
      </w:r>
    </w:p>
    <w:p w14:paraId="700E3A1B" w14:textId="7CC266AC" w:rsidR="0024335E" w:rsidRDefault="003D36DA" w:rsidP="009D2AEE">
      <w:pPr>
        <w:spacing w:after="100" w:afterAutospacing="1" w:line="360" w:lineRule="auto"/>
        <w:rPr>
          <w:rFonts w:ascii="Times New Roman" w:hAnsi="Times New Roman" w:cs="Times New Roman"/>
          <w:sz w:val="24"/>
          <w:szCs w:val="24"/>
        </w:rPr>
      </w:pPr>
      <w:r>
        <w:rPr>
          <w:rFonts w:ascii="Times New Roman" w:hAnsi="Times New Roman" w:cs="Times New Roman"/>
          <w:sz w:val="24"/>
          <w:szCs w:val="24"/>
        </w:rPr>
        <w:t xml:space="preserve">The remedy for Corydon’s sickness seems to be song, but in the </w:t>
      </w:r>
      <w:r w:rsidR="00D77934">
        <w:rPr>
          <w:rFonts w:ascii="Times New Roman" w:hAnsi="Times New Roman" w:cs="Times New Roman"/>
          <w:sz w:val="24"/>
          <w:szCs w:val="24"/>
        </w:rPr>
        <w:t xml:space="preserve">end, </w:t>
      </w:r>
      <w:r>
        <w:rPr>
          <w:rFonts w:ascii="Times New Roman" w:hAnsi="Times New Roman" w:cs="Times New Roman"/>
          <w:sz w:val="24"/>
          <w:szCs w:val="24"/>
        </w:rPr>
        <w:t xml:space="preserve"> it gets him nowhere. H</w:t>
      </w:r>
      <w:r w:rsidR="0024335E">
        <w:rPr>
          <w:rFonts w:ascii="Times New Roman" w:hAnsi="Times New Roman" w:cs="Times New Roman"/>
          <w:sz w:val="24"/>
          <w:szCs w:val="24"/>
        </w:rPr>
        <w:t>is imagination runs riot</w:t>
      </w:r>
      <w:r>
        <w:rPr>
          <w:rFonts w:ascii="Times New Roman" w:hAnsi="Times New Roman" w:cs="Times New Roman"/>
          <w:sz w:val="24"/>
          <w:szCs w:val="24"/>
        </w:rPr>
        <w:t xml:space="preserve"> </w:t>
      </w:r>
      <w:r w:rsidR="0024335E">
        <w:rPr>
          <w:rFonts w:ascii="Times New Roman" w:hAnsi="Times New Roman" w:cs="Times New Roman"/>
          <w:sz w:val="24"/>
          <w:szCs w:val="24"/>
        </w:rPr>
        <w:t xml:space="preserve"> as if his will alone is enough to get </w:t>
      </w:r>
      <w:r>
        <w:rPr>
          <w:rFonts w:ascii="Times New Roman" w:hAnsi="Times New Roman" w:cs="Times New Roman"/>
          <w:sz w:val="24"/>
          <w:szCs w:val="24"/>
        </w:rPr>
        <w:t xml:space="preserve">the absent Alexis to want to be with him in the </w:t>
      </w:r>
      <w:r w:rsidR="0024335E">
        <w:rPr>
          <w:rFonts w:ascii="Times New Roman" w:hAnsi="Times New Roman" w:cs="Times New Roman"/>
          <w:sz w:val="24"/>
          <w:szCs w:val="24"/>
        </w:rPr>
        <w:t>Sicilian countryside</w:t>
      </w:r>
      <w:r w:rsidR="0024335E">
        <w:rPr>
          <w:rStyle w:val="FootnoteReference"/>
          <w:rFonts w:ascii="Times New Roman" w:hAnsi="Times New Roman" w:cs="Times New Roman"/>
          <w:sz w:val="24"/>
          <w:szCs w:val="24"/>
        </w:rPr>
        <w:footnoteReference w:id="10"/>
      </w:r>
      <w:r w:rsidR="0024335E">
        <w:rPr>
          <w:rFonts w:ascii="Times New Roman" w:hAnsi="Times New Roman" w:cs="Times New Roman"/>
          <w:sz w:val="24"/>
          <w:szCs w:val="24"/>
        </w:rPr>
        <w:t xml:space="preserve">: ‘I sing as Amphion of Dirce used to sing, when calling </w:t>
      </w:r>
      <w:r w:rsidR="00D77934">
        <w:rPr>
          <w:rFonts w:ascii="Times New Roman" w:hAnsi="Times New Roman" w:cs="Times New Roman"/>
          <w:sz w:val="24"/>
          <w:szCs w:val="24"/>
        </w:rPr>
        <w:t>home,</w:t>
      </w:r>
      <w:r w:rsidR="0024335E">
        <w:rPr>
          <w:rFonts w:ascii="Times New Roman" w:hAnsi="Times New Roman" w:cs="Times New Roman"/>
          <w:sz w:val="24"/>
          <w:szCs w:val="24"/>
        </w:rPr>
        <w:t xml:space="preserve"> the herds on Attic Aracynthus”. He pleads that</w:t>
      </w:r>
      <w:r w:rsidR="0024335E">
        <w:rPr>
          <w:rStyle w:val="FootnoteReference"/>
          <w:rFonts w:ascii="Times New Roman" w:hAnsi="Times New Roman" w:cs="Times New Roman"/>
          <w:sz w:val="24"/>
          <w:szCs w:val="24"/>
        </w:rPr>
        <w:footnoteReference w:id="11"/>
      </w:r>
      <w:r w:rsidR="0024335E">
        <w:rPr>
          <w:rFonts w:ascii="Times New Roman" w:hAnsi="Times New Roman" w:cs="Times New Roman"/>
          <w:sz w:val="24"/>
          <w:szCs w:val="24"/>
        </w:rPr>
        <w:t xml:space="preserve"> “Nor am I unsightly” in the hope  Alexis will want him.</w:t>
      </w:r>
      <w:r w:rsidR="00F862F8">
        <w:rPr>
          <w:rFonts w:ascii="Times New Roman" w:hAnsi="Times New Roman" w:cs="Times New Roman"/>
          <w:sz w:val="24"/>
          <w:szCs w:val="24"/>
        </w:rPr>
        <w:t xml:space="preserve"> He puts forward the offer of gifts; quinces, chestnuts and plums. All this says Du Quesnay </w:t>
      </w:r>
      <w:r w:rsidR="0078506D">
        <w:rPr>
          <w:rFonts w:ascii="Times New Roman" w:hAnsi="Times New Roman" w:cs="Times New Roman"/>
          <w:sz w:val="24"/>
          <w:szCs w:val="24"/>
        </w:rPr>
        <w:t>of Corydon is how</w:t>
      </w:r>
      <w:r w:rsidR="00F862F8">
        <w:rPr>
          <w:rStyle w:val="FootnoteReference"/>
          <w:rFonts w:ascii="Times New Roman" w:hAnsi="Times New Roman" w:cs="Times New Roman"/>
          <w:sz w:val="24"/>
          <w:szCs w:val="24"/>
        </w:rPr>
        <w:footnoteReference w:id="12"/>
      </w:r>
      <w:r w:rsidR="00F862F8">
        <w:rPr>
          <w:rFonts w:ascii="Times New Roman" w:hAnsi="Times New Roman" w:cs="Times New Roman"/>
          <w:sz w:val="24"/>
          <w:szCs w:val="24"/>
        </w:rPr>
        <w:t xml:space="preserve"> “ lovers frequently address their beloved directly even when he cannot be expected to hear.”</w:t>
      </w:r>
      <w:r w:rsidR="0024335E">
        <w:rPr>
          <w:rFonts w:ascii="Times New Roman" w:hAnsi="Times New Roman" w:cs="Times New Roman"/>
          <w:sz w:val="24"/>
          <w:szCs w:val="24"/>
        </w:rPr>
        <w:t xml:space="preserve"> All the while he is not actually attending to his </w:t>
      </w:r>
      <w:r w:rsidR="00D77934">
        <w:rPr>
          <w:rFonts w:ascii="Times New Roman" w:hAnsi="Times New Roman" w:cs="Times New Roman"/>
          <w:sz w:val="24"/>
          <w:szCs w:val="24"/>
        </w:rPr>
        <w:t>sheep but</w:t>
      </w:r>
      <w:r w:rsidR="0024335E">
        <w:rPr>
          <w:rFonts w:ascii="Times New Roman" w:hAnsi="Times New Roman" w:cs="Times New Roman"/>
          <w:sz w:val="24"/>
          <w:szCs w:val="24"/>
        </w:rPr>
        <w:t xml:space="preserve"> waxing lyrical about his love madness for Alexis.</w:t>
      </w:r>
    </w:p>
    <w:p w14:paraId="2F8FADF6" w14:textId="58FFAD17" w:rsidR="00F862F8" w:rsidRDefault="00F862F8" w:rsidP="009D2AEE">
      <w:pPr>
        <w:spacing w:after="100" w:afterAutospacing="1" w:line="360" w:lineRule="auto"/>
        <w:rPr>
          <w:rFonts w:ascii="Times New Roman" w:hAnsi="Times New Roman" w:cs="Times New Roman"/>
          <w:sz w:val="24"/>
          <w:szCs w:val="24"/>
        </w:rPr>
      </w:pPr>
      <w:r>
        <w:rPr>
          <w:rFonts w:ascii="Times New Roman" w:hAnsi="Times New Roman" w:cs="Times New Roman"/>
          <w:sz w:val="24"/>
          <w:szCs w:val="24"/>
        </w:rPr>
        <w:t>In the closing lines Corydon realises that Alexis can never be his and laments</w:t>
      </w:r>
      <w:r>
        <w:rPr>
          <w:rStyle w:val="FootnoteReference"/>
          <w:rFonts w:ascii="Times New Roman" w:hAnsi="Times New Roman" w:cs="Times New Roman"/>
          <w:sz w:val="24"/>
          <w:szCs w:val="24"/>
        </w:rPr>
        <w:footnoteReference w:id="13"/>
      </w:r>
      <w:r>
        <w:rPr>
          <w:rFonts w:ascii="Times New Roman" w:hAnsi="Times New Roman" w:cs="Times New Roman"/>
          <w:sz w:val="24"/>
          <w:szCs w:val="24"/>
        </w:rPr>
        <w:t xml:space="preserve"> “Corydon you are a clown! Alexis cares naught for </w:t>
      </w:r>
      <w:r w:rsidR="00D77934">
        <w:rPr>
          <w:rFonts w:ascii="Times New Roman" w:hAnsi="Times New Roman" w:cs="Times New Roman"/>
          <w:sz w:val="24"/>
          <w:szCs w:val="24"/>
        </w:rPr>
        <w:t>gifts...</w:t>
      </w:r>
      <w:r>
        <w:rPr>
          <w:rFonts w:ascii="Times New Roman" w:hAnsi="Times New Roman" w:cs="Times New Roman"/>
          <w:sz w:val="24"/>
          <w:szCs w:val="24"/>
        </w:rPr>
        <w:t xml:space="preserve">” but admits </w:t>
      </w:r>
      <w:r w:rsidR="0078506D">
        <w:rPr>
          <w:rFonts w:ascii="Times New Roman" w:hAnsi="Times New Roman" w:cs="Times New Roman"/>
          <w:sz w:val="24"/>
          <w:szCs w:val="24"/>
        </w:rPr>
        <w:t xml:space="preserve">‘love still burns me’. He seems intent on finding a replacement for </w:t>
      </w:r>
      <w:r w:rsidR="00D77934">
        <w:rPr>
          <w:rFonts w:ascii="Times New Roman" w:hAnsi="Times New Roman" w:cs="Times New Roman"/>
          <w:sz w:val="24"/>
          <w:szCs w:val="24"/>
        </w:rPr>
        <w:t>Alexis but</w:t>
      </w:r>
      <w:r w:rsidR="0078506D">
        <w:rPr>
          <w:rFonts w:ascii="Times New Roman" w:hAnsi="Times New Roman" w:cs="Times New Roman"/>
          <w:sz w:val="24"/>
          <w:szCs w:val="24"/>
        </w:rPr>
        <w:t xml:space="preserve"> takes no heed of the fact slaves such as Alexis, are owned by their masters and have no free will of their own. There is a huge contrast between the start and end of the eclogue, from burning desire to despair</w:t>
      </w:r>
      <w:r w:rsidR="005E1594">
        <w:rPr>
          <w:rFonts w:ascii="Times New Roman" w:hAnsi="Times New Roman" w:cs="Times New Roman"/>
          <w:sz w:val="24"/>
          <w:szCs w:val="24"/>
        </w:rPr>
        <w:t xml:space="preserve"> to a fragile hope as Corydon hopes to find another Alexis.</w:t>
      </w:r>
    </w:p>
    <w:p w14:paraId="6655EF08" w14:textId="77777777" w:rsidR="003D36DA" w:rsidRPr="009D2AEE" w:rsidRDefault="003D36DA" w:rsidP="009D2AEE">
      <w:pPr>
        <w:spacing w:after="100" w:afterAutospacing="1" w:line="360" w:lineRule="auto"/>
        <w:rPr>
          <w:rFonts w:ascii="Times New Roman" w:hAnsi="Times New Roman" w:cs="Times New Roman"/>
          <w:sz w:val="24"/>
          <w:szCs w:val="24"/>
        </w:rPr>
      </w:pPr>
    </w:p>
    <w:p w14:paraId="29ACA74A" w14:textId="5F9A9E31" w:rsidR="00FB12D7" w:rsidRDefault="00FB12D7"/>
    <w:p w14:paraId="49B3B59C" w14:textId="0E4B0C86" w:rsidR="00FB12D7" w:rsidRDefault="00FB12D7"/>
    <w:p w14:paraId="702C24E7" w14:textId="6890A2E8" w:rsidR="00FB12D7" w:rsidRDefault="00FB12D7"/>
    <w:p w14:paraId="0FC69B31" w14:textId="513C5269" w:rsidR="00FB12D7" w:rsidRDefault="00FB12D7"/>
    <w:p w14:paraId="1232550C" w14:textId="2FF56B1A" w:rsidR="00FB12D7" w:rsidRDefault="00FB12D7"/>
    <w:p w14:paraId="751A91B2" w14:textId="17543DEC" w:rsidR="00FB12D7" w:rsidRDefault="00FB12D7"/>
    <w:p w14:paraId="15D83BB6" w14:textId="3061BC3E" w:rsidR="00FB12D7" w:rsidRDefault="00FB12D7">
      <w:pPr>
        <w:rPr>
          <w:rFonts w:ascii="Times New Roman" w:hAnsi="Times New Roman" w:cs="Times New Roman"/>
          <w:sz w:val="28"/>
          <w:szCs w:val="28"/>
        </w:rPr>
      </w:pPr>
      <w:r w:rsidRPr="00FB12D7">
        <w:rPr>
          <w:rFonts w:ascii="Times New Roman" w:hAnsi="Times New Roman" w:cs="Times New Roman"/>
          <w:sz w:val="28"/>
          <w:szCs w:val="28"/>
        </w:rPr>
        <w:t>Bibliography</w:t>
      </w:r>
    </w:p>
    <w:p w14:paraId="307F5397" w14:textId="2EEB6B4C" w:rsidR="00C10449" w:rsidRDefault="00C10449">
      <w:pPr>
        <w:rPr>
          <w:rFonts w:ascii="Times New Roman" w:hAnsi="Times New Roman" w:cs="Times New Roman"/>
          <w:sz w:val="28"/>
          <w:szCs w:val="28"/>
        </w:rPr>
      </w:pPr>
    </w:p>
    <w:p w14:paraId="188009B8" w14:textId="210097E5" w:rsidR="00C10449" w:rsidRPr="00C10449" w:rsidRDefault="00C10449">
      <w:pPr>
        <w:rPr>
          <w:rFonts w:ascii="Times New Roman" w:hAnsi="Times New Roman" w:cs="Times New Roman"/>
          <w:sz w:val="24"/>
          <w:szCs w:val="24"/>
        </w:rPr>
      </w:pPr>
      <w:r w:rsidRPr="00C10449">
        <w:rPr>
          <w:rFonts w:ascii="Times New Roman" w:hAnsi="Times New Roman" w:cs="Times New Roman"/>
          <w:sz w:val="24"/>
          <w:szCs w:val="24"/>
        </w:rPr>
        <w:t>Du</w:t>
      </w:r>
      <w:r>
        <w:rPr>
          <w:rFonts w:ascii="Times New Roman" w:hAnsi="Times New Roman" w:cs="Times New Roman"/>
          <w:sz w:val="24"/>
          <w:szCs w:val="24"/>
        </w:rPr>
        <w:t xml:space="preserve"> Quesnay, Ian M. Le M. (1979) “From Polyphemus to Corydon” in D. West, T. Woodman (eds) ‘</w:t>
      </w:r>
      <w:r w:rsidRPr="00C10449">
        <w:rPr>
          <w:rFonts w:ascii="Times New Roman" w:hAnsi="Times New Roman" w:cs="Times New Roman"/>
          <w:i/>
          <w:sz w:val="24"/>
          <w:szCs w:val="24"/>
        </w:rPr>
        <w:t>Creative Imitation and Latin Literature’</w:t>
      </w:r>
      <w:r>
        <w:rPr>
          <w:rFonts w:ascii="Times New Roman" w:hAnsi="Times New Roman" w:cs="Times New Roman"/>
          <w:sz w:val="24"/>
          <w:szCs w:val="24"/>
        </w:rPr>
        <w:t xml:space="preserve"> Cambridge: Cambridge University Press, p.</w:t>
      </w:r>
      <w:r w:rsidR="00502E37">
        <w:rPr>
          <w:rFonts w:ascii="Times New Roman" w:hAnsi="Times New Roman" w:cs="Times New Roman"/>
          <w:sz w:val="24"/>
          <w:szCs w:val="24"/>
        </w:rPr>
        <w:t>52.</w:t>
      </w:r>
    </w:p>
    <w:p w14:paraId="1C3F1093" w14:textId="58415285" w:rsidR="00FB12D7" w:rsidRDefault="00FB12D7">
      <w:pPr>
        <w:rPr>
          <w:rFonts w:ascii="Times New Roman" w:hAnsi="Times New Roman" w:cs="Times New Roman"/>
          <w:sz w:val="24"/>
          <w:szCs w:val="24"/>
        </w:rPr>
      </w:pPr>
      <w:r>
        <w:rPr>
          <w:rFonts w:ascii="Times New Roman" w:hAnsi="Times New Roman" w:cs="Times New Roman"/>
          <w:sz w:val="24"/>
          <w:szCs w:val="24"/>
        </w:rPr>
        <w:t xml:space="preserve">Jenkyns, Richard (1992) “Pastoral” in  R. Jenkyns (ed) </w:t>
      </w:r>
      <w:r w:rsidR="00486B7A">
        <w:rPr>
          <w:rFonts w:ascii="Times New Roman" w:hAnsi="Times New Roman" w:cs="Times New Roman"/>
          <w:sz w:val="24"/>
          <w:szCs w:val="24"/>
        </w:rPr>
        <w:t>‘</w:t>
      </w:r>
      <w:r w:rsidRPr="00BB6AC4">
        <w:rPr>
          <w:rFonts w:ascii="Times New Roman" w:hAnsi="Times New Roman" w:cs="Times New Roman"/>
          <w:i/>
          <w:sz w:val="24"/>
          <w:szCs w:val="24"/>
        </w:rPr>
        <w:t>The Legacy of Rome: A New Appraisal</w:t>
      </w:r>
      <w:r w:rsidR="00486B7A">
        <w:rPr>
          <w:rFonts w:ascii="Times New Roman" w:hAnsi="Times New Roman" w:cs="Times New Roman"/>
          <w:sz w:val="24"/>
          <w:szCs w:val="24"/>
        </w:rPr>
        <w:t>’</w:t>
      </w:r>
      <w:r w:rsidR="00BB6AC4">
        <w:rPr>
          <w:rFonts w:ascii="Times New Roman" w:hAnsi="Times New Roman" w:cs="Times New Roman"/>
          <w:sz w:val="24"/>
          <w:szCs w:val="24"/>
        </w:rPr>
        <w:t xml:space="preserve"> Oxford: Oxford University Press, p.152.</w:t>
      </w:r>
    </w:p>
    <w:p w14:paraId="3A07C9D3" w14:textId="59FD99CB" w:rsidR="00486B7A" w:rsidRDefault="00486B7A">
      <w:pPr>
        <w:rPr>
          <w:rFonts w:ascii="Times New Roman" w:hAnsi="Times New Roman" w:cs="Times New Roman"/>
          <w:sz w:val="24"/>
          <w:szCs w:val="24"/>
        </w:rPr>
      </w:pPr>
      <w:r>
        <w:rPr>
          <w:rFonts w:ascii="Times New Roman" w:hAnsi="Times New Roman" w:cs="Times New Roman"/>
          <w:sz w:val="24"/>
          <w:szCs w:val="24"/>
        </w:rPr>
        <w:t>Martindale, Charles (1997) “Green Politics: The Eclogues” in C. Martindale (ed) ‘</w:t>
      </w:r>
      <w:r w:rsidRPr="00486B7A">
        <w:rPr>
          <w:rFonts w:ascii="Times New Roman" w:hAnsi="Times New Roman" w:cs="Times New Roman"/>
          <w:i/>
          <w:sz w:val="24"/>
          <w:szCs w:val="24"/>
        </w:rPr>
        <w:t xml:space="preserve">The Cambridge Companion to Virgil’ </w:t>
      </w:r>
      <w:r>
        <w:rPr>
          <w:rFonts w:ascii="Times New Roman" w:hAnsi="Times New Roman" w:cs="Times New Roman"/>
          <w:sz w:val="24"/>
          <w:szCs w:val="24"/>
        </w:rPr>
        <w:t>Cambridge: Cambridge University Press, p.109.</w:t>
      </w:r>
    </w:p>
    <w:p w14:paraId="7101D676" w14:textId="4A7C6015" w:rsidR="008349FF" w:rsidRDefault="008349FF">
      <w:pPr>
        <w:rPr>
          <w:rFonts w:ascii="Times New Roman" w:hAnsi="Times New Roman" w:cs="Times New Roman"/>
          <w:sz w:val="24"/>
          <w:szCs w:val="24"/>
        </w:rPr>
      </w:pPr>
      <w:r>
        <w:rPr>
          <w:rFonts w:ascii="Times New Roman" w:hAnsi="Times New Roman" w:cs="Times New Roman"/>
          <w:sz w:val="24"/>
          <w:szCs w:val="24"/>
        </w:rPr>
        <w:t>Theocritus 11, ‘Cyclops’</w:t>
      </w:r>
      <w:r w:rsidR="00B97E03">
        <w:rPr>
          <w:rFonts w:ascii="Times New Roman" w:hAnsi="Times New Roman" w:cs="Times New Roman"/>
          <w:sz w:val="24"/>
          <w:szCs w:val="24"/>
        </w:rPr>
        <w:t xml:space="preserve"> (from Diotma)</w:t>
      </w:r>
      <w:r>
        <w:rPr>
          <w:rFonts w:ascii="Times New Roman" w:hAnsi="Times New Roman" w:cs="Times New Roman"/>
          <w:sz w:val="24"/>
          <w:szCs w:val="24"/>
        </w:rPr>
        <w:t xml:space="preserve"> Translation copyright 2002, Diane Arnson Svarlien</w:t>
      </w:r>
    </w:p>
    <w:p w14:paraId="403EEBD2" w14:textId="177E6626" w:rsidR="007E49E8" w:rsidRPr="00FB12D7" w:rsidRDefault="007E49E8">
      <w:pPr>
        <w:rPr>
          <w:rFonts w:ascii="Times New Roman" w:hAnsi="Times New Roman" w:cs="Times New Roman"/>
          <w:sz w:val="24"/>
          <w:szCs w:val="24"/>
        </w:rPr>
      </w:pPr>
      <w:r>
        <w:rPr>
          <w:rFonts w:ascii="Times New Roman" w:hAnsi="Times New Roman" w:cs="Times New Roman"/>
          <w:sz w:val="24"/>
          <w:szCs w:val="24"/>
        </w:rPr>
        <w:t>Vergil, Eclogue 2 (61-63) (Translation, Loeb Classical Library, 1967.)</w:t>
      </w:r>
    </w:p>
    <w:sectPr w:rsidR="007E49E8" w:rsidRPr="00FB12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0EAFFD5" w14:textId="77777777" w:rsidR="009C2595" w:rsidRDefault="009C2595" w:rsidP="00FB12D7">
      <w:pPr>
        <w:spacing w:after="0" w:line="240" w:lineRule="auto"/>
      </w:pPr>
      <w:r>
        <w:separator/>
      </w:r>
    </w:p>
  </w:endnote>
  <w:endnote w:type="continuationSeparator" w:id="0">
    <w:p w14:paraId="20406FE2" w14:textId="77777777" w:rsidR="009C2595" w:rsidRDefault="009C2595" w:rsidP="00FB12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mn-e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608FC2" w14:textId="77777777" w:rsidR="009C2595" w:rsidRDefault="009C2595" w:rsidP="00FB12D7">
      <w:pPr>
        <w:spacing w:after="0" w:line="240" w:lineRule="auto"/>
      </w:pPr>
      <w:r>
        <w:separator/>
      </w:r>
    </w:p>
  </w:footnote>
  <w:footnote w:type="continuationSeparator" w:id="0">
    <w:p w14:paraId="6F422D29" w14:textId="77777777" w:rsidR="009C2595" w:rsidRDefault="009C2595" w:rsidP="00FB12D7">
      <w:pPr>
        <w:spacing w:after="0" w:line="240" w:lineRule="auto"/>
      </w:pPr>
      <w:r>
        <w:continuationSeparator/>
      </w:r>
    </w:p>
  </w:footnote>
  <w:footnote w:id="1">
    <w:p w14:paraId="515FC6AF" w14:textId="575E16EE" w:rsidR="00FB12D7" w:rsidRDefault="00FB12D7">
      <w:pPr>
        <w:pStyle w:val="FootnoteText"/>
      </w:pPr>
      <w:r>
        <w:rPr>
          <w:rStyle w:val="FootnoteReference"/>
        </w:rPr>
        <w:footnoteRef/>
      </w:r>
      <w:r>
        <w:t xml:space="preserve"> Jenkyns, 1992, p.152.</w:t>
      </w:r>
    </w:p>
  </w:footnote>
  <w:footnote w:id="2">
    <w:p w14:paraId="393D7BEC" w14:textId="2A53D711" w:rsidR="007E29A5" w:rsidRDefault="007E29A5">
      <w:pPr>
        <w:pStyle w:val="FootnoteText"/>
      </w:pPr>
      <w:r>
        <w:rPr>
          <w:rStyle w:val="FootnoteReference"/>
        </w:rPr>
        <w:footnoteRef/>
      </w:r>
      <w:r>
        <w:t xml:space="preserve"> </w:t>
      </w:r>
      <w:r w:rsidR="007E49E8">
        <w:t>Virgil, 1967, p.15</w:t>
      </w:r>
    </w:p>
  </w:footnote>
  <w:footnote w:id="3">
    <w:p w14:paraId="78889CEE" w14:textId="0B676809" w:rsidR="00372740" w:rsidRDefault="00372740">
      <w:pPr>
        <w:pStyle w:val="FootnoteText"/>
      </w:pPr>
      <w:r>
        <w:rPr>
          <w:rStyle w:val="FootnoteReference"/>
        </w:rPr>
        <w:footnoteRef/>
      </w:r>
      <w:r>
        <w:t xml:space="preserve"> Appian, BC 5.12.</w:t>
      </w:r>
    </w:p>
  </w:footnote>
  <w:footnote w:id="4">
    <w:p w14:paraId="0123A1F9" w14:textId="584EE0FD" w:rsidR="00486B7A" w:rsidRDefault="00486B7A">
      <w:pPr>
        <w:pStyle w:val="FootnoteText"/>
      </w:pPr>
      <w:r>
        <w:rPr>
          <w:rStyle w:val="FootnoteReference"/>
        </w:rPr>
        <w:footnoteRef/>
      </w:r>
      <w:r>
        <w:t xml:space="preserve"> Martindale, 1997, p.109.</w:t>
      </w:r>
    </w:p>
  </w:footnote>
  <w:footnote w:id="5">
    <w:p w14:paraId="05FABA98" w14:textId="493A587B" w:rsidR="003A5645" w:rsidRDefault="003A5645">
      <w:pPr>
        <w:pStyle w:val="FootnoteText"/>
      </w:pPr>
      <w:r>
        <w:rPr>
          <w:rStyle w:val="FootnoteReference"/>
        </w:rPr>
        <w:footnoteRef/>
      </w:r>
      <w:r>
        <w:t xml:space="preserve"> Virgil, 1967, p.11.</w:t>
      </w:r>
    </w:p>
  </w:footnote>
  <w:footnote w:id="6">
    <w:p w14:paraId="10C191B5" w14:textId="3E4CC840" w:rsidR="008349FF" w:rsidRDefault="008349FF">
      <w:pPr>
        <w:pStyle w:val="FootnoteText"/>
      </w:pPr>
      <w:r>
        <w:rPr>
          <w:rStyle w:val="FootnoteReference"/>
        </w:rPr>
        <w:footnoteRef/>
      </w:r>
      <w:r>
        <w:t xml:space="preserve"> Virgil, 1967, pp.71-73.</w:t>
      </w:r>
    </w:p>
  </w:footnote>
  <w:footnote w:id="7">
    <w:p w14:paraId="3A315380" w14:textId="4E6A2AED" w:rsidR="008349FF" w:rsidRDefault="008349FF">
      <w:pPr>
        <w:pStyle w:val="FootnoteText"/>
      </w:pPr>
      <w:r>
        <w:rPr>
          <w:rStyle w:val="FootnoteReference"/>
        </w:rPr>
        <w:footnoteRef/>
      </w:r>
      <w:r>
        <w:t xml:space="preserve"> Theocritus 11, Cyclops, Diotma Translation.</w:t>
      </w:r>
    </w:p>
  </w:footnote>
  <w:footnote w:id="8">
    <w:p w14:paraId="440FD452" w14:textId="01006B95" w:rsidR="009D2AEE" w:rsidRDefault="009D2AEE">
      <w:pPr>
        <w:pStyle w:val="FootnoteText"/>
      </w:pPr>
      <w:r>
        <w:rPr>
          <w:rStyle w:val="FootnoteReference"/>
        </w:rPr>
        <w:footnoteRef/>
      </w:r>
      <w:r>
        <w:t xml:space="preserve"> </w:t>
      </w:r>
      <w:r w:rsidR="00C10449">
        <w:t>Du Quesnay, 1979, p.52.</w:t>
      </w:r>
    </w:p>
  </w:footnote>
  <w:footnote w:id="9">
    <w:p w14:paraId="52D3CBEC" w14:textId="31074E2D" w:rsidR="00502E37" w:rsidRDefault="00502E37">
      <w:pPr>
        <w:pStyle w:val="FootnoteText"/>
      </w:pPr>
      <w:r>
        <w:rPr>
          <w:rStyle w:val="FootnoteReference"/>
        </w:rPr>
        <w:footnoteRef/>
      </w:r>
      <w:r>
        <w:t xml:space="preserve"> Du Quesnay, 1</w:t>
      </w:r>
      <w:r w:rsidR="00F862F8">
        <w:t>9</w:t>
      </w:r>
      <w:r>
        <w:t>79, p.41.</w:t>
      </w:r>
    </w:p>
  </w:footnote>
  <w:footnote w:id="10">
    <w:p w14:paraId="6EDF8E72" w14:textId="40F4260E" w:rsidR="0024335E" w:rsidRDefault="0024335E">
      <w:pPr>
        <w:pStyle w:val="FootnoteText"/>
      </w:pPr>
      <w:r>
        <w:rPr>
          <w:rStyle w:val="FootnoteReference"/>
        </w:rPr>
        <w:footnoteRef/>
      </w:r>
      <w:r>
        <w:t xml:space="preserve"> Virgil, 1967, p.11.</w:t>
      </w:r>
    </w:p>
  </w:footnote>
  <w:footnote w:id="11">
    <w:p w14:paraId="3DBFE8E3" w14:textId="1EBA1C12" w:rsidR="0024335E" w:rsidRDefault="0024335E">
      <w:pPr>
        <w:pStyle w:val="FootnoteText"/>
      </w:pPr>
      <w:r>
        <w:rPr>
          <w:rStyle w:val="FootnoteReference"/>
        </w:rPr>
        <w:footnoteRef/>
      </w:r>
      <w:r>
        <w:t xml:space="preserve"> Virgil, 1967, p.11.</w:t>
      </w:r>
    </w:p>
  </w:footnote>
  <w:footnote w:id="12">
    <w:p w14:paraId="78F8150C" w14:textId="64E340E4" w:rsidR="00F862F8" w:rsidRDefault="00F862F8">
      <w:pPr>
        <w:pStyle w:val="FootnoteText"/>
      </w:pPr>
      <w:r>
        <w:rPr>
          <w:rStyle w:val="FootnoteReference"/>
        </w:rPr>
        <w:footnoteRef/>
      </w:r>
      <w:r>
        <w:t xml:space="preserve"> Du Quesnay, 1979, p.53.</w:t>
      </w:r>
    </w:p>
  </w:footnote>
  <w:footnote w:id="13">
    <w:p w14:paraId="5A7118F7" w14:textId="234AD3E9" w:rsidR="00F862F8" w:rsidRDefault="00F862F8">
      <w:pPr>
        <w:pStyle w:val="FootnoteText"/>
      </w:pPr>
      <w:r>
        <w:rPr>
          <w:rStyle w:val="FootnoteReference"/>
        </w:rPr>
        <w:footnoteRef/>
      </w:r>
      <w:r>
        <w:t xml:space="preserve"> Virgil, 1967, p.15.</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448C"/>
    <w:rsid w:val="001E2E2E"/>
    <w:rsid w:val="0024335E"/>
    <w:rsid w:val="00334556"/>
    <w:rsid w:val="00372740"/>
    <w:rsid w:val="003A5645"/>
    <w:rsid w:val="003D36DA"/>
    <w:rsid w:val="00486B7A"/>
    <w:rsid w:val="00502E37"/>
    <w:rsid w:val="0056448C"/>
    <w:rsid w:val="005E1594"/>
    <w:rsid w:val="0078506D"/>
    <w:rsid w:val="007E29A5"/>
    <w:rsid w:val="007E49E8"/>
    <w:rsid w:val="008349FF"/>
    <w:rsid w:val="00936399"/>
    <w:rsid w:val="009C2595"/>
    <w:rsid w:val="009D2AEE"/>
    <w:rsid w:val="00B01EBF"/>
    <w:rsid w:val="00B50301"/>
    <w:rsid w:val="00B97E03"/>
    <w:rsid w:val="00BB6AC4"/>
    <w:rsid w:val="00C10449"/>
    <w:rsid w:val="00CD38BC"/>
    <w:rsid w:val="00D77934"/>
    <w:rsid w:val="00DA1E09"/>
    <w:rsid w:val="00F862F8"/>
    <w:rsid w:val="00F87764"/>
    <w:rsid w:val="00FB12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5EF0F4C"/>
  <w15:chartTrackingRefBased/>
  <w15:docId w15:val="{559B06C8-2E39-43FE-BB77-C9531CB354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imes New Roman"/>
        <w:color w:val="000000"/>
        <w:sz w:val="24"/>
        <w:szCs w:val="21"/>
        <w:lang w:val="en-GB" w:eastAsia="en-US" w:bidi="ar-SA"/>
      </w:rPr>
    </w:rPrDefault>
    <w:pPrDefault>
      <w:pPr>
        <w:spacing w:line="360" w:lineRule="auto"/>
        <w:ind w:left="23" w:right="261"/>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6448C"/>
    <w:pPr>
      <w:spacing w:after="160" w:line="254" w:lineRule="auto"/>
      <w:ind w:left="0" w:right="0"/>
    </w:pPr>
    <w:rPr>
      <w:rFonts w:asciiTheme="minorHAnsi" w:eastAsiaTheme="minorEastAsia" w:hAnsiTheme="minorHAnsi" w:cstheme="minorBidi"/>
      <w:color w:val="auto"/>
      <w:sz w:val="22"/>
      <w:szCs w:val="22"/>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FB12D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B12D7"/>
    <w:rPr>
      <w:rFonts w:asciiTheme="minorHAnsi" w:eastAsiaTheme="minorEastAsia" w:hAnsiTheme="minorHAnsi" w:cstheme="minorBidi"/>
      <w:color w:val="auto"/>
      <w:sz w:val="20"/>
      <w:szCs w:val="20"/>
      <w:lang w:eastAsia="zh-CN"/>
    </w:rPr>
  </w:style>
  <w:style w:type="character" w:styleId="FootnoteReference">
    <w:name w:val="footnote reference"/>
    <w:basedOn w:val="DefaultParagraphFont"/>
    <w:uiPriority w:val="99"/>
    <w:semiHidden/>
    <w:unhideWhenUsed/>
    <w:rsid w:val="00FB12D7"/>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652051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238</TotalTime>
  <Pages>4</Pages>
  <Words>1077</Words>
  <Characters>5270</Characters>
  <Application>Microsoft Office Word</Application>
  <DocSecurity>0</DocSecurity>
  <Lines>92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Bernadette Horton</dc:creator>
  <cp:keywords/>
  <dc:description/>
  <cp:lastModifiedBy>Bernadette Horton</cp:lastModifiedBy>
  <cp:revision>4</cp:revision>
  <dcterms:created xsi:type="dcterms:W3CDTF">2018-12-14T09:05:00Z</dcterms:created>
  <dcterms:modified xsi:type="dcterms:W3CDTF">2018-12-14T14:57:00Z</dcterms:modified>
</cp:coreProperties>
</file>