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E01B6A" w14:textId="074C86D6" w:rsidR="00753216" w:rsidRDefault="00CE49FA">
      <w:pPr>
        <w:rPr>
          <w:rFonts w:ascii="Arial" w:hAnsi="Arial" w:cs="Arial"/>
          <w:sz w:val="22"/>
          <w:szCs w:val="22"/>
        </w:rPr>
      </w:pPr>
      <w:r>
        <w:rPr>
          <w:rFonts w:ascii="Arial" w:hAnsi="Arial" w:cs="Arial"/>
          <w:sz w:val="22"/>
          <w:szCs w:val="22"/>
        </w:rPr>
        <w:t>Student name: Nageen Khan</w:t>
      </w:r>
    </w:p>
    <w:p w14:paraId="555D5716" w14:textId="40F1E228" w:rsidR="00CE49FA" w:rsidRDefault="00CE49FA">
      <w:pPr>
        <w:rPr>
          <w:rFonts w:ascii="Arial" w:hAnsi="Arial" w:cs="Arial"/>
          <w:sz w:val="22"/>
          <w:szCs w:val="22"/>
        </w:rPr>
      </w:pPr>
      <w:r>
        <w:rPr>
          <w:rFonts w:ascii="Arial" w:hAnsi="Arial" w:cs="Arial"/>
          <w:sz w:val="22"/>
          <w:szCs w:val="22"/>
        </w:rPr>
        <w:t>Student ID number: 2424667</w:t>
      </w:r>
    </w:p>
    <w:p w14:paraId="6B01CC9D" w14:textId="6CED3218" w:rsidR="00CE49FA" w:rsidRDefault="00CE49FA">
      <w:pPr>
        <w:rPr>
          <w:rFonts w:ascii="Arial" w:hAnsi="Arial" w:cs="Arial"/>
          <w:sz w:val="22"/>
          <w:szCs w:val="22"/>
        </w:rPr>
      </w:pPr>
      <w:r>
        <w:rPr>
          <w:rFonts w:ascii="Arial" w:hAnsi="Arial" w:cs="Arial"/>
          <w:sz w:val="22"/>
          <w:szCs w:val="22"/>
        </w:rPr>
        <w:t xml:space="preserve">Programme: Certificate of Higher Education in Higher Education in Health and Social Care </w:t>
      </w:r>
    </w:p>
    <w:p w14:paraId="589D2D1A" w14:textId="0E3E1F15" w:rsidR="00CE49FA" w:rsidRDefault="00CE49FA">
      <w:pPr>
        <w:rPr>
          <w:rFonts w:ascii="Arial" w:hAnsi="Arial" w:cs="Arial"/>
          <w:sz w:val="22"/>
          <w:szCs w:val="22"/>
        </w:rPr>
      </w:pPr>
      <w:r>
        <w:rPr>
          <w:rFonts w:ascii="Arial" w:hAnsi="Arial" w:cs="Arial"/>
          <w:sz w:val="22"/>
          <w:szCs w:val="22"/>
        </w:rPr>
        <w:t xml:space="preserve">Module: Psychology in Health and Social Care </w:t>
      </w:r>
    </w:p>
    <w:p w14:paraId="758716ED" w14:textId="2885140C" w:rsidR="00CE49FA" w:rsidRDefault="00CE49FA">
      <w:pPr>
        <w:rPr>
          <w:rFonts w:ascii="Arial" w:hAnsi="Arial" w:cs="Arial"/>
          <w:sz w:val="22"/>
          <w:szCs w:val="22"/>
        </w:rPr>
      </w:pPr>
      <w:r>
        <w:rPr>
          <w:rFonts w:ascii="Arial" w:hAnsi="Arial" w:cs="Arial"/>
          <w:sz w:val="22"/>
          <w:szCs w:val="22"/>
        </w:rPr>
        <w:t xml:space="preserve">Module code: LCHS40010 </w:t>
      </w:r>
    </w:p>
    <w:p w14:paraId="1509DDB5" w14:textId="7ED0190C" w:rsidR="00CE49FA" w:rsidRDefault="00CE49FA">
      <w:pPr>
        <w:rPr>
          <w:rFonts w:ascii="Arial" w:hAnsi="Arial" w:cs="Arial"/>
          <w:sz w:val="22"/>
          <w:szCs w:val="22"/>
        </w:rPr>
      </w:pPr>
      <w:r>
        <w:rPr>
          <w:rFonts w:ascii="Arial" w:hAnsi="Arial" w:cs="Arial"/>
          <w:sz w:val="22"/>
          <w:szCs w:val="22"/>
        </w:rPr>
        <w:t>Lecturer: Samuel Assan</w:t>
      </w:r>
    </w:p>
    <w:p w14:paraId="7AAC199D" w14:textId="01E69F03" w:rsidR="00CE49FA" w:rsidRDefault="00CE49FA">
      <w:pPr>
        <w:rPr>
          <w:rFonts w:ascii="Arial" w:hAnsi="Arial" w:cs="Arial"/>
          <w:sz w:val="22"/>
          <w:szCs w:val="22"/>
        </w:rPr>
      </w:pPr>
      <w:r>
        <w:rPr>
          <w:rFonts w:ascii="Arial" w:hAnsi="Arial" w:cs="Arial"/>
          <w:sz w:val="22"/>
          <w:szCs w:val="22"/>
        </w:rPr>
        <w:t>Internal Verifier: Dr Besty Jose</w:t>
      </w:r>
    </w:p>
    <w:p w14:paraId="42B8CBBC" w14:textId="029948C1" w:rsidR="00CE49FA" w:rsidRDefault="00CE49FA">
      <w:pPr>
        <w:rPr>
          <w:rFonts w:ascii="Arial" w:hAnsi="Arial" w:cs="Arial"/>
          <w:sz w:val="22"/>
          <w:szCs w:val="22"/>
        </w:rPr>
      </w:pPr>
      <w:r>
        <w:rPr>
          <w:rFonts w:ascii="Arial" w:hAnsi="Arial" w:cs="Arial"/>
          <w:sz w:val="22"/>
          <w:szCs w:val="22"/>
        </w:rPr>
        <w:t xml:space="preserve">Assignment Title: Assignment 2 Written Task. </w:t>
      </w:r>
    </w:p>
    <w:p w14:paraId="548518DB" w14:textId="77777777" w:rsidR="008F2A46" w:rsidRDefault="008F2A46">
      <w:pPr>
        <w:rPr>
          <w:rFonts w:ascii="Arial" w:hAnsi="Arial" w:cs="Arial"/>
          <w:sz w:val="22"/>
          <w:szCs w:val="22"/>
        </w:rPr>
      </w:pPr>
    </w:p>
    <w:p w14:paraId="493EB25F" w14:textId="77777777" w:rsidR="008F2A46" w:rsidRDefault="008F2A46">
      <w:pPr>
        <w:rPr>
          <w:rFonts w:ascii="Arial" w:hAnsi="Arial" w:cs="Arial"/>
          <w:sz w:val="22"/>
          <w:szCs w:val="22"/>
        </w:rPr>
      </w:pPr>
    </w:p>
    <w:p w14:paraId="15DE4B95" w14:textId="77777777" w:rsidR="008F2A46" w:rsidRDefault="008F2A46">
      <w:pPr>
        <w:rPr>
          <w:rFonts w:ascii="Arial" w:hAnsi="Arial" w:cs="Arial"/>
          <w:sz w:val="22"/>
          <w:szCs w:val="22"/>
        </w:rPr>
      </w:pPr>
    </w:p>
    <w:p w14:paraId="685693E6" w14:textId="77777777" w:rsidR="008F2A46" w:rsidRDefault="008F2A46">
      <w:pPr>
        <w:rPr>
          <w:rFonts w:ascii="Arial" w:hAnsi="Arial" w:cs="Arial"/>
          <w:sz w:val="22"/>
          <w:szCs w:val="22"/>
        </w:rPr>
      </w:pPr>
    </w:p>
    <w:p w14:paraId="0A396E29" w14:textId="77777777" w:rsidR="008F2A46" w:rsidRDefault="008F2A46">
      <w:pPr>
        <w:rPr>
          <w:rFonts w:ascii="Arial" w:hAnsi="Arial" w:cs="Arial"/>
          <w:sz w:val="22"/>
          <w:szCs w:val="22"/>
        </w:rPr>
      </w:pPr>
    </w:p>
    <w:p w14:paraId="3E256F1B" w14:textId="77777777" w:rsidR="008F2A46" w:rsidRDefault="008F2A46">
      <w:pPr>
        <w:rPr>
          <w:rFonts w:ascii="Arial" w:hAnsi="Arial" w:cs="Arial"/>
          <w:sz w:val="22"/>
          <w:szCs w:val="22"/>
        </w:rPr>
      </w:pPr>
    </w:p>
    <w:p w14:paraId="2E9E8C82" w14:textId="77777777" w:rsidR="008F2A46" w:rsidRDefault="008F2A46">
      <w:pPr>
        <w:rPr>
          <w:rFonts w:ascii="Arial" w:hAnsi="Arial" w:cs="Arial"/>
          <w:sz w:val="22"/>
          <w:szCs w:val="22"/>
        </w:rPr>
      </w:pPr>
    </w:p>
    <w:p w14:paraId="5C5E60B4" w14:textId="77777777" w:rsidR="008F2A46" w:rsidRDefault="008F2A46">
      <w:pPr>
        <w:rPr>
          <w:rFonts w:ascii="Arial" w:hAnsi="Arial" w:cs="Arial"/>
          <w:sz w:val="22"/>
          <w:szCs w:val="22"/>
        </w:rPr>
      </w:pPr>
    </w:p>
    <w:p w14:paraId="35AA86AA" w14:textId="77777777" w:rsidR="008F2A46" w:rsidRDefault="008F2A46">
      <w:pPr>
        <w:rPr>
          <w:rFonts w:ascii="Arial" w:hAnsi="Arial" w:cs="Arial"/>
          <w:sz w:val="22"/>
          <w:szCs w:val="22"/>
        </w:rPr>
      </w:pPr>
    </w:p>
    <w:p w14:paraId="2B0AB28E" w14:textId="77777777" w:rsidR="008F2A46" w:rsidRDefault="008F2A46">
      <w:pPr>
        <w:rPr>
          <w:rFonts w:ascii="Arial" w:hAnsi="Arial" w:cs="Arial"/>
          <w:sz w:val="22"/>
          <w:szCs w:val="22"/>
        </w:rPr>
      </w:pPr>
    </w:p>
    <w:p w14:paraId="05D44ACD" w14:textId="77777777" w:rsidR="008F2A46" w:rsidRDefault="008F2A46">
      <w:pPr>
        <w:rPr>
          <w:rFonts w:ascii="Arial" w:hAnsi="Arial" w:cs="Arial"/>
          <w:sz w:val="22"/>
          <w:szCs w:val="22"/>
        </w:rPr>
      </w:pPr>
    </w:p>
    <w:p w14:paraId="6EB665A1" w14:textId="77777777" w:rsidR="008F2A46" w:rsidRDefault="008F2A46">
      <w:pPr>
        <w:rPr>
          <w:rFonts w:ascii="Arial" w:hAnsi="Arial" w:cs="Arial"/>
          <w:sz w:val="22"/>
          <w:szCs w:val="22"/>
        </w:rPr>
      </w:pPr>
    </w:p>
    <w:p w14:paraId="6A472F30" w14:textId="77777777" w:rsidR="008F2A46" w:rsidRDefault="008F2A46">
      <w:pPr>
        <w:rPr>
          <w:rFonts w:ascii="Arial" w:hAnsi="Arial" w:cs="Arial"/>
          <w:sz w:val="22"/>
          <w:szCs w:val="22"/>
        </w:rPr>
      </w:pPr>
    </w:p>
    <w:p w14:paraId="7E52DC09" w14:textId="77777777" w:rsidR="008F2A46" w:rsidRDefault="008F2A46">
      <w:pPr>
        <w:rPr>
          <w:rFonts w:ascii="Arial" w:hAnsi="Arial" w:cs="Arial"/>
          <w:sz w:val="22"/>
          <w:szCs w:val="22"/>
        </w:rPr>
      </w:pPr>
    </w:p>
    <w:p w14:paraId="0F5C6C43" w14:textId="77777777" w:rsidR="008F2A46" w:rsidRDefault="008F2A46">
      <w:pPr>
        <w:rPr>
          <w:rFonts w:ascii="Arial" w:hAnsi="Arial" w:cs="Arial"/>
          <w:sz w:val="22"/>
          <w:szCs w:val="22"/>
        </w:rPr>
      </w:pPr>
    </w:p>
    <w:p w14:paraId="33A9A300" w14:textId="77777777" w:rsidR="008F2A46" w:rsidRDefault="008F2A46">
      <w:pPr>
        <w:rPr>
          <w:rFonts w:ascii="Arial" w:hAnsi="Arial" w:cs="Arial"/>
          <w:sz w:val="22"/>
          <w:szCs w:val="22"/>
        </w:rPr>
      </w:pPr>
    </w:p>
    <w:p w14:paraId="41DDB68B" w14:textId="77777777" w:rsidR="008F2A46" w:rsidRDefault="008F2A46">
      <w:pPr>
        <w:rPr>
          <w:rFonts w:ascii="Arial" w:hAnsi="Arial" w:cs="Arial"/>
          <w:sz w:val="22"/>
          <w:szCs w:val="22"/>
        </w:rPr>
      </w:pPr>
    </w:p>
    <w:p w14:paraId="28595CDF" w14:textId="77777777" w:rsidR="008F2A46" w:rsidRDefault="008F2A46">
      <w:pPr>
        <w:rPr>
          <w:rFonts w:ascii="Arial" w:hAnsi="Arial" w:cs="Arial"/>
          <w:sz w:val="22"/>
          <w:szCs w:val="22"/>
        </w:rPr>
      </w:pPr>
    </w:p>
    <w:p w14:paraId="205DD895" w14:textId="77777777" w:rsidR="008F2A46" w:rsidRDefault="008F2A46">
      <w:pPr>
        <w:rPr>
          <w:rFonts w:ascii="Arial" w:hAnsi="Arial" w:cs="Arial"/>
          <w:sz w:val="22"/>
          <w:szCs w:val="22"/>
        </w:rPr>
      </w:pPr>
    </w:p>
    <w:p w14:paraId="05C31B54" w14:textId="77777777" w:rsidR="008F2A46" w:rsidRDefault="008F2A46">
      <w:pPr>
        <w:rPr>
          <w:rFonts w:ascii="Arial" w:hAnsi="Arial" w:cs="Arial"/>
          <w:sz w:val="22"/>
          <w:szCs w:val="22"/>
        </w:rPr>
      </w:pPr>
    </w:p>
    <w:p w14:paraId="68637072" w14:textId="77777777" w:rsidR="008F2A46" w:rsidRDefault="008F2A46">
      <w:pPr>
        <w:rPr>
          <w:rFonts w:ascii="Arial" w:hAnsi="Arial" w:cs="Arial"/>
          <w:sz w:val="22"/>
          <w:szCs w:val="22"/>
        </w:rPr>
      </w:pPr>
    </w:p>
    <w:p w14:paraId="5A1BA547" w14:textId="77777777" w:rsidR="008F2A46" w:rsidRDefault="008F2A46">
      <w:pPr>
        <w:rPr>
          <w:rFonts w:ascii="Arial" w:hAnsi="Arial" w:cs="Arial"/>
          <w:sz w:val="22"/>
          <w:szCs w:val="22"/>
        </w:rPr>
      </w:pPr>
    </w:p>
    <w:p w14:paraId="363C266F" w14:textId="77777777" w:rsidR="008F2A46" w:rsidRDefault="008F2A46">
      <w:pPr>
        <w:rPr>
          <w:rFonts w:ascii="Arial" w:hAnsi="Arial" w:cs="Arial"/>
          <w:sz w:val="22"/>
          <w:szCs w:val="22"/>
        </w:rPr>
      </w:pPr>
    </w:p>
    <w:p w14:paraId="2AAD13A0" w14:textId="39E8AF1E" w:rsidR="008F2A46" w:rsidRDefault="008F2A46">
      <w:pPr>
        <w:rPr>
          <w:rFonts w:ascii="Arial" w:hAnsi="Arial" w:cs="Arial"/>
          <w:sz w:val="22"/>
          <w:szCs w:val="22"/>
        </w:rPr>
      </w:pPr>
      <w:r>
        <w:rPr>
          <w:rFonts w:ascii="Arial" w:hAnsi="Arial" w:cs="Arial"/>
          <w:sz w:val="22"/>
          <w:szCs w:val="22"/>
        </w:rPr>
        <w:lastRenderedPageBreak/>
        <w:t xml:space="preserve">Table of Contents. </w:t>
      </w:r>
    </w:p>
    <w:p w14:paraId="568436A8" w14:textId="49F0B7DD" w:rsidR="008F2A46" w:rsidRDefault="008F2A46">
      <w:pPr>
        <w:rPr>
          <w:rFonts w:ascii="Arial" w:hAnsi="Arial" w:cs="Arial"/>
          <w:sz w:val="22"/>
          <w:szCs w:val="22"/>
        </w:rPr>
      </w:pPr>
      <w:r>
        <w:rPr>
          <w:rFonts w:ascii="Arial" w:hAnsi="Arial" w:cs="Arial"/>
          <w:sz w:val="22"/>
          <w:szCs w:val="22"/>
        </w:rPr>
        <w:t xml:space="preserve">Introduction. </w:t>
      </w:r>
    </w:p>
    <w:p w14:paraId="053C3310" w14:textId="60E7B2E0" w:rsidR="0018463B" w:rsidRDefault="0018463B">
      <w:pPr>
        <w:rPr>
          <w:rFonts w:ascii="Arial" w:hAnsi="Arial" w:cs="Arial"/>
          <w:sz w:val="22"/>
          <w:szCs w:val="22"/>
        </w:rPr>
      </w:pPr>
      <w:r>
        <w:rPr>
          <w:rFonts w:ascii="Arial" w:hAnsi="Arial" w:cs="Arial"/>
          <w:sz w:val="22"/>
          <w:szCs w:val="22"/>
        </w:rPr>
        <w:t>Bowlby’s Theory of Attachment.</w:t>
      </w:r>
    </w:p>
    <w:p w14:paraId="0999013F" w14:textId="0B6A3F9F" w:rsidR="0018463B" w:rsidRDefault="0018463B">
      <w:pPr>
        <w:rPr>
          <w:rFonts w:ascii="Arial" w:hAnsi="Arial" w:cs="Arial"/>
          <w:sz w:val="22"/>
          <w:szCs w:val="22"/>
        </w:rPr>
      </w:pPr>
      <w:r>
        <w:rPr>
          <w:rFonts w:ascii="Arial" w:hAnsi="Arial" w:cs="Arial"/>
          <w:sz w:val="22"/>
          <w:szCs w:val="22"/>
        </w:rPr>
        <w:t>Application in</w:t>
      </w:r>
      <w:r w:rsidR="00202211">
        <w:rPr>
          <w:rFonts w:ascii="Arial" w:hAnsi="Arial" w:cs="Arial"/>
          <w:sz w:val="22"/>
          <w:szCs w:val="22"/>
        </w:rPr>
        <w:t xml:space="preserve"> Population</w:t>
      </w:r>
      <w:r>
        <w:rPr>
          <w:rFonts w:ascii="Arial" w:hAnsi="Arial" w:cs="Arial"/>
          <w:sz w:val="22"/>
          <w:szCs w:val="22"/>
        </w:rPr>
        <w:t xml:space="preserve"> Aged 65 Years and Older. </w:t>
      </w:r>
    </w:p>
    <w:p w14:paraId="7EFB1316" w14:textId="77777777" w:rsidR="00202211" w:rsidRDefault="0018463B">
      <w:pPr>
        <w:rPr>
          <w:rFonts w:ascii="Arial" w:hAnsi="Arial" w:cs="Arial"/>
          <w:sz w:val="22"/>
          <w:szCs w:val="22"/>
        </w:rPr>
      </w:pPr>
      <w:r>
        <w:rPr>
          <w:rFonts w:ascii="Arial" w:hAnsi="Arial" w:cs="Arial"/>
          <w:sz w:val="22"/>
          <w:szCs w:val="22"/>
        </w:rPr>
        <w:t xml:space="preserve">Application to Dementia Care. </w:t>
      </w:r>
    </w:p>
    <w:p w14:paraId="18F9F245" w14:textId="485FB2B7" w:rsidR="0018463B" w:rsidRDefault="0018463B">
      <w:pPr>
        <w:rPr>
          <w:rFonts w:ascii="Arial" w:hAnsi="Arial" w:cs="Arial"/>
          <w:sz w:val="22"/>
          <w:szCs w:val="22"/>
        </w:rPr>
      </w:pPr>
      <w:r>
        <w:rPr>
          <w:rFonts w:ascii="Arial" w:hAnsi="Arial" w:cs="Arial"/>
          <w:sz w:val="22"/>
          <w:szCs w:val="22"/>
        </w:rPr>
        <w:t xml:space="preserve"> Maslow</w:t>
      </w:r>
      <w:r w:rsidR="00202211">
        <w:rPr>
          <w:rFonts w:ascii="Arial" w:hAnsi="Arial" w:cs="Arial"/>
          <w:sz w:val="22"/>
          <w:szCs w:val="22"/>
        </w:rPr>
        <w:t xml:space="preserve"> and His</w:t>
      </w:r>
      <w:r>
        <w:rPr>
          <w:rFonts w:ascii="Arial" w:hAnsi="Arial" w:cs="Arial"/>
          <w:sz w:val="22"/>
          <w:szCs w:val="22"/>
        </w:rPr>
        <w:t xml:space="preserve"> Hierarchy </w:t>
      </w:r>
      <w:proofErr w:type="gramStart"/>
      <w:r>
        <w:rPr>
          <w:rFonts w:ascii="Arial" w:hAnsi="Arial" w:cs="Arial"/>
          <w:sz w:val="22"/>
          <w:szCs w:val="22"/>
        </w:rPr>
        <w:t>Of</w:t>
      </w:r>
      <w:proofErr w:type="gramEnd"/>
      <w:r>
        <w:rPr>
          <w:rFonts w:ascii="Arial" w:hAnsi="Arial" w:cs="Arial"/>
          <w:sz w:val="22"/>
          <w:szCs w:val="22"/>
        </w:rPr>
        <w:t xml:space="preserve"> Needs Model. </w:t>
      </w:r>
    </w:p>
    <w:p w14:paraId="6005206A" w14:textId="11AB018F" w:rsidR="0018463B" w:rsidRDefault="0018463B">
      <w:pPr>
        <w:rPr>
          <w:rFonts w:ascii="Arial" w:hAnsi="Arial" w:cs="Arial"/>
          <w:sz w:val="22"/>
          <w:szCs w:val="22"/>
        </w:rPr>
      </w:pPr>
      <w:r>
        <w:rPr>
          <w:rFonts w:ascii="Arial" w:hAnsi="Arial" w:cs="Arial"/>
          <w:sz w:val="22"/>
          <w:szCs w:val="22"/>
        </w:rPr>
        <w:t xml:space="preserve">Application to </w:t>
      </w:r>
      <w:r w:rsidR="00202211">
        <w:rPr>
          <w:rFonts w:ascii="Arial" w:hAnsi="Arial" w:cs="Arial"/>
          <w:sz w:val="22"/>
          <w:szCs w:val="22"/>
        </w:rPr>
        <w:t>Patients</w:t>
      </w:r>
      <w:r>
        <w:rPr>
          <w:rFonts w:ascii="Arial" w:hAnsi="Arial" w:cs="Arial"/>
          <w:sz w:val="22"/>
          <w:szCs w:val="22"/>
        </w:rPr>
        <w:t xml:space="preserve"> Adults 65 Years </w:t>
      </w:r>
      <w:r w:rsidR="00202211">
        <w:rPr>
          <w:rFonts w:ascii="Arial" w:hAnsi="Arial" w:cs="Arial"/>
          <w:sz w:val="22"/>
          <w:szCs w:val="22"/>
        </w:rPr>
        <w:t>or</w:t>
      </w:r>
      <w:r>
        <w:rPr>
          <w:rFonts w:ascii="Arial" w:hAnsi="Arial" w:cs="Arial"/>
          <w:sz w:val="22"/>
          <w:szCs w:val="22"/>
        </w:rPr>
        <w:t xml:space="preserve"> Over. </w:t>
      </w:r>
    </w:p>
    <w:p w14:paraId="3824544E" w14:textId="583FD13A" w:rsidR="0018463B" w:rsidRDefault="0018463B">
      <w:pPr>
        <w:rPr>
          <w:rFonts w:ascii="Arial" w:hAnsi="Arial" w:cs="Arial"/>
          <w:sz w:val="22"/>
          <w:szCs w:val="22"/>
        </w:rPr>
      </w:pPr>
      <w:r>
        <w:rPr>
          <w:rFonts w:ascii="Arial" w:hAnsi="Arial" w:cs="Arial"/>
          <w:sz w:val="22"/>
          <w:szCs w:val="22"/>
        </w:rPr>
        <w:t xml:space="preserve">Application to Dementia Care. </w:t>
      </w:r>
    </w:p>
    <w:p w14:paraId="7DD8156E" w14:textId="4D780B41" w:rsidR="0018463B" w:rsidRDefault="00A9021B">
      <w:pPr>
        <w:rPr>
          <w:rFonts w:ascii="Arial" w:hAnsi="Arial" w:cs="Arial"/>
          <w:sz w:val="22"/>
          <w:szCs w:val="22"/>
        </w:rPr>
      </w:pPr>
      <w:r>
        <w:rPr>
          <w:rFonts w:ascii="Arial" w:hAnsi="Arial" w:cs="Arial"/>
          <w:sz w:val="22"/>
          <w:szCs w:val="22"/>
        </w:rPr>
        <w:t xml:space="preserve">Dementia and Later Life Nature-Nurture. </w:t>
      </w:r>
    </w:p>
    <w:p w14:paraId="397493A0" w14:textId="420FB52C" w:rsidR="00A9021B" w:rsidRDefault="00A9021B">
      <w:pPr>
        <w:rPr>
          <w:rFonts w:ascii="Arial" w:hAnsi="Arial" w:cs="Arial"/>
          <w:sz w:val="22"/>
          <w:szCs w:val="22"/>
        </w:rPr>
      </w:pPr>
      <w:r>
        <w:rPr>
          <w:rFonts w:ascii="Arial" w:hAnsi="Arial" w:cs="Arial"/>
          <w:sz w:val="22"/>
          <w:szCs w:val="22"/>
        </w:rPr>
        <w:t>Interaction between Nature and Nurture</w:t>
      </w:r>
      <w:r w:rsidR="00202211">
        <w:rPr>
          <w:rFonts w:ascii="Arial" w:hAnsi="Arial" w:cs="Arial"/>
          <w:sz w:val="22"/>
          <w:szCs w:val="22"/>
        </w:rPr>
        <w:t xml:space="preserve"> in</w:t>
      </w:r>
      <w:r>
        <w:rPr>
          <w:rFonts w:ascii="Arial" w:hAnsi="Arial" w:cs="Arial"/>
          <w:sz w:val="22"/>
          <w:szCs w:val="22"/>
        </w:rPr>
        <w:t xml:space="preserve"> Dementia. </w:t>
      </w:r>
    </w:p>
    <w:p w14:paraId="3E5DBB39" w14:textId="431A73B5" w:rsidR="00A9021B" w:rsidRDefault="00A9021B">
      <w:pPr>
        <w:rPr>
          <w:rFonts w:ascii="Arial" w:hAnsi="Arial" w:cs="Arial"/>
          <w:sz w:val="22"/>
          <w:szCs w:val="22"/>
        </w:rPr>
      </w:pPr>
      <w:r>
        <w:rPr>
          <w:rFonts w:ascii="Arial" w:hAnsi="Arial" w:cs="Arial"/>
          <w:sz w:val="22"/>
          <w:szCs w:val="22"/>
        </w:rPr>
        <w:t xml:space="preserve">Cultural Competence in Dementia Care. </w:t>
      </w:r>
    </w:p>
    <w:p w14:paraId="40B7C54F" w14:textId="08E244C7" w:rsidR="008F2A46" w:rsidRDefault="00A9021B">
      <w:pPr>
        <w:rPr>
          <w:rFonts w:ascii="Arial" w:hAnsi="Arial" w:cs="Arial"/>
          <w:sz w:val="22"/>
          <w:szCs w:val="22"/>
        </w:rPr>
      </w:pPr>
      <w:r>
        <w:rPr>
          <w:rFonts w:ascii="Arial" w:hAnsi="Arial" w:cs="Arial"/>
          <w:sz w:val="22"/>
          <w:szCs w:val="22"/>
        </w:rPr>
        <w:t>Challenges and Strategies for Implementation.</w:t>
      </w:r>
    </w:p>
    <w:p w14:paraId="04299E13" w14:textId="6123770A" w:rsidR="008F2A46" w:rsidRDefault="008F2A46">
      <w:pPr>
        <w:rPr>
          <w:rFonts w:ascii="Arial" w:hAnsi="Arial" w:cs="Arial"/>
          <w:sz w:val="22"/>
          <w:szCs w:val="22"/>
        </w:rPr>
      </w:pPr>
      <w:r>
        <w:rPr>
          <w:rFonts w:ascii="Arial" w:hAnsi="Arial" w:cs="Arial"/>
          <w:sz w:val="22"/>
          <w:szCs w:val="22"/>
        </w:rPr>
        <w:t>Conclusion</w:t>
      </w:r>
      <w:r w:rsidR="00801872">
        <w:rPr>
          <w:rFonts w:ascii="Arial" w:hAnsi="Arial" w:cs="Arial"/>
          <w:sz w:val="22"/>
          <w:szCs w:val="22"/>
        </w:rPr>
        <w:t>.</w:t>
      </w:r>
      <w:r>
        <w:rPr>
          <w:rFonts w:ascii="Arial" w:hAnsi="Arial" w:cs="Arial"/>
          <w:sz w:val="22"/>
          <w:szCs w:val="22"/>
        </w:rPr>
        <w:t xml:space="preserve"> </w:t>
      </w:r>
    </w:p>
    <w:p w14:paraId="0A94CA7E" w14:textId="55C0D11F" w:rsidR="00EC2F7B" w:rsidRDefault="002A73A1" w:rsidP="00173B66">
      <w:pPr>
        <w:rPr>
          <w:rFonts w:ascii="Arial" w:hAnsi="Arial" w:cs="Arial"/>
          <w:sz w:val="22"/>
          <w:szCs w:val="22"/>
        </w:rPr>
      </w:pPr>
      <w:r>
        <w:rPr>
          <w:rFonts w:ascii="Arial" w:hAnsi="Arial" w:cs="Arial"/>
          <w:sz w:val="22"/>
          <w:szCs w:val="22"/>
        </w:rPr>
        <w:t>R</w:t>
      </w:r>
      <w:r w:rsidR="00801872">
        <w:rPr>
          <w:rFonts w:ascii="Arial" w:hAnsi="Arial" w:cs="Arial"/>
          <w:sz w:val="22"/>
          <w:szCs w:val="22"/>
        </w:rPr>
        <w:t xml:space="preserve">eferences. </w:t>
      </w:r>
    </w:p>
    <w:p w14:paraId="581AC1C0" w14:textId="77777777" w:rsidR="00202211" w:rsidRDefault="00202211" w:rsidP="00173B66">
      <w:pPr>
        <w:rPr>
          <w:rFonts w:ascii="Arial" w:hAnsi="Arial" w:cs="Arial"/>
          <w:sz w:val="22"/>
          <w:szCs w:val="22"/>
        </w:rPr>
      </w:pPr>
    </w:p>
    <w:p w14:paraId="16AD9840" w14:textId="77777777" w:rsidR="00202211" w:rsidRDefault="00202211" w:rsidP="00173B66">
      <w:pPr>
        <w:rPr>
          <w:rFonts w:ascii="Arial" w:hAnsi="Arial" w:cs="Arial"/>
          <w:sz w:val="22"/>
          <w:szCs w:val="22"/>
        </w:rPr>
      </w:pPr>
    </w:p>
    <w:p w14:paraId="21DB9E92" w14:textId="77777777" w:rsidR="00202211" w:rsidRDefault="00202211" w:rsidP="00173B66">
      <w:pPr>
        <w:rPr>
          <w:rFonts w:ascii="Arial" w:hAnsi="Arial" w:cs="Arial"/>
          <w:sz w:val="22"/>
          <w:szCs w:val="22"/>
        </w:rPr>
      </w:pPr>
    </w:p>
    <w:p w14:paraId="3663CD1B" w14:textId="77777777" w:rsidR="00202211" w:rsidRDefault="00202211" w:rsidP="00173B66">
      <w:pPr>
        <w:rPr>
          <w:rFonts w:ascii="Arial" w:hAnsi="Arial" w:cs="Arial"/>
          <w:sz w:val="22"/>
          <w:szCs w:val="22"/>
        </w:rPr>
      </w:pPr>
    </w:p>
    <w:p w14:paraId="45E53B7F" w14:textId="77777777" w:rsidR="00202211" w:rsidRDefault="00202211" w:rsidP="00173B66">
      <w:pPr>
        <w:rPr>
          <w:rFonts w:ascii="Arial" w:hAnsi="Arial" w:cs="Arial"/>
          <w:sz w:val="22"/>
          <w:szCs w:val="22"/>
        </w:rPr>
      </w:pPr>
    </w:p>
    <w:p w14:paraId="5255C866" w14:textId="77777777" w:rsidR="00202211" w:rsidRDefault="00202211" w:rsidP="00173B66">
      <w:pPr>
        <w:rPr>
          <w:rFonts w:ascii="Arial" w:hAnsi="Arial" w:cs="Arial"/>
          <w:sz w:val="22"/>
          <w:szCs w:val="22"/>
        </w:rPr>
      </w:pPr>
    </w:p>
    <w:p w14:paraId="549D978B" w14:textId="77777777" w:rsidR="00202211" w:rsidRDefault="00202211" w:rsidP="00173B66">
      <w:pPr>
        <w:rPr>
          <w:rFonts w:ascii="Arial" w:hAnsi="Arial" w:cs="Arial"/>
          <w:sz w:val="22"/>
          <w:szCs w:val="22"/>
        </w:rPr>
      </w:pPr>
    </w:p>
    <w:p w14:paraId="66F05EF5" w14:textId="77777777" w:rsidR="00202211" w:rsidRDefault="00202211" w:rsidP="00173B66">
      <w:pPr>
        <w:rPr>
          <w:rFonts w:ascii="Arial" w:hAnsi="Arial" w:cs="Arial"/>
          <w:sz w:val="22"/>
          <w:szCs w:val="22"/>
        </w:rPr>
      </w:pPr>
    </w:p>
    <w:p w14:paraId="42B3E25F" w14:textId="77777777" w:rsidR="00202211" w:rsidRDefault="00202211" w:rsidP="00173B66">
      <w:pPr>
        <w:rPr>
          <w:rFonts w:ascii="Arial" w:hAnsi="Arial" w:cs="Arial"/>
          <w:sz w:val="22"/>
          <w:szCs w:val="22"/>
        </w:rPr>
      </w:pPr>
    </w:p>
    <w:p w14:paraId="45851045" w14:textId="77777777" w:rsidR="00202211" w:rsidRDefault="00202211" w:rsidP="00173B66">
      <w:pPr>
        <w:rPr>
          <w:rFonts w:ascii="Arial" w:hAnsi="Arial" w:cs="Arial"/>
          <w:sz w:val="22"/>
          <w:szCs w:val="22"/>
        </w:rPr>
      </w:pPr>
    </w:p>
    <w:p w14:paraId="27A0A376" w14:textId="77777777" w:rsidR="00202211" w:rsidRDefault="00202211" w:rsidP="00173B66">
      <w:pPr>
        <w:rPr>
          <w:rFonts w:ascii="Arial" w:hAnsi="Arial" w:cs="Arial"/>
          <w:sz w:val="22"/>
          <w:szCs w:val="22"/>
        </w:rPr>
      </w:pPr>
    </w:p>
    <w:p w14:paraId="4DC14D20" w14:textId="77777777" w:rsidR="00202211" w:rsidRDefault="00202211" w:rsidP="00173B66">
      <w:pPr>
        <w:rPr>
          <w:rFonts w:ascii="Arial" w:hAnsi="Arial" w:cs="Arial"/>
          <w:sz w:val="22"/>
          <w:szCs w:val="22"/>
        </w:rPr>
      </w:pPr>
    </w:p>
    <w:p w14:paraId="478C8B68" w14:textId="77777777" w:rsidR="00202211" w:rsidRDefault="00202211" w:rsidP="00173B66">
      <w:pPr>
        <w:rPr>
          <w:rFonts w:ascii="Arial" w:hAnsi="Arial" w:cs="Arial"/>
          <w:sz w:val="22"/>
          <w:szCs w:val="22"/>
        </w:rPr>
      </w:pPr>
    </w:p>
    <w:p w14:paraId="52DF7071" w14:textId="77777777" w:rsidR="00202211" w:rsidRDefault="00202211" w:rsidP="00173B66">
      <w:pPr>
        <w:rPr>
          <w:rFonts w:ascii="Arial" w:hAnsi="Arial" w:cs="Arial"/>
          <w:sz w:val="22"/>
          <w:szCs w:val="22"/>
        </w:rPr>
      </w:pPr>
    </w:p>
    <w:p w14:paraId="77009DCF" w14:textId="77777777" w:rsidR="00202211" w:rsidRDefault="00202211" w:rsidP="00173B66">
      <w:pPr>
        <w:rPr>
          <w:rFonts w:ascii="Arial" w:hAnsi="Arial" w:cs="Arial"/>
          <w:sz w:val="22"/>
          <w:szCs w:val="22"/>
        </w:rPr>
      </w:pPr>
    </w:p>
    <w:p w14:paraId="07A42988" w14:textId="77777777" w:rsidR="00202211" w:rsidRDefault="00202211" w:rsidP="00173B66">
      <w:pPr>
        <w:rPr>
          <w:rFonts w:ascii="Arial" w:hAnsi="Arial" w:cs="Arial"/>
          <w:sz w:val="22"/>
          <w:szCs w:val="22"/>
        </w:rPr>
      </w:pPr>
    </w:p>
    <w:p w14:paraId="2AC6C895" w14:textId="77777777" w:rsidR="00202211" w:rsidRDefault="00202211" w:rsidP="00173B66">
      <w:pPr>
        <w:rPr>
          <w:rFonts w:ascii="Arial" w:hAnsi="Arial" w:cs="Arial"/>
          <w:sz w:val="22"/>
          <w:szCs w:val="22"/>
        </w:rPr>
      </w:pPr>
    </w:p>
    <w:p w14:paraId="6A4D6B2E" w14:textId="77777777" w:rsidR="00202211" w:rsidRPr="00202211" w:rsidRDefault="00202211" w:rsidP="00202211">
      <w:pPr>
        <w:rPr>
          <w:rFonts w:ascii="Arial" w:hAnsi="Arial" w:cs="Arial"/>
          <w:sz w:val="22"/>
          <w:szCs w:val="22"/>
        </w:rPr>
      </w:pPr>
      <w:r w:rsidRPr="00202211">
        <w:rPr>
          <w:rFonts w:ascii="Arial" w:hAnsi="Arial" w:cs="Arial"/>
          <w:sz w:val="22"/>
          <w:szCs w:val="22"/>
        </w:rPr>
        <w:lastRenderedPageBreak/>
        <w:t>Introduction</w:t>
      </w:r>
    </w:p>
    <w:p w14:paraId="3715B288" w14:textId="77777777" w:rsidR="00202211" w:rsidRPr="00202211" w:rsidRDefault="00202211" w:rsidP="00202211">
      <w:pPr>
        <w:rPr>
          <w:rFonts w:ascii="Arial" w:hAnsi="Arial" w:cs="Arial"/>
          <w:sz w:val="22"/>
          <w:szCs w:val="22"/>
        </w:rPr>
      </w:pPr>
    </w:p>
    <w:p w14:paraId="566ED7AF" w14:textId="084CB5C4" w:rsidR="00202211" w:rsidRPr="00202211" w:rsidRDefault="00202211" w:rsidP="00202211">
      <w:pPr>
        <w:rPr>
          <w:rFonts w:ascii="Arial" w:hAnsi="Arial" w:cs="Arial"/>
          <w:sz w:val="22"/>
          <w:szCs w:val="22"/>
        </w:rPr>
      </w:pPr>
      <w:r w:rsidRPr="00202211">
        <w:rPr>
          <w:rFonts w:ascii="Arial" w:hAnsi="Arial" w:cs="Arial"/>
          <w:sz w:val="22"/>
          <w:szCs w:val="22"/>
        </w:rPr>
        <w:t>To address the psychological needs of people with dementia, most especially in later life, health and social care professionals need to ground their working within theoretical underpinnings. Th</w:t>
      </w:r>
      <w:r w:rsidR="00EE3306">
        <w:rPr>
          <w:rFonts w:ascii="Arial" w:hAnsi="Arial" w:cs="Arial"/>
          <w:sz w:val="22"/>
          <w:szCs w:val="22"/>
        </w:rPr>
        <w:t xml:space="preserve">is examines Bowlby’s attachment theory and Maslow’s hierarchy of needs, evaluating their </w:t>
      </w:r>
      <w:r w:rsidR="007D5637">
        <w:rPr>
          <w:rFonts w:ascii="Arial" w:hAnsi="Arial" w:cs="Arial"/>
          <w:sz w:val="22"/>
          <w:szCs w:val="22"/>
        </w:rPr>
        <w:t xml:space="preserve">application to supporting residents aged 65 and over experiencing dementia in care home environments. It explores how biological and environmental factors interact throughout the lifespan to influence psychological wellbeing in later life. </w:t>
      </w:r>
    </w:p>
    <w:p w14:paraId="75552AF7" w14:textId="77777777" w:rsidR="00202211" w:rsidRPr="00202211" w:rsidRDefault="00202211" w:rsidP="00202211">
      <w:pPr>
        <w:rPr>
          <w:rFonts w:ascii="Arial" w:hAnsi="Arial" w:cs="Arial"/>
          <w:sz w:val="22"/>
          <w:szCs w:val="22"/>
        </w:rPr>
      </w:pPr>
    </w:p>
    <w:p w14:paraId="5F5E3021" w14:textId="77777777" w:rsidR="00202211" w:rsidRPr="00202211" w:rsidRDefault="00202211" w:rsidP="00202211">
      <w:pPr>
        <w:rPr>
          <w:rFonts w:ascii="Arial" w:hAnsi="Arial" w:cs="Arial"/>
          <w:sz w:val="22"/>
          <w:szCs w:val="22"/>
        </w:rPr>
      </w:pPr>
      <w:r w:rsidRPr="00202211">
        <w:rPr>
          <w:rFonts w:ascii="Arial" w:hAnsi="Arial" w:cs="Arial"/>
          <w:sz w:val="22"/>
          <w:szCs w:val="22"/>
        </w:rPr>
        <w:t>Bowlby’s Attachment Theory: Ten Core Concepts and Considerations</w:t>
      </w:r>
    </w:p>
    <w:p w14:paraId="3B693921" w14:textId="77777777" w:rsidR="00202211" w:rsidRPr="00202211" w:rsidRDefault="00202211" w:rsidP="00202211">
      <w:pPr>
        <w:rPr>
          <w:rFonts w:ascii="Arial" w:hAnsi="Arial" w:cs="Arial"/>
          <w:sz w:val="22"/>
          <w:szCs w:val="22"/>
        </w:rPr>
      </w:pPr>
    </w:p>
    <w:p w14:paraId="4EC18A58" w14:textId="77777777" w:rsidR="00202211" w:rsidRPr="00202211" w:rsidRDefault="00202211" w:rsidP="00202211">
      <w:pPr>
        <w:rPr>
          <w:rFonts w:ascii="Arial" w:hAnsi="Arial" w:cs="Arial"/>
          <w:sz w:val="22"/>
          <w:szCs w:val="22"/>
        </w:rPr>
      </w:pPr>
      <w:r w:rsidRPr="00202211">
        <w:rPr>
          <w:rFonts w:ascii="Arial" w:hAnsi="Arial" w:cs="Arial"/>
          <w:sz w:val="22"/>
          <w:szCs w:val="22"/>
        </w:rPr>
        <w:t>Attachment theory According to John Bowlby’s attachment theory, human beings are born with an inherited predisposition to develop emotional relationships with those who assume importance in the individual’s life (Bowlby, 1969). Proximity seeking is one of the behaviours that are part of the attachment behavioural system, a general motivational system activated in response to perceived threats or stressors. At the level of representation, early attachment experiences give rise to internal working models—cognitive frameworks that include expectations about both relationship availability and one's deservingness for care (Bretherton and Munholland, 1999).</w:t>
      </w:r>
    </w:p>
    <w:p w14:paraId="71E52643" w14:textId="77777777" w:rsidR="00202211" w:rsidRPr="00202211" w:rsidRDefault="00202211" w:rsidP="00202211">
      <w:pPr>
        <w:rPr>
          <w:rFonts w:ascii="Arial" w:hAnsi="Arial" w:cs="Arial"/>
          <w:sz w:val="22"/>
          <w:szCs w:val="22"/>
        </w:rPr>
      </w:pPr>
    </w:p>
    <w:p w14:paraId="3CE9F938" w14:textId="4E32297E" w:rsidR="00202211" w:rsidRDefault="00202211" w:rsidP="00202211">
      <w:pPr>
        <w:rPr>
          <w:rFonts w:ascii="Arial" w:hAnsi="Arial" w:cs="Arial"/>
          <w:sz w:val="22"/>
          <w:szCs w:val="22"/>
        </w:rPr>
      </w:pPr>
      <w:r w:rsidRPr="00202211">
        <w:rPr>
          <w:rFonts w:ascii="Arial" w:hAnsi="Arial" w:cs="Arial"/>
          <w:sz w:val="22"/>
          <w:szCs w:val="22"/>
        </w:rPr>
        <w:t xml:space="preserve">Ainsworth et al. (1978) proposed three types of attachment: secure, anxious-ambivalent, and avoidant. They contribute to how we regulate emotions </w:t>
      </w:r>
      <w:proofErr w:type="gramStart"/>
      <w:r w:rsidRPr="00202211">
        <w:rPr>
          <w:rFonts w:ascii="Arial" w:hAnsi="Arial" w:cs="Arial"/>
          <w:sz w:val="22"/>
          <w:szCs w:val="22"/>
        </w:rPr>
        <w:t>later on</w:t>
      </w:r>
      <w:proofErr w:type="gramEnd"/>
      <w:r w:rsidRPr="00202211">
        <w:rPr>
          <w:rFonts w:ascii="Arial" w:hAnsi="Arial" w:cs="Arial"/>
          <w:sz w:val="22"/>
          <w:szCs w:val="22"/>
        </w:rPr>
        <w:t>. The secure base theory explains how attachment figures offer emotional security from which an individual can explore the world and come back for reassurance.</w:t>
      </w:r>
      <w:r>
        <w:rPr>
          <w:rFonts w:ascii="Arial" w:hAnsi="Arial" w:cs="Arial"/>
          <w:sz w:val="22"/>
          <w:szCs w:val="22"/>
        </w:rPr>
        <w:t xml:space="preserve"> </w:t>
      </w:r>
    </w:p>
    <w:p w14:paraId="2FF1FA43" w14:textId="77777777" w:rsidR="00202211" w:rsidRDefault="00202211" w:rsidP="00202211">
      <w:pPr>
        <w:rPr>
          <w:rFonts w:ascii="Arial" w:hAnsi="Arial" w:cs="Arial"/>
          <w:sz w:val="22"/>
          <w:szCs w:val="22"/>
        </w:rPr>
      </w:pPr>
    </w:p>
    <w:p w14:paraId="18F3B729" w14:textId="77777777" w:rsidR="00202211" w:rsidRPr="00202211" w:rsidRDefault="00202211" w:rsidP="00202211">
      <w:pPr>
        <w:rPr>
          <w:rFonts w:ascii="Arial" w:hAnsi="Arial" w:cs="Arial"/>
          <w:sz w:val="22"/>
          <w:szCs w:val="22"/>
        </w:rPr>
      </w:pPr>
      <w:r w:rsidRPr="00202211">
        <w:rPr>
          <w:rFonts w:ascii="Arial" w:hAnsi="Arial" w:cs="Arial"/>
          <w:sz w:val="22"/>
          <w:szCs w:val="22"/>
        </w:rPr>
        <w:t>Application in population aged 65 and older</w:t>
      </w:r>
    </w:p>
    <w:p w14:paraId="58C65431" w14:textId="77777777" w:rsidR="00202211" w:rsidRPr="00202211" w:rsidRDefault="00202211" w:rsidP="00202211">
      <w:pPr>
        <w:rPr>
          <w:rFonts w:ascii="Arial" w:hAnsi="Arial" w:cs="Arial"/>
          <w:sz w:val="22"/>
          <w:szCs w:val="22"/>
        </w:rPr>
      </w:pPr>
    </w:p>
    <w:p w14:paraId="4B98D3C3" w14:textId="77777777" w:rsidR="00202211" w:rsidRPr="00202211" w:rsidRDefault="00202211" w:rsidP="00202211">
      <w:pPr>
        <w:rPr>
          <w:rFonts w:ascii="Arial" w:hAnsi="Arial" w:cs="Arial"/>
          <w:sz w:val="22"/>
          <w:szCs w:val="22"/>
        </w:rPr>
      </w:pPr>
      <w:r w:rsidRPr="00202211">
        <w:rPr>
          <w:rFonts w:ascii="Arial" w:hAnsi="Arial" w:cs="Arial"/>
          <w:sz w:val="22"/>
          <w:szCs w:val="22"/>
        </w:rPr>
        <w:t>Attachment theory is strikingly relevant to old age, especially when people are feeling vulnerable through physical frailty or transfer into care environments. Studies show that attachment is enduring and can impact how older adults respond in caring relationships (</w:t>
      </w:r>
      <w:proofErr w:type="spellStart"/>
      <w:r w:rsidRPr="00202211">
        <w:rPr>
          <w:rFonts w:ascii="Arial" w:hAnsi="Arial" w:cs="Arial"/>
          <w:sz w:val="22"/>
          <w:szCs w:val="22"/>
        </w:rPr>
        <w:t>Magai</w:t>
      </w:r>
      <w:proofErr w:type="spellEnd"/>
      <w:r w:rsidRPr="00202211">
        <w:rPr>
          <w:rFonts w:ascii="Arial" w:hAnsi="Arial" w:cs="Arial"/>
          <w:sz w:val="22"/>
          <w:szCs w:val="22"/>
        </w:rPr>
        <w:t>, 2008). Understandably, transitioning to residential care is involved with major attachment disruption (loss of living in one’s familiar area and loss of social networks).</w:t>
      </w:r>
    </w:p>
    <w:p w14:paraId="4100B243" w14:textId="77777777" w:rsidR="00202211" w:rsidRPr="00202211" w:rsidRDefault="00202211" w:rsidP="00202211">
      <w:pPr>
        <w:rPr>
          <w:rFonts w:ascii="Arial" w:hAnsi="Arial" w:cs="Arial"/>
          <w:sz w:val="22"/>
          <w:szCs w:val="22"/>
        </w:rPr>
      </w:pPr>
    </w:p>
    <w:p w14:paraId="52C386AF" w14:textId="77777777" w:rsidR="00202211" w:rsidRPr="00202211" w:rsidRDefault="00202211" w:rsidP="00202211">
      <w:pPr>
        <w:rPr>
          <w:rFonts w:ascii="Arial" w:hAnsi="Arial" w:cs="Arial"/>
          <w:sz w:val="22"/>
          <w:szCs w:val="22"/>
        </w:rPr>
      </w:pPr>
      <w:r w:rsidRPr="00202211">
        <w:rPr>
          <w:rFonts w:ascii="Arial" w:hAnsi="Arial" w:cs="Arial"/>
          <w:sz w:val="22"/>
          <w:szCs w:val="22"/>
        </w:rPr>
        <w:t xml:space="preserve">In elderly patients with dementia, there may be </w:t>
      </w:r>
      <w:proofErr w:type="spellStart"/>
      <w:proofErr w:type="gramStart"/>
      <w:r w:rsidRPr="00202211">
        <w:rPr>
          <w:rFonts w:ascii="Arial" w:hAnsi="Arial" w:cs="Arial"/>
          <w:sz w:val="22"/>
          <w:szCs w:val="22"/>
        </w:rPr>
        <w:t>a</w:t>
      </w:r>
      <w:proofErr w:type="spellEnd"/>
      <w:proofErr w:type="gramEnd"/>
      <w:r w:rsidRPr="00202211">
        <w:rPr>
          <w:rFonts w:ascii="Arial" w:hAnsi="Arial" w:cs="Arial"/>
          <w:sz w:val="22"/>
          <w:szCs w:val="22"/>
        </w:rPr>
        <w:t xml:space="preserve"> intensification of the need for attachments as cognitive decline diminishes the ability to self-soothe. “Parent fixation” was more clearly defined by Miesen (1992) as to how people with dementia often call on dead parents, which is assumed to reflect attachment system activation when disoriented and upset. Age-related changes of these factors are heightened experiences of loss, greater need by the person for dependency and diminished capacity to maintain organized internal working models.</w:t>
      </w:r>
    </w:p>
    <w:p w14:paraId="3212D951" w14:textId="77777777" w:rsidR="00202211" w:rsidRPr="00202211" w:rsidRDefault="00202211" w:rsidP="00202211">
      <w:pPr>
        <w:rPr>
          <w:rFonts w:ascii="Arial" w:hAnsi="Arial" w:cs="Arial"/>
          <w:sz w:val="22"/>
          <w:szCs w:val="22"/>
        </w:rPr>
      </w:pPr>
    </w:p>
    <w:p w14:paraId="1827C7ED" w14:textId="77777777" w:rsidR="00202211" w:rsidRPr="00202211" w:rsidRDefault="00202211" w:rsidP="00202211">
      <w:pPr>
        <w:rPr>
          <w:rFonts w:ascii="Arial" w:hAnsi="Arial" w:cs="Arial"/>
          <w:sz w:val="22"/>
          <w:szCs w:val="22"/>
        </w:rPr>
      </w:pPr>
      <w:r w:rsidRPr="00202211">
        <w:rPr>
          <w:rFonts w:ascii="Arial" w:hAnsi="Arial" w:cs="Arial"/>
          <w:sz w:val="22"/>
          <w:szCs w:val="22"/>
        </w:rPr>
        <w:t>Application to Dementia Care</w:t>
      </w:r>
    </w:p>
    <w:p w14:paraId="492D9E39" w14:textId="77777777" w:rsidR="00202211" w:rsidRPr="00202211" w:rsidRDefault="00202211" w:rsidP="00202211">
      <w:pPr>
        <w:rPr>
          <w:rFonts w:ascii="Arial" w:hAnsi="Arial" w:cs="Arial"/>
          <w:sz w:val="22"/>
          <w:szCs w:val="22"/>
        </w:rPr>
      </w:pPr>
    </w:p>
    <w:p w14:paraId="761BC35A" w14:textId="1F613379" w:rsidR="00202211" w:rsidRPr="00202211" w:rsidRDefault="007D5637" w:rsidP="00202211">
      <w:pPr>
        <w:rPr>
          <w:rFonts w:ascii="Arial" w:hAnsi="Arial" w:cs="Arial"/>
          <w:sz w:val="22"/>
          <w:szCs w:val="22"/>
        </w:rPr>
      </w:pPr>
      <w:r>
        <w:rPr>
          <w:rFonts w:ascii="Arial" w:hAnsi="Arial" w:cs="Arial"/>
          <w:sz w:val="22"/>
          <w:szCs w:val="22"/>
        </w:rPr>
        <w:t xml:space="preserve">Understanding attachment theory enables professionals to recognise that </w:t>
      </w:r>
      <w:r w:rsidR="00202211" w:rsidRPr="00202211">
        <w:rPr>
          <w:rFonts w:ascii="Arial" w:hAnsi="Arial" w:cs="Arial"/>
          <w:sz w:val="22"/>
          <w:szCs w:val="22"/>
        </w:rPr>
        <w:t xml:space="preserve">"challenging" behaviours- following staff, resisting care, distressed during times of transition-can be seen as an effort to elicit closeness in response to a perceived threat (Brownie and </w:t>
      </w:r>
      <w:proofErr w:type="spellStart"/>
      <w:r w:rsidR="00202211" w:rsidRPr="00202211">
        <w:rPr>
          <w:rFonts w:ascii="Arial" w:hAnsi="Arial" w:cs="Arial"/>
          <w:sz w:val="22"/>
          <w:szCs w:val="22"/>
        </w:rPr>
        <w:t>Horstmanshof</w:t>
      </w:r>
      <w:proofErr w:type="spellEnd"/>
      <w:r w:rsidR="00202211" w:rsidRPr="00202211">
        <w:rPr>
          <w:rFonts w:ascii="Arial" w:hAnsi="Arial" w:cs="Arial"/>
          <w:sz w:val="22"/>
          <w:szCs w:val="22"/>
        </w:rPr>
        <w:t>, 2012). Progressive memory loss declines episodic memory but often not emotional memory, so residents might not remember caregivers but will recall the feelings related to care interactions (Orrell et al., 2017).</w:t>
      </w:r>
    </w:p>
    <w:p w14:paraId="22223AF3" w14:textId="77777777" w:rsidR="00202211" w:rsidRPr="00202211" w:rsidRDefault="00202211" w:rsidP="00202211">
      <w:pPr>
        <w:rPr>
          <w:rFonts w:ascii="Arial" w:hAnsi="Arial" w:cs="Arial"/>
          <w:sz w:val="22"/>
          <w:szCs w:val="22"/>
        </w:rPr>
      </w:pPr>
    </w:p>
    <w:p w14:paraId="163C3B72" w14:textId="77777777" w:rsidR="00202211" w:rsidRPr="00202211" w:rsidRDefault="00202211" w:rsidP="00202211">
      <w:pPr>
        <w:rPr>
          <w:rFonts w:ascii="Arial" w:hAnsi="Arial" w:cs="Arial"/>
          <w:sz w:val="22"/>
          <w:szCs w:val="22"/>
        </w:rPr>
      </w:pPr>
      <w:r w:rsidRPr="00202211">
        <w:rPr>
          <w:rFonts w:ascii="Arial" w:hAnsi="Arial" w:cs="Arial"/>
          <w:sz w:val="22"/>
          <w:szCs w:val="22"/>
        </w:rPr>
        <w:t xml:space="preserve">In terms of practice, attachment-sensitive care is based on the provision of stable caring relationships. Research shows that relationship-centred care, where specific staff work with and get to know residents </w:t>
      </w:r>
      <w:proofErr w:type="gramStart"/>
      <w:r w:rsidRPr="00202211">
        <w:rPr>
          <w:rFonts w:ascii="Arial" w:hAnsi="Arial" w:cs="Arial"/>
          <w:sz w:val="22"/>
          <w:szCs w:val="22"/>
        </w:rPr>
        <w:t>is able to</w:t>
      </w:r>
      <w:proofErr w:type="gramEnd"/>
      <w:r w:rsidRPr="00202211">
        <w:rPr>
          <w:rFonts w:ascii="Arial" w:hAnsi="Arial" w:cs="Arial"/>
          <w:sz w:val="22"/>
          <w:szCs w:val="22"/>
        </w:rPr>
        <w:t xml:space="preserve"> reduce agitation and promote well-being (Edvardsson et al., 2014). Establishing homelike surroundings promotes security and familiar routines offer predictability that may compensate for cognitive uncertainty.</w:t>
      </w:r>
    </w:p>
    <w:p w14:paraId="1FC13C9D" w14:textId="77777777" w:rsidR="00202211" w:rsidRPr="00202211" w:rsidRDefault="00202211" w:rsidP="00202211">
      <w:pPr>
        <w:rPr>
          <w:rFonts w:ascii="Arial" w:hAnsi="Arial" w:cs="Arial"/>
          <w:sz w:val="22"/>
          <w:szCs w:val="22"/>
        </w:rPr>
      </w:pPr>
    </w:p>
    <w:p w14:paraId="24AA03FA" w14:textId="353CD201" w:rsidR="00202211" w:rsidRDefault="00202211" w:rsidP="00202211">
      <w:pPr>
        <w:rPr>
          <w:rFonts w:ascii="Arial" w:hAnsi="Arial" w:cs="Arial"/>
          <w:sz w:val="22"/>
          <w:szCs w:val="22"/>
        </w:rPr>
      </w:pPr>
      <w:r w:rsidRPr="00202211">
        <w:rPr>
          <w:rFonts w:ascii="Arial" w:hAnsi="Arial" w:cs="Arial"/>
          <w:sz w:val="22"/>
          <w:szCs w:val="22"/>
        </w:rPr>
        <w:t>Strengths are focus on emotions proofing more BPSD at progression of dementia. The structure honours Validate as sacred communication. Constraints are those such as an initial focus on infant development and not adapting) and a lack of staff leading to inconsistency of relationships (Hussein and Manthorpe, 2012).</w:t>
      </w:r>
      <w:r>
        <w:rPr>
          <w:rFonts w:ascii="Arial" w:hAnsi="Arial" w:cs="Arial"/>
          <w:sz w:val="22"/>
          <w:szCs w:val="22"/>
        </w:rPr>
        <w:t xml:space="preserve"> </w:t>
      </w:r>
    </w:p>
    <w:p w14:paraId="3AA4AC16" w14:textId="77777777" w:rsidR="00202211" w:rsidRDefault="00202211" w:rsidP="00202211">
      <w:pPr>
        <w:rPr>
          <w:rFonts w:ascii="Arial" w:hAnsi="Arial" w:cs="Arial"/>
          <w:sz w:val="22"/>
          <w:szCs w:val="22"/>
        </w:rPr>
      </w:pPr>
    </w:p>
    <w:p w14:paraId="04E34DFF" w14:textId="77777777" w:rsidR="00202211" w:rsidRPr="00202211" w:rsidRDefault="00202211" w:rsidP="00202211">
      <w:pPr>
        <w:rPr>
          <w:rFonts w:ascii="Arial" w:hAnsi="Arial" w:cs="Arial"/>
          <w:sz w:val="22"/>
          <w:szCs w:val="22"/>
        </w:rPr>
      </w:pPr>
      <w:r w:rsidRPr="00202211">
        <w:rPr>
          <w:rFonts w:ascii="Arial" w:hAnsi="Arial" w:cs="Arial"/>
          <w:sz w:val="22"/>
          <w:szCs w:val="22"/>
        </w:rPr>
        <w:t>Maslow and His Hierarchy of Needs: Basic Principles and Components</w:t>
      </w:r>
    </w:p>
    <w:p w14:paraId="1F33D75A" w14:textId="77777777" w:rsidR="00202211" w:rsidRPr="00202211" w:rsidRDefault="00202211" w:rsidP="00202211">
      <w:pPr>
        <w:rPr>
          <w:rFonts w:ascii="Arial" w:hAnsi="Arial" w:cs="Arial"/>
          <w:sz w:val="22"/>
          <w:szCs w:val="22"/>
        </w:rPr>
      </w:pPr>
    </w:p>
    <w:p w14:paraId="22D95583" w14:textId="1C777966" w:rsidR="00202211" w:rsidRPr="00202211" w:rsidRDefault="00202211" w:rsidP="00202211">
      <w:pPr>
        <w:rPr>
          <w:rFonts w:ascii="Arial" w:hAnsi="Arial" w:cs="Arial"/>
          <w:sz w:val="22"/>
          <w:szCs w:val="22"/>
        </w:rPr>
      </w:pPr>
      <w:r w:rsidRPr="00202211">
        <w:rPr>
          <w:rFonts w:ascii="Arial" w:hAnsi="Arial" w:cs="Arial"/>
          <w:sz w:val="22"/>
          <w:szCs w:val="22"/>
        </w:rPr>
        <w:t>Maslow’s (1943) hierarchy of needs theory describes motivation as five layers: physiological needs (food, water, warmth), safety needs (security, stability), belongingness need</w:t>
      </w:r>
      <w:r w:rsidR="003F36A2">
        <w:rPr>
          <w:rFonts w:ascii="Arial" w:hAnsi="Arial" w:cs="Arial"/>
          <w:sz w:val="22"/>
          <w:szCs w:val="22"/>
        </w:rPr>
        <w:t>s</w:t>
      </w:r>
      <w:r w:rsidRPr="00202211">
        <w:rPr>
          <w:rFonts w:ascii="Arial" w:hAnsi="Arial" w:cs="Arial"/>
          <w:sz w:val="22"/>
          <w:szCs w:val="22"/>
        </w:rPr>
        <w:t xml:space="preserve"> (</w:t>
      </w:r>
      <w:r w:rsidR="003F36A2" w:rsidRPr="00202211">
        <w:rPr>
          <w:rFonts w:ascii="Arial" w:hAnsi="Arial" w:cs="Arial"/>
          <w:sz w:val="22"/>
          <w:szCs w:val="22"/>
        </w:rPr>
        <w:t>relationships</w:t>
      </w:r>
      <w:r w:rsidRPr="00202211">
        <w:rPr>
          <w:rFonts w:ascii="Arial" w:hAnsi="Arial" w:cs="Arial"/>
          <w:sz w:val="22"/>
          <w:szCs w:val="22"/>
        </w:rPr>
        <w:t xml:space="preserve">, community), esteem </w:t>
      </w:r>
      <w:r w:rsidR="003F36A2" w:rsidRPr="00202211">
        <w:rPr>
          <w:rFonts w:ascii="Arial" w:hAnsi="Arial" w:cs="Arial"/>
          <w:sz w:val="22"/>
          <w:szCs w:val="22"/>
        </w:rPr>
        <w:t>needs</w:t>
      </w:r>
      <w:r w:rsidRPr="00202211">
        <w:rPr>
          <w:rFonts w:ascii="Arial" w:hAnsi="Arial" w:cs="Arial"/>
          <w:sz w:val="22"/>
          <w:szCs w:val="22"/>
        </w:rPr>
        <w:t xml:space="preserve"> (respect accomplishment) and self-actualisation (reaching potential). Lower-order needs must be satisfied to a considerable extent before higher-order needs demand attention. It highlights the deficit motivation for lower order needs and growth motivation for higher order needs.</w:t>
      </w:r>
    </w:p>
    <w:p w14:paraId="06B256D0" w14:textId="77777777" w:rsidR="00202211" w:rsidRPr="00202211" w:rsidRDefault="00202211" w:rsidP="00202211">
      <w:pPr>
        <w:rPr>
          <w:rFonts w:ascii="Arial" w:hAnsi="Arial" w:cs="Arial"/>
          <w:sz w:val="22"/>
          <w:szCs w:val="22"/>
        </w:rPr>
      </w:pPr>
    </w:p>
    <w:p w14:paraId="02B92356" w14:textId="77777777" w:rsidR="00202211" w:rsidRPr="00202211" w:rsidRDefault="00202211" w:rsidP="00202211">
      <w:pPr>
        <w:rPr>
          <w:rFonts w:ascii="Arial" w:hAnsi="Arial" w:cs="Arial"/>
          <w:sz w:val="22"/>
          <w:szCs w:val="22"/>
        </w:rPr>
      </w:pPr>
      <w:r w:rsidRPr="00202211">
        <w:rPr>
          <w:rFonts w:ascii="Arial" w:hAnsi="Arial" w:cs="Arial"/>
          <w:sz w:val="22"/>
          <w:szCs w:val="22"/>
        </w:rPr>
        <w:t>Application to Patients 65 Years or Older</w:t>
      </w:r>
    </w:p>
    <w:p w14:paraId="138D4F72" w14:textId="77777777" w:rsidR="00202211" w:rsidRPr="00202211" w:rsidRDefault="00202211" w:rsidP="00202211">
      <w:pPr>
        <w:rPr>
          <w:rFonts w:ascii="Arial" w:hAnsi="Arial" w:cs="Arial"/>
          <w:sz w:val="22"/>
          <w:szCs w:val="22"/>
        </w:rPr>
      </w:pPr>
    </w:p>
    <w:p w14:paraId="2F2D7A8B" w14:textId="77777777" w:rsidR="00202211" w:rsidRPr="00202211" w:rsidRDefault="00202211" w:rsidP="00202211">
      <w:pPr>
        <w:rPr>
          <w:rFonts w:ascii="Arial" w:hAnsi="Arial" w:cs="Arial"/>
          <w:sz w:val="22"/>
          <w:szCs w:val="22"/>
        </w:rPr>
      </w:pPr>
      <w:r w:rsidRPr="00202211">
        <w:rPr>
          <w:rFonts w:ascii="Arial" w:hAnsi="Arial" w:cs="Arial"/>
          <w:sz w:val="22"/>
          <w:szCs w:val="22"/>
        </w:rPr>
        <w:t>Maslow’s hierarchy of needs can be used to methodically ascertain unmet needs that are expressed in the form of distress and seen among older people with dementia. Age specific factors that can predispose include lower physiological reserves necessitating focus on nutrition, hydration and pain. Older adults rediscover safety as at-risk for falls, cognitive confusion, or loss of control (Feil and de Klerk-Rubin, 2012).</w:t>
      </w:r>
    </w:p>
    <w:p w14:paraId="7EC304D4" w14:textId="77777777" w:rsidR="00202211" w:rsidRPr="00202211" w:rsidRDefault="00202211" w:rsidP="00202211">
      <w:pPr>
        <w:rPr>
          <w:rFonts w:ascii="Arial" w:hAnsi="Arial" w:cs="Arial"/>
          <w:sz w:val="22"/>
          <w:szCs w:val="22"/>
        </w:rPr>
      </w:pPr>
    </w:p>
    <w:p w14:paraId="46AFC6FC" w14:textId="1ADA1FFD" w:rsidR="00202211" w:rsidRDefault="00202211" w:rsidP="00202211">
      <w:pPr>
        <w:rPr>
          <w:rFonts w:ascii="Arial" w:hAnsi="Arial" w:cs="Arial"/>
          <w:sz w:val="22"/>
          <w:szCs w:val="22"/>
        </w:rPr>
      </w:pPr>
      <w:r w:rsidRPr="00202211">
        <w:rPr>
          <w:rFonts w:ascii="Arial" w:hAnsi="Arial" w:cs="Arial"/>
          <w:sz w:val="22"/>
          <w:szCs w:val="22"/>
        </w:rPr>
        <w:lastRenderedPageBreak/>
        <w:t xml:space="preserve">It is about disrupting the need to </w:t>
      </w:r>
      <w:proofErr w:type="gramStart"/>
      <w:r w:rsidRPr="00202211">
        <w:rPr>
          <w:rFonts w:ascii="Arial" w:hAnsi="Arial" w:cs="Arial"/>
          <w:sz w:val="22"/>
          <w:szCs w:val="22"/>
        </w:rPr>
        <w:t>belong:</w:t>
      </w:r>
      <w:proofErr w:type="gramEnd"/>
      <w:r w:rsidRPr="00202211">
        <w:rPr>
          <w:rFonts w:ascii="Arial" w:hAnsi="Arial" w:cs="Arial"/>
          <w:sz w:val="22"/>
          <w:szCs w:val="22"/>
        </w:rPr>
        <w:t xml:space="preserve"> breaking social bonds. And for those with dementia, poor recognition disrupts the establishment of relationships further increasing feelings of isolation. Estimates of esteem must be tested against increases in dependency and decreases in the ability to contribute. Personal but cultural factors shape priorities; collectivist societies may value social membership more than individual self-fulfilment (Hofstede 2001).</w:t>
      </w:r>
      <w:r>
        <w:rPr>
          <w:rFonts w:ascii="Arial" w:hAnsi="Arial" w:cs="Arial"/>
          <w:sz w:val="22"/>
          <w:szCs w:val="22"/>
        </w:rPr>
        <w:t xml:space="preserve"> </w:t>
      </w:r>
    </w:p>
    <w:p w14:paraId="42A97CD4" w14:textId="77777777" w:rsidR="00202211" w:rsidRDefault="00202211" w:rsidP="00202211">
      <w:pPr>
        <w:rPr>
          <w:rFonts w:ascii="Arial" w:hAnsi="Arial" w:cs="Arial"/>
          <w:sz w:val="22"/>
          <w:szCs w:val="22"/>
        </w:rPr>
      </w:pPr>
    </w:p>
    <w:p w14:paraId="475735C6" w14:textId="77777777" w:rsidR="00202211" w:rsidRPr="00202211" w:rsidRDefault="00202211" w:rsidP="00202211">
      <w:pPr>
        <w:rPr>
          <w:rFonts w:ascii="Arial" w:hAnsi="Arial" w:cs="Arial"/>
          <w:sz w:val="22"/>
          <w:szCs w:val="22"/>
        </w:rPr>
      </w:pPr>
      <w:r w:rsidRPr="00202211">
        <w:rPr>
          <w:rFonts w:ascii="Arial" w:hAnsi="Arial" w:cs="Arial"/>
          <w:sz w:val="22"/>
          <w:szCs w:val="22"/>
        </w:rPr>
        <w:t>Application to Dementia Care</w:t>
      </w:r>
    </w:p>
    <w:p w14:paraId="77B6C14C" w14:textId="77777777" w:rsidR="00202211" w:rsidRPr="00202211" w:rsidRDefault="00202211" w:rsidP="00202211">
      <w:pPr>
        <w:rPr>
          <w:rFonts w:ascii="Arial" w:hAnsi="Arial" w:cs="Arial"/>
          <w:sz w:val="22"/>
          <w:szCs w:val="22"/>
        </w:rPr>
      </w:pPr>
    </w:p>
    <w:p w14:paraId="39226EAE" w14:textId="77777777" w:rsidR="00202211" w:rsidRPr="00202211" w:rsidRDefault="00202211" w:rsidP="00202211">
      <w:pPr>
        <w:rPr>
          <w:rFonts w:ascii="Arial" w:hAnsi="Arial" w:cs="Arial"/>
          <w:sz w:val="22"/>
          <w:szCs w:val="22"/>
        </w:rPr>
      </w:pPr>
      <w:r w:rsidRPr="00202211">
        <w:rPr>
          <w:rFonts w:ascii="Arial" w:hAnsi="Arial" w:cs="Arial"/>
          <w:sz w:val="22"/>
          <w:szCs w:val="22"/>
        </w:rPr>
        <w:t>Maslow's needs hierarchy is used as a diagnostic model of behaviour. Resistiveness with personal care may signal unmet safety needs more than hygiene resistance. Wandering may be a search for attachment or unmet physiological needs that cannot be communicated due to cognitive impairment (</w:t>
      </w:r>
      <w:proofErr w:type="spellStart"/>
      <w:r w:rsidRPr="00202211">
        <w:rPr>
          <w:rFonts w:ascii="Arial" w:hAnsi="Arial" w:cs="Arial"/>
          <w:sz w:val="22"/>
          <w:szCs w:val="22"/>
        </w:rPr>
        <w:t>Algase</w:t>
      </w:r>
      <w:proofErr w:type="spellEnd"/>
      <w:r w:rsidRPr="00202211">
        <w:rPr>
          <w:rFonts w:ascii="Arial" w:hAnsi="Arial" w:cs="Arial"/>
          <w:sz w:val="22"/>
          <w:szCs w:val="22"/>
        </w:rPr>
        <w:t xml:space="preserve"> et al., 2007).</w:t>
      </w:r>
    </w:p>
    <w:p w14:paraId="78FCDC9A" w14:textId="77777777" w:rsidR="00202211" w:rsidRPr="00202211" w:rsidRDefault="00202211" w:rsidP="00202211">
      <w:pPr>
        <w:rPr>
          <w:rFonts w:ascii="Arial" w:hAnsi="Arial" w:cs="Arial"/>
          <w:sz w:val="22"/>
          <w:szCs w:val="22"/>
        </w:rPr>
      </w:pPr>
    </w:p>
    <w:p w14:paraId="17A80685" w14:textId="77777777" w:rsidR="00202211" w:rsidRPr="00202211" w:rsidRDefault="00202211" w:rsidP="00202211">
      <w:pPr>
        <w:rPr>
          <w:rFonts w:ascii="Arial" w:hAnsi="Arial" w:cs="Arial"/>
          <w:sz w:val="22"/>
          <w:szCs w:val="22"/>
        </w:rPr>
      </w:pPr>
      <w:r w:rsidRPr="00202211">
        <w:rPr>
          <w:rFonts w:ascii="Arial" w:hAnsi="Arial" w:cs="Arial"/>
          <w:sz w:val="22"/>
          <w:szCs w:val="22"/>
        </w:rPr>
        <w:t>Clinically, systematically treatment should be given at each level. Physical needs involve the monitoring of food and fluids since dementia lessens one's ability to perceive hunger. Pain measurement is essential as an amnesic syndrome and impaired communication preclude self-report, and behavioural changes are used as sign for pain (Husebo et al., 2011). Safety requirements extend to psychological safety — routine, familiarity, staying away from any sudden changes.</w:t>
      </w:r>
    </w:p>
    <w:p w14:paraId="240ED87C" w14:textId="77777777" w:rsidR="00202211" w:rsidRPr="00202211" w:rsidRDefault="00202211" w:rsidP="00202211">
      <w:pPr>
        <w:rPr>
          <w:rFonts w:ascii="Arial" w:hAnsi="Arial" w:cs="Arial"/>
          <w:sz w:val="22"/>
          <w:szCs w:val="22"/>
        </w:rPr>
      </w:pPr>
    </w:p>
    <w:p w14:paraId="6893E16A" w14:textId="746E71FC" w:rsidR="00202211" w:rsidRPr="00202211" w:rsidRDefault="00202211" w:rsidP="00202211">
      <w:pPr>
        <w:rPr>
          <w:rFonts w:ascii="Arial" w:hAnsi="Arial" w:cs="Arial"/>
          <w:sz w:val="22"/>
          <w:szCs w:val="22"/>
        </w:rPr>
      </w:pPr>
      <w:r w:rsidRPr="00202211">
        <w:rPr>
          <w:rFonts w:ascii="Arial" w:hAnsi="Arial" w:cs="Arial"/>
          <w:sz w:val="22"/>
          <w:szCs w:val="22"/>
        </w:rPr>
        <w:t>Belonging requirements are met by promoting family contact, recall and social interaction. Life story work- recording residents' memories and experiences- is a way to have individuali</w:t>
      </w:r>
      <w:r w:rsidR="003F36A2">
        <w:rPr>
          <w:rFonts w:ascii="Arial" w:hAnsi="Arial" w:cs="Arial"/>
          <w:sz w:val="22"/>
          <w:szCs w:val="22"/>
        </w:rPr>
        <w:t>s</w:t>
      </w:r>
      <w:r w:rsidRPr="00202211">
        <w:rPr>
          <w:rFonts w:ascii="Arial" w:hAnsi="Arial" w:cs="Arial"/>
          <w:sz w:val="22"/>
          <w:szCs w:val="22"/>
        </w:rPr>
        <w:t xml:space="preserve">ed interactions and preserve identity (McKeown et al., 2006). Needs of esteem involve identifying the maintained capacities and </w:t>
      </w:r>
      <w:r w:rsidR="003F36A2" w:rsidRPr="00202211">
        <w:rPr>
          <w:rFonts w:ascii="Arial" w:hAnsi="Arial" w:cs="Arial"/>
          <w:sz w:val="22"/>
          <w:szCs w:val="22"/>
        </w:rPr>
        <w:t>creating’s</w:t>
      </w:r>
      <w:r w:rsidRPr="00202211">
        <w:rPr>
          <w:rFonts w:ascii="Arial" w:hAnsi="Arial" w:cs="Arial"/>
          <w:sz w:val="22"/>
          <w:szCs w:val="22"/>
        </w:rPr>
        <w:t xml:space="preserve"> opportunities for </w:t>
      </w:r>
      <w:r w:rsidR="003F36A2" w:rsidRPr="00202211">
        <w:rPr>
          <w:rFonts w:ascii="Arial" w:hAnsi="Arial" w:cs="Arial"/>
          <w:sz w:val="22"/>
          <w:szCs w:val="22"/>
        </w:rPr>
        <w:t>contribution</w:t>
      </w:r>
      <w:r w:rsidRPr="00202211">
        <w:rPr>
          <w:rFonts w:ascii="Arial" w:hAnsi="Arial" w:cs="Arial"/>
          <w:sz w:val="22"/>
          <w:szCs w:val="22"/>
        </w:rPr>
        <w:t xml:space="preserve"> with tasks, or artistic activities or </w:t>
      </w:r>
      <w:r w:rsidR="003F36A2" w:rsidRPr="00202211">
        <w:rPr>
          <w:rFonts w:ascii="Arial" w:hAnsi="Arial" w:cs="Arial"/>
          <w:sz w:val="22"/>
          <w:szCs w:val="22"/>
        </w:rPr>
        <w:t>intergenerational</w:t>
      </w:r>
      <w:r w:rsidRPr="00202211">
        <w:rPr>
          <w:rFonts w:ascii="Arial" w:hAnsi="Arial" w:cs="Arial"/>
          <w:sz w:val="22"/>
          <w:szCs w:val="22"/>
        </w:rPr>
        <w:t xml:space="preserve"> programmes.</w:t>
      </w:r>
    </w:p>
    <w:p w14:paraId="0C3B8D95" w14:textId="77777777" w:rsidR="00202211" w:rsidRPr="00202211" w:rsidRDefault="00202211" w:rsidP="00202211">
      <w:pPr>
        <w:rPr>
          <w:rFonts w:ascii="Arial" w:hAnsi="Arial" w:cs="Arial"/>
          <w:sz w:val="22"/>
          <w:szCs w:val="22"/>
        </w:rPr>
      </w:pPr>
    </w:p>
    <w:p w14:paraId="17F0A8A7" w14:textId="6DC8373B" w:rsidR="00202211" w:rsidRDefault="00202211" w:rsidP="00202211">
      <w:pPr>
        <w:rPr>
          <w:rFonts w:ascii="Arial" w:hAnsi="Arial" w:cs="Arial"/>
          <w:sz w:val="22"/>
          <w:szCs w:val="22"/>
        </w:rPr>
      </w:pPr>
      <w:r w:rsidRPr="00202211">
        <w:rPr>
          <w:rFonts w:ascii="Arial" w:hAnsi="Arial" w:cs="Arial"/>
          <w:sz w:val="22"/>
          <w:szCs w:val="22"/>
        </w:rPr>
        <w:t>Strengths are presented relating to a comprehensive approach in the physical, emotional and social dimensions, and intuitive applicability for teams. Shortcomings Weak empirical validation of hierarchy – needs act simultaneously rather than sequentially (Wahba &amp; Bridwell, 1976). It can be difficult to establish relevance of higher-level need in advanced dementia.</w:t>
      </w:r>
      <w:r>
        <w:rPr>
          <w:rFonts w:ascii="Arial" w:hAnsi="Arial" w:cs="Arial"/>
          <w:sz w:val="22"/>
          <w:szCs w:val="22"/>
        </w:rPr>
        <w:t xml:space="preserve"> </w:t>
      </w:r>
    </w:p>
    <w:p w14:paraId="37F85523" w14:textId="77777777" w:rsidR="00202211" w:rsidRDefault="00202211" w:rsidP="00202211">
      <w:pPr>
        <w:rPr>
          <w:rFonts w:ascii="Arial" w:hAnsi="Arial" w:cs="Arial"/>
          <w:sz w:val="22"/>
          <w:szCs w:val="22"/>
        </w:rPr>
      </w:pPr>
    </w:p>
    <w:p w14:paraId="3FEDD28B" w14:textId="77777777" w:rsidR="00202211" w:rsidRPr="00202211" w:rsidRDefault="00202211" w:rsidP="00202211">
      <w:pPr>
        <w:rPr>
          <w:rFonts w:ascii="Arial" w:hAnsi="Arial" w:cs="Arial"/>
          <w:sz w:val="22"/>
          <w:szCs w:val="22"/>
        </w:rPr>
      </w:pPr>
      <w:r w:rsidRPr="00202211">
        <w:rPr>
          <w:rFonts w:ascii="Arial" w:hAnsi="Arial" w:cs="Arial"/>
          <w:sz w:val="22"/>
          <w:szCs w:val="22"/>
        </w:rPr>
        <w:t>The nature-nurture interplay of dementia and later life</w:t>
      </w:r>
    </w:p>
    <w:p w14:paraId="21B2FA36" w14:textId="77777777" w:rsidR="00202211" w:rsidRPr="00202211" w:rsidRDefault="00202211" w:rsidP="00202211">
      <w:pPr>
        <w:rPr>
          <w:rFonts w:ascii="Arial" w:hAnsi="Arial" w:cs="Arial"/>
          <w:sz w:val="22"/>
          <w:szCs w:val="22"/>
        </w:rPr>
      </w:pPr>
    </w:p>
    <w:p w14:paraId="6A35A9AE" w14:textId="77777777" w:rsidR="00202211" w:rsidRPr="00202211" w:rsidRDefault="00202211" w:rsidP="00202211">
      <w:pPr>
        <w:rPr>
          <w:rFonts w:ascii="Arial" w:hAnsi="Arial" w:cs="Arial"/>
          <w:sz w:val="22"/>
          <w:szCs w:val="22"/>
        </w:rPr>
      </w:pPr>
      <w:r w:rsidRPr="00202211">
        <w:rPr>
          <w:rFonts w:ascii="Arial" w:hAnsi="Arial" w:cs="Arial"/>
          <w:sz w:val="22"/>
          <w:szCs w:val="22"/>
        </w:rPr>
        <w:t>A debate on nature versus nurture covers the relative contributions of inherited genetic (nature) and acquired environmental (nurture) factors to human development. By nature, I mean genetic endowment, brain structure and neurochemistry. Nurture features outside factors—such as upbringing, learning, culture, relations, and life experiences.</w:t>
      </w:r>
    </w:p>
    <w:p w14:paraId="27BB5DAA" w14:textId="77777777" w:rsidR="00202211" w:rsidRPr="00202211" w:rsidRDefault="00202211" w:rsidP="00202211">
      <w:pPr>
        <w:rPr>
          <w:rFonts w:ascii="Arial" w:hAnsi="Arial" w:cs="Arial"/>
          <w:sz w:val="22"/>
          <w:szCs w:val="22"/>
        </w:rPr>
      </w:pPr>
    </w:p>
    <w:p w14:paraId="5A051A59" w14:textId="77777777" w:rsidR="00202211" w:rsidRPr="00202211" w:rsidRDefault="00202211" w:rsidP="00202211">
      <w:pPr>
        <w:rPr>
          <w:rFonts w:ascii="Arial" w:hAnsi="Arial" w:cs="Arial"/>
          <w:sz w:val="22"/>
          <w:szCs w:val="22"/>
        </w:rPr>
      </w:pPr>
      <w:r w:rsidRPr="00202211">
        <w:rPr>
          <w:rFonts w:ascii="Arial" w:hAnsi="Arial" w:cs="Arial"/>
          <w:sz w:val="22"/>
          <w:szCs w:val="22"/>
        </w:rPr>
        <w:t>The current science agrees that development is the product of ongoing interaction across an individual’s entire life course - called epigenetics biologically (Sameroff, 2010). Environmental triggers turn gene potentials on or off.</w:t>
      </w:r>
    </w:p>
    <w:p w14:paraId="10D0AF23" w14:textId="77777777" w:rsidR="00202211" w:rsidRPr="00202211" w:rsidRDefault="00202211" w:rsidP="00202211">
      <w:pPr>
        <w:rPr>
          <w:rFonts w:ascii="Arial" w:hAnsi="Arial" w:cs="Arial"/>
          <w:sz w:val="22"/>
          <w:szCs w:val="22"/>
        </w:rPr>
      </w:pPr>
    </w:p>
    <w:p w14:paraId="30DB8D49" w14:textId="77777777" w:rsidR="00202211" w:rsidRPr="00202211" w:rsidRDefault="00202211" w:rsidP="00202211">
      <w:pPr>
        <w:rPr>
          <w:rFonts w:ascii="Arial" w:hAnsi="Arial" w:cs="Arial"/>
          <w:sz w:val="22"/>
          <w:szCs w:val="22"/>
        </w:rPr>
      </w:pPr>
      <w:r w:rsidRPr="00202211">
        <w:rPr>
          <w:rFonts w:ascii="Arial" w:hAnsi="Arial" w:cs="Arial"/>
          <w:sz w:val="22"/>
          <w:szCs w:val="22"/>
        </w:rPr>
        <w:t>Nature-Nurture Interaction in Dementia</w:t>
      </w:r>
    </w:p>
    <w:p w14:paraId="71C7EC81" w14:textId="77777777" w:rsidR="00202211" w:rsidRPr="00202211" w:rsidRDefault="00202211" w:rsidP="00202211">
      <w:pPr>
        <w:rPr>
          <w:rFonts w:ascii="Arial" w:hAnsi="Arial" w:cs="Arial"/>
          <w:sz w:val="22"/>
          <w:szCs w:val="22"/>
        </w:rPr>
      </w:pPr>
    </w:p>
    <w:p w14:paraId="1DC8F98A" w14:textId="77777777" w:rsidR="00202211" w:rsidRPr="00202211" w:rsidRDefault="00202211" w:rsidP="00202211">
      <w:pPr>
        <w:rPr>
          <w:rFonts w:ascii="Arial" w:hAnsi="Arial" w:cs="Arial"/>
          <w:sz w:val="22"/>
          <w:szCs w:val="22"/>
        </w:rPr>
      </w:pPr>
      <w:r w:rsidRPr="00202211">
        <w:rPr>
          <w:rFonts w:ascii="Arial" w:hAnsi="Arial" w:cs="Arial"/>
          <w:sz w:val="22"/>
          <w:szCs w:val="22"/>
        </w:rPr>
        <w:t>Dementia exemplifies nature-nurture interaction. Biological basis (nature) comprises genetic susceptibility—having an APOE ε4 allele raises one’s risk for Alzheimer’s disease (Corder et al., 1993)—and age-related brain changes. But environmental factors (nurture) shape or not whether genetic risk will come to fruition. Cognitive reserve reflects the ability of the brain to maintain function and robust neural networks despite pathology related to lifetime mental stimulation and social engagement (Stern, 2012).</w:t>
      </w:r>
    </w:p>
    <w:p w14:paraId="4219F388" w14:textId="77777777" w:rsidR="00202211" w:rsidRPr="00202211" w:rsidRDefault="00202211" w:rsidP="00202211">
      <w:pPr>
        <w:rPr>
          <w:rFonts w:ascii="Arial" w:hAnsi="Arial" w:cs="Arial"/>
          <w:sz w:val="22"/>
          <w:szCs w:val="22"/>
        </w:rPr>
      </w:pPr>
    </w:p>
    <w:p w14:paraId="78A07E6C" w14:textId="77777777" w:rsidR="00202211" w:rsidRPr="00202211" w:rsidRDefault="00202211" w:rsidP="00202211">
      <w:pPr>
        <w:rPr>
          <w:rFonts w:ascii="Arial" w:hAnsi="Arial" w:cs="Arial"/>
          <w:sz w:val="22"/>
          <w:szCs w:val="22"/>
        </w:rPr>
      </w:pPr>
      <w:r w:rsidRPr="00202211">
        <w:rPr>
          <w:rFonts w:ascii="Arial" w:hAnsi="Arial" w:cs="Arial"/>
          <w:sz w:val="22"/>
          <w:szCs w:val="22"/>
        </w:rPr>
        <w:t>Attachment theory posits that there are inborn systems (nature), but that these develop with experience of the caregiver (nurture). In dementia, biology demands dependence and the quality of the care relationship influences wellbeing. Stimulating milieus and individualized care help retard loss (Spector et al., 2003).</w:t>
      </w:r>
    </w:p>
    <w:p w14:paraId="401EE328" w14:textId="77777777" w:rsidR="00202211" w:rsidRPr="00202211" w:rsidRDefault="00202211" w:rsidP="00202211">
      <w:pPr>
        <w:rPr>
          <w:rFonts w:ascii="Arial" w:hAnsi="Arial" w:cs="Arial"/>
          <w:sz w:val="22"/>
          <w:szCs w:val="22"/>
        </w:rPr>
      </w:pPr>
    </w:p>
    <w:p w14:paraId="53E6AF6C" w14:textId="3CCCE45C" w:rsidR="00202211" w:rsidRDefault="00202211" w:rsidP="00202211">
      <w:pPr>
        <w:rPr>
          <w:rFonts w:ascii="Arial" w:hAnsi="Arial" w:cs="Arial"/>
          <w:sz w:val="22"/>
          <w:szCs w:val="22"/>
        </w:rPr>
      </w:pPr>
      <w:r w:rsidRPr="00202211">
        <w:rPr>
          <w:rFonts w:ascii="Arial" w:hAnsi="Arial" w:cs="Arial"/>
          <w:sz w:val="22"/>
          <w:szCs w:val="22"/>
        </w:rPr>
        <w:t xml:space="preserve">Maslow's hierarchy postulates that people have universal needs (that are biologically based), and satisfiable only by environmental provision. Awareness of interaction enables professionals to acknowledge that, while the trajectory of dementia cannot be reversed, the impact on quality of life is heavily influenced by environmental adaptations. Circadian disruption, whether biological (nature) or environmental changes (nurture), disrupts sleep, however the environment: light more in </w:t>
      </w:r>
      <w:proofErr w:type="gramStart"/>
      <w:r w:rsidRPr="00202211">
        <w:rPr>
          <w:rFonts w:ascii="Arial" w:hAnsi="Arial" w:cs="Arial"/>
          <w:sz w:val="22"/>
          <w:szCs w:val="22"/>
        </w:rPr>
        <w:t>day time</w:t>
      </w:r>
      <w:proofErr w:type="gramEnd"/>
      <w:r w:rsidRPr="00202211">
        <w:rPr>
          <w:rFonts w:ascii="Arial" w:hAnsi="Arial" w:cs="Arial"/>
          <w:sz w:val="22"/>
          <w:szCs w:val="22"/>
        </w:rPr>
        <w:t xml:space="preserve"> and less stimuli at night significantly improve it (van Hoof et al., 2009).</w:t>
      </w:r>
      <w:r>
        <w:rPr>
          <w:rFonts w:ascii="Arial" w:hAnsi="Arial" w:cs="Arial"/>
          <w:sz w:val="22"/>
          <w:szCs w:val="22"/>
        </w:rPr>
        <w:t xml:space="preserve"> </w:t>
      </w:r>
    </w:p>
    <w:p w14:paraId="065F890C" w14:textId="77777777" w:rsidR="00202211" w:rsidRDefault="00202211" w:rsidP="00202211">
      <w:pPr>
        <w:rPr>
          <w:rFonts w:ascii="Arial" w:hAnsi="Arial" w:cs="Arial"/>
          <w:sz w:val="22"/>
          <w:szCs w:val="22"/>
        </w:rPr>
      </w:pPr>
    </w:p>
    <w:p w14:paraId="14982D5C" w14:textId="77777777" w:rsidR="00027663" w:rsidRPr="00027663" w:rsidRDefault="00027663" w:rsidP="00027663">
      <w:pPr>
        <w:rPr>
          <w:rFonts w:ascii="Arial" w:hAnsi="Arial" w:cs="Arial"/>
          <w:sz w:val="22"/>
          <w:szCs w:val="22"/>
        </w:rPr>
      </w:pPr>
      <w:r w:rsidRPr="00027663">
        <w:rPr>
          <w:rFonts w:ascii="Arial" w:hAnsi="Arial" w:cs="Arial"/>
          <w:sz w:val="22"/>
          <w:szCs w:val="22"/>
        </w:rPr>
        <w:t>Cultural Competence in Dementia Care</w:t>
      </w:r>
    </w:p>
    <w:p w14:paraId="2D10E0FD" w14:textId="77777777" w:rsidR="00027663" w:rsidRPr="00027663" w:rsidRDefault="00027663" w:rsidP="00027663">
      <w:pPr>
        <w:rPr>
          <w:rFonts w:ascii="Arial" w:hAnsi="Arial" w:cs="Arial"/>
          <w:sz w:val="22"/>
          <w:szCs w:val="22"/>
        </w:rPr>
      </w:pPr>
    </w:p>
    <w:p w14:paraId="7B941715" w14:textId="77777777" w:rsidR="00027663" w:rsidRPr="00027663" w:rsidRDefault="00027663" w:rsidP="00027663">
      <w:pPr>
        <w:rPr>
          <w:rFonts w:ascii="Arial" w:hAnsi="Arial" w:cs="Arial"/>
          <w:sz w:val="22"/>
          <w:szCs w:val="22"/>
        </w:rPr>
      </w:pPr>
      <w:r w:rsidRPr="00027663">
        <w:rPr>
          <w:rFonts w:ascii="Arial" w:hAnsi="Arial" w:cs="Arial"/>
          <w:sz w:val="22"/>
          <w:szCs w:val="22"/>
        </w:rPr>
        <w:t xml:space="preserve">The experience of becoming old, demented and properly treated is heavily culture bound. Collectivist cultures might promote family </w:t>
      </w:r>
      <w:proofErr w:type="gramStart"/>
      <w:r w:rsidRPr="00027663">
        <w:rPr>
          <w:rFonts w:ascii="Arial" w:hAnsi="Arial" w:cs="Arial"/>
          <w:sz w:val="22"/>
          <w:szCs w:val="22"/>
        </w:rPr>
        <w:t>caregiving, but</w:t>
      </w:r>
      <w:proofErr w:type="gramEnd"/>
      <w:r w:rsidRPr="00027663">
        <w:rPr>
          <w:rFonts w:ascii="Arial" w:hAnsi="Arial" w:cs="Arial"/>
          <w:sz w:val="22"/>
          <w:szCs w:val="22"/>
        </w:rPr>
        <w:t xml:space="preserve"> also generate conflicts for care home admission. Differences in pain expression, emotional expression and food preferences also require culturally sensitive care (Lawrence et al effects they all have different ways of coping, religious practice).</w:t>
      </w:r>
    </w:p>
    <w:p w14:paraId="7B468446" w14:textId="77777777" w:rsidR="00027663" w:rsidRPr="00027663" w:rsidRDefault="00027663" w:rsidP="00027663">
      <w:pPr>
        <w:rPr>
          <w:rFonts w:ascii="Arial" w:hAnsi="Arial" w:cs="Arial"/>
          <w:sz w:val="22"/>
          <w:szCs w:val="22"/>
        </w:rPr>
      </w:pPr>
    </w:p>
    <w:p w14:paraId="5B4D772D" w14:textId="77777777" w:rsidR="00027663" w:rsidRPr="00027663" w:rsidRDefault="00027663" w:rsidP="00027663">
      <w:pPr>
        <w:rPr>
          <w:rFonts w:ascii="Arial" w:hAnsi="Arial" w:cs="Arial"/>
          <w:sz w:val="22"/>
          <w:szCs w:val="22"/>
        </w:rPr>
      </w:pPr>
      <w:r w:rsidRPr="00027663">
        <w:rPr>
          <w:rFonts w:ascii="Arial" w:hAnsi="Arial" w:cs="Arial"/>
          <w:sz w:val="22"/>
          <w:szCs w:val="22"/>
        </w:rPr>
        <w:t xml:space="preserve">If you’re into attachment stuff then that is involved; the need to be culturally sensitive – noticing how patterns work and what constitutes a respectful, appropriate closeness in different cultures. Maslow’s hierarchy must be adapted — for some cultures, belonging </w:t>
      </w:r>
      <w:r w:rsidRPr="00027663">
        <w:rPr>
          <w:rFonts w:ascii="Arial" w:hAnsi="Arial" w:cs="Arial"/>
          <w:sz w:val="22"/>
          <w:szCs w:val="22"/>
        </w:rPr>
        <w:lastRenderedPageBreak/>
        <w:t>comes before self-actualisation. Professionals need to research residents' backgrounds and include families in planning, activities that are respectful of cultural practices and lifestyles.</w:t>
      </w:r>
    </w:p>
    <w:p w14:paraId="45E1DC07" w14:textId="77777777" w:rsidR="00027663" w:rsidRPr="00027663" w:rsidRDefault="00027663" w:rsidP="00027663">
      <w:pPr>
        <w:rPr>
          <w:rFonts w:ascii="Arial" w:hAnsi="Arial" w:cs="Arial"/>
          <w:sz w:val="22"/>
          <w:szCs w:val="22"/>
        </w:rPr>
      </w:pPr>
    </w:p>
    <w:p w14:paraId="04C2DADA" w14:textId="77777777" w:rsidR="00027663" w:rsidRPr="00027663" w:rsidRDefault="00027663" w:rsidP="00027663">
      <w:pPr>
        <w:rPr>
          <w:rFonts w:ascii="Arial" w:hAnsi="Arial" w:cs="Arial"/>
          <w:sz w:val="22"/>
          <w:szCs w:val="22"/>
        </w:rPr>
      </w:pPr>
      <w:r w:rsidRPr="00027663">
        <w:rPr>
          <w:rFonts w:ascii="Arial" w:hAnsi="Arial" w:cs="Arial"/>
          <w:sz w:val="22"/>
          <w:szCs w:val="22"/>
        </w:rPr>
        <w:t>Challenges and Strategies for Implementation</w:t>
      </w:r>
    </w:p>
    <w:p w14:paraId="42529CA9" w14:textId="77777777" w:rsidR="00027663" w:rsidRPr="00027663" w:rsidRDefault="00027663" w:rsidP="00027663">
      <w:pPr>
        <w:rPr>
          <w:rFonts w:ascii="Arial" w:hAnsi="Arial" w:cs="Arial"/>
          <w:sz w:val="22"/>
          <w:szCs w:val="22"/>
        </w:rPr>
      </w:pPr>
    </w:p>
    <w:p w14:paraId="7650D376" w14:textId="77777777" w:rsidR="00027663" w:rsidRPr="00027663" w:rsidRDefault="00027663" w:rsidP="00027663">
      <w:pPr>
        <w:rPr>
          <w:rFonts w:ascii="Arial" w:hAnsi="Arial" w:cs="Arial"/>
          <w:sz w:val="22"/>
          <w:szCs w:val="22"/>
        </w:rPr>
      </w:pPr>
      <w:r w:rsidRPr="00027663">
        <w:rPr>
          <w:rFonts w:ascii="Arial" w:hAnsi="Arial" w:cs="Arial"/>
          <w:sz w:val="22"/>
          <w:szCs w:val="22"/>
        </w:rPr>
        <w:t>Barriers to theory-informed practice exist among healthcare professionals. Time and cupping schedules also keep things casual with growers themselves. Strategy: Establishing 'key worker' systems in which staff maintain specific relationships with individual residents allows for attachment to occur. Staff training shortfalls result in a lack of theoretical understanding for many. Approach: Sustained teaching in case method learning linking theory to practice.</w:t>
      </w:r>
    </w:p>
    <w:p w14:paraId="15CD4E6E" w14:textId="77777777" w:rsidR="00027663" w:rsidRPr="00027663" w:rsidRDefault="00027663" w:rsidP="00027663">
      <w:pPr>
        <w:rPr>
          <w:rFonts w:ascii="Arial" w:hAnsi="Arial" w:cs="Arial"/>
          <w:sz w:val="22"/>
          <w:szCs w:val="22"/>
        </w:rPr>
      </w:pPr>
    </w:p>
    <w:p w14:paraId="58ABBDCE" w14:textId="7C5E1461" w:rsidR="00202211" w:rsidRDefault="00027663" w:rsidP="00027663">
      <w:pPr>
        <w:rPr>
          <w:rFonts w:ascii="Arial" w:hAnsi="Arial" w:cs="Arial"/>
          <w:sz w:val="22"/>
          <w:szCs w:val="22"/>
        </w:rPr>
      </w:pPr>
      <w:r w:rsidRPr="00027663">
        <w:rPr>
          <w:rFonts w:ascii="Arial" w:hAnsi="Arial" w:cs="Arial"/>
          <w:sz w:val="22"/>
          <w:szCs w:val="22"/>
        </w:rPr>
        <w:t xml:space="preserve">The culture of organisations may value efficiency over relational care. Strategy: Policy tested for extent of leadership commitment to person-centred values. Family </w:t>
      </w:r>
      <w:r w:rsidR="00B870FC" w:rsidRPr="00027663">
        <w:rPr>
          <w:rFonts w:ascii="Arial" w:hAnsi="Arial" w:cs="Arial"/>
          <w:sz w:val="22"/>
          <w:szCs w:val="22"/>
        </w:rPr>
        <w:t>stress</w:t>
      </w:r>
      <w:r w:rsidRPr="00027663">
        <w:rPr>
          <w:rFonts w:ascii="Arial" w:hAnsi="Arial" w:cs="Arial"/>
          <w:sz w:val="22"/>
          <w:szCs w:val="22"/>
        </w:rPr>
        <w:t xml:space="preserve"> can result when care runs counter to family expectation. Approach: Open dialogue regarding the therapeutic thought process with maintenance of professional distance.</w:t>
      </w:r>
      <w:r>
        <w:rPr>
          <w:rFonts w:ascii="Arial" w:hAnsi="Arial" w:cs="Arial"/>
          <w:sz w:val="22"/>
          <w:szCs w:val="22"/>
        </w:rPr>
        <w:t xml:space="preserve"> </w:t>
      </w:r>
    </w:p>
    <w:p w14:paraId="650F6058" w14:textId="77777777" w:rsidR="00027663" w:rsidRDefault="00027663" w:rsidP="00027663">
      <w:pPr>
        <w:rPr>
          <w:rFonts w:ascii="Arial" w:hAnsi="Arial" w:cs="Arial"/>
          <w:sz w:val="22"/>
          <w:szCs w:val="22"/>
        </w:rPr>
      </w:pPr>
    </w:p>
    <w:p w14:paraId="38E29531" w14:textId="77777777" w:rsidR="00027663" w:rsidRPr="00027663" w:rsidRDefault="00027663" w:rsidP="00027663">
      <w:pPr>
        <w:rPr>
          <w:rFonts w:ascii="Arial" w:hAnsi="Arial" w:cs="Arial"/>
          <w:sz w:val="22"/>
          <w:szCs w:val="22"/>
        </w:rPr>
      </w:pPr>
      <w:r w:rsidRPr="00027663">
        <w:rPr>
          <w:rFonts w:ascii="Arial" w:hAnsi="Arial" w:cs="Arial"/>
          <w:sz w:val="22"/>
          <w:szCs w:val="22"/>
        </w:rPr>
        <w:t>Conclusion</w:t>
      </w:r>
    </w:p>
    <w:p w14:paraId="678258C8" w14:textId="77777777" w:rsidR="00027663" w:rsidRPr="00027663" w:rsidRDefault="00027663" w:rsidP="00027663">
      <w:pPr>
        <w:rPr>
          <w:rFonts w:ascii="Arial" w:hAnsi="Arial" w:cs="Arial"/>
          <w:sz w:val="22"/>
          <w:szCs w:val="22"/>
        </w:rPr>
      </w:pPr>
    </w:p>
    <w:p w14:paraId="251A2E2A" w14:textId="01146EAE" w:rsidR="00027663" w:rsidRDefault="00027663" w:rsidP="00027663">
      <w:pPr>
        <w:rPr>
          <w:rFonts w:ascii="Arial" w:hAnsi="Arial" w:cs="Arial"/>
          <w:sz w:val="22"/>
          <w:szCs w:val="22"/>
        </w:rPr>
      </w:pPr>
      <w:r w:rsidRPr="00027663">
        <w:rPr>
          <w:rFonts w:ascii="Arial" w:hAnsi="Arial" w:cs="Arial"/>
          <w:sz w:val="22"/>
          <w:szCs w:val="22"/>
        </w:rPr>
        <w:t>Attachment theory developed by Bowlby and hierarchy of needs proposed by Maslow are used to explain the older person living with a dementia. Attachment theory highlights emotional vulnerability and capacity for healing within the safety of secure relationships, whereas Maslow’s hierarchy provides a framework to prioritize needs. Recognising the nature-nurture interaction makes it clear that although dementia is rooted in biology, well-being is largely driven by environmental quality. Respectful use across cultures is guaranteed by cultural competency. The development of both these best practice principles and tools that are theoretically informed attempts to guide professional practitioners towards person-centred, psychologically focused care experiences for older people with dementia.</w:t>
      </w:r>
      <w:r>
        <w:rPr>
          <w:rFonts w:ascii="Arial" w:hAnsi="Arial" w:cs="Arial"/>
          <w:sz w:val="22"/>
          <w:szCs w:val="22"/>
        </w:rPr>
        <w:t xml:space="preserve"> </w:t>
      </w:r>
    </w:p>
    <w:p w14:paraId="36FEBED9" w14:textId="77777777" w:rsidR="00027663" w:rsidRDefault="00027663" w:rsidP="00027663">
      <w:pPr>
        <w:rPr>
          <w:rFonts w:ascii="Arial" w:hAnsi="Arial" w:cs="Arial"/>
          <w:sz w:val="22"/>
          <w:szCs w:val="22"/>
        </w:rPr>
      </w:pPr>
    </w:p>
    <w:p w14:paraId="3845230A" w14:textId="77777777" w:rsidR="00027663" w:rsidRDefault="00027663" w:rsidP="00027663">
      <w:pPr>
        <w:rPr>
          <w:rFonts w:ascii="Arial" w:hAnsi="Arial" w:cs="Arial"/>
          <w:sz w:val="22"/>
          <w:szCs w:val="22"/>
        </w:rPr>
      </w:pPr>
    </w:p>
    <w:p w14:paraId="649F9B2A" w14:textId="037A9189" w:rsidR="00027663" w:rsidRDefault="00027663" w:rsidP="00027663">
      <w:pPr>
        <w:rPr>
          <w:rFonts w:ascii="Arial" w:hAnsi="Arial" w:cs="Arial"/>
          <w:sz w:val="22"/>
          <w:szCs w:val="22"/>
        </w:rPr>
      </w:pPr>
      <w:r>
        <w:rPr>
          <w:rFonts w:ascii="Arial" w:hAnsi="Arial" w:cs="Arial"/>
          <w:sz w:val="22"/>
          <w:szCs w:val="22"/>
        </w:rPr>
        <w:t xml:space="preserve">References. </w:t>
      </w:r>
    </w:p>
    <w:p w14:paraId="1C3047A8" w14:textId="77777777" w:rsidR="00024EA2" w:rsidRPr="00024EA2" w:rsidRDefault="00024EA2" w:rsidP="00024EA2">
      <w:pPr>
        <w:rPr>
          <w:rFonts w:ascii="Arial" w:hAnsi="Arial" w:cs="Arial"/>
          <w:sz w:val="22"/>
          <w:szCs w:val="22"/>
        </w:rPr>
      </w:pPr>
      <w:r w:rsidRPr="00024EA2">
        <w:rPr>
          <w:rFonts w:ascii="Arial" w:hAnsi="Arial" w:cs="Arial"/>
          <w:sz w:val="22"/>
          <w:szCs w:val="22"/>
        </w:rPr>
        <w:t xml:space="preserve">Ainsworth, M.D.S., </w:t>
      </w:r>
      <w:proofErr w:type="spellStart"/>
      <w:r w:rsidRPr="00024EA2">
        <w:rPr>
          <w:rFonts w:ascii="Arial" w:hAnsi="Arial" w:cs="Arial"/>
          <w:sz w:val="22"/>
          <w:szCs w:val="22"/>
        </w:rPr>
        <w:t>Blehar</w:t>
      </w:r>
      <w:proofErr w:type="spellEnd"/>
      <w:r w:rsidRPr="00024EA2">
        <w:rPr>
          <w:rFonts w:ascii="Arial" w:hAnsi="Arial" w:cs="Arial"/>
          <w:sz w:val="22"/>
          <w:szCs w:val="22"/>
        </w:rPr>
        <w:t>, M.C., Waters, E. and Wall, S. (1978</w:t>
      </w:r>
      <w:r w:rsidRPr="00024EA2">
        <w:rPr>
          <w:rFonts w:ascii="Arial" w:hAnsi="Arial" w:cs="Arial"/>
          <w:i/>
          <w:iCs/>
          <w:sz w:val="22"/>
          <w:szCs w:val="22"/>
        </w:rPr>
        <w:t xml:space="preserve">) Patterns of Attachment: A Psychological Study of the Strange Situation. </w:t>
      </w:r>
      <w:r w:rsidRPr="00024EA2">
        <w:rPr>
          <w:rFonts w:ascii="Arial" w:hAnsi="Arial" w:cs="Arial"/>
          <w:sz w:val="22"/>
          <w:szCs w:val="22"/>
        </w:rPr>
        <w:t>Hillsdale, NJ: Erlbaum.</w:t>
      </w:r>
    </w:p>
    <w:p w14:paraId="0339B3AE" w14:textId="77777777" w:rsidR="00024EA2" w:rsidRPr="00024EA2" w:rsidRDefault="00024EA2" w:rsidP="00024EA2">
      <w:pPr>
        <w:rPr>
          <w:rFonts w:ascii="Arial" w:hAnsi="Arial" w:cs="Arial"/>
          <w:sz w:val="22"/>
          <w:szCs w:val="22"/>
        </w:rPr>
      </w:pPr>
      <w:proofErr w:type="spellStart"/>
      <w:r w:rsidRPr="00024EA2">
        <w:rPr>
          <w:rFonts w:ascii="Arial" w:hAnsi="Arial" w:cs="Arial"/>
          <w:sz w:val="22"/>
          <w:szCs w:val="22"/>
        </w:rPr>
        <w:t>Algase</w:t>
      </w:r>
      <w:proofErr w:type="spellEnd"/>
      <w:r w:rsidRPr="00024EA2">
        <w:rPr>
          <w:rFonts w:ascii="Arial" w:hAnsi="Arial" w:cs="Arial"/>
          <w:sz w:val="22"/>
          <w:szCs w:val="22"/>
        </w:rPr>
        <w:t xml:space="preserve">, D.L., Beattie, E.R., Bogue, E.L., and Yao, L. (2007) 'The </w:t>
      </w:r>
      <w:proofErr w:type="spellStart"/>
      <w:r w:rsidRPr="00024EA2">
        <w:rPr>
          <w:rFonts w:ascii="Arial" w:hAnsi="Arial" w:cs="Arial"/>
          <w:sz w:val="22"/>
          <w:szCs w:val="22"/>
        </w:rPr>
        <w:t>Algase</w:t>
      </w:r>
      <w:proofErr w:type="spellEnd"/>
      <w:r w:rsidRPr="00024EA2">
        <w:rPr>
          <w:rFonts w:ascii="Arial" w:hAnsi="Arial" w:cs="Arial"/>
          <w:sz w:val="22"/>
          <w:szCs w:val="22"/>
        </w:rPr>
        <w:t xml:space="preserve"> Wandering Scale: Initial psychometrics of a new caregiver reporting tool', </w:t>
      </w:r>
      <w:r w:rsidRPr="00024EA2">
        <w:rPr>
          <w:rFonts w:ascii="Arial" w:hAnsi="Arial" w:cs="Arial"/>
          <w:i/>
          <w:iCs/>
          <w:sz w:val="22"/>
          <w:szCs w:val="22"/>
        </w:rPr>
        <w:t>American Journal of Alzheimer's Disease and Other Dementias,</w:t>
      </w:r>
      <w:r w:rsidRPr="00024EA2">
        <w:rPr>
          <w:rFonts w:ascii="Arial" w:hAnsi="Arial" w:cs="Arial"/>
          <w:sz w:val="22"/>
          <w:szCs w:val="22"/>
        </w:rPr>
        <w:t xml:space="preserve"> 22(3), pp. 239-252.</w:t>
      </w:r>
    </w:p>
    <w:p w14:paraId="57AEBDCD" w14:textId="293D3D8E" w:rsidR="00024EA2" w:rsidRPr="00024EA2" w:rsidRDefault="00024EA2" w:rsidP="00024EA2">
      <w:pPr>
        <w:rPr>
          <w:rFonts w:ascii="Arial" w:hAnsi="Arial" w:cs="Arial"/>
          <w:sz w:val="22"/>
          <w:szCs w:val="22"/>
        </w:rPr>
      </w:pPr>
      <w:r w:rsidRPr="00024EA2">
        <w:rPr>
          <w:rFonts w:ascii="Arial" w:hAnsi="Arial" w:cs="Arial"/>
          <w:sz w:val="22"/>
          <w:szCs w:val="22"/>
        </w:rPr>
        <w:t xml:space="preserve">Bowlby, J. (1969) </w:t>
      </w:r>
      <w:r w:rsidRPr="00024EA2">
        <w:rPr>
          <w:rFonts w:ascii="Arial" w:hAnsi="Arial" w:cs="Arial"/>
          <w:i/>
          <w:iCs/>
          <w:sz w:val="22"/>
          <w:szCs w:val="22"/>
        </w:rPr>
        <w:t>Attachment and Loss: Vol. 1</w:t>
      </w:r>
      <w:r w:rsidRPr="00024EA2">
        <w:rPr>
          <w:rFonts w:ascii="Arial" w:hAnsi="Arial" w:cs="Arial"/>
          <w:sz w:val="22"/>
          <w:szCs w:val="22"/>
        </w:rPr>
        <w:t>. Attachment. Basic Books.</w:t>
      </w:r>
    </w:p>
    <w:p w14:paraId="65B44607" w14:textId="5315FD83" w:rsidR="00024EA2" w:rsidRPr="00024EA2" w:rsidRDefault="00024EA2" w:rsidP="00024EA2">
      <w:pPr>
        <w:rPr>
          <w:rFonts w:ascii="Arial" w:hAnsi="Arial" w:cs="Arial"/>
          <w:sz w:val="22"/>
          <w:szCs w:val="22"/>
        </w:rPr>
      </w:pPr>
      <w:r w:rsidRPr="00024EA2">
        <w:rPr>
          <w:rFonts w:ascii="Arial" w:hAnsi="Arial" w:cs="Arial"/>
          <w:sz w:val="22"/>
          <w:szCs w:val="22"/>
        </w:rPr>
        <w:lastRenderedPageBreak/>
        <w:t xml:space="preserve">Bretherton, I. and Munholland, K.A. (1999) 'Internal working models in attachment relationships', in Cassidy, J. and Shaver, P.R. (eds.) </w:t>
      </w:r>
      <w:r w:rsidRPr="00024EA2">
        <w:rPr>
          <w:rFonts w:ascii="Arial" w:hAnsi="Arial" w:cs="Arial"/>
          <w:i/>
          <w:iCs/>
          <w:sz w:val="22"/>
          <w:szCs w:val="22"/>
        </w:rPr>
        <w:t xml:space="preserve">Handbook of </w:t>
      </w:r>
      <w:proofErr w:type="spellStart"/>
      <w:r w:rsidRPr="00024EA2">
        <w:rPr>
          <w:rFonts w:ascii="Arial" w:hAnsi="Arial" w:cs="Arial"/>
          <w:i/>
          <w:iCs/>
          <w:sz w:val="22"/>
          <w:szCs w:val="22"/>
        </w:rPr>
        <w:t>Attachment</w:t>
      </w:r>
      <w:r w:rsidRPr="00024EA2">
        <w:rPr>
          <w:rFonts w:ascii="Arial" w:hAnsi="Arial" w:cs="Arial"/>
          <w:sz w:val="22"/>
          <w:szCs w:val="22"/>
        </w:rPr>
        <w:t>.Guilford</w:t>
      </w:r>
      <w:proofErr w:type="spellEnd"/>
      <w:r w:rsidRPr="00024EA2">
        <w:rPr>
          <w:rFonts w:ascii="Arial" w:hAnsi="Arial" w:cs="Arial"/>
          <w:sz w:val="22"/>
          <w:szCs w:val="22"/>
        </w:rPr>
        <w:t xml:space="preserve"> Press, pp. 89-111.</w:t>
      </w:r>
    </w:p>
    <w:p w14:paraId="4FEF623E" w14:textId="77777777" w:rsidR="00024EA2" w:rsidRPr="00024EA2" w:rsidRDefault="00024EA2" w:rsidP="00024EA2">
      <w:pPr>
        <w:rPr>
          <w:rFonts w:ascii="Arial" w:hAnsi="Arial" w:cs="Arial"/>
          <w:sz w:val="22"/>
          <w:szCs w:val="22"/>
        </w:rPr>
      </w:pPr>
      <w:r w:rsidRPr="00024EA2">
        <w:rPr>
          <w:rFonts w:ascii="Arial" w:hAnsi="Arial" w:cs="Arial"/>
          <w:sz w:val="22"/>
          <w:szCs w:val="22"/>
        </w:rPr>
        <w:t xml:space="preserve">Brownie, S. and </w:t>
      </w:r>
      <w:proofErr w:type="spellStart"/>
      <w:r w:rsidRPr="00024EA2">
        <w:rPr>
          <w:rFonts w:ascii="Arial" w:hAnsi="Arial" w:cs="Arial"/>
          <w:sz w:val="22"/>
          <w:szCs w:val="22"/>
        </w:rPr>
        <w:t>Horstmanshof</w:t>
      </w:r>
      <w:proofErr w:type="spellEnd"/>
      <w:r w:rsidRPr="00024EA2">
        <w:rPr>
          <w:rFonts w:ascii="Arial" w:hAnsi="Arial" w:cs="Arial"/>
          <w:sz w:val="22"/>
          <w:szCs w:val="22"/>
        </w:rPr>
        <w:t xml:space="preserve">, L. (2012) 'Creating the conditions for self-fulfilment for aged care residents', </w:t>
      </w:r>
      <w:r w:rsidRPr="00024EA2">
        <w:rPr>
          <w:rFonts w:ascii="Arial" w:hAnsi="Arial" w:cs="Arial"/>
          <w:i/>
          <w:iCs/>
          <w:sz w:val="22"/>
          <w:szCs w:val="22"/>
        </w:rPr>
        <w:t>Nursing Ethics,</w:t>
      </w:r>
      <w:r w:rsidRPr="00024EA2">
        <w:rPr>
          <w:rFonts w:ascii="Arial" w:hAnsi="Arial" w:cs="Arial"/>
          <w:sz w:val="22"/>
          <w:szCs w:val="22"/>
        </w:rPr>
        <w:t xml:space="preserve"> 19(6), pp. 777-786.</w:t>
      </w:r>
    </w:p>
    <w:p w14:paraId="2D98CD59" w14:textId="77777777" w:rsidR="00024EA2" w:rsidRPr="00024EA2" w:rsidRDefault="00024EA2" w:rsidP="00024EA2">
      <w:pPr>
        <w:rPr>
          <w:rFonts w:ascii="Arial" w:hAnsi="Arial" w:cs="Arial"/>
          <w:sz w:val="22"/>
          <w:szCs w:val="22"/>
        </w:rPr>
      </w:pPr>
      <w:r w:rsidRPr="00024EA2">
        <w:rPr>
          <w:rFonts w:ascii="Arial" w:hAnsi="Arial" w:cs="Arial"/>
          <w:sz w:val="22"/>
          <w:szCs w:val="22"/>
        </w:rPr>
        <w:t>Corder, E.H., Saunders, A.M., Strittmatter, W.J., Schmechel, D.E., Gaskell, P.C., Small, G.W., Roses, A.D., Haines, J.L. and Pericak-Vance, M.A. (1993) 'Gene dose of apolipoprotein E type 4 allele and the risk of Alzheimer's disease in late onset families', Science, 261(5123), pp. 921-923.</w:t>
      </w:r>
    </w:p>
    <w:p w14:paraId="5A0AAD97" w14:textId="77777777" w:rsidR="00024EA2" w:rsidRPr="00024EA2" w:rsidRDefault="00024EA2" w:rsidP="00024EA2">
      <w:pPr>
        <w:rPr>
          <w:rFonts w:ascii="Arial" w:hAnsi="Arial" w:cs="Arial"/>
          <w:sz w:val="22"/>
          <w:szCs w:val="22"/>
        </w:rPr>
      </w:pPr>
      <w:r w:rsidRPr="00024EA2">
        <w:rPr>
          <w:rFonts w:ascii="Arial" w:hAnsi="Arial" w:cs="Arial"/>
          <w:sz w:val="22"/>
          <w:szCs w:val="22"/>
        </w:rPr>
        <w:t xml:space="preserve">Edvardsson, D., Fetherstonhaugh, D. and Nay, R. (2014) 'Promoting a continuation of self and normality: person-centred care as described by people with dementia', </w:t>
      </w:r>
      <w:r w:rsidRPr="00024EA2">
        <w:rPr>
          <w:rFonts w:ascii="Arial" w:hAnsi="Arial" w:cs="Arial"/>
          <w:i/>
          <w:iCs/>
          <w:sz w:val="22"/>
          <w:szCs w:val="22"/>
        </w:rPr>
        <w:t>Journal of Clinical Nursing,</w:t>
      </w:r>
      <w:r w:rsidRPr="00024EA2">
        <w:rPr>
          <w:rFonts w:ascii="Arial" w:hAnsi="Arial" w:cs="Arial"/>
          <w:sz w:val="22"/>
          <w:szCs w:val="22"/>
        </w:rPr>
        <w:t xml:space="preserve"> 19(17-18), pp. 2611-2618.</w:t>
      </w:r>
    </w:p>
    <w:p w14:paraId="66B26706" w14:textId="77777777" w:rsidR="00024EA2" w:rsidRPr="00024EA2" w:rsidRDefault="00024EA2" w:rsidP="00024EA2">
      <w:pPr>
        <w:rPr>
          <w:rFonts w:ascii="Arial" w:hAnsi="Arial" w:cs="Arial"/>
          <w:sz w:val="22"/>
          <w:szCs w:val="22"/>
        </w:rPr>
      </w:pPr>
      <w:r w:rsidRPr="00024EA2">
        <w:rPr>
          <w:rFonts w:ascii="Arial" w:hAnsi="Arial" w:cs="Arial"/>
          <w:sz w:val="22"/>
          <w:szCs w:val="22"/>
        </w:rPr>
        <w:t>Feil, N. and de Klerk-Rubin, V. (2012</w:t>
      </w:r>
      <w:r w:rsidRPr="00024EA2">
        <w:rPr>
          <w:rFonts w:ascii="Arial" w:hAnsi="Arial" w:cs="Arial"/>
          <w:i/>
          <w:iCs/>
          <w:sz w:val="22"/>
          <w:szCs w:val="22"/>
        </w:rPr>
        <w:t>) The Validation Breakthrough: Simple Techniques for Communicating with People with Alzheimer's-Type Dementia.</w:t>
      </w:r>
      <w:r w:rsidRPr="00024EA2">
        <w:rPr>
          <w:rFonts w:ascii="Arial" w:hAnsi="Arial" w:cs="Arial"/>
          <w:sz w:val="22"/>
          <w:szCs w:val="22"/>
        </w:rPr>
        <w:t xml:space="preserve"> 3rd </w:t>
      </w:r>
      <w:proofErr w:type="spellStart"/>
      <w:r w:rsidRPr="00024EA2">
        <w:rPr>
          <w:rFonts w:ascii="Arial" w:hAnsi="Arial" w:cs="Arial"/>
          <w:sz w:val="22"/>
          <w:szCs w:val="22"/>
        </w:rPr>
        <w:t>edn</w:t>
      </w:r>
      <w:proofErr w:type="spellEnd"/>
      <w:r w:rsidRPr="00024EA2">
        <w:rPr>
          <w:rFonts w:ascii="Arial" w:hAnsi="Arial" w:cs="Arial"/>
          <w:sz w:val="22"/>
          <w:szCs w:val="22"/>
        </w:rPr>
        <w:t>. Baltimore: Health Professions Press.</w:t>
      </w:r>
    </w:p>
    <w:p w14:paraId="652743F8" w14:textId="77777777" w:rsidR="00024EA2" w:rsidRPr="00024EA2" w:rsidRDefault="00024EA2" w:rsidP="00024EA2">
      <w:pPr>
        <w:rPr>
          <w:rFonts w:ascii="Arial" w:hAnsi="Arial" w:cs="Arial"/>
          <w:sz w:val="22"/>
          <w:szCs w:val="22"/>
        </w:rPr>
      </w:pPr>
      <w:r w:rsidRPr="00024EA2">
        <w:rPr>
          <w:rFonts w:ascii="Arial" w:hAnsi="Arial" w:cs="Arial"/>
          <w:sz w:val="22"/>
          <w:szCs w:val="22"/>
        </w:rPr>
        <w:t xml:space="preserve">Hofstede, G. (2001) </w:t>
      </w:r>
      <w:r w:rsidRPr="00024EA2">
        <w:rPr>
          <w:rFonts w:ascii="Arial" w:hAnsi="Arial" w:cs="Arial"/>
          <w:i/>
          <w:iCs/>
          <w:sz w:val="22"/>
          <w:szCs w:val="22"/>
        </w:rPr>
        <w:t xml:space="preserve">Culture's Consequences: Comparing Values, </w:t>
      </w:r>
      <w:proofErr w:type="spellStart"/>
      <w:r w:rsidRPr="00024EA2">
        <w:rPr>
          <w:rFonts w:ascii="Arial" w:hAnsi="Arial" w:cs="Arial"/>
          <w:i/>
          <w:iCs/>
          <w:sz w:val="22"/>
          <w:szCs w:val="22"/>
        </w:rPr>
        <w:t>Behaviors</w:t>
      </w:r>
      <w:proofErr w:type="spellEnd"/>
      <w:r w:rsidRPr="00024EA2">
        <w:rPr>
          <w:rFonts w:ascii="Arial" w:hAnsi="Arial" w:cs="Arial"/>
          <w:i/>
          <w:iCs/>
          <w:sz w:val="22"/>
          <w:szCs w:val="22"/>
        </w:rPr>
        <w:t>, Institutions and Organizations Across Nations.</w:t>
      </w:r>
      <w:r w:rsidRPr="00024EA2">
        <w:rPr>
          <w:rFonts w:ascii="Arial" w:hAnsi="Arial" w:cs="Arial"/>
          <w:sz w:val="22"/>
          <w:szCs w:val="22"/>
        </w:rPr>
        <w:t xml:space="preserve"> 2nd </w:t>
      </w:r>
      <w:proofErr w:type="spellStart"/>
      <w:r w:rsidRPr="00024EA2">
        <w:rPr>
          <w:rFonts w:ascii="Arial" w:hAnsi="Arial" w:cs="Arial"/>
          <w:sz w:val="22"/>
          <w:szCs w:val="22"/>
        </w:rPr>
        <w:t>edn</w:t>
      </w:r>
      <w:proofErr w:type="spellEnd"/>
      <w:r w:rsidRPr="00024EA2">
        <w:rPr>
          <w:rFonts w:ascii="Arial" w:hAnsi="Arial" w:cs="Arial"/>
          <w:sz w:val="22"/>
          <w:szCs w:val="22"/>
        </w:rPr>
        <w:t>. Thousand Oaks, CA: Sage.</w:t>
      </w:r>
    </w:p>
    <w:p w14:paraId="2E67656D" w14:textId="77777777" w:rsidR="00024EA2" w:rsidRPr="00024EA2" w:rsidRDefault="00024EA2" w:rsidP="00024EA2">
      <w:pPr>
        <w:rPr>
          <w:rFonts w:ascii="Arial" w:hAnsi="Arial" w:cs="Arial"/>
          <w:sz w:val="22"/>
          <w:szCs w:val="22"/>
        </w:rPr>
      </w:pPr>
      <w:r w:rsidRPr="00024EA2">
        <w:rPr>
          <w:rFonts w:ascii="Arial" w:hAnsi="Arial" w:cs="Arial"/>
          <w:sz w:val="22"/>
          <w:szCs w:val="22"/>
        </w:rPr>
        <w:t>Husebo, B.S., Ballard, C., Sandvik, R., Nilsen, O.B. and Aarsland, D. (2011) 'Efficacy of treating pain to reduce behavioural disturbances in residents of nursing homes with dementia', BMJ, 343, d4065.</w:t>
      </w:r>
    </w:p>
    <w:p w14:paraId="4FAAC264" w14:textId="77777777" w:rsidR="00024EA2" w:rsidRPr="00024EA2" w:rsidRDefault="00024EA2" w:rsidP="00024EA2">
      <w:pPr>
        <w:rPr>
          <w:rFonts w:ascii="Arial" w:hAnsi="Arial" w:cs="Arial"/>
          <w:sz w:val="22"/>
          <w:szCs w:val="22"/>
        </w:rPr>
      </w:pPr>
      <w:r w:rsidRPr="00024EA2">
        <w:rPr>
          <w:rFonts w:ascii="Arial" w:hAnsi="Arial" w:cs="Arial"/>
          <w:sz w:val="22"/>
          <w:szCs w:val="22"/>
        </w:rPr>
        <w:t xml:space="preserve">Hussein, S. and Manthorpe, J. (2012) 'The dementia social care workforce in England', </w:t>
      </w:r>
      <w:r w:rsidRPr="00024EA2">
        <w:rPr>
          <w:rFonts w:ascii="Arial" w:hAnsi="Arial" w:cs="Arial"/>
          <w:i/>
          <w:iCs/>
          <w:sz w:val="22"/>
          <w:szCs w:val="22"/>
        </w:rPr>
        <w:t>Journal of Aging &amp; Social Policy</w:t>
      </w:r>
      <w:r w:rsidRPr="00024EA2">
        <w:rPr>
          <w:rFonts w:ascii="Arial" w:hAnsi="Arial" w:cs="Arial"/>
          <w:sz w:val="22"/>
          <w:szCs w:val="22"/>
        </w:rPr>
        <w:t>, 24(2), pp. 128-145.</w:t>
      </w:r>
    </w:p>
    <w:p w14:paraId="64F04E38" w14:textId="77777777" w:rsidR="00024EA2" w:rsidRPr="00024EA2" w:rsidRDefault="00024EA2" w:rsidP="00024EA2">
      <w:pPr>
        <w:rPr>
          <w:rFonts w:ascii="Arial" w:hAnsi="Arial" w:cs="Arial"/>
          <w:sz w:val="22"/>
          <w:szCs w:val="22"/>
        </w:rPr>
      </w:pPr>
      <w:r w:rsidRPr="00024EA2">
        <w:rPr>
          <w:rFonts w:ascii="Arial" w:hAnsi="Arial" w:cs="Arial"/>
          <w:sz w:val="22"/>
          <w:szCs w:val="22"/>
        </w:rPr>
        <w:t xml:space="preserve">Lawrence, V., Murray, J., Samsi, K. and Banerjee, S. (2011) 'Attitudes and support needs of Black Caribbean, south Asian and White British carers of people with dementia in the UK', </w:t>
      </w:r>
      <w:r w:rsidRPr="00024EA2">
        <w:rPr>
          <w:rFonts w:ascii="Arial" w:hAnsi="Arial" w:cs="Arial"/>
          <w:i/>
          <w:iCs/>
          <w:sz w:val="22"/>
          <w:szCs w:val="22"/>
        </w:rPr>
        <w:t>British Journal of Psychiatry</w:t>
      </w:r>
      <w:r w:rsidRPr="00024EA2">
        <w:rPr>
          <w:rFonts w:ascii="Arial" w:hAnsi="Arial" w:cs="Arial"/>
          <w:sz w:val="22"/>
          <w:szCs w:val="22"/>
        </w:rPr>
        <w:t>, 198(3), pp. 225-231.</w:t>
      </w:r>
    </w:p>
    <w:p w14:paraId="71F596A7" w14:textId="11045EDE" w:rsidR="00024EA2" w:rsidRPr="00024EA2" w:rsidRDefault="00024EA2" w:rsidP="00024EA2">
      <w:pPr>
        <w:rPr>
          <w:rFonts w:ascii="Arial" w:hAnsi="Arial" w:cs="Arial"/>
          <w:sz w:val="22"/>
          <w:szCs w:val="22"/>
        </w:rPr>
      </w:pPr>
      <w:proofErr w:type="spellStart"/>
      <w:r w:rsidRPr="00024EA2">
        <w:rPr>
          <w:rFonts w:ascii="Arial" w:hAnsi="Arial" w:cs="Arial"/>
          <w:sz w:val="22"/>
          <w:szCs w:val="22"/>
        </w:rPr>
        <w:t>Magai</w:t>
      </w:r>
      <w:proofErr w:type="spellEnd"/>
      <w:r w:rsidRPr="00024EA2">
        <w:rPr>
          <w:rFonts w:ascii="Arial" w:hAnsi="Arial" w:cs="Arial"/>
          <w:sz w:val="22"/>
          <w:szCs w:val="22"/>
        </w:rPr>
        <w:t xml:space="preserve">, C. (2008) 'Attachment in middle and later life', in Cassidy, J. and Shaver, P.R. (eds.) </w:t>
      </w:r>
      <w:r w:rsidRPr="00024EA2">
        <w:rPr>
          <w:rFonts w:ascii="Arial" w:hAnsi="Arial" w:cs="Arial"/>
          <w:i/>
          <w:iCs/>
          <w:sz w:val="22"/>
          <w:szCs w:val="22"/>
        </w:rPr>
        <w:t>Handbook of Attachment</w:t>
      </w:r>
      <w:r w:rsidRPr="00024EA2">
        <w:rPr>
          <w:rFonts w:ascii="Arial" w:hAnsi="Arial" w:cs="Arial"/>
          <w:sz w:val="22"/>
          <w:szCs w:val="22"/>
        </w:rPr>
        <w:t xml:space="preserve">. 2nd </w:t>
      </w:r>
      <w:proofErr w:type="spellStart"/>
      <w:r w:rsidRPr="00024EA2">
        <w:rPr>
          <w:rFonts w:ascii="Arial" w:hAnsi="Arial" w:cs="Arial"/>
          <w:sz w:val="22"/>
          <w:szCs w:val="22"/>
        </w:rPr>
        <w:t>edn</w:t>
      </w:r>
      <w:proofErr w:type="spellEnd"/>
      <w:r w:rsidRPr="00024EA2">
        <w:rPr>
          <w:rFonts w:ascii="Arial" w:hAnsi="Arial" w:cs="Arial"/>
          <w:sz w:val="22"/>
          <w:szCs w:val="22"/>
        </w:rPr>
        <w:t>. Guilford Press, pp. 532-551.</w:t>
      </w:r>
    </w:p>
    <w:p w14:paraId="75A17C7A" w14:textId="77777777" w:rsidR="00024EA2" w:rsidRPr="00024EA2" w:rsidRDefault="00024EA2" w:rsidP="00024EA2">
      <w:pPr>
        <w:rPr>
          <w:rFonts w:ascii="Arial" w:hAnsi="Arial" w:cs="Arial"/>
          <w:sz w:val="22"/>
          <w:szCs w:val="22"/>
        </w:rPr>
      </w:pPr>
      <w:r w:rsidRPr="00024EA2">
        <w:rPr>
          <w:rFonts w:ascii="Arial" w:hAnsi="Arial" w:cs="Arial"/>
          <w:sz w:val="22"/>
          <w:szCs w:val="22"/>
        </w:rPr>
        <w:t xml:space="preserve">Maslow, A.H. (1943) 'A theory of human motivation', </w:t>
      </w:r>
      <w:r w:rsidRPr="00024EA2">
        <w:rPr>
          <w:rFonts w:ascii="Arial" w:hAnsi="Arial" w:cs="Arial"/>
          <w:i/>
          <w:iCs/>
          <w:sz w:val="22"/>
          <w:szCs w:val="22"/>
        </w:rPr>
        <w:t>Psychological Review</w:t>
      </w:r>
      <w:r w:rsidRPr="00024EA2">
        <w:rPr>
          <w:rFonts w:ascii="Arial" w:hAnsi="Arial" w:cs="Arial"/>
          <w:sz w:val="22"/>
          <w:szCs w:val="22"/>
        </w:rPr>
        <w:t>, 50(4), pp. 370-396.</w:t>
      </w:r>
    </w:p>
    <w:p w14:paraId="4F313F3E" w14:textId="77777777" w:rsidR="00024EA2" w:rsidRPr="00024EA2" w:rsidRDefault="00024EA2" w:rsidP="00024EA2">
      <w:pPr>
        <w:rPr>
          <w:rFonts w:ascii="Arial" w:hAnsi="Arial" w:cs="Arial"/>
          <w:sz w:val="22"/>
          <w:szCs w:val="22"/>
        </w:rPr>
      </w:pPr>
      <w:r w:rsidRPr="00024EA2">
        <w:rPr>
          <w:rFonts w:ascii="Arial" w:hAnsi="Arial" w:cs="Arial"/>
          <w:sz w:val="22"/>
          <w:szCs w:val="22"/>
        </w:rPr>
        <w:t xml:space="preserve">McKeown, J., Clarke, A., Ingleton, C., Ryan, T. and Repper, J. (2006) 'The use of life story work with people with dementia to enhance person-centred care', </w:t>
      </w:r>
      <w:r w:rsidRPr="00024EA2">
        <w:rPr>
          <w:rFonts w:ascii="Arial" w:hAnsi="Arial" w:cs="Arial"/>
          <w:i/>
          <w:iCs/>
          <w:sz w:val="22"/>
          <w:szCs w:val="22"/>
        </w:rPr>
        <w:t>International Journal of Older People Nursing,</w:t>
      </w:r>
      <w:r w:rsidRPr="00024EA2">
        <w:rPr>
          <w:rFonts w:ascii="Arial" w:hAnsi="Arial" w:cs="Arial"/>
          <w:sz w:val="22"/>
          <w:szCs w:val="22"/>
        </w:rPr>
        <w:t xml:space="preserve"> 5(2), pp. 148-158.</w:t>
      </w:r>
    </w:p>
    <w:p w14:paraId="2F540F28" w14:textId="7AD6A5DB" w:rsidR="00024EA2" w:rsidRPr="00024EA2" w:rsidRDefault="00024EA2" w:rsidP="00024EA2">
      <w:pPr>
        <w:rPr>
          <w:rFonts w:ascii="Arial" w:hAnsi="Arial" w:cs="Arial"/>
          <w:sz w:val="22"/>
          <w:szCs w:val="22"/>
        </w:rPr>
      </w:pPr>
      <w:r w:rsidRPr="00024EA2">
        <w:rPr>
          <w:rFonts w:ascii="Arial" w:hAnsi="Arial" w:cs="Arial"/>
          <w:sz w:val="22"/>
          <w:szCs w:val="22"/>
        </w:rPr>
        <w:t xml:space="preserve">Miesen, B.M.L. (1992) 'Attachment theory and dementia', in Jones, G.M.M. and Miesen, B.M.L. (eds.) </w:t>
      </w:r>
      <w:proofErr w:type="gramStart"/>
      <w:r w:rsidRPr="00024EA2">
        <w:rPr>
          <w:rFonts w:ascii="Arial" w:hAnsi="Arial" w:cs="Arial"/>
          <w:sz w:val="22"/>
          <w:szCs w:val="22"/>
        </w:rPr>
        <w:t>Care-Giving</w:t>
      </w:r>
      <w:proofErr w:type="gramEnd"/>
      <w:r w:rsidRPr="00024EA2">
        <w:rPr>
          <w:rFonts w:ascii="Arial" w:hAnsi="Arial" w:cs="Arial"/>
          <w:sz w:val="22"/>
          <w:szCs w:val="22"/>
        </w:rPr>
        <w:t xml:space="preserve"> in Dementia. Routledge, pp. 38-56.</w:t>
      </w:r>
    </w:p>
    <w:p w14:paraId="46D63F02" w14:textId="77777777" w:rsidR="00024EA2" w:rsidRPr="00024EA2" w:rsidRDefault="00024EA2" w:rsidP="00024EA2">
      <w:pPr>
        <w:rPr>
          <w:rFonts w:ascii="Arial" w:hAnsi="Arial" w:cs="Arial"/>
          <w:sz w:val="22"/>
          <w:szCs w:val="22"/>
        </w:rPr>
      </w:pPr>
      <w:r w:rsidRPr="00024EA2">
        <w:rPr>
          <w:rFonts w:ascii="Arial" w:hAnsi="Arial" w:cs="Arial"/>
          <w:sz w:val="22"/>
          <w:szCs w:val="22"/>
        </w:rPr>
        <w:t>Orrell, M., Yates, L., Leung, P., Kang, S., Hoare, Z., Whitaker, C., Burns, A., Knapp, M., Leroi, I., Moniz-Cook, E., Pearson, S., Simpson, S., Spector, A., Roberts, S., Russell, I., de Waal, H., Woods, R.T. and Orgeta, V. (2017) 'The impact of individual Cognitive Stimulation Therapy (</w:t>
      </w:r>
      <w:proofErr w:type="spellStart"/>
      <w:r w:rsidRPr="00024EA2">
        <w:rPr>
          <w:rFonts w:ascii="Arial" w:hAnsi="Arial" w:cs="Arial"/>
          <w:sz w:val="22"/>
          <w:szCs w:val="22"/>
        </w:rPr>
        <w:t>iCST</w:t>
      </w:r>
      <w:proofErr w:type="spellEnd"/>
      <w:r w:rsidRPr="00024EA2">
        <w:rPr>
          <w:rFonts w:ascii="Arial" w:hAnsi="Arial" w:cs="Arial"/>
          <w:sz w:val="22"/>
          <w:szCs w:val="22"/>
        </w:rPr>
        <w:t xml:space="preserve">) on cognition, quality of life, caregiver health, and family relationships', </w:t>
      </w:r>
      <w:r w:rsidRPr="00EE3306">
        <w:rPr>
          <w:rFonts w:ascii="Arial" w:hAnsi="Arial" w:cs="Arial"/>
          <w:i/>
          <w:iCs/>
          <w:sz w:val="22"/>
          <w:szCs w:val="22"/>
        </w:rPr>
        <w:t>Aging &amp; Mental Health,</w:t>
      </w:r>
      <w:r w:rsidRPr="00024EA2">
        <w:rPr>
          <w:rFonts w:ascii="Arial" w:hAnsi="Arial" w:cs="Arial"/>
          <w:sz w:val="22"/>
          <w:szCs w:val="22"/>
        </w:rPr>
        <w:t xml:space="preserve"> 21(4), pp. 337-344.</w:t>
      </w:r>
    </w:p>
    <w:p w14:paraId="243C0286" w14:textId="77777777" w:rsidR="00024EA2" w:rsidRPr="00024EA2" w:rsidRDefault="00024EA2" w:rsidP="00024EA2">
      <w:pPr>
        <w:rPr>
          <w:rFonts w:ascii="Arial" w:hAnsi="Arial" w:cs="Arial"/>
          <w:sz w:val="22"/>
          <w:szCs w:val="22"/>
        </w:rPr>
      </w:pPr>
      <w:r w:rsidRPr="00024EA2">
        <w:rPr>
          <w:rFonts w:ascii="Arial" w:hAnsi="Arial" w:cs="Arial"/>
          <w:sz w:val="22"/>
          <w:szCs w:val="22"/>
        </w:rPr>
        <w:t xml:space="preserve">Sameroff, A. (2010) 'A unified theory of development', </w:t>
      </w:r>
      <w:r w:rsidRPr="00EE3306">
        <w:rPr>
          <w:rFonts w:ascii="Arial" w:hAnsi="Arial" w:cs="Arial"/>
          <w:i/>
          <w:iCs/>
          <w:sz w:val="22"/>
          <w:szCs w:val="22"/>
        </w:rPr>
        <w:t>Child Development</w:t>
      </w:r>
      <w:r w:rsidRPr="00024EA2">
        <w:rPr>
          <w:rFonts w:ascii="Arial" w:hAnsi="Arial" w:cs="Arial"/>
          <w:sz w:val="22"/>
          <w:szCs w:val="22"/>
        </w:rPr>
        <w:t>, 81(1), pp. 6-22.</w:t>
      </w:r>
    </w:p>
    <w:p w14:paraId="2D399D81" w14:textId="77777777" w:rsidR="00024EA2" w:rsidRPr="00024EA2" w:rsidRDefault="00024EA2" w:rsidP="00024EA2">
      <w:pPr>
        <w:rPr>
          <w:rFonts w:ascii="Arial" w:hAnsi="Arial" w:cs="Arial"/>
          <w:sz w:val="22"/>
          <w:szCs w:val="22"/>
        </w:rPr>
      </w:pPr>
      <w:r w:rsidRPr="00024EA2">
        <w:rPr>
          <w:rFonts w:ascii="Arial" w:hAnsi="Arial" w:cs="Arial"/>
          <w:sz w:val="22"/>
          <w:szCs w:val="22"/>
        </w:rPr>
        <w:lastRenderedPageBreak/>
        <w:t xml:space="preserve">Spector, A., Thorgrimsen, L., Woods, B., Royan, L., Davies, S., Butterworth, M. and Orrell, M. (2003) 'Efficacy of an evidence-based cognitive stimulation therapy programme for people with dementia', </w:t>
      </w:r>
      <w:r w:rsidRPr="00EE3306">
        <w:rPr>
          <w:rFonts w:ascii="Arial" w:hAnsi="Arial" w:cs="Arial"/>
          <w:i/>
          <w:iCs/>
          <w:sz w:val="22"/>
          <w:szCs w:val="22"/>
        </w:rPr>
        <w:t>British Journal of Psychiatry</w:t>
      </w:r>
      <w:r w:rsidRPr="00024EA2">
        <w:rPr>
          <w:rFonts w:ascii="Arial" w:hAnsi="Arial" w:cs="Arial"/>
          <w:sz w:val="22"/>
          <w:szCs w:val="22"/>
        </w:rPr>
        <w:t>, 183(3), pp. 248-254.</w:t>
      </w:r>
    </w:p>
    <w:p w14:paraId="165C3B01" w14:textId="77777777" w:rsidR="00024EA2" w:rsidRPr="00024EA2" w:rsidRDefault="00024EA2" w:rsidP="00024EA2">
      <w:pPr>
        <w:rPr>
          <w:rFonts w:ascii="Arial" w:hAnsi="Arial" w:cs="Arial"/>
          <w:sz w:val="22"/>
          <w:szCs w:val="22"/>
        </w:rPr>
      </w:pPr>
      <w:r w:rsidRPr="00024EA2">
        <w:rPr>
          <w:rFonts w:ascii="Arial" w:hAnsi="Arial" w:cs="Arial"/>
          <w:sz w:val="22"/>
          <w:szCs w:val="22"/>
        </w:rPr>
        <w:t xml:space="preserve">Stern, Y. (2012) 'Cognitive reserve in ageing and Alzheimer's disease', </w:t>
      </w:r>
      <w:r w:rsidRPr="00EE3306">
        <w:rPr>
          <w:rFonts w:ascii="Arial" w:hAnsi="Arial" w:cs="Arial"/>
          <w:i/>
          <w:iCs/>
          <w:sz w:val="22"/>
          <w:szCs w:val="22"/>
        </w:rPr>
        <w:t>Lancet Neurology</w:t>
      </w:r>
      <w:r w:rsidRPr="00024EA2">
        <w:rPr>
          <w:rFonts w:ascii="Arial" w:hAnsi="Arial" w:cs="Arial"/>
          <w:sz w:val="22"/>
          <w:szCs w:val="22"/>
        </w:rPr>
        <w:t>, 11(11), pp. 1006-1012.</w:t>
      </w:r>
    </w:p>
    <w:p w14:paraId="6B50405F" w14:textId="77777777" w:rsidR="00024EA2" w:rsidRPr="00024EA2" w:rsidRDefault="00024EA2" w:rsidP="00024EA2">
      <w:pPr>
        <w:rPr>
          <w:rFonts w:ascii="Arial" w:hAnsi="Arial" w:cs="Arial"/>
          <w:sz w:val="22"/>
          <w:szCs w:val="22"/>
        </w:rPr>
      </w:pPr>
      <w:r w:rsidRPr="00024EA2">
        <w:rPr>
          <w:rFonts w:ascii="Arial" w:hAnsi="Arial" w:cs="Arial"/>
          <w:sz w:val="22"/>
          <w:szCs w:val="22"/>
        </w:rPr>
        <w:t xml:space="preserve">van Hoof, J., Kort, H.S.M., van </w:t>
      </w:r>
      <w:proofErr w:type="spellStart"/>
      <w:r w:rsidRPr="00024EA2">
        <w:rPr>
          <w:rFonts w:ascii="Arial" w:hAnsi="Arial" w:cs="Arial"/>
          <w:sz w:val="22"/>
          <w:szCs w:val="22"/>
        </w:rPr>
        <w:t>Waarde</w:t>
      </w:r>
      <w:proofErr w:type="spellEnd"/>
      <w:r w:rsidRPr="00024EA2">
        <w:rPr>
          <w:rFonts w:ascii="Arial" w:hAnsi="Arial" w:cs="Arial"/>
          <w:sz w:val="22"/>
          <w:szCs w:val="22"/>
        </w:rPr>
        <w:t>, H. and Blom, M.M. (2009) 'Environmental interventions and the design of homes for older adults with dementia'</w:t>
      </w:r>
      <w:r w:rsidRPr="00EE3306">
        <w:rPr>
          <w:rFonts w:ascii="Arial" w:hAnsi="Arial" w:cs="Arial"/>
          <w:i/>
          <w:iCs/>
          <w:sz w:val="22"/>
          <w:szCs w:val="22"/>
        </w:rPr>
        <w:t>, HERD: Health Environments Research &amp; Design Journal,</w:t>
      </w:r>
      <w:r w:rsidRPr="00024EA2">
        <w:rPr>
          <w:rFonts w:ascii="Arial" w:hAnsi="Arial" w:cs="Arial"/>
          <w:sz w:val="22"/>
          <w:szCs w:val="22"/>
        </w:rPr>
        <w:t xml:space="preserve"> 3(1), pp. 33-68.</w:t>
      </w:r>
    </w:p>
    <w:p w14:paraId="66397196" w14:textId="2680E69A" w:rsidR="00024EA2" w:rsidRDefault="00024EA2" w:rsidP="00024EA2">
      <w:pPr>
        <w:rPr>
          <w:rFonts w:ascii="Arial" w:hAnsi="Arial" w:cs="Arial"/>
          <w:sz w:val="22"/>
          <w:szCs w:val="22"/>
        </w:rPr>
      </w:pPr>
      <w:r w:rsidRPr="00024EA2">
        <w:rPr>
          <w:rFonts w:ascii="Arial" w:hAnsi="Arial" w:cs="Arial"/>
          <w:sz w:val="22"/>
          <w:szCs w:val="22"/>
        </w:rPr>
        <w:t>Wahba, M.A. and Bridwell, L.G. (1976) 'Maslow reconsidered'</w:t>
      </w:r>
      <w:r w:rsidRPr="00EE3306">
        <w:rPr>
          <w:rFonts w:ascii="Arial" w:hAnsi="Arial" w:cs="Arial"/>
          <w:i/>
          <w:iCs/>
          <w:sz w:val="22"/>
          <w:szCs w:val="22"/>
        </w:rPr>
        <w:t xml:space="preserve">, Organizational </w:t>
      </w:r>
      <w:proofErr w:type="spellStart"/>
      <w:r w:rsidR="000E2AF3" w:rsidRPr="00EE3306">
        <w:rPr>
          <w:rFonts w:ascii="Arial" w:hAnsi="Arial" w:cs="Arial"/>
          <w:i/>
          <w:iCs/>
          <w:sz w:val="22"/>
          <w:szCs w:val="22"/>
        </w:rPr>
        <w:t>Beha</w:t>
      </w:r>
      <w:r w:rsidR="000E2AF3">
        <w:rPr>
          <w:rFonts w:ascii="Arial" w:hAnsi="Arial" w:cs="Arial"/>
          <w:i/>
          <w:iCs/>
          <w:sz w:val="22"/>
          <w:szCs w:val="22"/>
        </w:rPr>
        <w:t>vio</w:t>
      </w:r>
      <w:r w:rsidR="000E2AF3" w:rsidRPr="00EE3306">
        <w:rPr>
          <w:rFonts w:ascii="Arial" w:hAnsi="Arial" w:cs="Arial"/>
          <w:i/>
          <w:iCs/>
          <w:sz w:val="22"/>
          <w:szCs w:val="22"/>
        </w:rPr>
        <w:t>r</w:t>
      </w:r>
      <w:proofErr w:type="spellEnd"/>
      <w:r w:rsidRPr="00EE3306">
        <w:rPr>
          <w:rFonts w:ascii="Arial" w:hAnsi="Arial" w:cs="Arial"/>
          <w:i/>
          <w:iCs/>
          <w:sz w:val="22"/>
          <w:szCs w:val="22"/>
        </w:rPr>
        <w:t xml:space="preserve"> and Human Performance, </w:t>
      </w:r>
      <w:r w:rsidRPr="00024EA2">
        <w:rPr>
          <w:rFonts w:ascii="Arial" w:hAnsi="Arial" w:cs="Arial"/>
          <w:sz w:val="22"/>
          <w:szCs w:val="22"/>
        </w:rPr>
        <w:t>15(2), pp. 212-240.</w:t>
      </w:r>
      <w:r w:rsidR="000E2AF3">
        <w:rPr>
          <w:rFonts w:ascii="Arial" w:hAnsi="Arial" w:cs="Arial"/>
          <w:sz w:val="22"/>
          <w:szCs w:val="22"/>
        </w:rPr>
        <w:t xml:space="preserve"> </w:t>
      </w:r>
    </w:p>
    <w:p w14:paraId="6AF15743" w14:textId="77777777" w:rsidR="00A9021B" w:rsidRDefault="00A9021B" w:rsidP="00173B66">
      <w:pPr>
        <w:rPr>
          <w:rFonts w:ascii="Arial" w:hAnsi="Arial" w:cs="Arial"/>
          <w:sz w:val="22"/>
          <w:szCs w:val="22"/>
        </w:rPr>
      </w:pPr>
    </w:p>
    <w:p w14:paraId="669E71E6" w14:textId="77777777" w:rsidR="00A9021B" w:rsidRDefault="00A9021B" w:rsidP="00173B66">
      <w:pPr>
        <w:rPr>
          <w:rFonts w:ascii="Arial" w:hAnsi="Arial" w:cs="Arial"/>
          <w:sz w:val="22"/>
          <w:szCs w:val="22"/>
        </w:rPr>
      </w:pPr>
    </w:p>
    <w:p w14:paraId="61F9F73E" w14:textId="77777777" w:rsidR="00A9021B" w:rsidRDefault="00A9021B" w:rsidP="00173B66">
      <w:pPr>
        <w:rPr>
          <w:rFonts w:ascii="Arial" w:hAnsi="Arial" w:cs="Arial"/>
          <w:sz w:val="22"/>
          <w:szCs w:val="22"/>
        </w:rPr>
      </w:pPr>
    </w:p>
    <w:p w14:paraId="7E7794CE" w14:textId="77777777" w:rsidR="00A9021B" w:rsidRDefault="00A9021B" w:rsidP="00173B66">
      <w:pPr>
        <w:rPr>
          <w:rFonts w:ascii="Arial" w:hAnsi="Arial" w:cs="Arial"/>
          <w:sz w:val="22"/>
          <w:szCs w:val="22"/>
        </w:rPr>
      </w:pPr>
    </w:p>
    <w:p w14:paraId="7D312919" w14:textId="77777777" w:rsidR="00A9021B" w:rsidRDefault="00A9021B" w:rsidP="00173B66">
      <w:pPr>
        <w:rPr>
          <w:rFonts w:ascii="Arial" w:hAnsi="Arial" w:cs="Arial"/>
          <w:sz w:val="22"/>
          <w:szCs w:val="22"/>
        </w:rPr>
      </w:pPr>
    </w:p>
    <w:p w14:paraId="19C17DB7" w14:textId="77777777" w:rsidR="00A9021B" w:rsidRDefault="00A9021B" w:rsidP="00173B66">
      <w:pPr>
        <w:rPr>
          <w:rFonts w:ascii="Arial" w:hAnsi="Arial" w:cs="Arial"/>
          <w:sz w:val="22"/>
          <w:szCs w:val="22"/>
        </w:rPr>
      </w:pPr>
    </w:p>
    <w:p w14:paraId="454D7140" w14:textId="77777777" w:rsidR="00A9021B" w:rsidRDefault="00A9021B" w:rsidP="00173B66">
      <w:pPr>
        <w:rPr>
          <w:rFonts w:ascii="Arial" w:hAnsi="Arial" w:cs="Arial"/>
          <w:sz w:val="22"/>
          <w:szCs w:val="22"/>
        </w:rPr>
      </w:pPr>
    </w:p>
    <w:p w14:paraId="2B8E71A9" w14:textId="77777777" w:rsidR="00A9021B" w:rsidRDefault="00A9021B" w:rsidP="00173B66">
      <w:pPr>
        <w:rPr>
          <w:rFonts w:ascii="Arial" w:hAnsi="Arial" w:cs="Arial"/>
          <w:sz w:val="22"/>
          <w:szCs w:val="22"/>
        </w:rPr>
      </w:pPr>
    </w:p>
    <w:p w14:paraId="631ABAB9" w14:textId="3DF5E9EA" w:rsidR="008E6B3B" w:rsidRPr="00CE49FA" w:rsidRDefault="008E6B3B" w:rsidP="008E6B3B">
      <w:pPr>
        <w:rPr>
          <w:rFonts w:ascii="Arial" w:hAnsi="Arial" w:cs="Arial"/>
          <w:sz w:val="22"/>
          <w:szCs w:val="22"/>
        </w:rPr>
      </w:pPr>
    </w:p>
    <w:sectPr w:rsidR="008E6B3B" w:rsidRPr="00CE49FA">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E8E5F1" w14:textId="77777777" w:rsidR="00384E48" w:rsidRDefault="00384E48" w:rsidP="00CE49FA">
      <w:pPr>
        <w:spacing w:after="0" w:line="240" w:lineRule="auto"/>
      </w:pPr>
      <w:r>
        <w:separator/>
      </w:r>
    </w:p>
  </w:endnote>
  <w:endnote w:type="continuationSeparator" w:id="0">
    <w:p w14:paraId="357C2A7E" w14:textId="77777777" w:rsidR="00384E48" w:rsidRDefault="00384E48" w:rsidP="00CE49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3C7572" w14:textId="77777777" w:rsidR="00384E48" w:rsidRDefault="00384E48" w:rsidP="00CE49FA">
      <w:pPr>
        <w:spacing w:after="0" w:line="240" w:lineRule="auto"/>
      </w:pPr>
      <w:r>
        <w:separator/>
      </w:r>
    </w:p>
  </w:footnote>
  <w:footnote w:type="continuationSeparator" w:id="0">
    <w:p w14:paraId="415699BB" w14:textId="77777777" w:rsidR="00384E48" w:rsidRDefault="00384E48" w:rsidP="00CE49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64298245"/>
      <w:docPartObj>
        <w:docPartGallery w:val="Page Numbers (Top of Page)"/>
        <w:docPartUnique/>
      </w:docPartObj>
    </w:sdtPr>
    <w:sdtEndPr>
      <w:rPr>
        <w:noProof/>
      </w:rPr>
    </w:sdtEndPr>
    <w:sdtContent>
      <w:p w14:paraId="2A15D147" w14:textId="017C1F20" w:rsidR="00CE49FA" w:rsidRDefault="00CE49F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2474E0B" w14:textId="77777777" w:rsidR="00CE49FA" w:rsidRDefault="00CE49F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49FA"/>
    <w:rsid w:val="00024EA2"/>
    <w:rsid w:val="00027663"/>
    <w:rsid w:val="0006359F"/>
    <w:rsid w:val="000D012C"/>
    <w:rsid w:val="000D3524"/>
    <w:rsid w:val="000E2AF3"/>
    <w:rsid w:val="00173B66"/>
    <w:rsid w:val="00173F84"/>
    <w:rsid w:val="0018463B"/>
    <w:rsid w:val="001E119E"/>
    <w:rsid w:val="00202211"/>
    <w:rsid w:val="0024088C"/>
    <w:rsid w:val="002951E5"/>
    <w:rsid w:val="002A5F1F"/>
    <w:rsid w:val="002A73A1"/>
    <w:rsid w:val="002C6161"/>
    <w:rsid w:val="002D1F02"/>
    <w:rsid w:val="00320508"/>
    <w:rsid w:val="00384E48"/>
    <w:rsid w:val="003D77BF"/>
    <w:rsid w:val="003F36A2"/>
    <w:rsid w:val="00543AAD"/>
    <w:rsid w:val="0059663C"/>
    <w:rsid w:val="005D08BF"/>
    <w:rsid w:val="005D33C9"/>
    <w:rsid w:val="00680A75"/>
    <w:rsid w:val="006C3B9E"/>
    <w:rsid w:val="0071796B"/>
    <w:rsid w:val="00753216"/>
    <w:rsid w:val="00757863"/>
    <w:rsid w:val="007B21EE"/>
    <w:rsid w:val="007C581B"/>
    <w:rsid w:val="007D5637"/>
    <w:rsid w:val="00801872"/>
    <w:rsid w:val="008333A1"/>
    <w:rsid w:val="008E6B3B"/>
    <w:rsid w:val="008F2A46"/>
    <w:rsid w:val="009B5A95"/>
    <w:rsid w:val="009D0054"/>
    <w:rsid w:val="00A9021B"/>
    <w:rsid w:val="00AB1D6B"/>
    <w:rsid w:val="00B870FC"/>
    <w:rsid w:val="00C32513"/>
    <w:rsid w:val="00CB23FD"/>
    <w:rsid w:val="00CE49FA"/>
    <w:rsid w:val="00CE5E11"/>
    <w:rsid w:val="00CF3AD2"/>
    <w:rsid w:val="00D27B11"/>
    <w:rsid w:val="00DA0C1C"/>
    <w:rsid w:val="00E1552B"/>
    <w:rsid w:val="00EC2F7B"/>
    <w:rsid w:val="00EE3306"/>
    <w:rsid w:val="00F52153"/>
    <w:rsid w:val="00F55FAD"/>
    <w:rsid w:val="00F71FFB"/>
    <w:rsid w:val="00F863E3"/>
    <w:rsid w:val="00FC0E2C"/>
    <w:rsid w:val="00FC2B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FD9989"/>
  <w15:chartTrackingRefBased/>
  <w15:docId w15:val="{48334308-26F0-4906-8EE5-388434A990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49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49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49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49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49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49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49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49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49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49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49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49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49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49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49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49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49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49FA"/>
    <w:rPr>
      <w:rFonts w:eastAsiaTheme="majorEastAsia" w:cstheme="majorBidi"/>
      <w:color w:val="272727" w:themeColor="text1" w:themeTint="D8"/>
    </w:rPr>
  </w:style>
  <w:style w:type="paragraph" w:styleId="Title">
    <w:name w:val="Title"/>
    <w:basedOn w:val="Normal"/>
    <w:next w:val="Normal"/>
    <w:link w:val="TitleChar"/>
    <w:uiPriority w:val="10"/>
    <w:qFormat/>
    <w:rsid w:val="00CE49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49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49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49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49FA"/>
    <w:pPr>
      <w:spacing w:before="160"/>
      <w:jc w:val="center"/>
    </w:pPr>
    <w:rPr>
      <w:i/>
      <w:iCs/>
      <w:color w:val="404040" w:themeColor="text1" w:themeTint="BF"/>
    </w:rPr>
  </w:style>
  <w:style w:type="character" w:customStyle="1" w:styleId="QuoteChar">
    <w:name w:val="Quote Char"/>
    <w:basedOn w:val="DefaultParagraphFont"/>
    <w:link w:val="Quote"/>
    <w:uiPriority w:val="29"/>
    <w:rsid w:val="00CE49FA"/>
    <w:rPr>
      <w:i/>
      <w:iCs/>
      <w:color w:val="404040" w:themeColor="text1" w:themeTint="BF"/>
    </w:rPr>
  </w:style>
  <w:style w:type="paragraph" w:styleId="ListParagraph">
    <w:name w:val="List Paragraph"/>
    <w:basedOn w:val="Normal"/>
    <w:uiPriority w:val="34"/>
    <w:qFormat/>
    <w:rsid w:val="00CE49FA"/>
    <w:pPr>
      <w:ind w:left="720"/>
      <w:contextualSpacing/>
    </w:pPr>
  </w:style>
  <w:style w:type="character" w:styleId="IntenseEmphasis">
    <w:name w:val="Intense Emphasis"/>
    <w:basedOn w:val="DefaultParagraphFont"/>
    <w:uiPriority w:val="21"/>
    <w:qFormat/>
    <w:rsid w:val="00CE49FA"/>
    <w:rPr>
      <w:i/>
      <w:iCs/>
      <w:color w:val="0F4761" w:themeColor="accent1" w:themeShade="BF"/>
    </w:rPr>
  </w:style>
  <w:style w:type="paragraph" w:styleId="IntenseQuote">
    <w:name w:val="Intense Quote"/>
    <w:basedOn w:val="Normal"/>
    <w:next w:val="Normal"/>
    <w:link w:val="IntenseQuoteChar"/>
    <w:uiPriority w:val="30"/>
    <w:qFormat/>
    <w:rsid w:val="00CE49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49FA"/>
    <w:rPr>
      <w:i/>
      <w:iCs/>
      <w:color w:val="0F4761" w:themeColor="accent1" w:themeShade="BF"/>
    </w:rPr>
  </w:style>
  <w:style w:type="character" w:styleId="IntenseReference">
    <w:name w:val="Intense Reference"/>
    <w:basedOn w:val="DefaultParagraphFont"/>
    <w:uiPriority w:val="32"/>
    <w:qFormat/>
    <w:rsid w:val="00CE49FA"/>
    <w:rPr>
      <w:b/>
      <w:bCs/>
      <w:smallCaps/>
      <w:color w:val="0F4761" w:themeColor="accent1" w:themeShade="BF"/>
      <w:spacing w:val="5"/>
    </w:rPr>
  </w:style>
  <w:style w:type="paragraph" w:styleId="Header">
    <w:name w:val="header"/>
    <w:basedOn w:val="Normal"/>
    <w:link w:val="HeaderChar"/>
    <w:uiPriority w:val="99"/>
    <w:unhideWhenUsed/>
    <w:rsid w:val="00CE49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49FA"/>
  </w:style>
  <w:style w:type="paragraph" w:styleId="Footer">
    <w:name w:val="footer"/>
    <w:basedOn w:val="Normal"/>
    <w:link w:val="FooterChar"/>
    <w:uiPriority w:val="99"/>
    <w:unhideWhenUsed/>
    <w:rsid w:val="00CE49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49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245</TotalTime>
  <Pages>9</Pages>
  <Words>2286</Words>
  <Characters>14143</Characters>
  <Application>Microsoft Office Word</Application>
  <DocSecurity>0</DocSecurity>
  <Lines>310</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Nageen Khan (2424667)</dc:creator>
  <cp:keywords/>
  <dc:description/>
  <cp:lastModifiedBy>Nageen Khan (2424667)</cp:lastModifiedBy>
  <cp:revision>26</cp:revision>
  <dcterms:created xsi:type="dcterms:W3CDTF">2025-10-18T10:12:00Z</dcterms:created>
  <dcterms:modified xsi:type="dcterms:W3CDTF">2025-11-13T12:59:00Z</dcterms:modified>
</cp:coreProperties>
</file>