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ascii="Apple SD Gothic Neo" w:hAnsi="Apple SD Gothic Neo" w:eastAsia="Apple SD Gothic Neo" w:cs="Apple SD Gothic Neo"/>
          <w:sz w:val="28"/>
          <w:szCs w:val="28"/>
        </w:rPr>
      </w:pPr>
    </w:p>
    <w:p>
      <w:pPr>
        <w:spacing w:line="480" w:lineRule="auto"/>
        <w:jc w:val="center"/>
        <w:rPr>
          <w:rFonts w:ascii="Apple SD Gothic Neo" w:hAnsi="Apple SD Gothic Neo" w:eastAsia="Apple SD Gothic Neo" w:cs="Apple SD Gothic Neo"/>
          <w:sz w:val="28"/>
          <w:szCs w:val="28"/>
        </w:rPr>
      </w:pPr>
      <w:r>
        <w:rPr>
          <w:rFonts w:hint="eastAsia" w:ascii="Times New Roman" w:hAnsi="Times New Roman" w:eastAsia="方正仿宋简体" w:cs="Times New Roman"/>
          <w:b/>
          <w:bCs/>
          <w:i/>
          <w:iCs/>
          <w:color w:val="FF0000"/>
          <w:sz w:val="40"/>
          <w:szCs w:val="40"/>
        </w:rPr>
        <w:t>The impact of organizational change on Internet businesses</w:t>
      </w:r>
      <w:r>
        <w:rPr>
          <w:rFonts w:hint="eastAsia" w:ascii="Times New Roman" w:hAnsi="Times New Roman" w:eastAsia="方正仿宋简体" w:cs="Times New Roman"/>
          <w:b/>
          <w:bCs/>
          <w:i/>
          <w:iCs/>
          <w:color w:val="FF0000"/>
          <w:sz w:val="40"/>
          <w:szCs w:val="40"/>
          <w:lang w:val="en-US" w:eastAsia="zh-CN"/>
        </w:rPr>
        <w:t>,</w:t>
      </w:r>
      <w:r>
        <w:rPr>
          <w:rFonts w:hint="eastAsia" w:ascii="Times New Roman" w:hAnsi="Times New Roman" w:eastAsia="方正仿宋简体" w:cs="Times New Roman"/>
          <w:b/>
          <w:bCs/>
          <w:i/>
          <w:iCs/>
          <w:color w:val="FF0000"/>
          <w:sz w:val="40"/>
          <w:szCs w:val="40"/>
        </w:rPr>
        <w:t>Evidence from Tencent Group</w:t>
      </w: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p>
    <w:p>
      <w:pPr>
        <w:jc w:val="left"/>
        <w:rPr>
          <w:rFonts w:ascii="Apple SD Gothic Neo" w:hAnsi="Apple SD Gothic Neo" w:eastAsia="Apple SD Gothic Neo" w:cs="Apple SD Gothic Neo"/>
          <w:sz w:val="28"/>
          <w:szCs w:val="28"/>
        </w:rPr>
      </w:pPr>
      <w:r>
        <w:rPr>
          <w:rFonts w:ascii="Apple SD Gothic Neo" w:hAnsi="Apple SD Gothic Neo" w:eastAsia="Apple SD Gothic Neo" w:cs="Apple SD Gothic Neo"/>
          <w:sz w:val="28"/>
          <w:szCs w:val="28"/>
        </w:rPr>
        <w:drawing>
          <wp:inline distT="0" distB="0" distL="114300" distR="114300">
            <wp:extent cx="6189345" cy="3485515"/>
            <wp:effectExtent l="0" t="0" r="13335" b="4445"/>
            <wp:docPr id="8"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tent Placeholder 6" descr="Diagram&#10;&#10;Description automatically generated"/>
                    <pic:cNvPicPr>
                      <a:picLocks noChangeAspect="1"/>
                    </pic:cNvPicPr>
                  </pic:nvPicPr>
                  <pic:blipFill>
                    <a:blip r:embed="rId5"/>
                    <a:srcRect t="12343" b="34729"/>
                    <a:stretch>
                      <a:fillRect/>
                    </a:stretch>
                  </pic:blipFill>
                  <pic:spPr>
                    <a:xfrm>
                      <a:off x="0" y="0"/>
                      <a:ext cx="6189345" cy="3485515"/>
                    </a:xfrm>
                    <a:prstGeom prst="rect">
                      <a:avLst/>
                    </a:prstGeom>
                  </pic:spPr>
                </pic:pic>
              </a:graphicData>
            </a:graphic>
          </wp:inline>
        </w:drawing>
      </w:r>
    </w:p>
    <w:p>
      <w:pPr>
        <w:jc w:val="left"/>
        <w:rPr>
          <w:rFonts w:ascii="Apple SD Gothic Neo" w:hAnsi="Apple SD Gothic Neo" w:eastAsia="Apple SD Gothic Neo" w:cs="Apple SD Gothic Neo"/>
          <w:sz w:val="28"/>
          <w:szCs w:val="28"/>
        </w:rPr>
      </w:pPr>
    </w:p>
    <w:p>
      <w:pPr>
        <w:ind w:firstLine="560" w:firstLineChars="200"/>
        <w:jc w:val="left"/>
        <w:rPr>
          <w:rFonts w:hint="default" w:ascii="Times New Roman" w:hAnsi="Times New Roman" w:eastAsia="Apple SD Gothic Neo" w:cs="Times New Roman"/>
          <w:b/>
          <w:bCs/>
          <w:color w:val="FF0000"/>
          <w:sz w:val="28"/>
          <w:szCs w:val="28"/>
        </w:rPr>
      </w:pPr>
      <w:r>
        <w:rPr>
          <w:rFonts w:hint="default" w:ascii="Times New Roman" w:hAnsi="Times New Roman" w:eastAsia="Apple SD Gothic Neo" w:cs="Times New Roman"/>
          <w:b/>
          <w:bCs/>
          <w:color w:val="FF0000"/>
          <w:sz w:val="28"/>
          <w:szCs w:val="28"/>
        </w:rPr>
        <w:t xml:space="preserve">MODULE NAME:    </w:t>
      </w:r>
      <w:r>
        <w:rPr>
          <w:rFonts w:ascii="Times New Roman" w:hAnsi="Times New Roman" w:eastAsia="Apple SD Gothic Neo" w:cs="Times New Roman"/>
          <w:b/>
          <w:bCs/>
          <w:color w:val="FF0000"/>
          <w:sz w:val="28"/>
          <w:szCs w:val="28"/>
          <w:lang w:eastAsia="en-US"/>
        </w:rPr>
        <w:t>Change &amp; Stability Management</w:t>
      </w:r>
      <w:r>
        <w:rPr>
          <w:rFonts w:hint="default" w:ascii="Times New Roman" w:hAnsi="Times New Roman" w:eastAsia="Apple SD Gothic Neo" w:cs="Times New Roman"/>
          <w:b/>
          <w:color w:val="FF0000"/>
          <w:sz w:val="28"/>
          <w:szCs w:val="28"/>
        </w:rPr>
        <w:t>(</w:t>
      </w:r>
      <w:r>
        <w:rPr>
          <w:rFonts w:hint="default" w:ascii="Times New Roman" w:hAnsi="Times New Roman" w:eastAsia="Apple SD Gothic Neo" w:cs="Times New Roman"/>
          <w:b/>
          <w:color w:val="FF0000"/>
          <w:sz w:val="28"/>
          <w:szCs w:val="28"/>
          <w:lang w:eastAsia="en-GB"/>
        </w:rPr>
        <w:t>BMMB70</w:t>
      </w:r>
      <w:r>
        <w:rPr>
          <w:rFonts w:hint="eastAsia" w:ascii="Times New Roman" w:hAnsi="Times New Roman" w:eastAsia="宋体" w:cs="Times New Roman"/>
          <w:b/>
          <w:color w:val="FF0000"/>
          <w:sz w:val="28"/>
          <w:szCs w:val="28"/>
          <w:lang w:val="en-US" w:eastAsia="zh-CN"/>
        </w:rPr>
        <w:t>00</w:t>
      </w:r>
      <w:r>
        <w:rPr>
          <w:rFonts w:hint="default" w:ascii="Times New Roman" w:hAnsi="Times New Roman" w:eastAsia="Apple SD Gothic Neo" w:cs="Times New Roman"/>
          <w:b/>
          <w:color w:val="FF0000"/>
          <w:sz w:val="28"/>
          <w:szCs w:val="28"/>
        </w:rPr>
        <w:t>)</w:t>
      </w:r>
    </w:p>
    <w:p>
      <w:pPr>
        <w:ind w:firstLine="560" w:firstLineChars="200"/>
        <w:jc w:val="left"/>
        <w:rPr>
          <w:rFonts w:hint="default" w:ascii="Times New Roman" w:hAnsi="Times New Roman" w:eastAsia="Apple SD Gothic Neo" w:cs="Times New Roman"/>
          <w:b/>
          <w:bCs/>
          <w:color w:val="FF0000"/>
          <w:sz w:val="28"/>
          <w:szCs w:val="28"/>
        </w:rPr>
      </w:pPr>
      <w:r>
        <w:rPr>
          <w:rFonts w:hint="default" w:ascii="Times New Roman" w:hAnsi="Times New Roman" w:eastAsia="Apple SD Gothic Neo" w:cs="Times New Roman"/>
          <w:b/>
          <w:bCs/>
          <w:color w:val="FF0000"/>
          <w:sz w:val="28"/>
          <w:szCs w:val="28"/>
        </w:rPr>
        <w:t>NAME:             Hongcheng Lv</w:t>
      </w:r>
    </w:p>
    <w:p>
      <w:pPr>
        <w:ind w:firstLine="560" w:firstLineChars="200"/>
        <w:jc w:val="left"/>
        <w:rPr>
          <w:rFonts w:hint="default" w:ascii="Apple SD Gothic Neo" w:hAnsi="Apple SD Gothic Neo" w:eastAsia="Apple SD Gothic Neo" w:cs="Apple SD Gothic Neo"/>
          <w:b/>
          <w:bCs/>
          <w:sz w:val="28"/>
          <w:szCs w:val="28"/>
        </w:rPr>
      </w:pPr>
      <w:r>
        <w:rPr>
          <w:rFonts w:hint="default" w:ascii="Times New Roman" w:hAnsi="Times New Roman" w:eastAsia="Apple SD Gothic Neo" w:cs="Times New Roman"/>
          <w:b/>
          <w:bCs/>
          <w:color w:val="FF0000"/>
          <w:sz w:val="28"/>
          <w:szCs w:val="28"/>
        </w:rPr>
        <w:t>STUDENT NUMBER: 2218228</w:t>
      </w:r>
      <w:r>
        <w:rPr>
          <w:rFonts w:hint="default" w:ascii="Apple SD Gothic Neo" w:hAnsi="Apple SD Gothic Neo" w:eastAsia="Apple SD Gothic Neo" w:cs="Apple SD Gothic Neo"/>
          <w:b/>
          <w:bCs/>
          <w:sz w:val="28"/>
          <w:szCs w:val="28"/>
        </w:rPr>
        <w:br w:type="page"/>
      </w:r>
    </w:p>
    <w:p>
      <w:pPr>
        <w:ind w:firstLine="0" w:firstLineChars="0"/>
        <w:jc w:val="left"/>
        <w:rPr>
          <w:rFonts w:hint="default" w:asciiTheme="minorHAnsi" w:hAnsiTheme="minorHAnsi" w:eastAsiaTheme="minorEastAsia" w:cstheme="minorBidi"/>
          <w:kern w:val="2"/>
          <w:sz w:val="21"/>
          <w:szCs w:val="24"/>
          <w:lang w:val="en-US" w:eastAsia="zh-CN" w:bidi="ar-SA"/>
        </w:rPr>
      </w:pPr>
    </w:p>
    <w:p>
      <w:pPr>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Contents</w:t>
      </w:r>
    </w:p>
    <w:sdt>
      <w:sdtPr>
        <w:rPr>
          <w:rFonts w:ascii="宋体" w:hAnsi="宋体" w:eastAsia="宋体" w:cstheme="minorBidi"/>
          <w:kern w:val="2"/>
          <w:sz w:val="21"/>
          <w:szCs w:val="24"/>
          <w:lang w:val="en-US" w:eastAsia="zh-CN" w:bidi="ar-SA"/>
        </w:rPr>
        <w:id w:val="147482962"/>
        <w15:color w:val="DBDBDB"/>
        <w:docPartObj>
          <w:docPartGallery w:val="Table of Contents"/>
          <w:docPartUnique/>
        </w:docPartObj>
      </w:sdtPr>
      <w:sdtEndPr>
        <w:rPr>
          <w:rFonts w:ascii="Times New Roman" w:hAnsi="Times New Roman" w:eastAsia="Apple SD Gothic Neo" w:cs="Times New Roman"/>
          <w:kern w:val="2"/>
          <w:sz w:val="21"/>
          <w:szCs w:val="24"/>
          <w:lang w:val="en-US" w:eastAsia="zh-CN" w:bidi="ar-SA"/>
        </w:rPr>
      </w:sdtEndPr>
      <w:sdtContent>
        <w:p>
          <w:pPr>
            <w:spacing w:before="0" w:beforeLines="0" w:after="0" w:afterLines="0" w:line="480" w:lineRule="auto"/>
            <w:ind w:left="0" w:leftChars="0" w:right="0" w:rightChars="0" w:firstLine="0" w:firstLineChars="0"/>
            <w:jc w:val="center"/>
          </w:pPr>
        </w:p>
        <w:p>
          <w:pPr>
            <w:pStyle w:val="7"/>
            <w:tabs>
              <w:tab w:val="right" w:leader="dot" w:pos="9072"/>
            </w:tabs>
            <w:spacing w:beforeLines="0" w:afterLines="0" w:line="480" w:lineRule="auto"/>
            <w:rPr>
              <w:rFonts w:hint="eastAsia" w:eastAsia="宋体"/>
              <w:lang w:eastAsia="zh-CN"/>
            </w:rPr>
          </w:pPr>
          <w:r>
            <w:rPr>
              <w:rFonts w:ascii="Times New Roman" w:hAnsi="Times New Roman" w:eastAsia="Apple SD Gothic Neo" w:cs="Times New Roman"/>
              <w:sz w:val="24"/>
              <w:szCs w:val="24"/>
            </w:rPr>
            <w:fldChar w:fldCharType="begin"/>
          </w:r>
          <w:r>
            <w:rPr>
              <w:rFonts w:ascii="Times New Roman" w:hAnsi="Times New Roman" w:eastAsia="Apple SD Gothic Neo" w:cs="Times New Roman"/>
              <w:sz w:val="24"/>
              <w:szCs w:val="24"/>
            </w:rPr>
            <w:instrText xml:space="preserve">TOC \o "1-3" \h \u </w:instrText>
          </w:r>
          <w:r>
            <w:rPr>
              <w:rFonts w:ascii="Times New Roman" w:hAnsi="Times New Roman" w:eastAsia="Apple SD Gothic Neo" w:cs="Times New Roman"/>
              <w:sz w:val="24"/>
              <w:szCs w:val="24"/>
            </w:rPr>
            <w:fldChar w:fldCharType="separate"/>
          </w: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_Toc25565 </w:instrText>
          </w:r>
          <w:r>
            <w:rPr>
              <w:rFonts w:ascii="Times New Roman" w:hAnsi="Times New Roman" w:eastAsia="Apple SD Gothic Neo" w:cs="Times New Roman"/>
              <w:szCs w:val="24"/>
            </w:rPr>
            <w:fldChar w:fldCharType="separate"/>
          </w:r>
          <w:r>
            <w:rPr>
              <w:rFonts w:hint="default" w:ascii="Times New Roman" w:hAnsi="Times New Roman" w:eastAsia="Apple SD Gothic Neo" w:cs="Times New Roman"/>
              <w:bCs/>
              <w:szCs w:val="24"/>
            </w:rPr>
            <w:t>Executive Summary</w:t>
          </w:r>
          <w:r>
            <w:tab/>
          </w:r>
          <w:r>
            <w:fldChar w:fldCharType="begin"/>
          </w:r>
          <w:r>
            <w:instrText xml:space="preserve"> PAGEREF _Toc25565 \h </w:instrText>
          </w:r>
          <w:r>
            <w:fldChar w:fldCharType="separate"/>
          </w:r>
          <w:r>
            <w:t>4</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_Toc19781 </w:instrText>
          </w:r>
          <w:r>
            <w:rPr>
              <w:rFonts w:ascii="Times New Roman" w:hAnsi="Times New Roman" w:eastAsia="Apple SD Gothic Neo" w:cs="Times New Roman"/>
              <w:szCs w:val="24"/>
            </w:rPr>
            <w:fldChar w:fldCharType="separate"/>
          </w:r>
          <w:r>
            <w:rPr>
              <w:rFonts w:hint="default" w:ascii="Times New Roman" w:hAnsi="Times New Roman" w:cs="Times New Roman"/>
              <w:szCs w:val="16"/>
            </w:rPr>
            <w:t>1. The main business and organizational change process of Tencent Group</w:t>
          </w:r>
          <w:r>
            <w:tab/>
          </w:r>
          <w:r>
            <w:fldChar w:fldCharType="begin"/>
          </w:r>
          <w:r>
            <w:instrText xml:space="preserve"> PAGEREF _Toc19781 \h </w:instrText>
          </w:r>
          <w:r>
            <w:fldChar w:fldCharType="separate"/>
          </w:r>
          <w:r>
            <w:t>5</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_Toc12768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lang w:val="en-US" w:eastAsia="zh-CN"/>
            </w:rPr>
            <w:t>2.</w:t>
          </w:r>
          <w:r>
            <w:rPr>
              <w:rFonts w:hint="default" w:ascii="Times New Roman" w:hAnsi="Times New Roman" w:cs="Times New Roman" w:eastAsiaTheme="minorEastAsia"/>
              <w:szCs w:val="16"/>
            </w:rPr>
            <w:t>the first change (2005): the functional type to the business unit organizational structure transformation</w:t>
          </w:r>
          <w:r>
            <w:tab/>
          </w:r>
          <w:r>
            <w:fldChar w:fldCharType="begin"/>
          </w:r>
          <w:r>
            <w:instrText xml:space="preserve"> PAGEREF _Toc12768 \h </w:instrText>
          </w:r>
          <w:r>
            <w:fldChar w:fldCharType="separate"/>
          </w:r>
          <w:r>
            <w:t>6</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_Toc30405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rPr>
            <w:t>2.1 Phase 1: Unfreezing</w:t>
          </w:r>
          <w:r>
            <w:tab/>
          </w:r>
          <w:r>
            <w:fldChar w:fldCharType="begin"/>
          </w:r>
          <w:r>
            <w:instrText xml:space="preserve"> PAGEREF _Toc30405 \h </w:instrText>
          </w:r>
          <w:r>
            <w:fldChar w:fldCharType="separate"/>
          </w:r>
          <w:r>
            <w:t>7</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_Toc4200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2.2 Stage 2: Changing</w:t>
          </w:r>
          <w:r>
            <w:tab/>
          </w:r>
          <w:r>
            <w:fldChar w:fldCharType="begin"/>
          </w:r>
          <w:r>
            <w:instrText xml:space="preserve"> PAGEREF _Toc4200 \h </w:instrText>
          </w:r>
          <w:r>
            <w:fldChar w:fldCharType="separate"/>
          </w:r>
          <w:r>
            <w:t>7</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_Toc2366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2.3 Phase 3: Refreezing</w:t>
          </w:r>
          <w:r>
            <w:tab/>
          </w:r>
          <w:r>
            <w:fldChar w:fldCharType="begin"/>
          </w:r>
          <w:r>
            <w:instrText xml:space="preserve"> PAGEREF _Toc2366 \h </w:instrText>
          </w:r>
          <w:r>
            <w:fldChar w:fldCharType="separate"/>
          </w:r>
          <w:r>
            <w:t>8</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_Toc4461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lang w:val="en-US" w:eastAsia="zh-CN"/>
            </w:rPr>
            <w:t>3.</w:t>
          </w:r>
          <w:r>
            <w:rPr>
              <w:rFonts w:hint="default" w:ascii="Times New Roman" w:hAnsi="Times New Roman" w:cs="Times New Roman" w:eastAsiaTheme="minorEastAsia"/>
              <w:szCs w:val="16"/>
            </w:rPr>
            <w:t>Second change (2012): From business units to business groups</w:t>
          </w:r>
          <w:r>
            <w:tab/>
          </w:r>
          <w:r>
            <w:fldChar w:fldCharType="begin"/>
          </w:r>
          <w:r>
            <w:instrText xml:space="preserve"> PAGEREF _Toc4461 \h </w:instrText>
          </w:r>
          <w:r>
            <w:fldChar w:fldCharType="separate"/>
          </w:r>
          <w:r>
            <w:t>9</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_Toc5378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3.1 Input part: SWOT model analysis</w:t>
          </w:r>
          <w:r>
            <w:tab/>
          </w:r>
          <w:r>
            <w:fldChar w:fldCharType="begin"/>
          </w:r>
          <w:r>
            <w:instrText xml:space="preserve"> PAGEREF _Toc5378 \h </w:instrText>
          </w:r>
          <w:r>
            <w:fldChar w:fldCharType="separate"/>
          </w:r>
          <w:r>
            <w:t>1</w:t>
          </w:r>
          <w:r>
            <w:rPr>
              <w:rFonts w:hint="eastAsia"/>
              <w:lang w:val="en-US" w:eastAsia="zh-CN"/>
            </w:rPr>
            <w:t>0</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_Toc6476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3.2 Elements of change</w:t>
          </w:r>
          <w:r>
            <w:tab/>
          </w:r>
          <w:r>
            <w:fldChar w:fldCharType="begin"/>
          </w:r>
          <w:r>
            <w:instrText xml:space="preserve"> PAGEREF _Toc6476 \h </w:instrText>
          </w:r>
          <w:r>
            <w:fldChar w:fldCharType="separate"/>
          </w:r>
          <w:r>
            <w:t>11</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_Toc29951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3.3 Output</w:t>
          </w:r>
          <w:r>
            <w:tab/>
          </w:r>
          <w:r>
            <w:fldChar w:fldCharType="begin"/>
          </w:r>
          <w:r>
            <w:instrText xml:space="preserve"> PAGEREF _Toc29951 \h </w:instrText>
          </w:r>
          <w:r>
            <w:fldChar w:fldCharType="separate"/>
          </w:r>
          <w:r>
            <w:t>11</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_Toc10014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lang w:val="en-US" w:eastAsia="zh-CN"/>
            </w:rPr>
            <w:t>4.</w:t>
          </w:r>
          <w:r>
            <w:rPr>
              <w:rFonts w:hint="default" w:ascii="Times New Roman" w:hAnsi="Times New Roman" w:cs="Times New Roman" w:eastAsiaTheme="minorEastAsia"/>
              <w:szCs w:val="16"/>
            </w:rPr>
            <w:t>Third transformation (2018): Optimization and realignment of business groups</w:t>
          </w:r>
          <w:r>
            <w:tab/>
          </w:r>
          <w:r>
            <w:fldChar w:fldCharType="begin"/>
          </w:r>
          <w:r>
            <w:instrText xml:space="preserve"> PAGEREF _Toc10014 \h </w:instrText>
          </w:r>
          <w:r>
            <w:fldChar w:fldCharType="separate"/>
          </w:r>
          <w:r>
            <w:t>12</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_Toc1101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4.1 Build a sense of urgency</w:t>
          </w:r>
          <w:r>
            <w:tab/>
          </w:r>
          <w:r>
            <w:fldChar w:fldCharType="begin"/>
          </w:r>
          <w:r>
            <w:instrText xml:space="preserve"> PAGEREF _Toc1101 \h </w:instrText>
          </w:r>
          <w:r>
            <w:fldChar w:fldCharType="separate"/>
          </w:r>
          <w:r>
            <w:t>12</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_Toc2189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4.2 Creation of Mentoring Alliances</w:t>
          </w:r>
          <w:r>
            <w:tab/>
          </w:r>
          <w:r>
            <w:fldChar w:fldCharType="begin"/>
          </w:r>
          <w:r>
            <w:instrText xml:space="preserve"> PAGEREF _Toc2189 \h </w:instrText>
          </w:r>
          <w:r>
            <w:fldChar w:fldCharType="separate"/>
          </w:r>
          <w:r>
            <w:t>13</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_Toc1296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4.3 Development Vision and Strategy</w:t>
          </w:r>
          <w:r>
            <w:tab/>
          </w:r>
          <w:r>
            <w:fldChar w:fldCharType="begin"/>
          </w:r>
          <w:r>
            <w:instrText xml:space="preserve"> PAGEREF _Toc1296 \h </w:instrText>
          </w:r>
          <w:r>
            <w:fldChar w:fldCharType="separate"/>
          </w:r>
          <w:r>
            <w:t>13</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_Toc7602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4.4 Communicate a vision for change</w:t>
          </w:r>
          <w:r>
            <w:tab/>
          </w:r>
          <w:r>
            <w:fldChar w:fldCharType="begin"/>
          </w:r>
          <w:r>
            <w:instrText xml:space="preserve"> PAGEREF _Toc7602 \h </w:instrText>
          </w:r>
          <w:r>
            <w:fldChar w:fldCharType="separate"/>
          </w:r>
          <w:r>
            <w:t>13</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_Toc27517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4.5 Implementation of Authorized Actions</w:t>
          </w:r>
          <w:r>
            <w:tab/>
          </w:r>
          <w:r>
            <w:fldChar w:fldCharType="begin"/>
          </w:r>
          <w:r>
            <w:instrText xml:space="preserve"> PAGEREF _Toc27517 \h </w:instrText>
          </w:r>
          <w:r>
            <w:fldChar w:fldCharType="separate"/>
          </w:r>
          <w:r>
            <w:t>13</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_Toc13437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4.6 Drive organizational change</w:t>
          </w:r>
          <w:r>
            <w:tab/>
          </w:r>
          <w:r>
            <w:fldChar w:fldCharType="begin"/>
          </w:r>
          <w:r>
            <w:instrText xml:space="preserve"> PAGEREF _Toc13437 \h </w:instrText>
          </w:r>
          <w:r>
            <w:fldChar w:fldCharType="separate"/>
          </w:r>
          <w:r>
            <w:t>14</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_Toc5640 </w:instrText>
          </w:r>
          <w:r>
            <w:rPr>
              <w:rFonts w:ascii="Times New Roman" w:hAnsi="Times New Roman" w:eastAsia="Apple SD Gothic Neo" w:cs="Times New Roman"/>
              <w:szCs w:val="24"/>
            </w:rPr>
            <w:fldChar w:fldCharType="separate"/>
          </w:r>
          <w:r>
            <w:tab/>
          </w:r>
          <w:r>
            <w:fldChar w:fldCharType="begin"/>
          </w:r>
          <w:r>
            <w:instrText xml:space="preserve"> PAGEREF _Toc5640 \h </w:instrText>
          </w:r>
          <w:r>
            <w:fldChar w:fldCharType="separate"/>
          </w:r>
          <w:r>
            <w:t>14</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_Toc177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 xml:space="preserve">4.7 </w:t>
          </w:r>
          <w:r>
            <w:rPr>
              <w:rFonts w:hint="default" w:ascii="Times New Roman" w:hAnsi="Times New Roman" w:eastAsia="黑体" w:cs="Times New Roman"/>
              <w:szCs w:val="24"/>
              <w:lang w:val="en-US" w:eastAsia="zh-CN"/>
            </w:rPr>
            <w:t xml:space="preserve"> </w:t>
          </w:r>
          <w:r>
            <w:rPr>
              <w:rFonts w:hint="default" w:ascii="Times New Roman" w:hAnsi="Times New Roman" w:eastAsia="黑体" w:cs="Times New Roman"/>
              <w:szCs w:val="24"/>
            </w:rPr>
            <w:t>Positioning cultural approaches</w:t>
          </w:r>
          <w:r>
            <w:tab/>
          </w:r>
          <w:r>
            <w:fldChar w:fldCharType="begin"/>
          </w:r>
          <w:r>
            <w:instrText xml:space="preserve"> PAGEREF _Toc177 \h </w:instrText>
          </w:r>
          <w:r>
            <w:fldChar w:fldCharType="separate"/>
          </w:r>
          <w:r>
            <w:t>14</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_Toc1032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rPr>
            <w:t>5. Tencent's resistance factors and countermeasures</w:t>
          </w:r>
          <w:r>
            <w:tab/>
          </w:r>
          <w:r>
            <w:fldChar w:fldCharType="begin"/>
          </w:r>
          <w:r>
            <w:instrText xml:space="preserve"> PAGEREF _Toc1032 \h </w:instrText>
          </w:r>
          <w:r>
            <w:fldChar w:fldCharType="separate"/>
          </w:r>
          <w:r>
            <w:t>15</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_Toc7298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5.1 Analysis of the reasons for the boycott</w:t>
          </w:r>
          <w:r>
            <w:tab/>
          </w:r>
          <w:r>
            <w:fldChar w:fldCharType="begin"/>
          </w:r>
          <w:r>
            <w:instrText xml:space="preserve"> PAGEREF _Toc7298 \h </w:instrText>
          </w:r>
          <w:r>
            <w:fldChar w:fldCharType="separate"/>
          </w:r>
          <w:r>
            <w:t>15</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_Toc26182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5.2 Main strategies to overcome resistance</w:t>
          </w:r>
          <w:r>
            <w:tab/>
          </w:r>
          <w:r>
            <w:fldChar w:fldCharType="begin"/>
          </w:r>
          <w:r>
            <w:instrText xml:space="preserve"> PAGEREF _Toc26182 \h </w:instrText>
          </w:r>
          <w:r>
            <w:fldChar w:fldCharType="separate"/>
          </w:r>
          <w:r>
            <w:t>16</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_Toc8016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lang w:val="en-US" w:eastAsia="zh-CN"/>
            </w:rPr>
            <w:t>6.</w:t>
          </w:r>
          <w:r>
            <w:rPr>
              <w:rFonts w:hint="default" w:ascii="Times New Roman" w:hAnsi="Times New Roman" w:cs="Times New Roman" w:eastAsiaTheme="minorEastAsia"/>
              <w:szCs w:val="16"/>
            </w:rPr>
            <w:t xml:space="preserve"> Conclusion</w:t>
          </w:r>
          <w:r>
            <w:tab/>
          </w:r>
          <w:r>
            <w:fldChar w:fldCharType="begin"/>
          </w:r>
          <w:r>
            <w:instrText xml:space="preserve"> PAGEREF _Toc8016 \h </w:instrText>
          </w:r>
          <w:r>
            <w:fldChar w:fldCharType="separate"/>
          </w:r>
          <w:r>
            <w:t>17</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_Toc793 </w:instrText>
          </w:r>
          <w:r>
            <w:rPr>
              <w:rFonts w:ascii="Times New Roman" w:hAnsi="Times New Roman" w:eastAsia="Apple SD Gothic Neo" w:cs="Times New Roman"/>
              <w:szCs w:val="24"/>
            </w:rPr>
            <w:fldChar w:fldCharType="separate"/>
          </w:r>
          <w:r>
            <w:rPr>
              <w:rFonts w:hint="default" w:ascii="Times New Roman" w:hAnsi="Times New Roman" w:cs="Times New Roman" w:eastAsiaTheme="minorEastAsia"/>
              <w:szCs w:val="16"/>
              <w:lang w:val="en-US" w:eastAsia="zh-CN"/>
            </w:rPr>
            <w:t>7.</w:t>
          </w:r>
          <w:r>
            <w:rPr>
              <w:rFonts w:hint="default" w:ascii="Times New Roman" w:hAnsi="Times New Roman" w:cs="Times New Roman" w:eastAsiaTheme="minorEastAsia"/>
              <w:szCs w:val="16"/>
            </w:rPr>
            <w:t>suggestion</w:t>
          </w:r>
          <w:r>
            <w:tab/>
          </w:r>
          <w:r>
            <w:fldChar w:fldCharType="begin"/>
          </w:r>
          <w:r>
            <w:instrText xml:space="preserve"> PAGEREF _Toc793 \h </w:instrText>
          </w:r>
          <w:r>
            <w:fldChar w:fldCharType="separate"/>
          </w:r>
          <w:r>
            <w:t>17</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_Toc22498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7.1 Make organizational change an eternal topic for enterprises</w:t>
          </w:r>
          <w:r>
            <w:tab/>
          </w:r>
          <w:r>
            <w:fldChar w:fldCharType="begin"/>
          </w:r>
          <w:r>
            <w:instrText xml:space="preserve"> PAGEREF _Toc22498 \h </w:instrText>
          </w:r>
          <w:r>
            <w:fldChar w:fldCharType="separate"/>
          </w:r>
          <w:r>
            <w:t>18</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_Toc5781 </w:instrText>
          </w:r>
          <w:r>
            <w:rPr>
              <w:rFonts w:ascii="Times New Roman" w:hAnsi="Times New Roman" w:eastAsia="Apple SD Gothic Neo" w:cs="Times New Roman"/>
              <w:szCs w:val="24"/>
            </w:rPr>
            <w:fldChar w:fldCharType="separate"/>
          </w:r>
          <w:r>
            <w:rPr>
              <w:rFonts w:hint="default" w:ascii="Times New Roman" w:hAnsi="Times New Roman" w:eastAsia="黑体" w:cs="Times New Roman"/>
              <w:szCs w:val="24"/>
            </w:rPr>
            <w:t>7.2 Accelerate the reshaping of management and business processes after organizational change</w:t>
          </w:r>
          <w:r>
            <w:tab/>
          </w:r>
          <w:r>
            <w:fldChar w:fldCharType="begin"/>
          </w:r>
          <w:r>
            <w:instrText xml:space="preserve"> PAGEREF _Toc5781 \h </w:instrText>
          </w:r>
          <w:r>
            <w:fldChar w:fldCharType="separate"/>
          </w:r>
          <w:r>
            <w:t>18</w:t>
          </w:r>
          <w:r>
            <w:fldChar w:fldCharType="end"/>
          </w:r>
          <w:r>
            <w:rPr>
              <w:rFonts w:ascii="Times New Roman" w:hAnsi="Times New Roman" w:eastAsia="Apple SD Gothic Neo" w:cs="Times New Roman"/>
              <w:szCs w:val="24"/>
            </w:rPr>
            <w:fldChar w:fldCharType="end"/>
          </w:r>
        </w:p>
        <w:p>
          <w:pPr>
            <w:pStyle w:val="9"/>
            <w:tabs>
              <w:tab w:val="right" w:leader="dot" w:pos="9072"/>
            </w:tabs>
            <w:spacing w:beforeLines="0" w:afterLines="0" w:line="480" w:lineRule="auto"/>
            <w:ind w:left="0" w:leftChars="0"/>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_Toc642 </w:instrText>
          </w:r>
          <w:r>
            <w:rPr>
              <w:rFonts w:ascii="Times New Roman" w:hAnsi="Times New Roman" w:eastAsia="Apple SD Gothic Neo" w:cs="Times New Roman"/>
              <w:szCs w:val="24"/>
            </w:rPr>
            <w:fldChar w:fldCharType="separate"/>
          </w:r>
          <w:r>
            <w:rPr>
              <w:rFonts w:hint="default" w:ascii="Times New Roman" w:hAnsi="Times New Roman" w:cs="Times New Roman"/>
            </w:rPr>
            <w:t>7.3 Build a learning organization</w:t>
          </w:r>
          <w:r>
            <w:tab/>
          </w:r>
          <w:r>
            <w:fldChar w:fldCharType="begin"/>
          </w:r>
          <w:r>
            <w:instrText xml:space="preserve"> PAGEREF _Toc642 \h </w:instrText>
          </w:r>
          <w:r>
            <w:fldChar w:fldCharType="separate"/>
          </w:r>
          <w:r>
            <w:t>18</w:t>
          </w:r>
          <w:r>
            <w:fldChar w:fldCharType="end"/>
          </w:r>
          <w:r>
            <w:rPr>
              <w:rFonts w:ascii="Times New Roman" w:hAnsi="Times New Roman" w:eastAsia="Apple SD Gothic Neo" w:cs="Times New Roman"/>
              <w:szCs w:val="24"/>
            </w:rPr>
            <w:fldChar w:fldCharType="end"/>
          </w:r>
        </w:p>
        <w:p>
          <w:pPr>
            <w:pStyle w:val="7"/>
            <w:tabs>
              <w:tab w:val="right" w:leader="dot" w:pos="9072"/>
            </w:tabs>
            <w:spacing w:beforeLines="0" w:afterLines="0" w:line="480" w:lineRule="auto"/>
          </w:pPr>
          <w:r>
            <w:rPr>
              <w:rFonts w:ascii="Times New Roman" w:hAnsi="Times New Roman" w:eastAsia="Apple SD Gothic Neo" w:cs="Times New Roman"/>
              <w:szCs w:val="24"/>
            </w:rPr>
            <w:fldChar w:fldCharType="begin"/>
          </w:r>
          <w:r>
            <w:rPr>
              <w:rFonts w:ascii="Times New Roman" w:hAnsi="Times New Roman" w:eastAsia="Apple SD Gothic Neo" w:cs="Times New Roman"/>
              <w:szCs w:val="24"/>
            </w:rPr>
            <w:instrText xml:space="preserve"> HYPERLINK \l _Toc26907 </w:instrText>
          </w:r>
          <w:r>
            <w:rPr>
              <w:rFonts w:ascii="Times New Roman" w:hAnsi="Times New Roman" w:eastAsia="Apple SD Gothic Neo" w:cs="Times New Roman"/>
              <w:szCs w:val="24"/>
            </w:rPr>
            <w:fldChar w:fldCharType="separate"/>
          </w:r>
          <w:r>
            <w:rPr>
              <w:rFonts w:ascii="Times New Roman" w:hAnsi="Times New Roman" w:eastAsia="Apple SD Gothic Neo" w:cs="Times New Roman"/>
              <w:bCs/>
              <w:szCs w:val="24"/>
            </w:rPr>
            <w:t>References</w:t>
          </w:r>
          <w:r>
            <w:tab/>
          </w:r>
          <w:r>
            <w:fldChar w:fldCharType="begin"/>
          </w:r>
          <w:r>
            <w:instrText xml:space="preserve"> PAGEREF _Toc26907 \h </w:instrText>
          </w:r>
          <w:r>
            <w:fldChar w:fldCharType="separate"/>
          </w:r>
          <w:r>
            <w:t>20</w:t>
          </w:r>
          <w:r>
            <w:fldChar w:fldCharType="end"/>
          </w:r>
          <w:r>
            <w:rPr>
              <w:rFonts w:ascii="Times New Roman" w:hAnsi="Times New Roman" w:eastAsia="Apple SD Gothic Neo" w:cs="Times New Roman"/>
              <w:szCs w:val="24"/>
            </w:rPr>
            <w:fldChar w:fldCharType="end"/>
          </w:r>
        </w:p>
        <w:p>
          <w:pPr>
            <w:spacing w:beforeLines="0" w:afterLines="0" w:line="480" w:lineRule="auto"/>
            <w:jc w:val="both"/>
            <w:rPr>
              <w:rFonts w:ascii="Times New Roman" w:hAnsi="Times New Roman" w:eastAsia="Apple SD Gothic Neo" w:cs="Times New Roman"/>
              <w:sz w:val="24"/>
              <w:szCs w:val="24"/>
            </w:rPr>
          </w:pPr>
          <w:r>
            <w:rPr>
              <w:rFonts w:ascii="Times New Roman" w:hAnsi="Times New Roman" w:eastAsia="Apple SD Gothic Neo" w:cs="Times New Roman"/>
              <w:szCs w:val="24"/>
            </w:rPr>
            <w:fldChar w:fldCharType="end"/>
          </w:r>
        </w:p>
      </w:sdtContent>
    </w:sdt>
    <w:p>
      <w:pPr>
        <w:spacing w:line="480" w:lineRule="auto"/>
        <w:ind w:firstLine="0" w:firstLineChars="0"/>
        <w:jc w:val="left"/>
        <w:rPr>
          <w:rFonts w:ascii="Times New Roman" w:hAnsi="Times New Roman" w:eastAsia="Apple SD Gothic Neo" w:cs="Times New Roman"/>
          <w:sz w:val="24"/>
          <w:szCs w:val="24"/>
        </w:rPr>
      </w:pPr>
    </w:p>
    <w:p>
      <w:pPr>
        <w:spacing w:line="480" w:lineRule="auto"/>
        <w:ind w:firstLine="0" w:firstLineChars="0"/>
        <w:jc w:val="both"/>
        <w:rPr>
          <w:rFonts w:hint="default" w:ascii="Times New Roman" w:hAnsi="Times New Roman" w:eastAsia="Apple SD Gothic Neo" w:cs="Times New Roman"/>
          <w:sz w:val="24"/>
          <w:szCs w:val="24"/>
        </w:rPr>
      </w:pPr>
    </w:p>
    <w:p>
      <w:pPr>
        <w:spacing w:line="240" w:lineRule="auto"/>
        <w:jc w:val="left"/>
        <w:rPr>
          <w:rFonts w:hint="default" w:ascii="Times New Roman" w:hAnsi="Times New Roman" w:eastAsia="Apple SD Gothic Neo" w:cs="Times New Roman"/>
          <w:b/>
          <w:bCs/>
          <w:sz w:val="28"/>
          <w:szCs w:val="28"/>
        </w:rPr>
      </w:pPr>
      <w:bookmarkStart w:id="0" w:name="_Toc21763"/>
      <w:r>
        <w:rPr>
          <w:rFonts w:hint="default" w:ascii="Times New Roman" w:hAnsi="Times New Roman" w:eastAsia="Apple SD Gothic Neo" w:cs="Times New Roman"/>
          <w:b/>
          <w:bCs/>
          <w:sz w:val="28"/>
          <w:szCs w:val="28"/>
        </w:rPr>
        <w:br w:type="page"/>
      </w:r>
    </w:p>
    <w:p>
      <w:pPr>
        <w:spacing w:line="480" w:lineRule="auto"/>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The impact of organizational change on Internet businesses</w:t>
      </w:r>
    </w:p>
    <w:p>
      <w:pPr>
        <w:spacing w:line="480" w:lineRule="auto"/>
        <w:ind w:firstLine="0" w:firstLineChars="0"/>
        <w:jc w:val="center"/>
        <w:rPr>
          <w:rFonts w:hint="default" w:ascii="Times New Roman" w:hAnsi="Times New Roman" w:eastAsia="Apple SD Gothic Neo" w:cs="Times New Roman"/>
          <w:b/>
          <w:bCs/>
          <w:sz w:val="28"/>
          <w:szCs w:val="28"/>
        </w:rPr>
      </w:pPr>
      <w:r>
        <w:rPr>
          <w:rFonts w:hint="default" w:ascii="Times New Roman" w:hAnsi="Times New Roman" w:eastAsia="Apple SD Gothic Neo" w:cs="Times New Roman"/>
          <w:b/>
          <w:bCs/>
          <w:sz w:val="28"/>
          <w:szCs w:val="28"/>
        </w:rPr>
        <w:t>Evidence from Tencent Group</w:t>
      </w:r>
    </w:p>
    <w:p>
      <w:pPr>
        <w:spacing w:line="480" w:lineRule="auto"/>
        <w:ind w:firstLine="0" w:firstLineChars="0"/>
        <w:jc w:val="center"/>
        <w:rPr>
          <w:rFonts w:hint="default" w:ascii="Times New Roman" w:hAnsi="Times New Roman" w:eastAsia="Apple SD Gothic Neo" w:cs="Times New Roman"/>
          <w:b/>
          <w:bCs/>
          <w:sz w:val="28"/>
          <w:szCs w:val="28"/>
        </w:rPr>
      </w:pPr>
    </w:p>
    <w:p>
      <w:pPr>
        <w:spacing w:line="480" w:lineRule="auto"/>
        <w:jc w:val="left"/>
        <w:outlineLvl w:val="0"/>
        <w:rPr>
          <w:rFonts w:hint="default" w:ascii="Times New Roman" w:hAnsi="Times New Roman" w:eastAsia="Apple SD Gothic Neo" w:cs="Times New Roman"/>
          <w:b/>
          <w:bCs/>
          <w:sz w:val="24"/>
          <w:szCs w:val="24"/>
        </w:rPr>
      </w:pPr>
      <w:bookmarkStart w:id="1" w:name="_Toc10961"/>
      <w:bookmarkStart w:id="2" w:name="_Toc32739"/>
      <w:bookmarkStart w:id="3" w:name="_Toc16749"/>
      <w:bookmarkStart w:id="4" w:name="_Toc32670"/>
      <w:bookmarkStart w:id="5" w:name="_Toc7348"/>
      <w:bookmarkStart w:id="6" w:name="_Toc4746"/>
      <w:bookmarkStart w:id="7" w:name="_Toc21773"/>
      <w:bookmarkStart w:id="8" w:name="_Toc12732"/>
      <w:bookmarkStart w:id="9" w:name="_Toc29180"/>
      <w:bookmarkStart w:id="10" w:name="_Toc372"/>
      <w:bookmarkStart w:id="11" w:name="_Toc16352"/>
      <w:bookmarkStart w:id="12" w:name="_Toc31713"/>
      <w:bookmarkStart w:id="13" w:name="_Toc21827"/>
      <w:bookmarkStart w:id="14" w:name="_Toc3270"/>
      <w:bookmarkStart w:id="15" w:name="_Toc25565"/>
      <w:r>
        <w:rPr>
          <w:rFonts w:hint="default" w:ascii="Times New Roman" w:hAnsi="Times New Roman" w:eastAsia="Apple SD Gothic Neo" w:cs="Times New Roman"/>
          <w:b/>
          <w:bCs/>
          <w:sz w:val="24"/>
          <w:szCs w:val="24"/>
        </w:rPr>
        <w:t>Executive Summary</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p>
    <w:p>
      <w:pPr>
        <w:spacing w:beforeLines="0" w:afterLines="0" w:line="480" w:lineRule="auto"/>
        <w:ind w:firstLine="480" w:firstLineChars="200"/>
        <w:jc w:val="both"/>
        <w:rPr>
          <w:rFonts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Organizational change is an important issue facing enterprises in today's era, and it is also an important factor to test whether enterprises can achieve sustainable development. Taking China Tencent Group as an example, this paper systematically analyzes three major organizational changes of Tencent Group, and analyzes the organizational changes of Tencent by Lewin's Organization Change Theory, System Change Model and Kotter Organizational Change Model, and profoundly reveals the resistance factors and countermeasures of change. It proves that Tencent's organizational structure reform has been successful and effectively improved the company's development efficiency. Of course, for Internet enterprises, change is endless, Tencent also needs to take organizational change as an eternal topic of enterprises, accelerate the reshaping of management and business processes after organizational change, and invest more efforts in the construction of learning organizations to ensure the organic unity of the company's organizational structure, development strategy, and personal development of employees, so as to achieve the development goal of becoming a world-leading Internet enterprise.</w:t>
      </w:r>
    </w:p>
    <w:p>
      <w:pPr>
        <w:spacing w:beforeLines="0" w:afterLines="0" w:line="480" w:lineRule="auto"/>
        <w:ind w:firstLine="480" w:firstLineChars="200"/>
        <w:jc w:val="both"/>
        <w:outlineLvl w:val="9"/>
        <w:rPr>
          <w:rFonts w:ascii="Times New Roman" w:hAnsi="Times New Roman" w:eastAsia="Apple SD Gothic Neo" w:cs="Times New Roman"/>
          <w:b/>
          <w:bCs/>
          <w:sz w:val="24"/>
          <w:szCs w:val="24"/>
        </w:rPr>
      </w:pPr>
      <w:bookmarkStart w:id="16" w:name="_Toc24074"/>
      <w:bookmarkStart w:id="17" w:name="_Toc1053"/>
      <w:bookmarkStart w:id="18" w:name="_Toc4679"/>
      <w:r>
        <w:rPr>
          <w:rFonts w:ascii="Times New Roman" w:hAnsi="Times New Roman" w:eastAsia="Apple SD Gothic Neo" w:cs="Times New Roman"/>
          <w:b/>
          <w:bCs/>
          <w:sz w:val="24"/>
          <w:szCs w:val="24"/>
        </w:rPr>
        <w:br w:type="page"/>
      </w:r>
    </w:p>
    <w:bookmarkEnd w:id="16"/>
    <w:bookmarkEnd w:id="17"/>
    <w:bookmarkEnd w:id="18"/>
    <w:p>
      <w:pPr>
        <w:spacing w:beforeLines="0" w:afterLines="0" w:line="480" w:lineRule="auto"/>
        <w:ind w:firstLine="480" w:firstLineChars="200"/>
        <w:jc w:val="both"/>
        <w:rPr>
          <w:rFonts w:ascii="Times New Roman" w:hAnsi="Times New Roman" w:eastAsia="Apple SD Gothic Neo" w:cs="Times New Roman"/>
          <w:sz w:val="24"/>
          <w:szCs w:val="24"/>
        </w:rPr>
      </w:pP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Since human society entered the 21st century, the rapid development of the Internet has shaped new production and lifestyle, and also incubated and cultivated a group of excellent Internet companies, as the fastest growing and most imaginative organization in this era, bringing our lives into the digital age quickly. How can Internet enterprises maintain their vigorous vitality and continuously produce digital products that promote the progress of the times? In addition to the vast market, the continuous organizational changes that accompany the growth of Internet companies may be an important password. In recent years, human society has faced more and more "black swan" events, frequent natural disasters, the continuous outbreak of the new crown pneumonia epidemic (Ahmad, W., Kutan, A.M. and Gupta, S., 2021), local wars and geopolitical influences have intensified, and human life conditions have also wavered from the "ideal country" and various tests of digital society. As the pace of change continues to accelerate, organizations must strive to develop and implement new programs to reap significant benefits for organizational survival, economic viability, and human satisfaction (Goksoy, A., 2016), and in this context, organizational change becomes one of the important solutions for the continued development of Internet enterprises. Let's take Tencent as an example to explore the positive impact of organizational change on Internet companies.</w:t>
      </w:r>
    </w:p>
    <w:p>
      <w:pPr>
        <w:pStyle w:val="2"/>
        <w:spacing w:before="0" w:after="0" w:line="480" w:lineRule="auto"/>
        <w:ind w:firstLine="482" w:firstLineChars="200"/>
        <w:rPr>
          <w:rFonts w:hint="default" w:ascii="Times New Roman" w:hAnsi="Times New Roman" w:cs="Times New Roman"/>
          <w:sz w:val="24"/>
          <w:szCs w:val="16"/>
        </w:rPr>
      </w:pPr>
      <w:bookmarkStart w:id="19" w:name="_Toc25722"/>
      <w:bookmarkStart w:id="20" w:name="_Toc15487"/>
      <w:bookmarkStart w:id="21" w:name="_Toc9483"/>
      <w:bookmarkStart w:id="22" w:name="_Toc19781"/>
      <w:r>
        <w:rPr>
          <w:rFonts w:hint="default" w:ascii="Times New Roman" w:hAnsi="Times New Roman" w:cs="Times New Roman"/>
          <w:sz w:val="24"/>
          <w:szCs w:val="16"/>
        </w:rPr>
        <w:t>1. The main business and organizational change process of Tencent Group</w:t>
      </w:r>
      <w:bookmarkEnd w:id="19"/>
      <w:bookmarkEnd w:id="20"/>
      <w:bookmarkEnd w:id="21"/>
      <w:bookmarkEnd w:id="22"/>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Tencent Group was founded in 1998 in Shenzhen, China, which is at the forefront of China's reform and opening up, giving birth to a number of well-known Internet companies, such as Tencent Group and Huawei Group. Unlike companies that focus on communication technology products, Tencent is committed to improving the quality of life of people around the world with innovative products and services (tencent, 2023), including instant messaging software QQ and WeChat, which supply energy similar to WhatsApp and Facebook, while Tencent Group has also expanded its video, gaming and other businesses to become an operator of digital products. It is worth mentioning that Tencent Group, as one of the top ten companies in the world by market capitalization, in addition to its successful business practices in China, its main instant messaging product, WeChat, has swept the world, and has invested in a number of popular game industries around the world with capital as a link (Hongcheng Lv, 2023). There is no doubt that Tencent Group is a dynamic enterprise, in the past 25 years, Tencent Group has undergone three major organizational changes, an average of every 7 years to optimize its own organization, which is not common in large global conglomerates.</w:t>
      </w:r>
    </w:p>
    <w:p>
      <w:pPr>
        <w:pStyle w:val="2"/>
        <w:spacing w:before="0" w:after="0" w:line="480" w:lineRule="auto"/>
        <w:ind w:firstLine="482" w:firstLineChars="200"/>
        <w:rPr>
          <w:rFonts w:hint="default" w:ascii="Times New Roman" w:hAnsi="Times New Roman" w:cs="Times New Roman" w:eastAsiaTheme="minorEastAsia"/>
          <w:sz w:val="24"/>
          <w:szCs w:val="16"/>
        </w:rPr>
      </w:pPr>
      <w:bookmarkStart w:id="23" w:name="_Toc9421"/>
      <w:bookmarkStart w:id="24" w:name="_Toc26286"/>
      <w:bookmarkStart w:id="25" w:name="_Toc7726"/>
      <w:bookmarkStart w:id="26" w:name="_Toc12768"/>
      <w:r>
        <w:rPr>
          <w:rFonts w:hint="default" w:ascii="Times New Roman" w:hAnsi="Times New Roman" w:cs="Times New Roman" w:eastAsiaTheme="minorEastAsia"/>
          <w:sz w:val="24"/>
          <w:szCs w:val="16"/>
          <w:lang w:val="en-US" w:eastAsia="zh-CN"/>
        </w:rPr>
        <w:t>2.</w:t>
      </w:r>
      <w:r>
        <w:rPr>
          <w:rFonts w:hint="default" w:ascii="Times New Roman" w:hAnsi="Times New Roman" w:cs="Times New Roman" w:eastAsiaTheme="minorEastAsia"/>
          <w:sz w:val="24"/>
          <w:szCs w:val="16"/>
        </w:rPr>
        <w:t>the first change (2005): the functional type to the business unit organizational structure transformation</w:t>
      </w:r>
      <w:bookmarkEnd w:id="23"/>
      <w:bookmarkEnd w:id="24"/>
      <w:bookmarkEnd w:id="25"/>
      <w:bookmarkEnd w:id="26"/>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connotation of organizational change is to change the core aspects of organizational operations, including organizational structure, technical roadmap, corporate culture, managers' leadership, business goals, etc. (Helms-Mills, et al., 2008). Tencent Group was listed on the Hong Kong Stock Exchange in 2004, gradually expanding from a single instant messaging product to games, personal email and other businesses, realizing the transformation of the enterprise from the early stage of entrepreneurship to the initial scale, and the first change followed. The following analyzes the three stages of Tencent's organizational change through Lewin's Organization Change Theory (Cummings, S.et al., 2016).</w:t>
      </w:r>
    </w:p>
    <w:p>
      <w:pPr>
        <w:pStyle w:val="3"/>
        <w:spacing w:before="0" w:after="0" w:line="480" w:lineRule="auto"/>
        <w:ind w:firstLine="482" w:firstLineChars="200"/>
        <w:outlineLvl w:val="0"/>
        <w:rPr>
          <w:rFonts w:hint="default" w:ascii="Times New Roman" w:hAnsi="Times New Roman" w:eastAsia="黑体" w:cs="Times New Roman"/>
          <w:sz w:val="24"/>
        </w:rPr>
      </w:pPr>
      <w:bookmarkStart w:id="27" w:name="_Toc12650"/>
      <w:bookmarkStart w:id="28" w:name="_Toc27306"/>
      <w:bookmarkStart w:id="29" w:name="_Toc5534"/>
      <w:bookmarkStart w:id="30" w:name="_Toc30405"/>
      <w:r>
        <w:rPr>
          <w:rFonts w:hint="default" w:ascii="Times New Roman" w:hAnsi="Times New Roman" w:eastAsia="黑体" w:cs="Times New Roman"/>
          <w:sz w:val="24"/>
        </w:rPr>
        <w:t>2.1 Phase 1: Unfreezing</w:t>
      </w:r>
      <w:bookmarkEnd w:id="27"/>
      <w:bookmarkEnd w:id="28"/>
      <w:bookmarkEnd w:id="29"/>
      <w:bookmarkEnd w:id="30"/>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At the beginning of the establishment of Tencent, the business is relatively single, the instant messaging software QQ as the foundation of development, according to this business form to adopt a U-shaped organizational structure, the main functional departments include technology research and development, market operation, administration and human resources, information and public relations and other four departments, U-shaped structure helps enterprises to achieve initial large-scale development, suitable for market stability, product variety, price elasticity of the market environment. With the rapid development of mobile communication technology and the rapid popularization of the Internet, market opportunities such as online games, online media, and mobile Internet have rapidly emerged, Tencent Group realized that with the gradual expansion of business, when the uncertainty of the party's internal management and external market exceeds the allowable limit of the U-shaped organizational structure, there will be a contradiction between the organizational structure and the development strategy, and it is necessary to break the original organizational structure and establish an organizational structure system that is compatible with the strategic goals in the coming period, which is related to Tencent's future development path.</w:t>
      </w:r>
    </w:p>
    <w:p>
      <w:pPr>
        <w:pStyle w:val="3"/>
        <w:spacing w:before="0" w:after="0" w:line="480" w:lineRule="auto"/>
        <w:ind w:firstLine="482" w:firstLineChars="200"/>
        <w:outlineLvl w:val="0"/>
        <w:rPr>
          <w:rFonts w:hint="default" w:ascii="Times New Roman" w:hAnsi="Times New Roman" w:eastAsia="黑体" w:cs="Times New Roman"/>
          <w:sz w:val="24"/>
          <w:szCs w:val="24"/>
        </w:rPr>
      </w:pPr>
      <w:bookmarkStart w:id="31" w:name="_Toc12036"/>
      <w:bookmarkStart w:id="32" w:name="_Toc12430"/>
      <w:bookmarkStart w:id="33" w:name="_Toc19637"/>
      <w:bookmarkStart w:id="34" w:name="_Toc4200"/>
      <w:r>
        <w:rPr>
          <w:rFonts w:hint="default" w:ascii="Times New Roman" w:hAnsi="Times New Roman" w:eastAsia="黑体" w:cs="Times New Roman"/>
          <w:sz w:val="24"/>
          <w:szCs w:val="24"/>
        </w:rPr>
        <w:t>2.2 Stage 2: Changing</w:t>
      </w:r>
      <w:bookmarkEnd w:id="31"/>
      <w:bookmarkEnd w:id="32"/>
      <w:bookmarkEnd w:id="33"/>
      <w:bookmarkEnd w:id="34"/>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 xml:space="preserve">The pace of change is accelerating, and anticipating and responding to change is critical to the survival of organizations (Senior, B. et al., 2020). There is a Chinese proverb "There is no turning back when starting construction", which means that as long as a decision is made, you must move forward courageously. After Tencent made the decision to change its organization, it quickly proposed the strategy of "building a one-stop online life platform" in combination with the direction of business development to promote the evolution of U-shaped organizations to M-shaped organizations (FourWeekMBA, 2023). Under this model, each core business becomes an independent business unit, which sinks the functional part to the business line and improves the combat capability of each business line. Employees who were originally scattered in various functional departments were quickly assigned to different business units, effectively mobilizing employees' enthusiasm for innovation.   </w:t>
      </w:r>
    </w:p>
    <w:p>
      <w:pPr>
        <w:pStyle w:val="3"/>
        <w:spacing w:before="0" w:after="0" w:line="480" w:lineRule="auto"/>
        <w:ind w:firstLine="482" w:firstLineChars="200"/>
        <w:outlineLvl w:val="0"/>
        <w:rPr>
          <w:rFonts w:hint="default" w:ascii="Times New Roman" w:hAnsi="Times New Roman" w:eastAsia="黑体" w:cs="Times New Roman"/>
          <w:sz w:val="24"/>
          <w:szCs w:val="24"/>
        </w:rPr>
      </w:pPr>
      <w:bookmarkStart w:id="35" w:name="_Toc26452"/>
      <w:bookmarkStart w:id="36" w:name="_Toc7431"/>
      <w:bookmarkStart w:id="37" w:name="_Toc15727"/>
      <w:bookmarkStart w:id="38" w:name="_Toc2366"/>
      <w:r>
        <w:rPr>
          <w:rFonts w:hint="default" w:ascii="Times New Roman" w:hAnsi="Times New Roman" w:eastAsia="黑体" w:cs="Times New Roman"/>
          <w:sz w:val="24"/>
          <w:szCs w:val="24"/>
        </w:rPr>
        <w:t>2.3 Phase 3: Refreezing</w:t>
      </w:r>
      <w:bookmarkEnd w:id="35"/>
      <w:bookmarkEnd w:id="36"/>
      <w:bookmarkEnd w:id="37"/>
      <w:bookmarkEnd w:id="38"/>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After this round of organizational changes, there is no strong disagreement within Tencent, because in China in the early 21st century, all new business formats are developing by leaps and bounds, and people are more optimistic about tomorrow's development space and have no time to reflect on the current situation. Even so, in order to consolidate the results of the organizational change, Tencent has also fully considered the management mechanism so that employees can fully understand and accept this change. On the one hand, the CEO of Tencent sent an email to all employees explaining the company's strategic development, explaining the need for organizational change; At the same time, we widely solicited the opinions of employees on this round of organizational changes, adjusted management details in a timely manner, and developed a complete set of training courses for employees from functional departments to business units to help employees adapt to the new working environment as soon as possible. Tencent's total revenue in 2005 increased by 24.7% over the previous year, online advertising revenue increased by 105.9% over the previous year (Tencent, 2005), and Chairman of the Board of Directors Ma Huateng was also elected as a "Global Young Leader".</w:t>
      </w:r>
    </w:p>
    <w:p>
      <w:pPr>
        <w:pStyle w:val="2"/>
        <w:spacing w:before="0" w:after="0" w:line="480" w:lineRule="auto"/>
        <w:ind w:firstLine="482" w:firstLineChars="200"/>
        <w:rPr>
          <w:rFonts w:hint="default" w:ascii="Times New Roman" w:hAnsi="Times New Roman" w:cs="Times New Roman" w:eastAsiaTheme="minorEastAsia"/>
          <w:sz w:val="24"/>
          <w:szCs w:val="16"/>
        </w:rPr>
      </w:pPr>
      <w:bookmarkStart w:id="39" w:name="_Toc6325"/>
      <w:bookmarkStart w:id="40" w:name="_Toc16927"/>
      <w:bookmarkStart w:id="41" w:name="_Toc7861"/>
      <w:bookmarkStart w:id="42" w:name="_Toc4461"/>
      <w:r>
        <w:rPr>
          <w:rFonts w:hint="default" w:ascii="Times New Roman" w:hAnsi="Times New Roman" w:cs="Times New Roman" w:eastAsiaTheme="minorEastAsia"/>
          <w:sz w:val="24"/>
          <w:szCs w:val="16"/>
          <w:lang w:val="en-US" w:eastAsia="zh-CN"/>
        </w:rPr>
        <w:t>3.</w:t>
      </w:r>
      <w:r>
        <w:rPr>
          <w:rFonts w:hint="default" w:ascii="Times New Roman" w:hAnsi="Times New Roman" w:cs="Times New Roman" w:eastAsiaTheme="minorEastAsia"/>
          <w:sz w:val="24"/>
          <w:szCs w:val="16"/>
        </w:rPr>
        <w:t>Second change (2012): From business units to business groups</w:t>
      </w:r>
      <w:bookmarkEnd w:id="39"/>
      <w:bookmarkEnd w:id="40"/>
      <w:bookmarkEnd w:id="41"/>
      <w:bookmarkEnd w:id="42"/>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If you list the world's fastest-growing industries in the past 20 years, there is no doubt that mobile Internet is one of them. Enjoying the development dividends of the first institutional transformation, Tencent ushered in a new stage of development in 2012, when Tencent's operating income was nearly 30 billion yuan, the number of employees exceeded 20,000, and it was integrated into the daily lives of 2 billion people around the world. At the same time as the rapid development of the company, Tencent's internal management problems have become increasingly prominent, mainly manifested in: rising operating costs, many business departments, unclear management and management, complex decision-making, more internal competition and less cooperation, and the "big company disease" is gradually exposed. According to the management practice of international enterprises, the amoeba operation model, as the application of internal marketization theory, has been proved to be effective in mobilizing the vitality of employees within enterprises, improving corporate efficiency, and solving the diseases of large companies (Hong, Y. et al., 2020). Inspired by the amoeba operating model, Tencent has changed with the trend, focusing on user needs and market orientation, readjusting its organizational structure from the logic of prioritizing business development, and upgrading business units to business groups, each of which is equivalent to a small group under a holding group. The following uses the system change model to analyze Tencent's second transformation path.</w:t>
      </w:r>
    </w:p>
    <w:p>
      <w:pPr>
        <w:pStyle w:val="3"/>
        <w:spacing w:before="0" w:after="0" w:line="480" w:lineRule="auto"/>
        <w:ind w:firstLine="482" w:firstLineChars="200"/>
        <w:outlineLvl w:val="0"/>
        <w:rPr>
          <w:rFonts w:hint="default" w:ascii="Times New Roman" w:hAnsi="Times New Roman" w:eastAsia="黑体" w:cs="Times New Roman"/>
          <w:sz w:val="24"/>
          <w:szCs w:val="24"/>
        </w:rPr>
      </w:pPr>
      <w:bookmarkStart w:id="43" w:name="_Toc27792"/>
      <w:bookmarkStart w:id="44" w:name="_Toc25727"/>
      <w:bookmarkStart w:id="45" w:name="_Toc16438"/>
      <w:bookmarkStart w:id="46" w:name="_Toc5378"/>
      <w:r>
        <w:rPr>
          <w:rFonts w:hint="default" w:ascii="Times New Roman" w:hAnsi="Times New Roman" w:eastAsia="黑体" w:cs="Times New Roman"/>
          <w:sz w:val="24"/>
          <w:szCs w:val="24"/>
        </w:rPr>
        <w:t>3.1 Input part: SWOT model analysis</w:t>
      </w:r>
      <w:bookmarkEnd w:id="43"/>
      <w:bookmarkEnd w:id="44"/>
      <w:bookmarkEnd w:id="45"/>
      <w:bookmarkEnd w:id="46"/>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S (advantage): The Internet is an emerging business encouraged by the Chinese government, and the global Internet economy has risen rapidly with technological progress, and Tencent has formed a differentiated competitive advantage in the fields of instant messaging, mobile payment, and games.</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W (disadvantage): Although Tencent is a well-developed Internet company, there is still a gap between the efficiency and scale of some business development and other leading enterprises, the development of corporate business is relatively slow, there is still a gap between cloud storage and other Internet ecological enterprises, Alibaba, and the degree of internationalization of instant messaging and other businesses is low.</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O (opportunity): The market opportunity of the Internet continues to expand with technological progress and the iteration of user habits, and with the continuous maturity of 5G technology, mobile payment, and AI technology in recent years, smart life and smart office have become important application scenarios for Tencent products.</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 (Challenge): Tencent's challenges mainly come from both international and domestic parts, and in the international community, as Internet companies such as Facebook gradually enter the Chinese market, Tencent's market share will be further reduced; In China, a new generation of Internet rookies such as Tik Tok have challenged Tencent, other Internet companies have also challenged Tencent in areas such as online games, and businesses such as personal email have gradually shrunk as the frequency of communication increases.</w:t>
      </w:r>
    </w:p>
    <w:p>
      <w:pPr>
        <w:pStyle w:val="3"/>
        <w:spacing w:before="0" w:after="0" w:line="480" w:lineRule="auto"/>
        <w:ind w:firstLine="482" w:firstLineChars="200"/>
        <w:rPr>
          <w:rFonts w:hint="default" w:ascii="Times New Roman" w:hAnsi="Times New Roman" w:eastAsia="黑体" w:cs="Times New Roman"/>
          <w:sz w:val="24"/>
          <w:szCs w:val="24"/>
        </w:rPr>
      </w:pPr>
      <w:bookmarkStart w:id="47" w:name="_Toc5177"/>
      <w:bookmarkStart w:id="48" w:name="_Toc5335"/>
      <w:bookmarkStart w:id="49" w:name="_Toc11431"/>
      <w:bookmarkStart w:id="50" w:name="_Toc6476"/>
      <w:r>
        <w:rPr>
          <w:rFonts w:hint="default" w:ascii="Times New Roman" w:hAnsi="Times New Roman" w:eastAsia="黑体" w:cs="Times New Roman"/>
          <w:sz w:val="24"/>
          <w:szCs w:val="24"/>
        </w:rPr>
        <w:t>3.2 Elements of change</w:t>
      </w:r>
      <w:bookmarkEnd w:id="47"/>
      <w:bookmarkEnd w:id="48"/>
      <w:bookmarkEnd w:id="49"/>
      <w:bookmarkEnd w:id="50"/>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Goal: Putting users as the foundation and serving people's better lives with technology is the mission of Tencent Group. On this basis, Tencent Group relies on user value, strengthens the digital empowerment role of Internet products, helps various industries realize informatization, digital transformation and upgrading, and promotes the establishment of a sustainable society.</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Personnel: From a single social platform company at the place of its founding to an Internet company in the stage of large-scale development, the number of employees in Tencent has increased from 614 in 2003 to more than 20,000 in 2012.</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Social factors: Tencent's development goal is to be a respected Internet company, and in this context, Teng's establishment of a standard system in the fields of environment, society and governance continues to improve the level of ESG governance.</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Organizational mechanism: The Internet has the development attribute driven by user needs, the business adjustment cycle is short, and even there is a situation of business first and then organization in the rapid development stage, and organizational changes often cannot meet the needs of business development.</w:t>
      </w:r>
    </w:p>
    <w:p>
      <w:pPr>
        <w:pStyle w:val="3"/>
        <w:spacing w:before="0" w:after="0" w:line="480" w:lineRule="auto"/>
        <w:ind w:firstLine="482" w:firstLineChars="200"/>
        <w:rPr>
          <w:rFonts w:hint="default" w:ascii="Times New Roman" w:hAnsi="Times New Roman" w:eastAsia="黑体" w:cs="Times New Roman"/>
          <w:sz w:val="24"/>
          <w:szCs w:val="24"/>
        </w:rPr>
      </w:pPr>
      <w:bookmarkStart w:id="51" w:name="_Toc25090"/>
      <w:bookmarkStart w:id="52" w:name="_Toc6171"/>
      <w:bookmarkStart w:id="53" w:name="_Toc20901"/>
      <w:bookmarkStart w:id="54" w:name="_Toc29951"/>
      <w:r>
        <w:rPr>
          <w:rFonts w:hint="default" w:ascii="Times New Roman" w:hAnsi="Times New Roman" w:eastAsia="黑体" w:cs="Times New Roman"/>
          <w:sz w:val="24"/>
          <w:szCs w:val="24"/>
        </w:rPr>
        <w:t>3.3 Output</w:t>
      </w:r>
      <w:bookmarkEnd w:id="51"/>
      <w:bookmarkEnd w:id="52"/>
      <w:bookmarkEnd w:id="53"/>
      <w:bookmarkEnd w:id="54"/>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Organization: Combined with the development of Tencent as the largest Internet company in China, the organizational structure has been upgraded and adjusted to form a wireless service system, Internet service system, interactive entertainment business system, and network media business system, forming a new organizational structure, which can meet the development needs of the industrial Internet era.</w:t>
      </w:r>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Individual: Tencent has been guided by its corporate development vision to cultivate talents for Tencent's present and future by designing career development channels and corresponding comprehensive training systems.</w:t>
      </w:r>
    </w:p>
    <w:p>
      <w:pPr>
        <w:pStyle w:val="2"/>
        <w:spacing w:before="0" w:after="0" w:line="480" w:lineRule="auto"/>
        <w:ind w:firstLine="482" w:firstLineChars="200"/>
        <w:rPr>
          <w:rFonts w:hint="default" w:ascii="Times New Roman" w:hAnsi="Times New Roman" w:cs="Times New Roman" w:eastAsiaTheme="minorEastAsia"/>
          <w:sz w:val="24"/>
          <w:szCs w:val="16"/>
        </w:rPr>
      </w:pPr>
      <w:bookmarkStart w:id="55" w:name="_Toc24329"/>
      <w:bookmarkStart w:id="56" w:name="_Toc349"/>
      <w:bookmarkStart w:id="57" w:name="_Toc19499"/>
      <w:bookmarkStart w:id="58" w:name="_Toc10014"/>
      <w:r>
        <w:rPr>
          <w:rFonts w:hint="default" w:ascii="Times New Roman" w:hAnsi="Times New Roman" w:cs="Times New Roman" w:eastAsiaTheme="minorEastAsia"/>
          <w:sz w:val="24"/>
          <w:szCs w:val="16"/>
          <w:lang w:val="en-US" w:eastAsia="zh-CN"/>
        </w:rPr>
        <w:t>4.</w:t>
      </w:r>
      <w:r>
        <w:rPr>
          <w:rFonts w:hint="default" w:ascii="Times New Roman" w:hAnsi="Times New Roman" w:cs="Times New Roman" w:eastAsiaTheme="minorEastAsia"/>
          <w:sz w:val="24"/>
          <w:szCs w:val="16"/>
        </w:rPr>
        <w:t>Third transformation (2018): Optimization and realignment of business groups</w:t>
      </w:r>
      <w:bookmarkEnd w:id="55"/>
      <w:bookmarkEnd w:id="56"/>
      <w:bookmarkEnd w:id="57"/>
      <w:bookmarkEnd w:id="58"/>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There is no doubt that WeChat, an instant messaging software, has achieved unprecedented success, which is enough to allow Tencent to maintain its leading edge in the mobile Internet era, based on which Tencent has invested in a number of upstream and downstream companies in the industrial chain, and established an ecological enterprise with equity investment as the main measure. With the advancement of digital technology, the mobile Internet is developing from the consumer Internet to the industrial Internet. As a result, Tencent implemented a new organizational structure adjustment in 2018, and the following uses the Kotter organizational change model to analyze this change process.Kotter's research shows that 70%~90% of successful organizational change is due to change leadership effectiveness, and 10%~30% is due to management efforts (Kotter, J.P., 2012). In this change, Tencent basically adopted Kotter's organizational change model.</w:t>
      </w:r>
    </w:p>
    <w:p>
      <w:pPr>
        <w:pStyle w:val="3"/>
        <w:spacing w:before="0" w:after="0" w:line="480" w:lineRule="auto"/>
        <w:ind w:firstLine="482" w:firstLineChars="200"/>
        <w:rPr>
          <w:rFonts w:hint="default" w:ascii="Times New Roman" w:hAnsi="Times New Roman" w:eastAsia="黑体" w:cs="Times New Roman"/>
          <w:sz w:val="24"/>
          <w:szCs w:val="24"/>
        </w:rPr>
      </w:pPr>
      <w:bookmarkStart w:id="59" w:name="_Toc22212"/>
      <w:bookmarkStart w:id="60" w:name="_Toc7323"/>
      <w:bookmarkStart w:id="61" w:name="_Toc26308"/>
      <w:bookmarkStart w:id="62" w:name="_Toc1101"/>
      <w:r>
        <w:rPr>
          <w:rFonts w:hint="default" w:ascii="Times New Roman" w:hAnsi="Times New Roman" w:eastAsia="黑体" w:cs="Times New Roman"/>
          <w:sz w:val="24"/>
          <w:szCs w:val="24"/>
        </w:rPr>
        <w:t>4.1 Build a sense of urgency</w:t>
      </w:r>
      <w:bookmarkEnd w:id="59"/>
      <w:bookmarkEnd w:id="60"/>
      <w:bookmarkEnd w:id="61"/>
      <w:bookmarkEnd w:id="62"/>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The role of urgency in innovation-driven change and transformation is self-evident (Fredberg, T. and Pregmark, J.E., 2022), and the inability of organizations to play their due role in the face of the market has attracted the attention of Ma Huateng, chairman of Tencent's board of directors. He led the readjustment of the organizational structure from the perspective of user needs and industry development, and strongly promoted organizational change from the perspective of leaders.</w:t>
      </w:r>
    </w:p>
    <w:p>
      <w:pPr>
        <w:pStyle w:val="3"/>
        <w:spacing w:before="0" w:after="0" w:line="480" w:lineRule="auto"/>
        <w:ind w:firstLine="482" w:firstLineChars="200"/>
        <w:rPr>
          <w:rFonts w:hint="default" w:ascii="Times New Roman" w:hAnsi="Times New Roman" w:eastAsia="黑体" w:cs="Times New Roman"/>
          <w:b/>
          <w:sz w:val="24"/>
          <w:szCs w:val="24"/>
        </w:rPr>
      </w:pPr>
      <w:bookmarkStart w:id="63" w:name="_Toc32079"/>
      <w:bookmarkStart w:id="64" w:name="_Toc30018"/>
      <w:bookmarkStart w:id="65" w:name="_Toc25706"/>
      <w:bookmarkStart w:id="66" w:name="_Toc2189"/>
      <w:r>
        <w:rPr>
          <w:rFonts w:hint="default" w:ascii="Times New Roman" w:hAnsi="Times New Roman" w:eastAsia="黑体" w:cs="Times New Roman"/>
          <w:b/>
          <w:sz w:val="24"/>
          <w:szCs w:val="24"/>
        </w:rPr>
        <w:t>4.2 Creation of Mentoring Alliances</w:t>
      </w:r>
      <w:bookmarkEnd w:id="63"/>
      <w:bookmarkEnd w:id="64"/>
      <w:bookmarkEnd w:id="65"/>
      <w:bookmarkEnd w:id="66"/>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Tencent has established a leading group for organizational change led by the board of directors, which is responsible for the overall planning and decision-making of organizational change and guides all business units to promote internal reform.</w:t>
      </w:r>
    </w:p>
    <w:p>
      <w:pPr>
        <w:pStyle w:val="3"/>
        <w:spacing w:before="0" w:after="0" w:line="480" w:lineRule="auto"/>
        <w:ind w:firstLine="482" w:firstLineChars="200"/>
        <w:rPr>
          <w:rFonts w:hint="default" w:ascii="Times New Roman" w:hAnsi="Times New Roman" w:eastAsia="黑体" w:cs="Times New Roman"/>
          <w:b/>
          <w:sz w:val="24"/>
          <w:szCs w:val="24"/>
        </w:rPr>
      </w:pPr>
      <w:bookmarkStart w:id="67" w:name="_Toc4583"/>
      <w:bookmarkStart w:id="68" w:name="_Toc7643"/>
      <w:bookmarkStart w:id="69" w:name="_Toc32597"/>
      <w:bookmarkStart w:id="70" w:name="_Toc1296"/>
      <w:r>
        <w:rPr>
          <w:rFonts w:hint="default" w:ascii="Times New Roman" w:hAnsi="Times New Roman" w:eastAsia="黑体" w:cs="Times New Roman"/>
          <w:b/>
          <w:sz w:val="24"/>
          <w:szCs w:val="24"/>
        </w:rPr>
        <w:t>4.3 Development Vision and Strategy</w:t>
      </w:r>
      <w:bookmarkEnd w:id="67"/>
      <w:bookmarkEnd w:id="68"/>
      <w:bookmarkEnd w:id="69"/>
      <w:bookmarkEnd w:id="70"/>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Tencent has become a leading enterprise in the industry in terms of company size, but to maintain the company's long-term competitiveness, Tencent has established the development vision of becoming the world's leading Internet company, and is committed to improving the quality of life of people around the world with technology.</w:t>
      </w:r>
    </w:p>
    <w:p>
      <w:pPr>
        <w:pStyle w:val="3"/>
        <w:spacing w:before="0" w:after="0" w:line="480" w:lineRule="auto"/>
        <w:ind w:firstLine="482" w:firstLineChars="200"/>
        <w:rPr>
          <w:rFonts w:hint="default" w:ascii="Times New Roman" w:hAnsi="Times New Roman" w:eastAsia="黑体" w:cs="Times New Roman"/>
          <w:b/>
          <w:sz w:val="24"/>
          <w:szCs w:val="24"/>
        </w:rPr>
      </w:pPr>
      <w:bookmarkStart w:id="71" w:name="_Toc26409"/>
      <w:bookmarkStart w:id="72" w:name="_Toc14166"/>
      <w:bookmarkStart w:id="73" w:name="_Toc15984"/>
      <w:bookmarkStart w:id="74" w:name="_Toc7602"/>
      <w:r>
        <w:rPr>
          <w:rFonts w:hint="default" w:ascii="Times New Roman" w:hAnsi="Times New Roman" w:eastAsia="黑体" w:cs="Times New Roman"/>
          <w:b/>
          <w:sz w:val="24"/>
          <w:szCs w:val="24"/>
        </w:rPr>
        <w:t>4.4 Communicate a vision for change</w:t>
      </w:r>
      <w:bookmarkEnd w:id="71"/>
      <w:bookmarkEnd w:id="72"/>
      <w:bookmarkEnd w:id="73"/>
      <w:bookmarkEnd w:id="74"/>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Tencent's board of directors has conducted in-depth communication with management, business units and employee representatives to ensure that managers at all levels and all employees can accept the latest organizational change plan.</w:t>
      </w:r>
    </w:p>
    <w:p>
      <w:pPr>
        <w:pStyle w:val="3"/>
        <w:spacing w:before="0" w:after="0" w:line="480" w:lineRule="auto"/>
        <w:ind w:firstLine="482" w:firstLineChars="200"/>
        <w:rPr>
          <w:rFonts w:hint="default" w:ascii="Times New Roman" w:hAnsi="Times New Roman" w:eastAsia="黑体" w:cs="Times New Roman"/>
          <w:b/>
          <w:sz w:val="24"/>
          <w:szCs w:val="24"/>
        </w:rPr>
      </w:pPr>
      <w:bookmarkStart w:id="75" w:name="_Toc27442"/>
      <w:bookmarkStart w:id="76" w:name="_Toc28739"/>
      <w:bookmarkStart w:id="77" w:name="_Toc12093"/>
      <w:bookmarkStart w:id="78" w:name="_Toc27517"/>
      <w:r>
        <w:rPr>
          <w:rFonts w:hint="default" w:ascii="Times New Roman" w:hAnsi="Times New Roman" w:eastAsia="黑体" w:cs="Times New Roman"/>
          <w:b/>
          <w:sz w:val="24"/>
          <w:szCs w:val="24"/>
        </w:rPr>
        <w:t>4.5 Implementation of Authorized Actions</w:t>
      </w:r>
      <w:bookmarkEnd w:id="75"/>
      <w:bookmarkEnd w:id="76"/>
      <w:bookmarkEnd w:id="77"/>
      <w:bookmarkEnd w:id="78"/>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Under the framework of organizational change determined by the board of directors, managers at all levels are appropriately authorized at different levels to ensure that the operation and management of enterprises during the transition period are not affected, and to ensure that they optimize the management process within the scope of authority.</w:t>
      </w:r>
    </w:p>
    <w:p>
      <w:pPr>
        <w:pStyle w:val="3"/>
        <w:spacing w:before="0" w:after="0" w:line="480" w:lineRule="auto"/>
        <w:ind w:firstLine="482" w:firstLineChars="200"/>
        <w:rPr>
          <w:rFonts w:hint="default" w:ascii="Times New Roman" w:hAnsi="Times New Roman" w:eastAsia="黑体" w:cs="Times New Roman"/>
          <w:b/>
          <w:sz w:val="24"/>
          <w:szCs w:val="24"/>
        </w:rPr>
      </w:pPr>
      <w:bookmarkStart w:id="79" w:name="_Toc23767"/>
      <w:bookmarkStart w:id="80" w:name="_Toc14288"/>
      <w:bookmarkStart w:id="81" w:name="_Toc31086"/>
      <w:bookmarkStart w:id="82" w:name="_Toc13437"/>
      <w:r>
        <w:rPr>
          <w:rFonts w:hint="default" w:ascii="Times New Roman" w:hAnsi="Times New Roman" w:eastAsia="黑体" w:cs="Times New Roman"/>
          <w:b/>
          <w:sz w:val="24"/>
          <w:szCs w:val="24"/>
        </w:rPr>
        <w:t>4.6 Drive organizational change</w:t>
      </w:r>
      <w:bookmarkEnd w:id="79"/>
      <w:bookmarkEnd w:id="80"/>
      <w:bookmarkEnd w:id="81"/>
      <w:bookmarkEnd w:id="82"/>
    </w:p>
    <w:p>
      <w:pPr>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After fully paving the way in the early stage, Tencent used the vertical and horizontal integration strategy to create a specific organizational form, and formally decided to change the seven business groups into six business groups, of which two new business groups were integrated: Cloud and Smart Industry Group (CSIG) and Platform and Content Group (PCG), and empowered the digital transformation of traditional enterprises in industries such as music (Davis, M., 2020), retail, catering, cultural tourism and exhibition, and invested in overseas mainstream instant messaging product companies (Beltran, L. et al., 2017), formed an organizational structure that has been used to this day. This gives Tencent a competitive advantage, which in turn consolidates its market power, high level of value capture, and strengthens its oligopoly in the mobile gaming business (Coe, N.M. and Yang, C., 2022).</w:t>
      </w:r>
    </w:p>
    <w:p>
      <w:pPr>
        <w:pStyle w:val="3"/>
        <w:snapToGrid w:val="0"/>
        <w:spacing w:before="0" w:after="0" w:line="480" w:lineRule="auto"/>
        <w:ind w:left="0" w:leftChars="0" w:firstLine="643" w:firstLineChars="200"/>
        <w:outlineLvl w:val="9"/>
      </w:pPr>
      <w:bookmarkStart w:id="83" w:name="_Toc13084"/>
      <w:bookmarkStart w:id="84" w:name="_Toc17111"/>
      <w:bookmarkStart w:id="85" w:name="_Toc4160"/>
      <w:bookmarkStart w:id="86" w:name="_Toc5640"/>
      <w:r>
        <w:drawing>
          <wp:inline distT="0" distB="0" distL="114300" distR="114300">
            <wp:extent cx="5218430" cy="1365885"/>
            <wp:effectExtent l="0" t="0" r="8890" b="571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5218430" cy="1365885"/>
                    </a:xfrm>
                    <a:prstGeom prst="rect">
                      <a:avLst/>
                    </a:prstGeom>
                  </pic:spPr>
                </pic:pic>
              </a:graphicData>
            </a:graphic>
          </wp:inline>
        </w:drawing>
      </w:r>
      <w:bookmarkEnd w:id="83"/>
      <w:bookmarkEnd w:id="84"/>
      <w:bookmarkEnd w:id="85"/>
      <w:bookmarkEnd w:id="86"/>
    </w:p>
    <w:p>
      <w:pPr>
        <w:pStyle w:val="3"/>
        <w:snapToGrid w:val="0"/>
        <w:spacing w:before="0" w:after="0" w:line="480" w:lineRule="auto"/>
        <w:ind w:left="0" w:leftChars="0" w:firstLine="482" w:firstLineChars="200"/>
        <w:rPr>
          <w:rFonts w:hint="default" w:ascii="Times New Roman" w:hAnsi="Times New Roman" w:eastAsia="Yu Gothic Light" w:cs="Times New Roman"/>
          <w:sz w:val="24"/>
          <w:szCs w:val="24"/>
        </w:rPr>
      </w:pPr>
      <w:bookmarkStart w:id="87" w:name="_Toc352"/>
      <w:bookmarkStart w:id="88" w:name="_Toc4781"/>
      <w:bookmarkStart w:id="89" w:name="_Toc18955"/>
      <w:bookmarkStart w:id="90" w:name="_Toc177"/>
      <w:r>
        <w:rPr>
          <w:rFonts w:hint="default" w:ascii="Times New Roman" w:hAnsi="Times New Roman" w:eastAsia="黑体" w:cs="Times New Roman"/>
          <w:sz w:val="24"/>
          <w:szCs w:val="24"/>
        </w:rPr>
        <w:t xml:space="preserve">4.7 </w:t>
      </w:r>
      <w:r>
        <w:rPr>
          <w:rFonts w:hint="default" w:ascii="Times New Roman" w:hAnsi="Times New Roman" w:eastAsia="黑体" w:cs="Times New Roman"/>
          <w:sz w:val="24"/>
          <w:szCs w:val="24"/>
          <w:lang w:val="en-US" w:eastAsia="zh-CN"/>
        </w:rPr>
        <w:t xml:space="preserve"> </w:t>
      </w:r>
      <w:r>
        <w:rPr>
          <w:rFonts w:hint="default" w:ascii="Times New Roman" w:hAnsi="Times New Roman" w:eastAsia="黑体" w:cs="Times New Roman"/>
          <w:sz w:val="24"/>
          <w:szCs w:val="24"/>
        </w:rPr>
        <w:t>Positioning cultural approaches</w:t>
      </w:r>
      <w:bookmarkEnd w:id="87"/>
      <w:bookmarkEnd w:id="88"/>
      <w:bookmarkEnd w:id="89"/>
      <w:bookmarkEnd w:id="90"/>
      <w:bookmarkStart w:id="142" w:name="_GoBack"/>
      <w:bookmarkEnd w:id="142"/>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After completing the third organizational change, Tencent also repositioned the company's corporate culture. Taking collaboration and creation as an important corporate culture, collaboration means "open collaboration and continuous evolution", and the meaning of creation is to transcend innovation and explore the future, which is enough to explain why Tencent constantly pursues perfection, self-revolution, and is at the forefront of institutional change.</w:t>
      </w:r>
    </w:p>
    <w:p>
      <w:pPr>
        <w:pStyle w:val="2"/>
        <w:snapToGrid w:val="0"/>
        <w:spacing w:before="0" w:after="0" w:line="480" w:lineRule="auto"/>
        <w:ind w:firstLine="482" w:firstLineChars="200"/>
        <w:rPr>
          <w:rFonts w:hint="default" w:ascii="Times New Roman" w:hAnsi="Times New Roman" w:cs="Times New Roman" w:eastAsiaTheme="minorEastAsia"/>
          <w:sz w:val="24"/>
          <w:szCs w:val="16"/>
        </w:rPr>
      </w:pPr>
      <w:bookmarkStart w:id="91" w:name="_Toc27471"/>
      <w:bookmarkStart w:id="92" w:name="_Toc20126"/>
      <w:bookmarkStart w:id="93" w:name="_Toc18068"/>
      <w:bookmarkStart w:id="94" w:name="_Toc1032"/>
      <w:r>
        <w:rPr>
          <w:rFonts w:hint="default" w:ascii="Times New Roman" w:hAnsi="Times New Roman" w:cs="Times New Roman" w:eastAsiaTheme="minorEastAsia"/>
          <w:sz w:val="24"/>
          <w:szCs w:val="16"/>
        </w:rPr>
        <w:t>5. Tencent's resistance factors and countermeasures</w:t>
      </w:r>
      <w:bookmarkEnd w:id="91"/>
      <w:bookmarkEnd w:id="92"/>
      <w:bookmarkEnd w:id="93"/>
      <w:bookmarkEnd w:id="94"/>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Regardless of the company, organizational change will challenge the working habits and psychology of some members, so it is inevitable that there will be resistance to change, and Tencent is no exception. According to Alfred D. Chandler's structure follows strategy, unless the structure follows strategy, it is inefficient (Marx, T.G., 2016), Tencent's business strategy determines the design and choice of enterprise organizational structure model, and the three organizational changes are conducive to the company's better adaptation to the future competitive environment, which is supported by most employees from the management level to the grassroots level, but there are still a small number of employees who are uncertain about the future and resist these change activities.</w:t>
      </w:r>
    </w:p>
    <w:p>
      <w:pPr>
        <w:pStyle w:val="3"/>
        <w:snapToGrid w:val="0"/>
        <w:spacing w:before="0" w:after="0" w:line="480" w:lineRule="auto"/>
        <w:ind w:firstLine="482" w:firstLineChars="200"/>
        <w:rPr>
          <w:rFonts w:hint="default" w:ascii="Times New Roman" w:hAnsi="Times New Roman" w:eastAsia="黑体" w:cs="Times New Roman"/>
          <w:b/>
          <w:sz w:val="24"/>
          <w:szCs w:val="24"/>
        </w:rPr>
      </w:pPr>
      <w:bookmarkStart w:id="95" w:name="_Toc6014"/>
      <w:bookmarkStart w:id="96" w:name="_Toc24033"/>
      <w:bookmarkStart w:id="97" w:name="_Toc9511"/>
      <w:bookmarkStart w:id="98" w:name="_Toc7298"/>
      <w:r>
        <w:rPr>
          <w:rFonts w:hint="default" w:ascii="Times New Roman" w:hAnsi="Times New Roman" w:eastAsia="黑体" w:cs="Times New Roman"/>
          <w:b/>
          <w:sz w:val="24"/>
          <w:szCs w:val="24"/>
        </w:rPr>
        <w:t>5.1 Analysis of the reasons for the boycott</w:t>
      </w:r>
      <w:bookmarkEnd w:id="95"/>
      <w:bookmarkEnd w:id="96"/>
      <w:bookmarkEnd w:id="97"/>
      <w:bookmarkEnd w:id="98"/>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Habit factor. According to a McKinsey study, organizations are more likely to innovate quickly, unlock the benefits of diversity, and adapt well to change when employees are willing to ask for help, share advice informally, or challenge the status quo without worrying about negative social consequences (McKinsey, 2023). Some employees are accustomed to working in familiar areas, and if the external environment changes, they will have concerns about the new organizational structure and cooperative relationship of the enterprise, which in turn will affect the work efficiency and quality of work.</w:t>
      </w:r>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Psychological safety. Some managers and employees should passively adapt to the new environment, learn new job skills, feel the impact of psychological security and balance, and will produce panic, weak psychology, and even establish psychological defense mechanisms to naturally resist emotions.</w:t>
      </w:r>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Economic factors: Organizational changes may result in the abolition of some organizational structures, or cause employees to enter an unfamiliar field of work, and some employees are worried that this will lead to layoffs and transfer to new business segments that will affect their own income.</w:t>
      </w:r>
    </w:p>
    <w:p>
      <w:pPr>
        <w:pStyle w:val="3"/>
        <w:snapToGrid w:val="0"/>
        <w:spacing w:before="0" w:after="0" w:line="480" w:lineRule="auto"/>
        <w:ind w:firstLine="482" w:firstLineChars="200"/>
        <w:rPr>
          <w:rFonts w:hint="default" w:ascii="Times New Roman" w:hAnsi="Times New Roman" w:eastAsia="黑体" w:cs="Times New Roman"/>
          <w:b/>
          <w:sz w:val="24"/>
          <w:szCs w:val="24"/>
        </w:rPr>
      </w:pPr>
      <w:bookmarkStart w:id="99" w:name="_Toc23663"/>
      <w:bookmarkStart w:id="100" w:name="_Toc22143"/>
      <w:bookmarkStart w:id="101" w:name="_Toc22296"/>
      <w:bookmarkStart w:id="102" w:name="_Toc26182"/>
      <w:r>
        <w:rPr>
          <w:rFonts w:hint="default" w:ascii="Times New Roman" w:hAnsi="Times New Roman" w:eastAsia="黑体" w:cs="Times New Roman"/>
          <w:b/>
          <w:sz w:val="24"/>
          <w:szCs w:val="24"/>
        </w:rPr>
        <w:t>5.2 Main strategies to overcome resistance</w:t>
      </w:r>
      <w:bookmarkEnd w:id="99"/>
      <w:bookmarkEnd w:id="100"/>
      <w:bookmarkEnd w:id="101"/>
      <w:bookmarkEnd w:id="102"/>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Communication: Leaders using communication skills, vision, and conflict management skills to protect diversity, equity, inclusion, and belonging in the workplace are critical to making significant, sustainable change (El-Amin, A., 2022). Managers must communicate and consult with employees on a regular basis, which is one of the most critical success factors for implementing change in an organization (Robbins, S.P. and Judge, T., 2017). Tencent communicates with employees from time to time to help them eliminate psychological pressure. At the end of each year, a staff meeting and a New Year's party are held to make these important events the most important event of Tencent's year, and take this opportunity to convey the company's strategy, business layout and management ideas to employees, commend outstanding teams, and establish a positive guiding role.</w:t>
      </w:r>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Involvement: Respecting employees and encouraging employees to make their "voice" heard in the operation of a business organization is the oldest and most recent issue in the employment relationship (Johnstone, S. and Ackers, P., 2015). Encourage employees to participate in the discussion of organizational change and the establishment of strategic development direction. At the same time, organizational changes can provide more high-quality positions, provide broader space for employees' career development, and enable everyone's growth contribution to be reflected in a timely and clear manner through the rank system.</w:t>
      </w:r>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Coercion: Employees of Internet companies can receive high salaries in China and the world, and the founders of Internet companies generally have high authority in the enterprise, and they can often meet development expectations by imposing new organizational changes.</w:t>
      </w:r>
    </w:p>
    <w:p>
      <w:pPr>
        <w:pStyle w:val="2"/>
        <w:snapToGrid w:val="0"/>
        <w:spacing w:before="0" w:after="0" w:line="480" w:lineRule="auto"/>
        <w:ind w:firstLine="482" w:firstLineChars="200"/>
        <w:rPr>
          <w:rFonts w:hint="default" w:ascii="Times New Roman" w:hAnsi="Times New Roman" w:cs="Times New Roman" w:eastAsiaTheme="minorEastAsia"/>
          <w:sz w:val="24"/>
          <w:szCs w:val="16"/>
        </w:rPr>
      </w:pPr>
      <w:bookmarkStart w:id="103" w:name="_Toc23247"/>
      <w:bookmarkStart w:id="104" w:name="_Toc27231"/>
      <w:bookmarkStart w:id="105" w:name="_Toc14776"/>
      <w:bookmarkStart w:id="106" w:name="_Toc8016"/>
      <w:r>
        <w:rPr>
          <w:rFonts w:hint="default" w:ascii="Times New Roman" w:hAnsi="Times New Roman" w:cs="Times New Roman" w:eastAsiaTheme="minorEastAsia"/>
          <w:sz w:val="24"/>
          <w:szCs w:val="16"/>
          <w:lang w:val="en-US" w:eastAsia="zh-CN"/>
        </w:rPr>
        <w:t>6.</w:t>
      </w:r>
      <w:r>
        <w:rPr>
          <w:rFonts w:hint="default" w:ascii="Times New Roman" w:hAnsi="Times New Roman" w:cs="Times New Roman" w:eastAsiaTheme="minorEastAsia"/>
          <w:sz w:val="24"/>
          <w:szCs w:val="16"/>
        </w:rPr>
        <w:t xml:space="preserve"> Conclusion</w:t>
      </w:r>
      <w:bookmarkEnd w:id="103"/>
      <w:bookmarkEnd w:id="104"/>
      <w:bookmarkEnd w:id="105"/>
      <w:bookmarkEnd w:id="106"/>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Looking at the three organizational changes of Tencent Group, they are all strategic changes. Through the continuous optimization of corporate strategy with the times, the formulation of organizational reform plans and the establishment of a new organizational structure in a planned manner to better adapt to the uncertainties of the VUCA era (Canaday, S., 2019). Tencent's organizational changes have promoted three major changes from a single social platform to a one-stop Internet platform, from PC Internet to mobile Internet, and from consumer Internet to industrial Internet, helping Tencent become a leading Internet technology enterprise in the world, and the company's organizational efficiency has also been improved by leaps and bounds. In the past 20 years, the number of employees in Tencent has grown from less than 1,000 to more than 100,000. Established a complete industrial ecological chain, from a single instant messaging product to multiple business matrices such as communication and social networking, digital content, financial technology services, and digital tools;Operating income increased from RMB1.426 billion in 2005 to RMB554.552 billion in 2022 (Tencent, 2023). Tencent's organizational change practice has proved to be successful, becoming a technology giant on a par with Alibaba and Baidu (statista, 2023), which is not only due to the foresight of Mr. Ma Huateng, the founder and chairman of the board of directors, but also thanks to the scientific path and the support of all employees.</w:t>
      </w:r>
    </w:p>
    <w:p>
      <w:pPr>
        <w:pStyle w:val="2"/>
        <w:snapToGrid w:val="0"/>
        <w:spacing w:before="0" w:after="0" w:line="480" w:lineRule="auto"/>
        <w:ind w:firstLine="482" w:firstLineChars="200"/>
        <w:rPr>
          <w:rFonts w:hint="default" w:ascii="Times New Roman" w:hAnsi="Times New Roman" w:cs="Times New Roman" w:eastAsiaTheme="minorEastAsia"/>
          <w:sz w:val="24"/>
          <w:szCs w:val="16"/>
        </w:rPr>
      </w:pPr>
      <w:bookmarkStart w:id="107" w:name="_Toc15108"/>
      <w:bookmarkStart w:id="108" w:name="_Toc8901"/>
      <w:bookmarkStart w:id="109" w:name="_Toc17456"/>
      <w:bookmarkStart w:id="110" w:name="_Toc793"/>
      <w:r>
        <w:rPr>
          <w:rFonts w:hint="default" w:ascii="Times New Roman" w:hAnsi="Times New Roman" w:cs="Times New Roman" w:eastAsiaTheme="minorEastAsia"/>
          <w:sz w:val="24"/>
          <w:szCs w:val="16"/>
          <w:lang w:val="en-US" w:eastAsia="zh-CN"/>
        </w:rPr>
        <w:t>7.</w:t>
      </w:r>
      <w:r>
        <w:rPr>
          <w:rFonts w:hint="default" w:ascii="Times New Roman" w:hAnsi="Times New Roman" w:cs="Times New Roman" w:eastAsiaTheme="minorEastAsia"/>
          <w:sz w:val="24"/>
          <w:szCs w:val="16"/>
        </w:rPr>
        <w:t>suggestion</w:t>
      </w:r>
      <w:bookmarkEnd w:id="107"/>
      <w:bookmarkEnd w:id="108"/>
      <w:bookmarkEnd w:id="109"/>
      <w:bookmarkEnd w:id="110"/>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With the continuous iteration of AI technologies such as CHATGPT (Bahrini, A. et al., 2023), digitalization has become the driving force of the smart economy in the post-COVID-19 era (Reis, L., 2022), and the competitive environment faced by Tencent has gradually intensified, and users have higher expectations for Internet-based digital products. The recommendations are as follows:</w:t>
      </w:r>
    </w:p>
    <w:p>
      <w:pPr>
        <w:pStyle w:val="3"/>
        <w:snapToGrid w:val="0"/>
        <w:spacing w:before="0" w:after="0" w:line="480" w:lineRule="auto"/>
        <w:ind w:firstLine="482" w:firstLineChars="200"/>
        <w:rPr>
          <w:rFonts w:hint="default" w:ascii="Times New Roman" w:hAnsi="Times New Roman" w:eastAsia="黑体" w:cs="Times New Roman"/>
          <w:b/>
          <w:sz w:val="24"/>
          <w:szCs w:val="24"/>
        </w:rPr>
      </w:pPr>
      <w:bookmarkStart w:id="111" w:name="_Toc32666"/>
      <w:bookmarkStart w:id="112" w:name="_Toc5624"/>
      <w:bookmarkStart w:id="113" w:name="_Toc31411"/>
      <w:bookmarkStart w:id="114" w:name="_Toc22498"/>
      <w:r>
        <w:rPr>
          <w:rFonts w:hint="default" w:ascii="Times New Roman" w:hAnsi="Times New Roman" w:eastAsia="黑体" w:cs="Times New Roman"/>
          <w:b/>
          <w:sz w:val="24"/>
          <w:szCs w:val="24"/>
        </w:rPr>
        <w:t>7.1 Make organizational change an eternal topic for enterprises</w:t>
      </w:r>
      <w:bookmarkEnd w:id="111"/>
      <w:bookmarkEnd w:id="112"/>
      <w:bookmarkEnd w:id="113"/>
      <w:bookmarkEnd w:id="114"/>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Although Tencent has undergone three more successful organizational changes, this is not once and for all. With the progress of the times, the development of technology, and the changes in the business environment, no one organizational structure can be applied to all scenarios, and today's disruptive technologies and macroeconomic models have elevated organizational agility to the ranks of survival skills (Bleistein, S., 2017), and it is necessary to take change adjustment as an important part of the company's long-term management improvement, and cultivate the ability of "adaptive" strategic and organizational adjustment in order to effectively face future risks and challenges.</w:t>
      </w:r>
    </w:p>
    <w:p>
      <w:pPr>
        <w:pStyle w:val="3"/>
        <w:snapToGrid w:val="0"/>
        <w:spacing w:before="0" w:after="0" w:line="480" w:lineRule="auto"/>
        <w:ind w:firstLine="482" w:firstLineChars="200"/>
        <w:rPr>
          <w:rFonts w:hint="default" w:ascii="Times New Roman" w:hAnsi="Times New Roman" w:eastAsia="黑体" w:cs="Times New Roman"/>
          <w:b/>
          <w:sz w:val="24"/>
          <w:szCs w:val="24"/>
        </w:rPr>
      </w:pPr>
      <w:bookmarkStart w:id="115" w:name="_Toc23724"/>
      <w:bookmarkStart w:id="116" w:name="_Toc15836"/>
      <w:bookmarkStart w:id="117" w:name="_Toc20117"/>
      <w:bookmarkStart w:id="118" w:name="_Toc5781"/>
      <w:r>
        <w:rPr>
          <w:rFonts w:hint="default" w:ascii="Times New Roman" w:hAnsi="Times New Roman" w:eastAsia="黑体" w:cs="Times New Roman"/>
          <w:b/>
          <w:sz w:val="24"/>
          <w:szCs w:val="24"/>
        </w:rPr>
        <w:t>7.2 Accelerate the reshaping of management and business processes after organizational change</w:t>
      </w:r>
      <w:bookmarkEnd w:id="115"/>
      <w:bookmarkEnd w:id="116"/>
      <w:bookmarkEnd w:id="117"/>
      <w:bookmarkEnd w:id="118"/>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After the organizational change, the internal management relationship, extinction system, resource allocation and incentive mechanism have undergone great changes, Tencent should reshape the original management process with technology, scientifically adjust the human resource structure, ensure the enterprise's profitability, production efficiency, product development ability to achieve progress, and improve the overall competitiveness of the enterprise. At the same time, by optimizing business processes, enterprises are transformed into process-oriented enterprises (Bhaskar, L., 2018), and fundamental changes in the way enterprises operate and manage are realized.</w:t>
      </w:r>
    </w:p>
    <w:p>
      <w:pPr>
        <w:pStyle w:val="3"/>
        <w:snapToGrid w:val="0"/>
        <w:spacing w:before="0" w:after="0" w:line="480" w:lineRule="auto"/>
        <w:ind w:firstLine="482" w:firstLineChars="200"/>
        <w:rPr>
          <w:rFonts w:hint="default" w:ascii="Times New Roman" w:hAnsi="Times New Roman" w:cs="Times New Roman"/>
          <w:sz w:val="24"/>
        </w:rPr>
      </w:pPr>
      <w:bookmarkStart w:id="119" w:name="_Toc30119"/>
      <w:bookmarkStart w:id="120" w:name="_Toc32166"/>
      <w:bookmarkStart w:id="121" w:name="_Toc16672"/>
      <w:bookmarkStart w:id="122" w:name="_Toc642"/>
      <w:r>
        <w:rPr>
          <w:rFonts w:hint="default" w:ascii="Times New Roman" w:hAnsi="Times New Roman" w:cs="Times New Roman"/>
          <w:sz w:val="24"/>
        </w:rPr>
        <w:t>7.3 Build a learning organization</w:t>
      </w:r>
      <w:bookmarkEnd w:id="119"/>
      <w:bookmarkEnd w:id="120"/>
      <w:bookmarkEnd w:id="121"/>
      <w:bookmarkEnd w:id="122"/>
    </w:p>
    <w:p>
      <w:pPr>
        <w:snapToGrid w:val="0"/>
        <w:spacing w:beforeLines="0" w:afterLines="0" w:line="480" w:lineRule="auto"/>
        <w:ind w:firstLine="480" w:firstLineChars="200"/>
        <w:jc w:val="both"/>
        <w:rPr>
          <w:rFonts w:hint="eastAsia" w:ascii="Times New Roman" w:hAnsi="Times New Roman" w:eastAsia="Apple SD Gothic Neo" w:cs="Times New Roman"/>
          <w:sz w:val="24"/>
          <w:szCs w:val="24"/>
        </w:rPr>
      </w:pPr>
      <w:r>
        <w:rPr>
          <w:rFonts w:hint="eastAsia" w:ascii="Times New Roman" w:hAnsi="Times New Roman" w:eastAsia="Apple SD Gothic Neo" w:cs="Times New Roman"/>
          <w:sz w:val="24"/>
          <w:szCs w:val="24"/>
        </w:rPr>
        <w:t>Learning organization can give full play to the creative thinking ability of employees, is a flat, humane and sustainable organization. Performance-oriented digital transformation (Ifenthaler, D. et al., 2021) is an important direction for organizational development. When an organization changes, a learning organization helps to develop employees' lifelong learning and self-renewal capabilities, helping them adapt to new environments and new positions, so as to reduce resistance during organizational change.</w:t>
      </w:r>
    </w:p>
    <w:p>
      <w:pPr>
        <w:spacing w:line="240" w:lineRule="auto"/>
        <w:jc w:val="left"/>
        <w:outlineLvl w:val="9"/>
        <w:rPr>
          <w:rFonts w:ascii="Times New Roman" w:hAnsi="Times New Roman" w:eastAsia="Apple SD Gothic Neo" w:cs="Times New Roman"/>
          <w:b/>
          <w:bCs/>
          <w:sz w:val="24"/>
          <w:szCs w:val="24"/>
        </w:rPr>
      </w:pPr>
      <w:bookmarkStart w:id="123" w:name="_Toc19606"/>
      <w:bookmarkStart w:id="124" w:name="_Toc15365"/>
      <w:bookmarkStart w:id="125" w:name="_Toc7886"/>
      <w:bookmarkStart w:id="126" w:name="_Toc12580"/>
      <w:bookmarkStart w:id="127" w:name="_Toc12643"/>
      <w:bookmarkStart w:id="128" w:name="_Toc11173"/>
      <w:bookmarkStart w:id="129" w:name="_Toc29103"/>
      <w:bookmarkStart w:id="130" w:name="_Toc24333"/>
      <w:bookmarkStart w:id="131" w:name="_Toc2674"/>
      <w:bookmarkStart w:id="132" w:name="_Toc10563"/>
      <w:bookmarkStart w:id="133" w:name="_Toc12182"/>
      <w:bookmarkStart w:id="134" w:name="_Toc29949"/>
      <w:r>
        <w:rPr>
          <w:rFonts w:ascii="Times New Roman" w:hAnsi="Times New Roman" w:eastAsia="Apple SD Gothic Neo" w:cs="Times New Roman"/>
          <w:b/>
          <w:bCs/>
          <w:sz w:val="24"/>
          <w:szCs w:val="24"/>
        </w:rPr>
        <w:br w:type="page"/>
      </w:r>
    </w:p>
    <w:p>
      <w:pPr>
        <w:spacing w:line="480" w:lineRule="auto"/>
        <w:jc w:val="left"/>
        <w:outlineLvl w:val="0"/>
        <w:rPr>
          <w:rFonts w:ascii="Times New Roman" w:hAnsi="Times New Roman" w:eastAsia="Apple SD Gothic Neo" w:cs="Times New Roman"/>
          <w:b/>
          <w:bCs/>
          <w:sz w:val="24"/>
          <w:szCs w:val="24"/>
        </w:rPr>
      </w:pPr>
      <w:bookmarkStart w:id="135" w:name="_Toc18446"/>
      <w:bookmarkStart w:id="136" w:name="_Toc9241"/>
      <w:bookmarkStart w:id="137" w:name="_Toc24989"/>
      <w:bookmarkStart w:id="138" w:name="_Toc26907"/>
      <w:r>
        <w:rPr>
          <w:rFonts w:ascii="Times New Roman" w:hAnsi="Times New Roman" w:eastAsia="Apple SD Gothic Neo" w:cs="Times New Roman"/>
          <w:b/>
          <w:bCs/>
          <w:sz w:val="24"/>
          <w:szCs w:val="24"/>
        </w:rPr>
        <w:t>References</w:t>
      </w:r>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bookmarkStart w:id="139" w:name="_Toc15891"/>
      <w:bookmarkStart w:id="140" w:name="_Toc8794"/>
      <w:bookmarkStart w:id="141" w:name="_Toc20595"/>
      <w:r>
        <w:rPr>
          <w:rFonts w:hint="default" w:ascii="Times New Roman" w:hAnsi="Times New Roman" w:eastAsia="宋体" w:cs="Times New Roman"/>
          <w:sz w:val="22"/>
          <w:szCs w:val="22"/>
          <w:lang w:val="en-US" w:eastAsia="zh-CN"/>
        </w:rPr>
        <w:t>Ahmad, W., Kutan, A.M. and Gupta, S. (2021) ‘</w:t>
      </w:r>
      <w:r>
        <w:rPr>
          <w:rFonts w:hint="default" w:ascii="Times New Roman" w:hAnsi="Times New Roman" w:eastAsia="宋体" w:cs="Times New Roman"/>
          <w:i/>
          <w:iCs/>
          <w:sz w:val="22"/>
          <w:szCs w:val="22"/>
          <w:lang w:val="en-US" w:eastAsia="zh-CN"/>
        </w:rPr>
        <w:t>Black swan events and COVID-19 outbreak: Sector level evidence from the US, UK, and European stock markets</w:t>
      </w:r>
      <w:r>
        <w:rPr>
          <w:rFonts w:hint="default" w:ascii="Times New Roman" w:hAnsi="Times New Roman" w:eastAsia="宋体" w:cs="Times New Roman"/>
          <w:sz w:val="22"/>
          <w:szCs w:val="22"/>
          <w:lang w:val="en-US" w:eastAsia="zh-CN"/>
        </w:rPr>
        <w:t>’, International review of economics &amp; finance, 75, pp. 546–557. Available at: https://doi.org/10.1016/j.iref.2021.04.007.</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Bahrini, A. et al. (2023) ‘</w:t>
      </w:r>
      <w:r>
        <w:rPr>
          <w:rFonts w:hint="default" w:ascii="Times New Roman" w:hAnsi="Times New Roman" w:eastAsia="宋体" w:cs="Times New Roman"/>
          <w:i/>
          <w:iCs/>
          <w:sz w:val="22"/>
          <w:szCs w:val="22"/>
          <w:lang w:val="en-US" w:eastAsia="zh-CN"/>
        </w:rPr>
        <w:t>ChatGPT: Applications, Opportunities, and Threats</w:t>
      </w:r>
      <w:r>
        <w:rPr>
          <w:rFonts w:hint="default" w:ascii="Times New Roman" w:hAnsi="Times New Roman" w:eastAsia="宋体" w:cs="Times New Roman"/>
          <w:sz w:val="22"/>
          <w:szCs w:val="22"/>
          <w:lang w:val="en-US" w:eastAsia="zh-CN"/>
        </w:rPr>
        <w:t>’, arXiv.org [Preprint].</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Beltran, L. (2017) </w:t>
      </w:r>
      <w:r>
        <w:rPr>
          <w:rFonts w:hint="default" w:ascii="Times New Roman" w:hAnsi="Times New Roman" w:eastAsia="宋体" w:cs="Times New Roman"/>
          <w:i/>
          <w:iCs/>
          <w:sz w:val="22"/>
          <w:szCs w:val="22"/>
          <w:lang w:val="en-US" w:eastAsia="zh-CN"/>
        </w:rPr>
        <w:t>Tencent scoops up 10 pct of Snap</w:t>
      </w:r>
      <w:r>
        <w:rPr>
          <w:rFonts w:hint="default" w:ascii="Times New Roman" w:hAnsi="Times New Roman" w:eastAsia="宋体" w:cs="Times New Roman"/>
          <w:sz w:val="22"/>
          <w:szCs w:val="22"/>
          <w:lang w:val="en-US" w:eastAsia="zh-CN"/>
        </w:rPr>
        <w:t>: Financial Times. New York: PEI Media Group.</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Bhaskar, L.(2018) ‘</w:t>
      </w:r>
      <w:r>
        <w:rPr>
          <w:rFonts w:hint="default" w:ascii="Times New Roman" w:hAnsi="Times New Roman" w:eastAsia="宋体" w:cs="Times New Roman"/>
          <w:i/>
          <w:iCs/>
          <w:sz w:val="22"/>
          <w:szCs w:val="22"/>
          <w:lang w:val="en-US" w:eastAsia="zh-CN"/>
        </w:rPr>
        <w:t>Business process reengineering: A process based management tool</w:t>
      </w:r>
      <w:r>
        <w:rPr>
          <w:rFonts w:hint="default" w:ascii="Times New Roman" w:hAnsi="Times New Roman" w:eastAsia="宋体" w:cs="Times New Roman"/>
          <w:sz w:val="22"/>
          <w:szCs w:val="22"/>
          <w:lang w:val="en-US" w:eastAsia="zh-CN"/>
        </w:rPr>
        <w:t>’,Serbian journal of management, 13(1), pp. 63–87. Available at: https://doi.org/10.5937/sjm13-13188.</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Bleistein,S.(2017) </w:t>
      </w:r>
      <w:r>
        <w:rPr>
          <w:rFonts w:hint="default" w:ascii="Times New Roman" w:hAnsi="Times New Roman" w:eastAsia="宋体" w:cs="Times New Roman"/>
          <w:i/>
          <w:iCs/>
          <w:sz w:val="22"/>
          <w:szCs w:val="22"/>
          <w:lang w:val="en-US" w:eastAsia="zh-CN"/>
        </w:rPr>
        <w:t>Rapid organizational change. 1st edition</w:t>
      </w:r>
      <w:r>
        <w:rPr>
          <w:rFonts w:hint="default" w:ascii="Times New Roman" w:hAnsi="Times New Roman" w:eastAsia="宋体" w:cs="Times New Roman"/>
          <w:sz w:val="22"/>
          <w:szCs w:val="22"/>
          <w:lang w:val="en-US" w:eastAsia="zh-CN"/>
        </w:rPr>
        <w:t>. Hoboken, New Jersey: Wiley.</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Canaday,S.(2019) </w:t>
      </w:r>
      <w:r>
        <w:rPr>
          <w:rFonts w:hint="default" w:ascii="Times New Roman" w:hAnsi="Times New Roman" w:eastAsia="宋体" w:cs="Times New Roman"/>
          <w:i/>
          <w:iCs/>
          <w:sz w:val="22"/>
          <w:szCs w:val="22"/>
          <w:lang w:val="en-US" w:eastAsia="zh-CN"/>
        </w:rPr>
        <w:t>Counterintuitive Leadership Strategies for a VUCA (Volatile, Uncertain, Complex, Ambiguous) Environment</w:t>
      </w:r>
      <w:r>
        <w:rPr>
          <w:rFonts w:hint="default" w:ascii="Times New Roman" w:hAnsi="Times New Roman" w:eastAsia="宋体" w:cs="Times New Roman"/>
          <w:sz w:val="22"/>
          <w:szCs w:val="22"/>
          <w:lang w:val="en-US" w:eastAsia="zh-CN"/>
        </w:rPr>
        <w:t>. Carpenteria, CA: linkedin.com.</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Coe, N.M. and Yang, C. (2022) ‘</w:t>
      </w:r>
      <w:r>
        <w:rPr>
          <w:rFonts w:hint="default" w:ascii="Times New Roman" w:hAnsi="Times New Roman" w:eastAsia="宋体" w:cs="Times New Roman"/>
          <w:i/>
          <w:iCs/>
          <w:sz w:val="22"/>
          <w:szCs w:val="22"/>
          <w:lang w:val="en-US" w:eastAsia="zh-CN"/>
        </w:rPr>
        <w:t>Mobile Gaming Production Networks, Platform Business Groups, and the Market Power of China’s Tencent</w:t>
      </w:r>
      <w:r>
        <w:rPr>
          <w:rFonts w:hint="default" w:ascii="Times New Roman" w:hAnsi="Times New Roman" w:eastAsia="宋体" w:cs="Times New Roman"/>
          <w:sz w:val="22"/>
          <w:szCs w:val="22"/>
          <w:lang w:val="en-US" w:eastAsia="zh-CN"/>
        </w:rPr>
        <w:t>’, Annals of the American Association of Geographers, 112(2), pp. 307–330. Available at: https://doi.org/10.1080/24694452.2021.1933887.</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Cummings, S., Bridgman, T. and Brown, K.G. (2016) ‘</w:t>
      </w:r>
      <w:r>
        <w:rPr>
          <w:rFonts w:hint="default" w:ascii="Times New Roman" w:hAnsi="Times New Roman" w:eastAsia="宋体" w:cs="Times New Roman"/>
          <w:i/>
          <w:iCs/>
          <w:sz w:val="22"/>
          <w:szCs w:val="22"/>
          <w:lang w:val="en-US" w:eastAsia="zh-CN"/>
        </w:rPr>
        <w:t>Unfreezing change as three steps: Rethinking Kurt Lewin’s legacy for change management’</w:t>
      </w:r>
      <w:r>
        <w:rPr>
          <w:rFonts w:hint="default" w:ascii="Times New Roman" w:hAnsi="Times New Roman" w:eastAsia="宋体" w:cs="Times New Roman"/>
          <w:sz w:val="22"/>
          <w:szCs w:val="22"/>
          <w:lang w:val="en-US" w:eastAsia="zh-CN"/>
        </w:rPr>
        <w:t>, Human relations (New York), 69(1), pp. 33–60. Available at: https://doi.org/10.1177/0018726715577707.</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Davis, M. (2020) ‘</w:t>
      </w:r>
      <w:r>
        <w:rPr>
          <w:rFonts w:hint="default" w:ascii="Times New Roman" w:hAnsi="Times New Roman" w:eastAsia="宋体" w:cs="Times New Roman"/>
          <w:i/>
          <w:iCs/>
          <w:sz w:val="22"/>
          <w:szCs w:val="22"/>
          <w:lang w:val="en-US" w:eastAsia="zh-CN"/>
        </w:rPr>
        <w:t>Tencent Music scores smash hit with $800m bond debut, builds $13bn book</w:t>
      </w:r>
      <w:r>
        <w:rPr>
          <w:rFonts w:hint="default" w:ascii="Times New Roman" w:hAnsi="Times New Roman" w:eastAsia="宋体" w:cs="Times New Roman"/>
          <w:sz w:val="22"/>
          <w:szCs w:val="22"/>
          <w:lang w:val="en-US" w:eastAsia="zh-CN"/>
        </w:rPr>
        <w:t>’, Global Capital [Preprint].</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El-Amin, A. (2022) </w:t>
      </w:r>
      <w:r>
        <w:rPr>
          <w:rFonts w:hint="default" w:ascii="Times New Roman" w:hAnsi="Times New Roman" w:eastAsia="宋体" w:cs="Times New Roman"/>
          <w:i/>
          <w:iCs/>
          <w:sz w:val="22"/>
          <w:szCs w:val="22"/>
          <w:lang w:val="en-US" w:eastAsia="zh-CN"/>
        </w:rPr>
        <w:t>Implementing diversity, equity, inclusion, and belonging management in organizational change initiatives</w:t>
      </w:r>
      <w:r>
        <w:rPr>
          <w:rFonts w:hint="default" w:ascii="Times New Roman" w:hAnsi="Times New Roman" w:eastAsia="宋体" w:cs="Times New Roman"/>
          <w:sz w:val="22"/>
          <w:szCs w:val="22"/>
          <w:lang w:val="en-US" w:eastAsia="zh-CN"/>
        </w:rPr>
        <w:t>. Edited by A. El-Amin. Hershey, PA: IGI Global.</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FourWeekMBA.(2023)‘</w:t>
      </w:r>
      <w:r>
        <w:rPr>
          <w:rFonts w:hint="default" w:ascii="Times New Roman" w:hAnsi="Times New Roman" w:eastAsia="宋体" w:cs="Times New Roman"/>
          <w:i/>
          <w:iCs/>
          <w:sz w:val="22"/>
          <w:szCs w:val="22"/>
          <w:lang w:val="en-US" w:eastAsia="zh-CN"/>
        </w:rPr>
        <w:t>The Leading Source of Insights On Business Model Strategy &amp; Tech Business Models</w:t>
      </w:r>
      <w:r>
        <w:rPr>
          <w:rFonts w:hint="default" w:ascii="Times New Roman" w:hAnsi="Times New Roman" w:eastAsia="宋体" w:cs="Times New Roman"/>
          <w:sz w:val="22"/>
          <w:szCs w:val="22"/>
          <w:lang w:val="en-US" w:eastAsia="zh-CN"/>
        </w:rPr>
        <w:t>’，Available at:https://fourweekmba.com/u-vs-m-form-organizational-structure/</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Fredberg, T. and Pregmark, J.E. (2022) ‘</w:t>
      </w:r>
      <w:r>
        <w:rPr>
          <w:rFonts w:hint="default" w:ascii="Times New Roman" w:hAnsi="Times New Roman" w:eastAsia="宋体" w:cs="Times New Roman"/>
          <w:i/>
          <w:iCs/>
          <w:sz w:val="22"/>
          <w:szCs w:val="22"/>
          <w:lang w:val="en-US" w:eastAsia="zh-CN"/>
        </w:rPr>
        <w:t>Organizational transformation: Handling the double-edged sword of urgency</w:t>
      </w:r>
      <w:r>
        <w:rPr>
          <w:rFonts w:hint="default" w:ascii="Times New Roman" w:hAnsi="Times New Roman" w:eastAsia="宋体" w:cs="Times New Roman"/>
          <w:sz w:val="22"/>
          <w:szCs w:val="22"/>
          <w:lang w:val="en-US" w:eastAsia="zh-CN"/>
        </w:rPr>
        <w:t>’, Long range planning, 55(2), p. 102091–. Available at: https://doi.org/10.1016/j.lrp.2021.102091.</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Goksoy, A. (2016) ‘</w:t>
      </w:r>
      <w:r>
        <w:rPr>
          <w:rFonts w:hint="default" w:ascii="Times New Roman" w:hAnsi="Times New Roman" w:eastAsia="宋体" w:cs="Times New Roman"/>
          <w:i/>
          <w:iCs/>
          <w:sz w:val="22"/>
          <w:szCs w:val="22"/>
          <w:lang w:val="en-US" w:eastAsia="zh-CN"/>
        </w:rPr>
        <w:t>The Roles of Organizational Change Management and Resistance to Change in the Modern Business World</w:t>
      </w:r>
      <w:r>
        <w:rPr>
          <w:rFonts w:hint="default" w:ascii="Times New Roman" w:hAnsi="Times New Roman" w:eastAsia="宋体" w:cs="Times New Roman"/>
          <w:sz w:val="22"/>
          <w:szCs w:val="22"/>
          <w:lang w:val="en-US" w:eastAsia="zh-CN"/>
        </w:rPr>
        <w:t>’, in Organizational Change Management Strategies in Modern Business. United States: IGI Global, pp. 143–171. Available at: https://doi.org/10.4018/978-1-4666-9533-7.ch008.</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Helms-Mills, J., Dye, K. and Mills, A.J. (2008) </w:t>
      </w:r>
      <w:r>
        <w:rPr>
          <w:rFonts w:hint="default" w:ascii="Times New Roman" w:hAnsi="Times New Roman" w:eastAsia="宋体" w:cs="Times New Roman"/>
          <w:i/>
          <w:iCs/>
          <w:sz w:val="22"/>
          <w:szCs w:val="22"/>
          <w:lang w:val="en-US" w:eastAsia="zh-CN"/>
        </w:rPr>
        <w:t>Understanding organizational change</w:t>
      </w:r>
      <w:r>
        <w:rPr>
          <w:rFonts w:hint="default" w:ascii="Times New Roman" w:hAnsi="Times New Roman" w:eastAsia="宋体" w:cs="Times New Roman"/>
          <w:sz w:val="22"/>
          <w:szCs w:val="22"/>
          <w:lang w:val="en-US" w:eastAsia="zh-CN"/>
        </w:rPr>
        <w:t>. London: Routledge.</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Hong, Y. et al. (2020)‘</w:t>
      </w:r>
      <w:r>
        <w:rPr>
          <w:rFonts w:hint="default" w:ascii="Times New Roman" w:hAnsi="Times New Roman" w:eastAsia="宋体" w:cs="Times New Roman"/>
          <w:i/>
          <w:iCs/>
          <w:sz w:val="22"/>
          <w:szCs w:val="22"/>
          <w:lang w:val="en-US" w:eastAsia="zh-CN"/>
        </w:rPr>
        <w:t>Internal Market Strategy of Offshore Oil Enterprises Based on Amoeba Operation Model</w:t>
      </w:r>
      <w:r>
        <w:rPr>
          <w:rFonts w:hint="default" w:ascii="Times New Roman" w:hAnsi="Times New Roman" w:eastAsia="宋体" w:cs="Times New Roman"/>
          <w:sz w:val="22"/>
          <w:szCs w:val="22"/>
          <w:lang w:val="en-US" w:eastAsia="zh-CN"/>
        </w:rPr>
        <w:t>’, Journal of coastal research, 111(sp1), pp. 209–213. Available at: https://doi.org/10.2112/JCR-SI111-036.1.</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Hongcheng lv,(2023)‘</w:t>
      </w:r>
      <w:r>
        <w:rPr>
          <w:rFonts w:hint="default" w:ascii="Times New Roman" w:hAnsi="Times New Roman" w:eastAsia="宋体" w:cs="Times New Roman"/>
          <w:i/>
          <w:iCs/>
          <w:sz w:val="22"/>
          <w:szCs w:val="22"/>
          <w:lang w:val="en-US" w:eastAsia="zh-CN"/>
        </w:rPr>
        <w:t>Only by keeping pace with the times can we maintain our vitality forever</w:t>
      </w:r>
      <w:r>
        <w:rPr>
          <w:rFonts w:hint="default" w:ascii="Times New Roman" w:hAnsi="Times New Roman" w:eastAsia="宋体" w:cs="Times New Roman"/>
          <w:sz w:val="22"/>
          <w:szCs w:val="22"/>
          <w:lang w:val="en-US" w:eastAsia="zh-CN"/>
        </w:rPr>
        <w:t>’.https://ev.turnitinuk.com/app/carta/en_us/?student_user=1&amp;o=198023424&amp;u=18092693&amp;lang=en_us</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Ifenthaler, D. et al. (2021) </w:t>
      </w:r>
      <w:r>
        <w:rPr>
          <w:rFonts w:hint="default" w:ascii="Times New Roman" w:hAnsi="Times New Roman" w:eastAsia="宋体" w:cs="Times New Roman"/>
          <w:i/>
          <w:iCs/>
          <w:sz w:val="22"/>
          <w:szCs w:val="22"/>
          <w:lang w:val="en-US" w:eastAsia="zh-CN"/>
        </w:rPr>
        <w:t>Digital Transformation of Learning Organizations</w:t>
      </w:r>
      <w:r>
        <w:rPr>
          <w:rFonts w:hint="default" w:ascii="Times New Roman" w:hAnsi="Times New Roman" w:eastAsia="宋体" w:cs="Times New Roman"/>
          <w:sz w:val="22"/>
          <w:szCs w:val="22"/>
          <w:lang w:val="en-US" w:eastAsia="zh-CN"/>
        </w:rPr>
        <w:t>. 1st ed. 2021. Edited by D. Ifenthaler et al. Cham: Springer Nature. Available at: https://doi.org/10.1007/978-3-030-55878-9.</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Johnstone, S. and Ackers, P. (2015) </w:t>
      </w:r>
      <w:r>
        <w:rPr>
          <w:rFonts w:hint="default" w:ascii="Times New Roman" w:hAnsi="Times New Roman" w:eastAsia="宋体" w:cs="Times New Roman"/>
          <w:i/>
          <w:iCs/>
          <w:sz w:val="22"/>
          <w:szCs w:val="22"/>
          <w:lang w:val="en-US" w:eastAsia="zh-CN"/>
        </w:rPr>
        <w:t>Finding a voice at work? : new perspectives on employment relations</w:t>
      </w:r>
      <w:r>
        <w:rPr>
          <w:rFonts w:hint="default" w:ascii="Times New Roman" w:hAnsi="Times New Roman" w:eastAsia="宋体" w:cs="Times New Roman"/>
          <w:sz w:val="22"/>
          <w:szCs w:val="22"/>
          <w:lang w:val="en-US" w:eastAsia="zh-CN"/>
        </w:rPr>
        <w:t>. First edition. Edited by S. Johnstone and P. Ackers. Oxford: Oxford University Press.</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Kotter, J.P.(2012) </w:t>
      </w:r>
      <w:r>
        <w:rPr>
          <w:rFonts w:hint="default" w:ascii="Times New Roman" w:hAnsi="Times New Roman" w:eastAsia="宋体" w:cs="Times New Roman"/>
          <w:i/>
          <w:iCs/>
          <w:sz w:val="22"/>
          <w:szCs w:val="22"/>
          <w:lang w:val="en-US" w:eastAsia="zh-CN"/>
        </w:rPr>
        <w:t>Leading change. Boston, Massachusetts: Harvard Business Review Press.</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Marx, T.G. (2016) ‘</w:t>
      </w:r>
      <w:r>
        <w:rPr>
          <w:rFonts w:hint="default" w:ascii="Times New Roman" w:hAnsi="Times New Roman" w:eastAsia="宋体" w:cs="Times New Roman"/>
          <w:i/>
          <w:iCs/>
          <w:sz w:val="22"/>
          <w:szCs w:val="22"/>
          <w:lang w:val="en-US" w:eastAsia="zh-CN"/>
        </w:rPr>
        <w:t>The impacts of business strategy on organizational structure</w:t>
      </w:r>
      <w:r>
        <w:rPr>
          <w:rFonts w:hint="default" w:ascii="Times New Roman" w:hAnsi="Times New Roman" w:eastAsia="宋体" w:cs="Times New Roman"/>
          <w:sz w:val="22"/>
          <w:szCs w:val="22"/>
          <w:lang w:val="en-US" w:eastAsia="zh-CN"/>
        </w:rPr>
        <w:t>’, Journal of management history (2006), 22(3), pp. 249–268. Available at: https://doi.org/10.1108/JMH-01-2016-0003.</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McKinsey,(2023)‘</w:t>
      </w:r>
      <w:r>
        <w:rPr>
          <w:rFonts w:hint="default" w:ascii="Times New Roman" w:hAnsi="Times New Roman" w:eastAsia="宋体" w:cs="Times New Roman"/>
          <w:i/>
          <w:iCs/>
          <w:sz w:val="22"/>
          <w:szCs w:val="22"/>
          <w:lang w:val="en-US" w:eastAsia="zh-CN"/>
        </w:rPr>
        <w:t>Psychological safety and leadership development</w:t>
      </w:r>
      <w:r>
        <w:rPr>
          <w:rFonts w:hint="default" w:ascii="Times New Roman" w:hAnsi="Times New Roman" w:eastAsia="宋体" w:cs="Times New Roman"/>
          <w:sz w:val="22"/>
          <w:szCs w:val="22"/>
          <w:lang w:val="en-US" w:eastAsia="zh-CN"/>
        </w:rPr>
        <w:t>’Available at: https://www.mckinsey.com/capabilities/people-and-organizational-performance/our-insights/psychological-safety-and-the-critical-role-of-leadership-development</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Reis, L. (2022)</w:t>
      </w:r>
      <w:r>
        <w:rPr>
          <w:rFonts w:hint="default" w:ascii="Times New Roman" w:hAnsi="Times New Roman" w:eastAsia="宋体" w:cs="Times New Roman"/>
          <w:i/>
          <w:iCs/>
          <w:sz w:val="22"/>
          <w:szCs w:val="22"/>
          <w:lang w:val="en-US" w:eastAsia="zh-CN"/>
        </w:rPr>
        <w:t xml:space="preserve"> Digitalization as a driver for smart economy in the post-COVID-19 era</w:t>
      </w:r>
      <w:r>
        <w:rPr>
          <w:rFonts w:hint="default" w:ascii="Times New Roman" w:hAnsi="Times New Roman" w:eastAsia="宋体" w:cs="Times New Roman"/>
          <w:sz w:val="22"/>
          <w:szCs w:val="22"/>
          <w:lang w:val="en-US" w:eastAsia="zh-CN"/>
        </w:rPr>
        <w:t>. Hershey, PA: IGI Global.</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Robbins, S.P. and Judge, T. (2017) </w:t>
      </w:r>
      <w:r>
        <w:rPr>
          <w:rFonts w:hint="default" w:ascii="Times New Roman" w:hAnsi="Times New Roman" w:eastAsia="宋体" w:cs="Times New Roman"/>
          <w:i/>
          <w:iCs/>
          <w:sz w:val="22"/>
          <w:szCs w:val="22"/>
          <w:lang w:val="en-US" w:eastAsia="zh-CN"/>
        </w:rPr>
        <w:t>Organizational behavior</w:t>
      </w:r>
      <w:r>
        <w:rPr>
          <w:rFonts w:hint="default" w:ascii="Times New Roman" w:hAnsi="Times New Roman" w:eastAsia="宋体" w:cs="Times New Roman"/>
          <w:sz w:val="22"/>
          <w:szCs w:val="22"/>
          <w:lang w:val="en-US" w:eastAsia="zh-CN"/>
        </w:rPr>
        <w:t xml:space="preserve"> / Stephen P. Robbins, Timothy A. Judge. 17 edition, Global edition. Harlow: Pearson.</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 xml:space="preserve">Senior, B. et al. (2020) </w:t>
      </w:r>
      <w:r>
        <w:rPr>
          <w:rFonts w:hint="default" w:ascii="Times New Roman" w:hAnsi="Times New Roman" w:eastAsia="宋体" w:cs="Times New Roman"/>
          <w:i/>
          <w:iCs/>
          <w:sz w:val="22"/>
          <w:szCs w:val="22"/>
          <w:lang w:val="en-US" w:eastAsia="zh-CN"/>
        </w:rPr>
        <w:t>Organizational change</w:t>
      </w:r>
      <w:r>
        <w:rPr>
          <w:rFonts w:hint="default" w:ascii="Times New Roman" w:hAnsi="Times New Roman" w:eastAsia="宋体" w:cs="Times New Roman"/>
          <w:sz w:val="22"/>
          <w:szCs w:val="22"/>
          <w:lang w:val="en-US" w:eastAsia="zh-CN"/>
        </w:rPr>
        <w:t>. Sixth edition. Harlow, United Kingdom ;: Pearson.</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Statista.(2023)‘</w:t>
      </w:r>
      <w:r>
        <w:rPr>
          <w:rFonts w:hint="default" w:ascii="Times New Roman" w:hAnsi="Times New Roman" w:eastAsia="宋体" w:cs="Times New Roman"/>
          <w:i/>
          <w:iCs/>
          <w:sz w:val="22"/>
          <w:szCs w:val="22"/>
          <w:lang w:val="en-US" w:eastAsia="zh-CN"/>
        </w:rPr>
        <w:t>Leading internet companies in China as of 2022, based on market valuation</w:t>
      </w:r>
      <w:r>
        <w:rPr>
          <w:rFonts w:hint="default" w:ascii="Times New Roman" w:hAnsi="Times New Roman" w:eastAsia="宋体" w:cs="Times New Roman"/>
          <w:sz w:val="22"/>
          <w:szCs w:val="22"/>
          <w:lang w:val="en-US" w:eastAsia="zh-CN"/>
        </w:rPr>
        <w:t>’,Available at:https://www.statista.com/statistics/954867/china-leading-internet-companies-based-on-market-value/</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Tencent.(2005),‘</w:t>
      </w:r>
      <w:r>
        <w:rPr>
          <w:rFonts w:hint="default" w:ascii="Times New Roman" w:hAnsi="Times New Roman" w:eastAsia="宋体" w:cs="Times New Roman"/>
          <w:i/>
          <w:iCs/>
          <w:sz w:val="22"/>
          <w:szCs w:val="22"/>
          <w:lang w:val="en-US" w:eastAsia="zh-CN"/>
        </w:rPr>
        <w:t>Annual Report 2005</w:t>
      </w:r>
      <w:r>
        <w:rPr>
          <w:rFonts w:hint="default" w:ascii="Times New Roman" w:hAnsi="Times New Roman" w:eastAsia="宋体" w:cs="Times New Roman"/>
          <w:sz w:val="22"/>
          <w:szCs w:val="22"/>
          <w:lang w:val="en-US" w:eastAsia="zh-CN"/>
        </w:rPr>
        <w:t>’,https://static.www.tencent.com/storage/uploads/2019/11/09/98cecbd878e164721fa98a1563e98e32.pdf</w:t>
      </w:r>
    </w:p>
    <w:p>
      <w:pPr>
        <w:keepNext w:val="0"/>
        <w:keepLines w:val="0"/>
        <w:pageBreakBefore w:val="0"/>
        <w:widowControl w:val="0"/>
        <w:kinsoku/>
        <w:wordWrap w:val="0"/>
        <w:overflowPunct/>
        <w:topLinePunct/>
        <w:autoSpaceDE/>
        <w:autoSpaceDN/>
        <w:bidi w:val="0"/>
        <w:adjustRightInd/>
        <w:snapToGrid/>
        <w:spacing w:line="480" w:lineRule="auto"/>
        <w:jc w:val="both"/>
        <w:textAlignment w:val="auto"/>
        <w:rPr>
          <w:rFonts w:hint="default" w:ascii="Times New Roman" w:hAnsi="Times New Roman" w:eastAsia="宋体" w:cs="Times New Roman"/>
          <w:sz w:val="22"/>
          <w:szCs w:val="22"/>
          <w:lang w:val="en-US" w:eastAsia="zh-CN"/>
        </w:rPr>
      </w:pPr>
      <w:r>
        <w:rPr>
          <w:rFonts w:hint="default" w:ascii="Times New Roman" w:hAnsi="Times New Roman" w:eastAsia="宋体" w:cs="Times New Roman"/>
          <w:sz w:val="22"/>
          <w:szCs w:val="22"/>
          <w:lang w:val="en-US" w:eastAsia="zh-CN"/>
        </w:rPr>
        <w:t>tencent.(2023)‘</w:t>
      </w:r>
      <w:r>
        <w:rPr>
          <w:rFonts w:hint="default" w:ascii="Times New Roman" w:hAnsi="Times New Roman" w:eastAsia="宋体" w:cs="Times New Roman"/>
          <w:i/>
          <w:iCs/>
          <w:sz w:val="22"/>
          <w:szCs w:val="22"/>
          <w:lang w:val="en-US" w:eastAsia="zh-CN"/>
        </w:rPr>
        <w:t>Annual Report 2022</w:t>
      </w:r>
      <w:r>
        <w:rPr>
          <w:rFonts w:hint="default" w:ascii="Times New Roman" w:hAnsi="Times New Roman" w:eastAsia="宋体" w:cs="Times New Roman"/>
          <w:sz w:val="22"/>
          <w:szCs w:val="22"/>
          <w:lang w:val="en-US" w:eastAsia="zh-CN"/>
        </w:rPr>
        <w:t>’,Available at: https://static.www.tencent.com/uploads/2023/04/06/eac54c79c67d8a501bc4b65ff1718223.pdf</w:t>
      </w:r>
    </w:p>
    <w:bookmarkEnd w:id="139"/>
    <w:bookmarkEnd w:id="140"/>
    <w:bookmarkEnd w:id="141"/>
    <w:p>
      <w:pPr>
        <w:widowControl/>
        <w:wordWrap w:val="0"/>
        <w:spacing w:line="480" w:lineRule="auto"/>
        <w:ind w:firstLine="480" w:firstLineChars="200"/>
        <w:jc w:val="left"/>
        <w:rPr>
          <w:rFonts w:ascii="Times New Roman" w:hAnsi="Times New Roman" w:eastAsia="Apple SD Gothic Neo" w:cs="Times New Roman"/>
          <w:sz w:val="24"/>
          <w:szCs w:val="24"/>
        </w:rPr>
      </w:pPr>
    </w:p>
    <w:sectPr>
      <w:footerReference r:id="rId3" w:type="default"/>
      <w:pgSz w:w="11906" w:h="16838"/>
      <w:pgMar w:top="1871" w:right="1417" w:bottom="1984"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ple SD Gothic Ne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方正仿宋简体">
    <w:panose1 w:val="02000000000000000000"/>
    <w:charset w:val="86"/>
    <w:family w:val="auto"/>
    <w:pitch w:val="default"/>
    <w:sig w:usb0="A00002BF" w:usb1="184F6CFA" w:usb2="00000012" w:usb3="00000000" w:csb0="00040001" w:csb1="00000000"/>
  </w:font>
  <w:font w:name="微软雅黑">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Yu Gothic Light">
    <w:panose1 w:val="020B0300000000000000"/>
    <w:charset w:val="80"/>
    <w:family w:val="auto"/>
    <w:pitch w:val="default"/>
    <w:sig w:usb0="E00002FF" w:usb1="2AC7FDFF" w:usb2="00000016" w:usb3="00000000" w:csb0="2002009F" w:csb1="00000000"/>
  </w:font>
  <w:font w:name="Helvetica">
    <w:altName w:val="Arial"/>
    <w:panose1 w:val="00000000000000000000"/>
    <w:charset w:val="00"/>
    <w:family w:val="auto"/>
    <w:pitch w:val="default"/>
    <w:sig w:usb0="00000000" w:usb1="00000000" w:usb2="00000000" w:usb3="00000000" w:csb0="00000000" w:csb1="00000000"/>
  </w:font>
  <w:font w:name="SimSun-ExtB">
    <w:panose1 w:val="02010609060101010101"/>
    <w:charset w:val="86"/>
    <w:family w:val="auto"/>
    <w:pitch w:val="default"/>
    <w:sig w:usb0="00000001" w:usb1="02000000" w:usb2="00000000" w:usb3="00000000" w:csb0="00040001" w:csb1="00000000"/>
  </w:font>
  <w:font w:name="方正小标宋简体">
    <w:panose1 w:val="02000000000000000000"/>
    <w:charset w:val="86"/>
    <w:family w:val="auto"/>
    <w:pitch w:val="default"/>
    <w:sig w:usb0="A00002BF" w:usb1="184F6CFA" w:usb2="00000012" w:usb3="00000000" w:csb0="00040001"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9j2DAsAgAAV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r2PYMCwCAABVBAAADgAAAAAAAAABACAAAAAfAQAAZHJzL2Uyb0RvYy54bWxQSwUGAAAAAAYA&#10;BgBZAQAAvQ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trackRevisions w:val="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BreakWrappedTables/>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241DDC"/>
    <w:rsid w:val="098B2B38"/>
    <w:rsid w:val="0C761EFE"/>
    <w:rsid w:val="10827189"/>
    <w:rsid w:val="10BA0C81"/>
    <w:rsid w:val="11040390"/>
    <w:rsid w:val="1B760C4C"/>
    <w:rsid w:val="23D65B61"/>
    <w:rsid w:val="25DB04AA"/>
    <w:rsid w:val="2854796B"/>
    <w:rsid w:val="2EE017F6"/>
    <w:rsid w:val="31711527"/>
    <w:rsid w:val="380B27D1"/>
    <w:rsid w:val="3A7A4321"/>
    <w:rsid w:val="3EB53308"/>
    <w:rsid w:val="41801CD7"/>
    <w:rsid w:val="422A5E1B"/>
    <w:rsid w:val="46C72DDE"/>
    <w:rsid w:val="47950E01"/>
    <w:rsid w:val="49BD682B"/>
    <w:rsid w:val="4CB52102"/>
    <w:rsid w:val="4F9520E4"/>
    <w:rsid w:val="50747DE8"/>
    <w:rsid w:val="52CD5F49"/>
    <w:rsid w:val="586410EB"/>
    <w:rsid w:val="5A0709C0"/>
    <w:rsid w:val="5AC06614"/>
    <w:rsid w:val="5C1179B7"/>
    <w:rsid w:val="5C717789"/>
    <w:rsid w:val="5C961E51"/>
    <w:rsid w:val="5CA065E6"/>
    <w:rsid w:val="61366B09"/>
    <w:rsid w:val="67743AC7"/>
    <w:rsid w:val="6BD37A27"/>
    <w:rsid w:val="6BFD15B9"/>
    <w:rsid w:val="75641328"/>
    <w:rsid w:val="76566332"/>
    <w:rsid w:val="7994458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2">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7">
    <w:name w:val="toc 1"/>
    <w:basedOn w:val="1"/>
    <w:next w:val="1"/>
    <w:qFormat/>
    <w:uiPriority w:val="0"/>
  </w:style>
  <w:style w:type="paragraph" w:styleId="8">
    <w:name w:val="footnote text"/>
    <w:basedOn w:val="1"/>
    <w:qFormat/>
    <w:uiPriority w:val="0"/>
    <w:pPr>
      <w:snapToGrid w:val="0"/>
      <w:jc w:val="left"/>
    </w:pPr>
    <w:rPr>
      <w:sz w:val="18"/>
    </w:rPr>
  </w:style>
  <w:style w:type="paragraph" w:styleId="9">
    <w:name w:val="toc 2"/>
    <w:basedOn w:val="1"/>
    <w:next w:val="1"/>
    <w:qFormat/>
    <w:uiPriority w:val="0"/>
    <w:pPr>
      <w:ind w:left="420" w:leftChars="200"/>
    </w:pPr>
  </w:style>
  <w:style w:type="paragraph" w:styleId="10">
    <w:name w:val="Normal (Web)"/>
    <w:basedOn w:val="1"/>
    <w:qFormat/>
    <w:uiPriority w:val="0"/>
    <w:pPr>
      <w:spacing w:beforeAutospacing="1" w:afterAutospacing="1"/>
      <w:jc w:val="left"/>
    </w:pPr>
    <w:rPr>
      <w:rFonts w:cs="Times New Roman"/>
      <w:kern w:val="0"/>
      <w:sz w:val="24"/>
    </w:rPr>
  </w:style>
  <w:style w:type="character" w:styleId="13">
    <w:name w:val="Strong"/>
    <w:basedOn w:val="12"/>
    <w:qFormat/>
    <w:uiPriority w:val="0"/>
    <w:rPr>
      <w:b/>
    </w:rPr>
  </w:style>
  <w:style w:type="character" w:styleId="14">
    <w:name w:val="FollowedHyperlink"/>
    <w:basedOn w:val="12"/>
    <w:qFormat/>
    <w:uiPriority w:val="0"/>
    <w:rPr>
      <w:color w:val="800080"/>
      <w:u w:val="single"/>
    </w:rPr>
  </w:style>
  <w:style w:type="character" w:styleId="15">
    <w:name w:val="Emphasis"/>
    <w:basedOn w:val="12"/>
    <w:qFormat/>
    <w:uiPriority w:val="0"/>
    <w:rPr>
      <w:i/>
    </w:rPr>
  </w:style>
  <w:style w:type="character" w:styleId="16">
    <w:name w:val="Hyperlink"/>
    <w:basedOn w:val="12"/>
    <w:qFormat/>
    <w:uiPriority w:val="0"/>
    <w:rPr>
      <w:color w:val="0000FF"/>
      <w:u w:val="single"/>
    </w:rPr>
  </w:style>
  <w:style w:type="character" w:styleId="17">
    <w:name w:val="footnote reference"/>
    <w:basedOn w:val="12"/>
    <w:qFormat/>
    <w:uiPriority w:val="0"/>
    <w:rPr>
      <w:vertAlign w:val="superscript"/>
    </w:rPr>
  </w:style>
  <w:style w:type="paragraph" w:customStyle="1" w:styleId="18">
    <w:name w:val="WPSOffice手动目录 1"/>
    <w:qFormat/>
    <w:uiPriority w:val="0"/>
    <w:rPr>
      <w:rFonts w:asciiTheme="minorHAnsi" w:hAnsiTheme="minorHAnsi" w:eastAsiaTheme="minorEastAsia" w:cstheme="minorBidi"/>
      <w:lang w:val="zh-CN" w:eastAsia="zh-CN" w:bidi="ar-SA"/>
    </w:rPr>
  </w:style>
  <w:style w:type="paragraph" w:customStyle="1" w:styleId="19">
    <w:name w:val="WPSOffice手动目录 2"/>
    <w:qFormat/>
    <w:uiPriority w:val="0"/>
    <w:pPr>
      <w:ind w:left="200" w:leftChars="200"/>
    </w:pPr>
    <w:rPr>
      <w:rFonts w:asciiTheme="minorHAnsi" w:hAnsiTheme="minorHAnsi" w:eastAsiaTheme="minorEastAsia" w:cstheme="minorBidi"/>
      <w:lang w:val="zh-CN" w:eastAsia="zh-CN" w:bidi="ar-SA"/>
    </w:rPr>
  </w:style>
  <w:style w:type="paragraph" w:customStyle="1" w:styleId="20">
    <w:name w:val="WPSOffice手动目录 3"/>
    <w:qFormat/>
    <w:uiPriority w:val="0"/>
    <w:pPr>
      <w:ind w:left="400" w:leftChars="400"/>
    </w:pPr>
    <w:rPr>
      <w:rFonts w:asciiTheme="minorHAnsi" w:hAnsiTheme="minorHAnsi" w:eastAsiaTheme="minorEastAsia" w:cstheme="minorBidi"/>
      <w:lang w:val="zh-CN" w:eastAsia="zh-CN" w:bidi="ar-SA"/>
    </w:rPr>
  </w:style>
  <w:style w:type="paragraph" w:customStyle="1" w:styleId="21">
    <w:name w:val="Revision"/>
    <w:hidden/>
    <w:semiHidden/>
    <w:qFormat/>
    <w:uiPriority w:val="99"/>
    <w:rPr>
      <w:rFonts w:asciiTheme="minorHAnsi" w:hAnsiTheme="minorHAnsi" w:eastAsiaTheme="minorEastAsia" w:cstheme="minorBidi"/>
      <w:kern w:val="2"/>
      <w:sz w:val="21"/>
      <w:szCs w:val="24"/>
      <w:lang w:val="en-US" w:eastAsia="zh-CN"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28</Pages>
  <Words>5958</Words>
  <Characters>34676</Characters>
  <Lines>642</Lines>
  <Paragraphs>269</Paragraphs>
  <TotalTime>2</TotalTime>
  <ScaleCrop>false</ScaleCrop>
  <LinksUpToDate>false</LinksUpToDate>
  <CharactersWithSpaces>40365</CharactersWithSpaces>
  <Application>WPS Office_11.8.2.11716_F1E327BC-269C-435d-A152-05C5408002CA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2022-12-13T18:21:00Z</dcterms:created>
  <dc:creator>吕宏成</dc:creator>
  <cp:lastModifiedBy>吕宏成</cp:lastModifiedBy>
  <dcterms:modified xsi:type="dcterms:W3CDTF">2023-05-03T12:05:57Z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2052-11.8.2.11716</vt:lpwstr>
  </property>
  <property fmtid="{D5CDD505-2E9C-101B-9397-08002B2CF9AE}" pid="3" name="ICV">
    <vt:lpwstr>BF5F674FEB6049B49AA51392F183BDB4</vt:lpwstr>
  </property>
  <property fmtid="{D5CDD505-2E9C-101B-9397-08002B2CF9AE}" pid="4" name="grammarly_documentId">
    <vt:lpwstr>documentId_5444</vt:lpwstr>
  </property>
  <property fmtid="{D5CDD505-2E9C-101B-9397-08002B2CF9AE}" pid="5" name="grammarly_documentContext">
    <vt:lpwstr>{"goals":[],"domain":"general","emotions":[],"dialect":"british"}</vt:lpwstr>
  </property>
</Properties>
</file>