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jc w:val="center"/>
        <w:rPr>
          <w:b/>
          <w:bCs/>
          <w:sz w:val="24"/>
          <w:szCs w:val="32"/>
        </w:rPr>
      </w:pPr>
      <w:r>
        <w:rPr>
          <w:b/>
          <w:bCs/>
          <w:sz w:val="24"/>
          <w:szCs w:val="32"/>
        </w:rPr>
        <w:drawing>
          <wp:inline distT="0" distB="0" distL="114300" distR="114300">
            <wp:extent cx="2878455" cy="991235"/>
            <wp:effectExtent l="0" t="0" r="17145" b="24765"/>
            <wp:docPr id="5" name="图片 5" descr="截屏2022-10-27 下午2.5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截屏2022-10-27 下午2.58.42"/>
                    <pic:cNvPicPr>
                      <a:picLocks noChangeAspect="1"/>
                    </pic:cNvPicPr>
                  </pic:nvPicPr>
                  <pic:blipFill>
                    <a:blip r:embed="rId6"/>
                    <a:srcRect t="12966" r="3601" b="7586"/>
                    <a:stretch>
                      <a:fillRect/>
                    </a:stretch>
                  </pic:blipFill>
                  <pic:spPr>
                    <a:xfrm>
                      <a:off x="0" y="0"/>
                      <a:ext cx="2878455" cy="991235"/>
                    </a:xfrm>
                    <a:prstGeom prst="rect">
                      <a:avLst/>
                    </a:prstGeom>
                  </pic:spPr>
                </pic:pic>
              </a:graphicData>
            </a:graphic>
          </wp:inline>
        </w:drawing>
      </w:r>
    </w:p>
    <w:p>
      <w:pPr>
        <w:jc w:val="both"/>
        <w:rPr>
          <w:b/>
          <w:bCs/>
          <w:sz w:val="36"/>
          <w:szCs w:val="44"/>
        </w:rPr>
      </w:pPr>
    </w:p>
    <w:p>
      <w:pPr>
        <w:jc w:val="both"/>
        <w:rPr>
          <w:b/>
          <w:bCs/>
          <w:sz w:val="36"/>
          <w:szCs w:val="44"/>
        </w:rPr>
      </w:pPr>
    </w:p>
    <w:p>
      <w:pPr>
        <w:ind w:left="-1" w:leftChars="-95" w:right="-598" w:rightChars="-285" w:hanging="198" w:hangingChars="55"/>
        <w:jc w:val="both"/>
        <w:rPr>
          <w:b/>
          <w:bCs/>
          <w:sz w:val="36"/>
          <w:szCs w:val="44"/>
        </w:rPr>
      </w:pPr>
    </w:p>
    <w:p>
      <w:pPr>
        <w:ind w:right="-598" w:rightChars="-285"/>
        <w:jc w:val="both"/>
        <w:rPr>
          <w:b/>
          <w:bCs/>
          <w:sz w:val="36"/>
          <w:szCs w:val="44"/>
        </w:rPr>
      </w:pPr>
    </w:p>
    <w:p>
      <w:pPr>
        <w:jc w:val="center"/>
        <w:rPr>
          <w:rFonts w:hint="eastAsia"/>
          <w:b/>
          <w:bCs/>
          <w:sz w:val="24"/>
          <w:szCs w:val="32"/>
        </w:rPr>
      </w:pPr>
    </w:p>
    <w:p>
      <w:pPr>
        <w:jc w:val="center"/>
        <w:rPr>
          <w:rFonts w:ascii="Times New Roman Bold" w:hAnsi="Times New Roman Bold" w:cs="Times New Roman Bold"/>
          <w:b/>
          <w:bCs/>
          <w:sz w:val="28"/>
          <w:szCs w:val="44"/>
        </w:rPr>
      </w:pPr>
      <w:r>
        <w:rPr>
          <w:rFonts w:ascii="Times New Roman Bold" w:hAnsi="Times New Roman Bold" w:cs="Times New Roman Bold"/>
          <w:b/>
          <w:bCs/>
          <w:sz w:val="28"/>
          <w:szCs w:val="44"/>
        </w:rPr>
        <w:t>Critical reflections on methodology and approach in research</w:t>
      </w:r>
    </w:p>
    <w:p>
      <w:pPr>
        <w:keepNext w:val="0"/>
        <w:keepLines w:val="0"/>
        <w:widowControl w:val="0"/>
        <w:suppressLineNumbers w:val="0"/>
        <w:spacing w:before="0" w:beforeAutospacing="0" w:after="0" w:afterAutospacing="0"/>
        <w:ind w:left="0" w:right="0"/>
        <w:jc w:val="center"/>
        <w:rPr>
          <w:rFonts w:hint="default" w:ascii="Times New Roman Bold" w:hAnsi="Times New Roman Bold" w:eastAsia="DengXian" w:cs="Times New Roman Bold"/>
          <w:b/>
          <w:bCs/>
          <w:kern w:val="2"/>
          <w:sz w:val="22"/>
          <w:szCs w:val="28"/>
          <w:lang w:val="en-US" w:eastAsia="zh-CN" w:bidi="ar"/>
        </w:rPr>
      </w:pPr>
    </w:p>
    <w:p>
      <w:pPr>
        <w:jc w:val="center"/>
        <w:rPr>
          <w:rFonts w:hint="eastAsia"/>
          <w:b/>
          <w:bCs/>
          <w:sz w:val="24"/>
          <w:szCs w:val="32"/>
        </w:rPr>
      </w:pPr>
    </w:p>
    <w:p>
      <w:pPr>
        <w:jc w:val="center"/>
        <w:rPr>
          <w:rFonts w:hint="eastAsia"/>
          <w:b/>
          <w:bCs/>
          <w:sz w:val="24"/>
          <w:szCs w:val="32"/>
        </w:rPr>
      </w:pPr>
    </w:p>
    <w:p>
      <w:pPr>
        <w:jc w:val="both"/>
        <w:rPr>
          <w:rFonts w:hint="eastAsia"/>
          <w:b/>
          <w:bCs/>
          <w:sz w:val="24"/>
          <w:szCs w:val="32"/>
        </w:rPr>
      </w:pPr>
    </w:p>
    <w:p>
      <w:pPr>
        <w:jc w:val="both"/>
        <w:rPr>
          <w:rFonts w:hint="eastAsia"/>
          <w:b/>
          <w:bCs/>
          <w:sz w:val="24"/>
          <w:szCs w:val="32"/>
        </w:rPr>
      </w:pPr>
    </w:p>
    <w:p>
      <w:pPr>
        <w:jc w:val="both"/>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center"/>
        <w:rPr>
          <w:rFonts w:hint="eastAsia"/>
          <w:b/>
          <w:bCs/>
          <w:sz w:val="24"/>
          <w:szCs w:val="32"/>
        </w:rPr>
      </w:pPr>
    </w:p>
    <w:p>
      <w:pPr>
        <w:jc w:val="left"/>
        <w:rPr>
          <w:rFonts w:hint="eastAsia"/>
          <w:b/>
          <w:bCs/>
          <w:sz w:val="24"/>
          <w:szCs w:val="32"/>
        </w:rPr>
      </w:pPr>
    </w:p>
    <w:tbl>
      <w:tblPr>
        <w:tblStyle w:val="6"/>
        <w:tblW w:w="0" w:type="auto"/>
        <w:tblInd w:w="20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268"/>
        <w:gridCol w:w="34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Student name:</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Xiao Feng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Student ID:</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2207548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Module:</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ADAD701</w:t>
            </w:r>
            <w:r>
              <w:rPr>
                <w:rFonts w:hint="default"/>
                <w:b w:val="0"/>
                <w:bCs w:val="0"/>
                <w:sz w:val="24"/>
                <w:szCs w:val="32"/>
                <w:vertAlign w:val="baseline"/>
                <w:lang w:eastAsia="zh-Hans"/>
              </w:rPr>
              <w:t>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63" w:hRule="atLeast"/>
        </w:trPr>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Lecture:</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Yueyao</w:t>
            </w:r>
            <w:bookmarkStart w:id="4" w:name="_GoBack"/>
            <w:bookmarkEnd w:id="4"/>
            <w:r>
              <w:rPr>
                <w:rFonts w:hint="default"/>
                <w:b w:val="0"/>
                <w:bCs w:val="0"/>
                <w:sz w:val="24"/>
                <w:szCs w:val="32"/>
                <w:vertAlign w:val="baseline"/>
                <w:lang w:eastAsia="zh-Hans"/>
              </w:rPr>
              <w:t xml:space="preserve"> Hu</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06" w:hRule="atLeast"/>
        </w:trPr>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Programme:</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Dprof Art and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268"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bCs/>
                <w:sz w:val="24"/>
                <w:szCs w:val="32"/>
                <w:vertAlign w:val="baseline"/>
                <w:lang w:eastAsia="zh-Hans"/>
              </w:rPr>
              <w:t>Email:</w:t>
            </w:r>
          </w:p>
        </w:tc>
        <w:tc>
          <w:tcPr>
            <w:tcW w:w="3439" w:type="dxa"/>
            <w:tcBorders>
              <w:top w:val="nil"/>
              <w:left w:val="nil"/>
              <w:bottom w:val="nil"/>
              <w:right w:val="nil"/>
            </w:tcBorders>
          </w:tcPr>
          <w:p>
            <w:pPr>
              <w:keepNext w:val="0"/>
              <w:keepLines w:val="0"/>
              <w:suppressLineNumbers w:val="0"/>
              <w:spacing w:before="0" w:beforeAutospacing="0" w:after="0" w:afterAutospacing="0"/>
              <w:ind w:left="0" w:right="0"/>
              <w:jc w:val="left"/>
              <w:rPr>
                <w:rFonts w:hint="default"/>
                <w:b/>
                <w:bCs/>
                <w:sz w:val="24"/>
                <w:szCs w:val="32"/>
                <w:vertAlign w:val="baseline"/>
                <w:lang w:eastAsia="zh-Hans"/>
              </w:rPr>
            </w:pPr>
            <w:r>
              <w:rPr>
                <w:rFonts w:hint="default"/>
                <w:b w:val="0"/>
                <w:bCs w:val="0"/>
                <w:sz w:val="24"/>
                <w:szCs w:val="32"/>
                <w:vertAlign w:val="baseline"/>
                <w:lang w:eastAsia="zh-Hans"/>
              </w:rPr>
              <w:t>2207548@student.uwtsd.ac.uk</w:t>
            </w:r>
          </w:p>
        </w:tc>
      </w:tr>
    </w:tbl>
    <w:p>
      <w:pPr>
        <w:jc w:val="center"/>
        <w:rPr>
          <w:rFonts w:hint="default"/>
          <w:b/>
          <w:bCs/>
          <w:sz w:val="24"/>
          <w:szCs w:val="32"/>
          <w:lang w:eastAsia="zh-Hans"/>
        </w:rPr>
      </w:pPr>
    </w:p>
    <w:p>
      <w:pPr>
        <w:jc w:val="center"/>
        <w:rPr>
          <w:rFonts w:hint="default"/>
          <w:b/>
          <w:bCs/>
          <w:sz w:val="24"/>
          <w:szCs w:val="32"/>
          <w:lang w:eastAsia="zh-Hans"/>
        </w:rPr>
      </w:pPr>
    </w:p>
    <w:p>
      <w:pPr>
        <w:jc w:val="center"/>
        <w:rPr>
          <w:rFonts w:hint="default"/>
          <w:b/>
          <w:bCs/>
          <w:sz w:val="24"/>
          <w:szCs w:val="32"/>
          <w:lang w:eastAsia="zh-Hans"/>
        </w:rPr>
      </w:pPr>
    </w:p>
    <w:p>
      <w:pPr>
        <w:jc w:val="both"/>
        <w:rPr>
          <w:rFonts w:hint="default"/>
          <w:b/>
          <w:bCs/>
          <w:sz w:val="24"/>
          <w:szCs w:val="32"/>
          <w:lang w:eastAsia="zh-Hans"/>
        </w:rPr>
      </w:pPr>
    </w:p>
    <w:p>
      <w:pPr>
        <w:jc w:val="center"/>
        <w:rPr>
          <w:rFonts w:hint="default" w:ascii="Times New Roman Regular" w:hAnsi="Times New Roman Regular" w:cs="Times New Roman Regular"/>
          <w:b w:val="0"/>
          <w:bCs w:val="0"/>
          <w:sz w:val="24"/>
          <w:szCs w:val="32"/>
          <w:lang w:eastAsia="zh-Hans"/>
        </w:rPr>
      </w:pPr>
      <w:r>
        <w:rPr>
          <w:rFonts w:hint="default" w:ascii="Times New Roman Regular" w:hAnsi="Times New Roman Regular" w:cs="Times New Roman Regular"/>
          <w:b w:val="0"/>
          <w:bCs w:val="0"/>
          <w:sz w:val="24"/>
          <w:szCs w:val="32"/>
          <w:lang w:eastAsia="zh-Hans"/>
        </w:rPr>
        <w:t>25052023</w:t>
      </w:r>
    </w:p>
    <w:p>
      <w:pPr>
        <w:jc w:val="center"/>
        <w:rPr>
          <w:rFonts w:hint="default" w:ascii="Times New Roman Regular" w:hAnsi="Times New Roman Regular" w:cs="Times New Roman Regular"/>
          <w:b w:val="0"/>
          <w:bCs w:val="0"/>
          <w:sz w:val="24"/>
          <w:szCs w:val="32"/>
          <w:lang w:eastAsia="zh-Hans"/>
        </w:rPr>
      </w:pPr>
      <w:r>
        <w:rPr>
          <w:rFonts w:hint="default" w:ascii="Times New Roman Regular" w:hAnsi="Times New Roman Regular" w:cs="Times New Roman Regular"/>
          <w:b w:val="0"/>
          <w:bCs w:val="0"/>
          <w:sz w:val="24"/>
          <w:szCs w:val="32"/>
          <w:lang w:eastAsia="zh-Hans"/>
        </w:rPr>
        <w:t>University of Wales Trinity Saint David</w:t>
      </w:r>
    </w:p>
    <w:p>
      <w:pPr>
        <w:jc w:val="center"/>
        <w:rPr>
          <w:rFonts w:ascii="Times New Roman Bold" w:hAnsi="Times New Roman Bold" w:cs="Times New Roman Bold"/>
          <w:b/>
          <w:bCs/>
        </w:rPr>
      </w:pPr>
    </w:p>
    <w:p>
      <w:pPr>
        <w:jc w:val="center"/>
        <w:rPr>
          <w:rFonts w:ascii="Times New Roman Bold" w:hAnsi="Times New Roman Bold" w:cs="Times New Roman Bold"/>
          <w:b/>
          <w:bCs/>
        </w:rPr>
      </w:pPr>
    </w:p>
    <w:p>
      <w:pPr>
        <w:jc w:val="center"/>
        <w:rPr>
          <w:rFonts w:ascii="Times New Roman Bold" w:hAnsi="Times New Roman Bold" w:cs="Times New Roman Bold"/>
          <w:b/>
          <w:bCs/>
          <w:sz w:val="28"/>
          <w:szCs w:val="44"/>
        </w:rPr>
      </w:pPr>
      <w:r>
        <w:rPr>
          <w:rFonts w:ascii="Times New Roman Bold" w:hAnsi="Times New Roman Bold" w:cs="Times New Roman Bold"/>
          <w:b/>
          <w:bCs/>
          <w:sz w:val="28"/>
          <w:szCs w:val="44"/>
        </w:rPr>
        <w:t>Critical reflections on methodology and approach in research</w:t>
      </w:r>
    </w:p>
    <w:p>
      <w:pPr>
        <w:jc w:val="center"/>
        <w:rPr>
          <w:rFonts w:ascii="Times New Roman Bold" w:hAnsi="Times New Roman Bold" w:cs="Times New Roman Bold"/>
          <w:b/>
          <w:bCs/>
        </w:rPr>
      </w:pPr>
    </w:p>
    <w:p>
      <w:pPr>
        <w:rPr>
          <w:rFonts w:ascii="Times New Roman Bold" w:hAnsi="Times New Roman Bold" w:cs="Times New Roman Bold"/>
          <w:b/>
          <w:bCs/>
          <w:sz w:val="24"/>
          <w:szCs w:val="40"/>
        </w:rPr>
      </w:pPr>
      <w:r>
        <w:rPr>
          <w:rFonts w:ascii="Times New Roman Bold" w:hAnsi="Times New Roman Bold" w:cs="Times New Roman Bold"/>
          <w:b/>
          <w:bCs/>
          <w:sz w:val="24"/>
          <w:szCs w:val="40"/>
        </w:rPr>
        <w:t>Introduction</w:t>
      </w:r>
    </w:p>
    <w:p>
      <w:r>
        <w:t xml:space="preserve">Methodology and methodology are two key parts of qualitative research. </w:t>
      </w:r>
      <w:r>
        <w:rPr>
          <w:rFonts w:hint="eastAsia"/>
        </w:rPr>
        <w:t xml:space="preserve">The most prevalent descriptions are that methodology means to the completely approach to research that has its foundation on paradigms or theoretical standards, while method indicates to the systematic models, procedures, or instruments used in gathering and </w:t>
      </w:r>
      <w:r>
        <w:rPr>
          <w:rFonts w:hint="default"/>
        </w:rPr>
        <w:t>analyzing</w:t>
      </w:r>
      <w:r>
        <w:rPr>
          <w:rFonts w:hint="eastAsia"/>
        </w:rPr>
        <w:t xml:space="preserve"> data (Noella Mackenzie and Sally Knipe, 2006).</w:t>
      </w:r>
      <w:r>
        <w:t xml:space="preserve"> Given that feminist scholar Dorothy Smith(2011) encourages viewing the social world from the perspective of women's daily lives and the ways in which women shape their world in society, I intend to concentrate on how female artists depict their bodies and how they interact with the fetus when they experience the unique experiences of women—pregnancy. In one instance, feminist artist Judy Chicago got together some pregnant female artists to collaborate on a project called ‘birth project’ that depicted family situations.</w:t>
      </w:r>
    </w:p>
    <w:p>
      <w:r>
        <w:t>The essay is divided into two sections, the first of which is dedicated to methodology. The approaches used are phenomenology and narrative analysis because they aid in my understanding of the phenomenon of pregnancy and my exploration of the distinctive experiences and aesthetic viewpoints of female artists within each female story. The method portion in the second section will describe how both journal studies and case studies are conducted. Chinese pregnant women artists were the target demographic I looked at, but there are still a lot of them. In order to examine their emotional, cognitive, and physical changes over a specific time period and to investigate their female views through diary studies, I plan to choose roughly ten female artists to research. Additionally, there are female artists who have depicted fertile arts across art history, case studies of their experiences, a thorough knowledge of these artists' movements and socio-cultural contexts during pregnancy, and an examination of whether their work is based on the presentation of a female perspective.</w:t>
      </w:r>
    </w:p>
    <w:p>
      <w:r>
        <w:t>Generally speaking, this essay discusses the advantages and potential drawbacks of using phenomenology, narrative analysis, journal studies, and case studies in my research. The three key components of each statement are stated in each portion of the statement, along with my personal research, to serve as a solid foundation for upcoming research initiatives.</w:t>
      </w:r>
    </w:p>
    <w:p/>
    <w:p>
      <w:pPr>
        <w:rPr>
          <w:rFonts w:ascii="Times New Roman Bold" w:hAnsi="Times New Roman Bold" w:cs="Times New Roman Bold"/>
          <w:b/>
          <w:bCs/>
          <w:sz w:val="24"/>
          <w:szCs w:val="40"/>
        </w:rPr>
      </w:pPr>
      <w:r>
        <w:rPr>
          <w:rFonts w:ascii="Times New Roman Bold" w:hAnsi="Times New Roman Bold" w:cs="Times New Roman Bold"/>
          <w:b/>
          <w:bCs/>
          <w:sz w:val="24"/>
          <w:szCs w:val="40"/>
        </w:rPr>
        <w:t>Methodology</w:t>
      </w:r>
    </w:p>
    <w:p>
      <w:r>
        <w:t>In my research, my research methodology A is interpretive phenomenology, while my methodology B is narrative analysis.</w:t>
      </w:r>
    </w:p>
    <w:p/>
    <w:p>
      <w:pPr>
        <w:rPr>
          <w:rFonts w:ascii="Times New Roman Bold" w:hAnsi="Times New Roman Bold" w:cs="Times New Roman Bold"/>
          <w:b/>
          <w:bCs/>
          <w:sz w:val="22"/>
          <w:szCs w:val="36"/>
        </w:rPr>
      </w:pPr>
      <w:r>
        <w:rPr>
          <w:rFonts w:ascii="Times New Roman Bold" w:hAnsi="Times New Roman Bold" w:cs="Times New Roman Bold"/>
          <w:b/>
          <w:bCs/>
          <w:sz w:val="22"/>
          <w:szCs w:val="36"/>
        </w:rPr>
        <w:t>Methodology A</w:t>
      </w:r>
    </w:p>
    <w:p>
      <w:bookmarkStart w:id="0" w:name="OLE_LINK17"/>
      <w:bookmarkStart w:id="1" w:name="OLE_LINK18"/>
      <w:r>
        <w:t>Interpretative phenomenology will help me and potential audiences to understand the lived experience of female artists during pregnancy.</w:t>
      </w:r>
      <w:bookmarkEnd w:id="0"/>
      <w:bookmarkEnd w:id="1"/>
      <w:r>
        <w:t xml:space="preserve"> Thus, it is my Methodology A. </w:t>
      </w:r>
      <w:r>
        <w:rPr>
          <w:rFonts w:hint="eastAsia"/>
        </w:rPr>
        <w:t>The core concept of the interpretative phenomenology approach is the conception of "borrowing" from actual life experiences of individuals in order to assist academics better understand the nature or purpose of particular happenings</w:t>
      </w:r>
      <w:r>
        <w:rPr>
          <w:rFonts w:hint="default"/>
        </w:rPr>
        <w:t xml:space="preserve"> </w:t>
      </w:r>
      <w:r>
        <w:rPr>
          <w:rFonts w:hint="eastAsia"/>
        </w:rPr>
        <w:t>(McConnell-Henry et al., 2009).</w:t>
      </w:r>
      <w:r>
        <w:t xml:space="preserve"> Pregnancy is one of the most unique life events for women and studying the artistic experiences of pregnant female artists can be helpful to me and potential audiences in understanding the nature and significance of fertility art. Today, interpretive phenomenology is employed in education and other professions that are related to it (such as health care, social work, etc.). In addition, it has strong ties to other theories like feminism, rooted theory, case studies, and narrative research. Therapists, psychologists, psychiatrists, policymakers, educators, and members of the medical community can all benefit from this methodology (Toders, 2007). </w:t>
      </w:r>
      <w:r>
        <w:rPr>
          <w:rFonts w:hint="eastAsia"/>
        </w:rPr>
        <w:t xml:space="preserve">Sofie Boldsen's (2022) examination of the function of objects in autistic social interaction exemplifies the divide between "social" and "non-social" </w:t>
      </w:r>
      <w:r>
        <w:rPr>
          <w:rFonts w:hint="default"/>
        </w:rPr>
        <w:t>Behaviors</w:t>
      </w:r>
      <w:r>
        <w:rPr>
          <w:rFonts w:hint="eastAsia"/>
        </w:rPr>
        <w:t xml:space="preserve"> typical of the autism spectrum. To further assist the audience in comprehending the function of material things in maintaining and facilitating social contact in autism, she employs qualitative data from phenomenological research. </w:t>
      </w:r>
      <w:r>
        <w:t>Ranjan Bandyopadhyaya, Avishek Rayb, and Matthew Milde (2022) examined personal texts, photographs, blogs, and other social media and conducted an interpretative phenomenological analysis to help researchers and audiences better understand the issue of identity in travel. The unfairness and stereotyping of women in social media, however, are condemned by the fourth wave of feminism. Does the content on social media, according to my investigation, have authenticity? Does it assist me in defining the characteristics of Chinese women? is the query I must reflect upon.</w:t>
      </w:r>
    </w:p>
    <w:p/>
    <w:p>
      <w:r>
        <w:t xml:space="preserve">Second, interpretative phenomenology can aid me and potential audiences in better examining the birthing experience of this particular set of people because pregnant female artists suffer various physical and psychological changes. In my work, interpretative phenomenology enables me and potential audiences to interpret the experiences of female artists during pregnancy in the form of artistic experiences, and as a result, to understand the female artist's awareness of the body and interaction with the fetus at a deeper level. In female-related studies, for example, Mirela-Lucia Sauca(2022) uses interpretive phenomenology to explore women's lived experiences during menstruation and allows participants to create a more profound relationship with their bodies through ritualized menstrual practices. </w:t>
      </w:r>
      <w:r>
        <w:rPr>
          <w:rFonts w:hint="eastAsia"/>
        </w:rPr>
        <w:t xml:space="preserve">In addition, eight Filipino women were interviewed by Josevy A. Taguibao* and Lucila O. Bance (2022) for their study on infertility in developing countries, and </w:t>
      </w:r>
      <w:r>
        <w:rPr>
          <w:rFonts w:hint="default"/>
        </w:rPr>
        <w:t>utilizing</w:t>
      </w:r>
      <w:r>
        <w:rPr>
          <w:rFonts w:hint="eastAsia"/>
        </w:rPr>
        <w:t xml:space="preserve"> interpretative phenomenology, the researchers were able to uncover four themes that add to the little body of information on reproductive health and </w:t>
      </w:r>
      <w:r>
        <w:rPr>
          <w:rFonts w:hint="default"/>
        </w:rPr>
        <w:t>well-being</w:t>
      </w:r>
      <w:r>
        <w:rPr>
          <w:rFonts w:hint="eastAsia"/>
        </w:rPr>
        <w:t>.</w:t>
      </w:r>
      <w:r>
        <w:t xml:space="preserve"> In addition to giving me a research approach for my study, these studies of the peculiar experiences of women and the phenomenon of female fertility will assist me to better understand the significance of interpretive phenomenology in relation to the study of women's experiences. </w:t>
      </w:r>
    </w:p>
    <w:p/>
    <w:p>
      <w:r>
        <w:t xml:space="preserve">Finally, the female experience of pregnancy and the representation of fertility art by female artists may assist individuals who have not had this experience (non-pregnant women, women who have pre-pregnancy anxiety, women who have per-pregnancy phobia, and men) comprehend more about the experience and, in turn, how multiple female artists feel during this experience. </w:t>
      </w:r>
      <w:r>
        <w:rPr>
          <w:rFonts w:hint="eastAsia"/>
        </w:rPr>
        <w:t>Understanding what it is to be human is the goal of interpretive phenomenology, a field of study that advocates for qualitative research to take place in its natural setting (Gearing, 2004).</w:t>
      </w:r>
      <w:r>
        <w:t xml:space="preserve"> </w:t>
      </w:r>
      <w:r>
        <w:rPr>
          <w:rFonts w:hint="eastAsia"/>
        </w:rPr>
        <w:t xml:space="preserve">It is grounded in the phenomenological study's two guiding principles: (1) that people actively seek meaning in their lives, and (2) that there are several socially constructed realities of meaning. </w:t>
      </w:r>
      <w:r>
        <w:t xml:space="preserve">Given that every female artist comes from a different background, influenced by factors like childhood experiences, work, economics, society, and partners, interpretative phenomenology is a way for me and potential audiences to better understand the perceptions of female artists from different backgrounds, from which to explore the connections between the reproductive experience and society. For instance, in the study of menstruation mentioned above, the researcher sought to reconstruct the positive status of menstruation in an interpretive phenomenological analysis and highlighted the importance of female lives and social change. </w:t>
      </w:r>
    </w:p>
    <w:p/>
    <w:p>
      <w:pPr>
        <w:rPr>
          <w:rFonts w:hint="eastAsia"/>
        </w:rPr>
      </w:pPr>
      <w:r>
        <w:t xml:space="preserve">Despite the fact that interpretative phenomenology is capable of helping us comprehend more fully the physical and mental changes those female artists of various backgrounds go through when they give birth, we can still learn more about these experiences through other means. As a type of qualitative research, however, there are limitations to the results analyzed by interpretive phenomenology, and although I have narrowed my research to a specific group of women artists, I have not chosen a population that covers all regions or all ethnic group. Because the views of females of fertility differ depending on their age and whether or not they have given birth, my research on the population may be limited to young women (20–35 years old) who have given birth for the first time. </w:t>
      </w:r>
      <w:bookmarkStart w:id="2" w:name="OLE_LINK20"/>
      <w:bookmarkStart w:id="3" w:name="OLE_LINK19"/>
      <w:r>
        <w:t>In their phenomenological study of deliberate childlessness in Ireland, Deirdre O'Keeffe and Rita Glover (2023), for example, borrowed the lived experiences of only 15 women, all straight white, despite the fact that Ireland's population is racially and culturally diverse. The researchers also mention in their publication that it would be more intriguing if the study's findings could be extended to the lived experiences of intentionally infertile homosexual women and partners of voluntarily infertile couples (Deirdre O'Keeffe and Rita Glover, 2023).</w:t>
      </w:r>
      <w:bookmarkEnd w:id="2"/>
      <w:bookmarkEnd w:id="3"/>
    </w:p>
    <w:p>
      <w:pPr>
        <w:rPr>
          <w:rFonts w:hint="eastAsia"/>
        </w:rPr>
      </w:pPr>
    </w:p>
    <w:p>
      <w:pPr>
        <w:rPr>
          <w:rFonts w:ascii="Times New Roman Bold" w:hAnsi="Times New Roman Bold" w:cs="Times New Roman Bold"/>
          <w:b/>
          <w:bCs/>
          <w:sz w:val="22"/>
          <w:szCs w:val="36"/>
        </w:rPr>
      </w:pPr>
      <w:r>
        <w:rPr>
          <w:rFonts w:ascii="Times New Roman Bold" w:hAnsi="Times New Roman Bold" w:cs="Times New Roman Bold"/>
          <w:b/>
          <w:bCs/>
          <w:sz w:val="22"/>
          <w:szCs w:val="36"/>
        </w:rPr>
        <w:t>Methodology B</w:t>
      </w:r>
    </w:p>
    <w:p>
      <w:pPr>
        <w:rPr>
          <w:rFonts w:hint="eastAsia"/>
        </w:rPr>
      </w:pPr>
      <w:r>
        <w:rPr>
          <w:rFonts w:hint="eastAsia"/>
        </w:rPr>
        <w:t>Method</w:t>
      </w:r>
      <w:r>
        <w:rPr>
          <w:rFonts w:hint="default"/>
        </w:rPr>
        <w:t>ology</w:t>
      </w:r>
      <w:r>
        <w:rPr>
          <w:rFonts w:hint="eastAsia"/>
        </w:rPr>
        <w:t xml:space="preserve"> B for me is narrative research. Because narrative research, or "the study of the way humans experience life," offers a lens through which one can investigate, analyse, and gain insight into this phenomenon (Clandinin and Connelly, 2000, p. 2).</w:t>
      </w:r>
      <w:r>
        <w:t xml:space="preserve"> In my research, I focus on the female experience of pregnancy, which is one of the distinctive characteristics of the feminine experience and a way in which women perceive the world. </w:t>
      </w:r>
      <w:r>
        <w:rPr>
          <w:rFonts w:hint="eastAsia"/>
        </w:rPr>
        <w:t xml:space="preserve">Researchers can more thoroughly observe, examine, and comprehend women's experiences of pregnancy as viewed through the eyes of the women themselves with the use of narrative research, which is described as "the investigation of what happens when humans encounter the world." </w:t>
      </w:r>
      <w:r>
        <w:t>For instance, a</w:t>
      </w:r>
      <w:r>
        <w:rPr>
          <w:rFonts w:hint="eastAsia"/>
        </w:rPr>
        <w:t>c</w:t>
      </w:r>
      <w:r>
        <w:t xml:space="preserve">cording to Janine L. Wiles, Mark W. Rosenberg, and Robin A. Kearns (2004), who studied the geography of health, narrative analysis is a useful tool for geographers who want to explain the "in situ experiences" of various people and groups as well as how they comprehend and give meaning to contextual experiences. </w:t>
      </w:r>
      <w:r>
        <w:rPr>
          <w:rFonts w:hint="eastAsia"/>
        </w:rPr>
        <w:t>Studying the perspectives of four psychiatric nurses, Teresa Kelly and Linsey Howie (2007) employed narrative analysis as their research strategy.</w:t>
      </w:r>
      <w:r>
        <w:t xml:space="preserve"> </w:t>
      </w:r>
      <w:r>
        <w:rPr>
          <w:rFonts w:hint="eastAsia"/>
        </w:rPr>
        <w:t xml:space="preserve">The professional </w:t>
      </w:r>
      <w:r>
        <w:rPr>
          <w:rFonts w:hint="default"/>
        </w:rPr>
        <w:t>practice</w:t>
      </w:r>
      <w:r>
        <w:rPr>
          <w:rFonts w:hint="eastAsia"/>
        </w:rPr>
        <w:t xml:space="preserve"> of psychiatric nurse practitioners was impacted by gestalt therapy training, as shown by an analysis of a collection of tales. (Goodfellow 1997, p. 67).</w:t>
      </w:r>
      <w:r>
        <w:rPr>
          <w:rFonts w:hint="default"/>
        </w:rPr>
        <w:t xml:space="preserve"> </w:t>
      </w:r>
      <w:r>
        <w:t>In my research, the information in these two papers aided in my analysis of the state of women's pregnancies and pregnancy psychology.</w:t>
      </w:r>
    </w:p>
    <w:p/>
    <w:p>
      <w:r>
        <w:t xml:space="preserve">The second is that the narrative gives permission to focus on the individual and the community. Despite the priority given to personal stories, they also reveal the social and cultural context, as a personal experience is shaped by the dominant narrative in their culture (McLeod, 1997). </w:t>
      </w:r>
      <w:r>
        <w:rPr>
          <w:rFonts w:hint="eastAsia"/>
        </w:rPr>
        <w:t>Each woman who creates art has a story about her pregnancy that is unique to her and yet relevant to the society and culture in which she lives.</w:t>
      </w:r>
      <w:r>
        <w:t xml:space="preserve"> With the help of narrative research, I am able to demonstrate how the public stories of female artists who portray fertility art are shared across societies and cultures. </w:t>
      </w:r>
      <w:r>
        <w:rPr>
          <w:rFonts w:hint="eastAsia"/>
        </w:rPr>
        <w:t>Mothers, patients, and homosexual men are all examples of people whose identities are the result of a complex interplay between biological, moral, and cultural factors, making narrative analysis an ideal method for researching these topics (Riessman, 2003).</w:t>
      </w:r>
      <w:r>
        <w:t xml:space="preserve"> For example, in Christine Stephens and Mary Breheny's (2012) study, they explore motherhood stories in family relationships through narrative analysis, and in turn, demonstrate how this approach clarifies family relationships in society. In an interactive study of the lived experiences of adolescents interacting with only children, Farokhro Jalili, Marzieh Zafarnejad, and Fatemeh Khosravi (2022) demonstrate through narrative analysis that the psychological characteristics of only children in Iranian families and the extent to which their social interactions are or are limited is a multifaceted phenomenon that is influenced by a variety of factors. It also illustrates that the context of family relationships provides the conditions for the sometimes-contradictory developmental characteristics of only-child anger.</w:t>
      </w:r>
    </w:p>
    <w:p/>
    <w:p>
      <w:r>
        <w:rPr>
          <w:rFonts w:hint="eastAsia"/>
        </w:rPr>
        <w:t>Narrative inquiry, in the end, can delve into the whys and hows of narrative suppression, acceptance, and challenge (Plummer, 2019, Squire et al., 2013), as well as what's left out of the account (Riessman, 2015). Depending on the narrator's perspective and the prevailing narrative of his or her time and society, researchers may find resemblances and differences between the two (Riessman, 2015). Women artists who are pregnant or have experienced pregnancy practises, including queer groups and minorities who may have had their voices silenced during pregnancy, are the focus of my research. Through narrative analysis, I am able to observe their subjective positions and the places where their stories diverge from the dominant voices in society and culture at the time.</w:t>
      </w:r>
      <w:r>
        <w:t xml:space="preserve"> </w:t>
      </w:r>
      <w:r>
        <w:rPr>
          <w:rFonts w:hint="eastAsia"/>
        </w:rPr>
        <w:t>To counter Weiss and Johnson-Koenke's positivist structural patriarchy, feminist narrative analysis (Laslett et al., 1999) emphasises human agency, subjectivity, and the meaning of life experiences.</w:t>
      </w:r>
      <w:r>
        <w:t xml:space="preserve"> Martha S. Feldman et al. (2004), in a study on public administration, examines data on change in urban management by giving voice to the implicit understandings hidden in the stories people tell through a narrative analysis approach based on classical rhetorical and semiotic concepts. In research on work and emotions, researchers have mapped varying work experiences and emotions through narrative studies. In a study by Connie J. Boudens (2005), the researcher discovered that job feelings are not a direct evaluative response to work, but rather a finely textured and ever-changing product of work. </w:t>
      </w:r>
    </w:p>
    <w:p/>
    <w:p>
      <w:r>
        <w:t xml:space="preserve">In contrast to grounded theory and context analysis, narrative analysis can shed light on the ways in which narrative narratives are constructed and their links to social templates. </w:t>
      </w:r>
      <w:r>
        <w:rPr>
          <w:rFonts w:hint="eastAsia"/>
        </w:rPr>
        <w:t>In contrast, Mark Freeman (2006) writes about the general qualitative research, "there is a widespread fear that 'narratives are not true to 'life itself'," which is a "ethical risk" in regards to the truth value of narratives in the context of narrative analysis.</w:t>
      </w:r>
      <w:r>
        <w:t xml:space="preserve"> </w:t>
      </w:r>
      <w:r>
        <w:rPr>
          <w:rFonts w:hint="eastAsia"/>
        </w:rPr>
        <w:t>It is also important to avoid making the story too dramatic when conducting narrative analysis. Hurwitz (2004) argues that in some narratives in medicine, almost all forms of creative self-expression are lumped together under the heading of "narrative," which I think can be mistaken for specific forms of primarily linguistic expression as the master metaphor for competent experience.</w:t>
      </w:r>
      <w:r>
        <w:t xml:space="preserve"> Therefore, in conducting a narrative analysis, it is necessary to maintain the researcher's rational approach to the analysis in order to explore the authenticity behind the narrative story.</w:t>
      </w:r>
    </w:p>
    <w:p/>
    <w:p>
      <w:pPr>
        <w:rPr>
          <w:rFonts w:ascii="Times New Roman Bold" w:hAnsi="Times New Roman Bold" w:cs="Times New Roman Bold"/>
          <w:b/>
          <w:bCs/>
          <w:sz w:val="24"/>
          <w:szCs w:val="40"/>
        </w:rPr>
      </w:pPr>
      <w:r>
        <w:rPr>
          <w:rFonts w:ascii="Times New Roman Bold" w:hAnsi="Times New Roman Bold" w:cs="Times New Roman Bold"/>
          <w:b/>
          <w:bCs/>
          <w:sz w:val="24"/>
          <w:szCs w:val="40"/>
        </w:rPr>
        <w:t>Method</w:t>
      </w:r>
    </w:p>
    <w:p>
      <w:r>
        <w:t>I will choose diary research as my Method A and case studies as my Method B.</w:t>
      </w:r>
    </w:p>
    <w:p>
      <w:pPr>
        <w:rPr>
          <w:rFonts w:hint="eastAsia"/>
        </w:rPr>
      </w:pPr>
    </w:p>
    <w:p>
      <w:pPr>
        <w:rPr>
          <w:rFonts w:ascii="Times New Roman Bold" w:hAnsi="Times New Roman Bold" w:cs="Times New Roman Bold"/>
          <w:b/>
          <w:bCs/>
          <w:sz w:val="22"/>
          <w:szCs w:val="36"/>
        </w:rPr>
      </w:pPr>
      <w:r>
        <w:rPr>
          <w:rFonts w:ascii="Times New Roman Bold" w:hAnsi="Times New Roman Bold" w:cs="Times New Roman Bold"/>
          <w:b/>
          <w:bCs/>
          <w:sz w:val="22"/>
          <w:szCs w:val="36"/>
        </w:rPr>
        <w:t>Method A</w:t>
      </w:r>
    </w:p>
    <w:p>
      <w:r>
        <w:t>I decided on a diary study because it has the advantage of immediacy (Symon, 1998) and the ability to recall recent events in sufficient detail to provide new insights into complex phenomena. The daily recording of everyday entries can provide the female artist a clear picture of the details of what she experiences each day, which can provide new insights into the complex phenomenon of pregnancy from a woman's perspective, as she experiences different emotional and birthing changes daily during her pregnancy. I</w:t>
      </w:r>
      <w:r>
        <w:rPr>
          <w:rFonts w:hint="eastAsia"/>
        </w:rPr>
        <w:t>n</w:t>
      </w:r>
      <w:r>
        <w:t xml:space="preserve"> addition, For my research, I need to gather information on how women's emotions change as their pregnancies progress, how pregnant women describe their bodies, and how their interactions with their fetuses alter as well. Researchers can obtain additional research detail by keeping daily records. </w:t>
      </w:r>
      <w:r>
        <w:rPr>
          <w:rFonts w:hint="eastAsia"/>
        </w:rPr>
        <w:t>D</w:t>
      </w:r>
      <w:r>
        <w:t xml:space="preserve">iary studies are frequent to be used in qualitative research. For instance, in a study on adolescent drinking and sexual activity, Diane M. et al. (2003) employed a diary study to track condom use among 112 US teenagers both after drinking and when they weren't drinking in order to assess condom use predictors. In a qualitative study of work-non-work relationships, Sarah Poppleton, Rob B. Briner and Tina Kiefer (2008) used diary studies to explore the attitudes of white-collar and blue-collar employees towards work-non-work relationships and to examine the relationship between context and such attitudes. According to my research, there are several factors that can influence a woman's feelings from every single day throughout pregnancy. The data can be entered as soon as the participant experiences emotional or physical changes in the study, assuring the validity of the data. Diary research is a continuous way of recording research over a period. It is also adaptable in terms of time. </w:t>
      </w:r>
    </w:p>
    <w:p/>
    <w:p>
      <w:r>
        <w:t xml:space="preserve">Next, the diary research technique has the advantage of investigating daily events because it allows for a more realistic approach to data collecting than traditional laboratory research because participants can describe experiences according to their own terms and on their own timetables (Palen and Salzman 2002). Therefore, the journal research will help me to record the everyday events of the pregnant female artist, including any emotional changes, bodily changes, interactions within the body, etc. Participants who identify as female artists are also permitted to produce daily-change-based representations and to produce periodical reports of their work. </w:t>
      </w:r>
      <w:r>
        <w:rPr>
          <w:rFonts w:hint="eastAsia"/>
        </w:rPr>
        <w:t xml:space="preserve">In a study of how mobile devices record the rhythms of ordinary life, Saguna Shankar, Heather L. O'Brien, and Rafa Absar (2018) collected five days of photo diaries from 19 smartphone users, demonstrating the benefits of such studies. Researchers were able to document the whole information-gathering procedure in these diaries and elicit more detailed recollections from the collector by having them illustrate the text with images (Carter and Mankoff, 2005). </w:t>
      </w:r>
      <w:r>
        <w:t xml:space="preserve">Jialin Fan and Andrew P. Smith (2020) investigated the causes of railway worker fatigue through qualitative analysis of data and an online diary study, and while the data from 133 qualitative studies of railway workers provided the same results as the diary study of 19 railway workers, the diary study provided more information about what goes on in everyday life. </w:t>
      </w:r>
    </w:p>
    <w:p>
      <w:pPr>
        <w:rPr>
          <w:rFonts w:hint="eastAsia"/>
        </w:rPr>
      </w:pPr>
    </w:p>
    <w:p>
      <w:r>
        <w:rPr>
          <w:rFonts w:hint="eastAsia"/>
        </w:rPr>
        <w:t>It has been claimed by Elliott (1997) that diary studies make it possible to investigate seemingly insignificant thoughts, processes, and fluctuations that occur on a daily basis. Research using diaries can be used as a method for providing temporal observations, which can allow for greater adaptability and variation in the narratives that are given.</w:t>
      </w:r>
      <w:r>
        <w:t xml:space="preserve"> </w:t>
      </w:r>
      <w:r>
        <w:rPr>
          <w:rFonts w:hint="eastAsia"/>
        </w:rPr>
        <w:t>With such a method, feminist research has been capable of to gain insight into everyday experiences of women lacking the robotic nature and power relationships of interviews conducted in person (Hampsten, 1989).</w:t>
      </w:r>
      <w:r>
        <w:t xml:space="preserve"> </w:t>
      </w:r>
      <w:r>
        <w:rPr>
          <w:rFonts w:hint="eastAsia"/>
        </w:rPr>
        <w:t xml:space="preserve">In an article looking at how persistent back pain affects elderly women, </w:t>
      </w:r>
      <w:r>
        <w:rPr>
          <w:rFonts w:hint="default"/>
        </w:rPr>
        <w:t>f</w:t>
      </w:r>
      <w:r>
        <w:rPr>
          <w:rFonts w:hint="eastAsia"/>
        </w:rPr>
        <w:t>or instance, Alex F. Broom (2015) employed lady's diaries to draw attention to the way persistent pain in the back affects social life, relationships with partners, and the family while also capturing the daily highs and lows of those who have it.</w:t>
      </w:r>
      <w:r>
        <w:t xml:space="preserve"> In my research, the daily diary entries of female artists during pregnancy, whether in written or digital form, can help me to understand the knowledge of pregnancy. When the diary research continues over a period of time, it also provides me with an overview of the emotional, physical, and perceptual changes those female artists experience during a given cycle of pregnancy, thus dispelling preconceived notions of femininity. Meanwhile, diary studies in the form of paintings also serve as memoirs collecting the experiences of female artists during pregnancy, providing me and a wider audience with a uniquely delicate perspective of women. </w:t>
      </w:r>
      <w:r>
        <w:rPr>
          <w:rFonts w:hint="eastAsia"/>
        </w:rPr>
        <w:t>Other studies have reflected the chronological aspects of diary studies; for example, Jesse Fox, Michael Gilbert, and Wai Yen Tang (2018) accomplished an investigation on player experience in which they examined gamers' reactions of their experiences in practical realities gaming settings using information gathered during an observational study in which 40 participants recorded their weekly game-play time.</w:t>
      </w:r>
    </w:p>
    <w:p/>
    <w:p>
      <w:r>
        <w:rPr>
          <w:rFonts w:hint="eastAsia"/>
        </w:rPr>
        <w:t>Research that takes advantage of data supplied by individuals, such that from diaries, has restrictions given that it is prone to prejudice and error (Bolger et al., 2003; Reis and Gable, 2000)</w:t>
      </w:r>
      <w:r>
        <w:rPr>
          <w:rFonts w:hint="default"/>
        </w:rPr>
        <w:t xml:space="preserve">. </w:t>
      </w:r>
      <w:r>
        <w:t xml:space="preserve"> For my research, the limitations of diary studies may be reflected in the degree of interest that women artists have in diaries or the bias between written descriptions and pictorial recordings of understanding. </w:t>
      </w:r>
      <w:r>
        <w:rPr>
          <w:rFonts w:hint="eastAsia"/>
        </w:rPr>
        <w:t>Diary studies are undertaken with a focus on participant representation, despite the fact that universality is not sought in qualitative research. Jesse Fox, Michael Gilbert, and Wai Yen Tang (2018) found limitations in the student samples they collected in their research on gaming experiences, specifically the participants' unwillingness to admit to experiencing harassment or report whether or not it had a negative impact on the gaming community.</w:t>
      </w:r>
      <w:r>
        <w:t xml:space="preserve"> </w:t>
      </w:r>
      <w:r>
        <w:rPr>
          <w:rFonts w:hint="eastAsia"/>
        </w:rPr>
        <w:t xml:space="preserve">As a result, researchers conducting diary studies must also take into account participants' </w:t>
      </w:r>
      <w:r>
        <w:rPr>
          <w:rFonts w:hint="default"/>
        </w:rPr>
        <w:t>candor</w:t>
      </w:r>
      <w:r>
        <w:rPr>
          <w:rFonts w:hint="eastAsia"/>
        </w:rPr>
        <w:t xml:space="preserve"> and any relevant moral and ethical considerations.</w:t>
      </w:r>
    </w:p>
    <w:p/>
    <w:p>
      <w:pPr>
        <w:rPr>
          <w:rFonts w:hint="default" w:ascii="Times New Roman Bold" w:hAnsi="Times New Roman Bold" w:cs="Times New Roman Bold"/>
          <w:b/>
          <w:bCs/>
        </w:rPr>
      </w:pPr>
      <w:r>
        <w:rPr>
          <w:rFonts w:hint="default" w:ascii="Times New Roman Bold" w:hAnsi="Times New Roman Bold" w:cs="Times New Roman Bold"/>
          <w:b/>
          <w:bCs/>
        </w:rPr>
        <w:t>Method B</w:t>
      </w:r>
    </w:p>
    <w:p>
      <w:r>
        <w:t xml:space="preserve">Case studies will be another method I utilize to get data. Because of the rise of feminism and the awakening of female consciousness, topics like menstruation and pregnancy are no longer prohibited, and women are strengthening their status as women through these specifically female experiences. In the history of fertility art, there have been several female artists who have portrayed their own experiences of childbirth, and a case study of these artists would provide a better understanding of their feelings of impending motherhood and uncover the social and cultural context behind them. </w:t>
      </w:r>
      <w:r>
        <w:rPr>
          <w:rFonts w:hint="eastAsia"/>
        </w:rPr>
        <w:t>A case study is a qualitative research that collects in-depth data on a single person, project, or event to better understand an unknown or poorly understood scenario, according to Leedy &amp; Ormrod (2005).</w:t>
      </w:r>
      <w:r>
        <w:t xml:space="preserve"> A few studies on art therapy have shown that case studies help researchers and audiences gain insight into individual participants. For example, Melinda J. Emery (2004) explored the value of art therapy interventions on the development, growth, and interaction skills of children with autism through art therapy with a six-year-old boy diagnosed with autism but without intellectual disability. </w:t>
      </w:r>
      <w:r>
        <w:rPr>
          <w:rFonts w:hint="eastAsia"/>
        </w:rPr>
        <w:t xml:space="preserve">Research into the role of art in the recovery of terminally sick patients included a case study of a 53-year-old lady and an investigation of the ways in which art aids in the healing and well-being of humans in general (Zammit, 1999). </w:t>
      </w:r>
      <w:r>
        <w:t xml:space="preserve">Both studies are case studies related to art therapy, and although they address different situations and use different therapies, both use case studies to illustrate the importance of art therapy. </w:t>
      </w:r>
    </w:p>
    <w:p/>
    <w:p>
      <w:r>
        <w:rPr>
          <w:rFonts w:hint="eastAsia"/>
        </w:rPr>
        <w:t>Case studies, on the other hand, provide in-depth descriptions of particular temporal and spatial boundaries (Merriam, 1988).</w:t>
      </w:r>
      <w:r>
        <w:t xml:space="preserve"> An emphasis on location and time might help to contextualize the structure and relationships of interest. The focus of my study is on pregnant female artists, who face unique temporal and spatial constraints at this time due to confinement to their homes or studios and the emotional and physical changes that come with pregnancy. The specific time and place help me to formulate more focused hypotheses. </w:t>
      </w:r>
      <w:r>
        <w:rPr>
          <w:rFonts w:hint="eastAsia"/>
        </w:rPr>
        <w:t>Using the Museum of Contemporary Art (MART) in Rovereto, Italy, as a case study (Juan G. Brida, Marta Meleddu, Manuela Pulina, 2012), the researcher examined the various factors that affect the desire to revisit cultural relics.</w:t>
      </w:r>
      <w:r>
        <w:t xml:space="preserve"> The researcher collected data over a specific period (2000-2008) and through data analysis demonstrated that socio-demographic characteristics have a positive impact on the likelihood of returning to the museum. Classrooms have a defined space and a fixed schedule and prescribed curriculum, and online education is no exception, with a fixed virtual space and time providing researchers with more accurate data.</w:t>
      </w:r>
      <w:r>
        <w:rPr>
          <w:rFonts w:hint="eastAsia"/>
        </w:rPr>
        <w:t>In a seven-week examinations, Esra Meşe and idem Sevilen</w:t>
      </w:r>
      <w:r>
        <w:rPr>
          <w:rFonts w:hint="default"/>
        </w:rPr>
        <w:t xml:space="preserve">(2021) </w:t>
      </w:r>
      <w:r>
        <w:rPr>
          <w:rFonts w:hint="eastAsia"/>
        </w:rPr>
        <w:t>measured the views of learners concerning distance education and the features that motivate them to pursue learning a second language.</w:t>
      </w:r>
      <w:r>
        <w:t xml:space="preserve"> These studies have demonstrated that the particular place and time gave the researcher more exact data, allowing the researcher to grasp the phenomenon under study more thoroughly and provide more precise results.</w:t>
      </w:r>
    </w:p>
    <w:p/>
    <w:p>
      <w:r>
        <w:rPr>
          <w:rFonts w:hint="eastAsia"/>
        </w:rPr>
        <w:t>Third, case studies can broaden the reader's perspective and deepen their comprehension of a phenomenon (Donmoyer, 1990).</w:t>
      </w:r>
      <w:r>
        <w:rPr>
          <w:rFonts w:hint="default"/>
        </w:rPr>
        <w:t xml:space="preserve"> </w:t>
      </w:r>
      <w:r>
        <w:rPr>
          <w:rFonts w:hint="eastAsia"/>
        </w:rPr>
        <w:t>Researchers that use case studies examine complicated social interactions in order to discover or develop 'inseparable' aspects as components of the phenomenon (Yin, 2003).</w:t>
      </w:r>
      <w:r>
        <w:t xml:space="preserve"> </w:t>
      </w:r>
      <w:r>
        <w:rPr>
          <w:rFonts w:hint="eastAsia"/>
        </w:rPr>
        <w:t>Researchers in case studies, as noted by Rob VanWynsberghe and Samia Khan (2007), frequently seek to contextualise and clarify these links in the hopes that they will ring true for the reader.</w:t>
      </w:r>
      <w:r>
        <w:t xml:space="preserve"> </w:t>
      </w:r>
      <w:r>
        <w:rPr>
          <w:rFonts w:hint="eastAsia"/>
        </w:rPr>
        <w:t>By focusing on female artists who have depicted fertility art, I intend to learn more about the artists' active engagement in their historical periods by uncovering characteristics related to the socio-cultural environment with which they are affiliated.</w:t>
      </w:r>
      <w:r>
        <w:t xml:space="preserve"> Using a case study of art therapy for incarcerated women with a history of severe trauma, Beth Merriam (1998) analyses the art therapy process of two incarcerated women to reveal that art therapy can provide a safe and acceptable way to release emotions and to reveal what trauma the incarcerated women have received in their context. </w:t>
      </w:r>
      <w:r>
        <w:rPr>
          <w:rFonts w:hint="eastAsia"/>
        </w:rPr>
        <w:t xml:space="preserve">Finding that art forms such as </w:t>
      </w:r>
      <w:r>
        <w:rPr>
          <w:rFonts w:hint="default"/>
        </w:rPr>
        <w:t>theater</w:t>
      </w:r>
      <w:r>
        <w:rPr>
          <w:rFonts w:hint="eastAsia"/>
        </w:rPr>
        <w:t xml:space="preserve"> and painting are often neglected when communicating ecological science, David J. Curtis, Nick Reid, and Guy Ballard (2012) use a case study of scientists' reception of the arts at a five-day ecological conference to demonstrate the positive role of the arts in helping people understand complex scientific concepts. Science about global climate change is becoming increasingly urgent, and some researchers have argued that the visual and performing arts might help get that message out to people all across the world (David J. Curtis, Nick Reid, and Guy Ballard, 2012).</w:t>
      </w:r>
    </w:p>
    <w:p/>
    <w:p>
      <w:r>
        <w:t>Case studies can help us focus on the individual, but the generalizability of case studies is unclear (Marilyn K. Simon, PhD and Jim Goes PhD, 2013). As the case study involves the behavior of an individual, group, or organization, it may suggest what might be found in similar organizations, but more research is needed to verify whether the results can be generalized elsewhere (Marilyn K. Simon, PhD and Jim Goes PhD, 2013). As such, the researcher should maintain an objective attitude when conducting case studies, and analyze the cases required for the research so as to make the findings more accurate and objective.</w:t>
      </w:r>
    </w:p>
    <w:p/>
    <w:p>
      <w:r>
        <w:t xml:space="preserve">In summary, this paper discusses the characteristics and possible limitations of the two methodologies and two methods planned for use in my research and describes the relevance of the methodologies and methods to my research. </w:t>
      </w:r>
      <w:r>
        <w:rPr>
          <w:rFonts w:hint="eastAsia"/>
        </w:rPr>
        <w:t>Combining techniques and approaches allows the researcher to investigate the significance of the research issue in more depth, as each has its own traits and limitations</w:t>
      </w:r>
      <w:r>
        <w:t>. However, the choice of methodology and method is crucial, as it relates to the point the researcher wants to make and the feasibility of collecting data. Although there are multiple methodologies and multiple methods that can help the researcher to analyze and solve problems, a lack of clarity in values can lead to the wrong method of collecting data and result in a study that does not meet the researcher's expectations. Therefore, it is important to be knowledgeable about each methodology and method before choosing one, and then make a choice based on the direction the researcher wants to take and the problem he or she wants to solve.</w:t>
      </w:r>
    </w:p>
    <w:p/>
    <w:p>
      <w:pPr>
        <w:rPr>
          <w:rFonts w:ascii="Times New Roman Bold" w:hAnsi="Times New Roman Bold" w:cs="Times New Roman Bold"/>
          <w:b/>
          <w:bCs/>
          <w:sz w:val="24"/>
          <w:szCs w:val="40"/>
        </w:rPr>
      </w:pPr>
      <w:r>
        <w:rPr>
          <w:rFonts w:ascii="Times New Roman Bold" w:hAnsi="Times New Roman Bold" w:cs="Times New Roman Bold"/>
          <w:b/>
          <w:bCs/>
          <w:sz w:val="24"/>
          <w:szCs w:val="40"/>
        </w:rPr>
        <w:t>Reference</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Andrews, M., Squire, C. and Tamboukou, M. eds.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2013</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Doing narrative research</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London: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Sage.</w:t>
      </w:r>
    </w:p>
    <w:p>
      <w:pPr>
        <w:rPr>
          <w:rFonts w:hint="default"/>
          <w:lang w:val="en-US" w:eastAsia="zh-CN"/>
        </w:rPr>
      </w:pPr>
      <w:r>
        <w:rPr>
          <w:rFonts w:hint="default"/>
          <w:lang w:val="en-US" w:eastAsia="zh-CN"/>
        </w:rPr>
        <w:t>Bandyopadhyay, R., Ray, A. and Milde, M.</w:t>
      </w:r>
      <w:r>
        <w:rPr>
          <w:rFonts w:hint="default"/>
          <w:lang w:eastAsia="zh-CN"/>
        </w:rPr>
        <w:t xml:space="preserve"> (</w:t>
      </w:r>
      <w:r>
        <w:rPr>
          <w:rFonts w:hint="default"/>
          <w:lang w:val="en-US" w:eastAsia="zh-CN"/>
        </w:rPr>
        <w:t>2022</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A Phenomenological Analysis of Tourist Identity: Three Theses and Propositions</w:t>
      </w:r>
      <w:r>
        <w:rPr>
          <w:rFonts w:hint="default"/>
          <w:lang w:eastAsia="zh-CN"/>
        </w:rPr>
        <w:t xml:space="preserve">’, </w:t>
      </w:r>
      <w:r>
        <w:rPr>
          <w:rFonts w:hint="default"/>
          <w:lang w:val="en-US" w:eastAsia="zh-CN"/>
        </w:rPr>
        <w:t> </w:t>
      </w:r>
      <w:r>
        <w:rPr>
          <w:rFonts w:hint="default" w:ascii="Times New Roman Italic" w:hAnsi="Times New Roman Italic" w:cs="Times New Roman Italic"/>
          <w:i/>
          <w:iCs/>
          <w:lang w:val="en-US" w:eastAsia="zh-CN"/>
        </w:rPr>
        <w:t>Leisure Sciences</w:t>
      </w:r>
      <w:r>
        <w:rPr>
          <w:rFonts w:hint="default"/>
          <w:lang w:val="en-US" w:eastAsia="zh-CN"/>
        </w:rPr>
        <w:t xml:space="preserve">, </w:t>
      </w:r>
      <w:r>
        <w:rPr>
          <w:rFonts w:hint="default"/>
          <w:lang w:eastAsia="zh-CN"/>
        </w:rPr>
        <w:t xml:space="preserve">11(1), </w:t>
      </w:r>
      <w:r>
        <w:rPr>
          <w:rFonts w:hint="default"/>
          <w:lang w:val="en-US" w:eastAsia="zh-CN"/>
        </w:rPr>
        <w:t>pp.1-18.</w:t>
      </w:r>
    </w:p>
    <w:p>
      <w:pPr>
        <w:rPr>
          <w:rFonts w:hint="default"/>
          <w:lang w:val="en-US" w:eastAsia="zh-CN"/>
        </w:rPr>
      </w:pPr>
      <w:r>
        <w:rPr>
          <w:rFonts w:hint="default"/>
          <w:lang w:val="en-US" w:eastAsia="zh-CN"/>
        </w:rPr>
        <w:t>Boldsen, S.</w:t>
      </w:r>
      <w:r>
        <w:rPr>
          <w:rFonts w:hint="default"/>
          <w:lang w:eastAsia="zh-CN"/>
        </w:rPr>
        <w:t xml:space="preserve"> (</w:t>
      </w:r>
      <w:r>
        <w:rPr>
          <w:rFonts w:hint="default"/>
          <w:lang w:val="en-US" w:eastAsia="zh-CN"/>
        </w:rPr>
        <w:t>2022</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Material Encounters: A Phenomenological Account of Social Interaction in Autism</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Philosophy, Psychiatry, &amp; Psychology</w:t>
      </w:r>
      <w:r>
        <w:rPr>
          <w:rFonts w:hint="default"/>
          <w:lang w:val="en-US" w:eastAsia="zh-CN"/>
        </w:rPr>
        <w:t>, 29(3), pp.191-208.</w:t>
      </w:r>
    </w:p>
    <w:p>
      <w:pPr>
        <w:rPr>
          <w:rFonts w:hint="default"/>
          <w:lang w:eastAsia="zh-CN"/>
        </w:rPr>
      </w:pPr>
      <w:r>
        <w:rPr>
          <w:rFonts w:hint="default"/>
          <w:lang w:val="en-US" w:eastAsia="zh-CN"/>
        </w:rPr>
        <w:t xml:space="preserve">Boldsen, S. </w:t>
      </w:r>
      <w:r>
        <w:rPr>
          <w:rFonts w:hint="default"/>
          <w:lang w:eastAsia="zh-CN"/>
        </w:rPr>
        <w:t>(</w:t>
      </w:r>
      <w:r>
        <w:rPr>
          <w:rFonts w:hint="default"/>
          <w:lang w:val="en-US" w:eastAsia="zh-CN"/>
        </w:rPr>
        <w:t>2021</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Social interaction style in autism: An inquiry into phenomenological methodology</w:t>
      </w:r>
      <w:r>
        <w:rPr>
          <w:rFonts w:hint="default"/>
          <w:lang w:eastAsia="zh-CN"/>
        </w:rPr>
        <w:t xml:space="preserve">’, </w:t>
      </w:r>
      <w:r>
        <w:rPr>
          <w:rFonts w:hint="default" w:ascii="Times New Roman Italic" w:hAnsi="Times New Roman Italic" w:cs="Times New Roman Italic"/>
          <w:i/>
          <w:iCs/>
          <w:lang w:val="en-US" w:eastAsia="zh-CN"/>
        </w:rPr>
        <w:t>Journal of Phenomenological Psychology</w:t>
      </w:r>
      <w:r>
        <w:rPr>
          <w:rFonts w:hint="default"/>
          <w:lang w:val="en-US" w:eastAsia="zh-CN"/>
        </w:rPr>
        <w:t>, 52(2), pp.157-192.</w:t>
      </w:r>
    </w:p>
    <w:p>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Boudens, C.J.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2005</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story of work: A narrative analysis of workplace emotion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Organization Studies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26(9), pp.1285-1306.</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Brida, J.G., Meleddu, M. and Pulina, M.</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2013</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Factors influencing length of stay of cultural tourists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Tourism Economics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19(6), pp.1273-1292.</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Broom, A., Kirby, E., Adams, J., Refshauge, K. (2015)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On Illegitimacy, Suffering and Recognition: A Diary Study of Women Living with Chronic Pain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Sociology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49(4), 712-731.</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Carter, 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and Jennifer</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M</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2005</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When Participants Do the Capturing: The Role of Media in Diary Studies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In Proceedings of the SIGCHI Conference on Human Factors in Computing Systems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pp.</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899–908.</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Curtis, D.J., Reid, N. and Ballard, G.</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2012</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Communicating ecology through art: what scientists think</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 Ecology and Society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17(2)</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p>
    <w:p>
      <w:pPr>
        <w:rPr>
          <w:rFonts w:hint="default"/>
          <w:lang w:eastAsia="zh-CN"/>
        </w:rPr>
      </w:pPr>
      <w:r>
        <w:rPr>
          <w:rFonts w:hint="default"/>
          <w:lang w:val="en-US" w:eastAsia="zh-CN"/>
        </w:rPr>
        <w:t>Dangal, M. and Joshi, R.</w:t>
      </w:r>
      <w:r>
        <w:rPr>
          <w:rFonts w:hint="default"/>
          <w:lang w:eastAsia="zh-CN"/>
        </w:rPr>
        <w:t xml:space="preserve"> (</w:t>
      </w:r>
      <w:r>
        <w:rPr>
          <w:rFonts w:hint="default"/>
          <w:lang w:val="en-US" w:eastAsia="zh-CN"/>
        </w:rPr>
        <w:t>2020</w:t>
      </w:r>
      <w:r>
        <w:rPr>
          <w:rFonts w:hint="default"/>
          <w:lang w:eastAsia="zh-CN"/>
        </w:rPr>
        <w:t>) ‘</w:t>
      </w:r>
      <w:r>
        <w:rPr>
          <w:rFonts w:hint="default"/>
          <w:lang w:val="en-US" w:eastAsia="zh-CN"/>
        </w:rPr>
        <w:t>Hermeneutic phenomenology: Essence in educational research</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Open Journal for Studies in Philosophy</w:t>
      </w:r>
      <w:r>
        <w:rPr>
          <w:rFonts w:hint="default"/>
          <w:lang w:val="en-US" w:eastAsia="zh-CN"/>
        </w:rPr>
        <w:t>, 4(1)</w:t>
      </w:r>
      <w:r>
        <w:rPr>
          <w:rFonts w:hint="default"/>
          <w:lang w:eastAsia="zh-CN"/>
        </w:rPr>
        <w:t>, pp.25-42.</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Diane, M., Mary, M., Gillmore, R., Hoppe, M.J., Gaylord, J., Leigh, B.C. and Rainey, D.</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2003</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Adolescent drinking and sex: Findings from a daily diary study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Perspectives on sexual and reproductive healt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h, 35(4), pp.162-168.</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Elliott, H.</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1997</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use of diaries in sociological research on health experience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Sociological research online</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2(2), pp.38-48.</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Emery, M.J.</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2004</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Art therapy as an intervention for autism</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Art therapy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21(3), pp.143-147.</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Esra, M.E.Ş.E. and Sevilen, Ç.</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2021</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Factors influencing EFL students’ motivation in online learning: A qualitative case study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J</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ournal of Educational Technology and Online Learning</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4(1), pp.11-22.</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Fan, J. and Smith, A.P.</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2020</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Effects of occupational fatigue on cognitive performance of staff from a train operating company: a field study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Frontiers in psychology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11.pp.1-11.</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Feldman, M.S., Sköldberg, K., Brown, R.N. and Horner, D.</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2004</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Making sense of stories: A rhetorical approach to narrative analysis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Journal of public administration research and theory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14(2), pp.147-170.</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Fox, J., Gilbert, M. and Tang, W.Y.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Player experiences in a massively multiplayer online game: A diary study of performance, motivation, and social interaction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New Media &amp; Society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20(11), pp.4056-4073.</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Freeman, M. (2006) ‘Life ‘on holiday’? In defense of big stories’,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Narrative inquiry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16(1), pp.131-138.</w:t>
      </w:r>
    </w:p>
    <w:p>
      <w:pPr>
        <w:rPr>
          <w:rFonts w:hint="default"/>
          <w:lang w:eastAsia="zh-CN"/>
        </w:rPr>
      </w:pPr>
      <w:r>
        <w:rPr>
          <w:rFonts w:hint="default"/>
          <w:lang w:eastAsia="zh-CN"/>
        </w:rPr>
        <w:t xml:space="preserve">Gearing, R. (2004) ‘Bracketing in research: A typology’, </w:t>
      </w:r>
      <w:r>
        <w:rPr>
          <w:rFonts w:hint="default" w:ascii="Times New Roman Italic" w:hAnsi="Times New Roman Italic" w:cs="Times New Roman Italic"/>
          <w:i/>
          <w:iCs/>
          <w:lang w:eastAsia="zh-CN"/>
        </w:rPr>
        <w:t>Qualitative Health Research</w:t>
      </w:r>
      <w:r>
        <w:rPr>
          <w:rFonts w:hint="default"/>
          <w:lang w:eastAsia="zh-CN"/>
        </w:rPr>
        <w:t>, 14(10), pp.1429-1452.</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Hurwitz, B., Greenhalgh, T. and Skultans, V. (2004)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Narrative Research in Health and Illness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London: Wiley.</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Jalili, F., Zafarnejad, M. and Khosravi, F.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2022</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Only-Child Adolescents’ Lived Experience of Interaction: Narrative Research</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 xml:space="preserve">Rooyesh-e-RavanshenasiJournal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(RRJ), 11(6), pp.153-164.</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Kelly, T. and Howie, L.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2007</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Working with stories in nursing research: Procedures used in narrative analysis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International journal of mental health nursing</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16(2), pp.136-144.</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Kelly, T. and Howie, L.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2011</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Exploring the influence of gestalt therapy training on psychiatric nursing practice: Stories from the field</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I</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nternational Journal of mental health nursing</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20(4), pp.296-304.</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Leedy, P., Ormrod, J.E.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(2005)</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P</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ra</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ctical Research</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 xml:space="preserve"> Planning and Design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London: Prentice Hall.</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lang w:eastAsia="zh-CN"/>
        </w:rPr>
        <w:t xml:space="preserve">Macionis, J.J. and Gerber, L.M. (2011) </w:t>
      </w:r>
      <w:r>
        <w:rPr>
          <w:rFonts w:hint="default" w:ascii="Times New Roman Italic" w:hAnsi="Times New Roman Italic" w:cs="Times New Roman Italic"/>
          <w:i/>
          <w:iCs/>
          <w:lang w:eastAsia="zh-CN"/>
        </w:rPr>
        <w:t>Sociology</w:t>
      </w:r>
      <w:r>
        <w:rPr>
          <w:rFonts w:hint="default"/>
          <w:lang w:eastAsia="zh-CN"/>
        </w:rPr>
        <w:t>, 7</w:t>
      </w:r>
      <w:r>
        <w:rPr>
          <w:rFonts w:hint="default"/>
          <w:vertAlign w:val="superscript"/>
          <w:lang w:eastAsia="zh-CN"/>
        </w:rPr>
        <w:t>th</w:t>
      </w:r>
      <w:r>
        <w:rPr>
          <w:rFonts w:hint="default"/>
          <w:lang w:eastAsia="zh-CN"/>
        </w:rPr>
        <w:t xml:space="preserve"> Canadian ed. Toronto: Pearson Prentice Hall.</w:t>
      </w:r>
    </w:p>
    <w:p>
      <w:pPr>
        <w:rPr>
          <w:rFonts w:hint="default"/>
          <w:lang w:val="en-US" w:eastAsia="zh-CN"/>
        </w:rPr>
      </w:pPr>
      <w:r>
        <w:rPr>
          <w:lang w:val="en-US" w:eastAsia="zh-CN"/>
        </w:rPr>
        <w:t>Mackenzie, N. and Knipe, S.</w:t>
      </w:r>
      <w:r>
        <w:rPr>
          <w:lang w:eastAsia="zh-CN"/>
        </w:rPr>
        <w:t>(</w:t>
      </w:r>
      <w:r>
        <w:rPr>
          <w:lang w:val="en-US" w:eastAsia="zh-CN"/>
        </w:rPr>
        <w:t>2006</w:t>
      </w:r>
      <w:r>
        <w:rPr>
          <w:lang w:eastAsia="zh-CN"/>
        </w:rPr>
        <w:t>)</w:t>
      </w:r>
      <w:r>
        <w:rPr>
          <w:lang w:val="en-US" w:eastAsia="zh-CN"/>
        </w:rPr>
        <w:t xml:space="preserve"> </w:t>
      </w:r>
      <w:r>
        <w:rPr>
          <w:rFonts w:hint="default"/>
          <w:lang w:eastAsia="zh-CN"/>
        </w:rPr>
        <w:t>‘</w:t>
      </w:r>
      <w:r>
        <w:rPr>
          <w:lang w:val="en-US" w:eastAsia="zh-CN"/>
        </w:rPr>
        <w:t>Research dilemmas: Paradigms, methods and methodology</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Issues in educational research</w:t>
      </w:r>
      <w:r>
        <w:rPr>
          <w:rFonts w:hint="default"/>
          <w:lang w:val="en-US" w:eastAsia="zh-CN"/>
        </w:rPr>
        <w:t>, 16(2), pp.193-205.</w:t>
      </w:r>
    </w:p>
    <w:p>
      <w:pPr>
        <w:rPr>
          <w:rFonts w:hint="default"/>
          <w:lang w:eastAsia="zh-CN"/>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Marilyn, K.S., and Jim, G. PhD (2012)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Dissertation and Scholarly Research: Recipes for Success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London: CreateSpace Independent Publishing Platform.</w:t>
      </w:r>
    </w:p>
    <w:p>
      <w:pPr>
        <w:rPr>
          <w:rFonts w:hint="default"/>
          <w:lang w:eastAsia="zh-CN"/>
        </w:rPr>
      </w:pPr>
      <w:r>
        <w:rPr>
          <w:rFonts w:hint="default"/>
          <w:lang w:eastAsia="zh-CN"/>
        </w:rPr>
        <w:t xml:space="preserve">McConnell-Henry, T., Chapman, Y. and Francls, K. (2009) ‘Husserl and Heidegger: exploring the disparity’, </w:t>
      </w:r>
      <w:r>
        <w:rPr>
          <w:rFonts w:hint="default" w:ascii="Times New Roman Italic" w:hAnsi="Times New Roman Italic" w:cs="Times New Roman Italic"/>
          <w:i/>
          <w:iCs/>
          <w:lang w:eastAsia="zh-CN"/>
        </w:rPr>
        <w:t>International Journal of Nursing Practice</w:t>
      </w:r>
      <w:r>
        <w:rPr>
          <w:rFonts w:hint="default"/>
          <w:lang w:eastAsia="zh-CN"/>
        </w:rPr>
        <w:t>, 15(1), pp.7-15.</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Mcleod, J. (1997) Narrative and Psychotherapy. London: Sage.</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Merriam, B.</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1998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To find a voice: Art therapy in a women's prison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Women &amp; Therapy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21(1), pp.157-171.</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lang w:val="en-US" w:eastAsia="zh-CN"/>
        </w:rPr>
        <w:t xml:space="preserve">O’Keeffe, D. and Glover, R. </w:t>
      </w:r>
      <w:r>
        <w:rPr>
          <w:rFonts w:hint="default"/>
          <w:lang w:eastAsia="zh-CN"/>
        </w:rPr>
        <w:t>(</w:t>
      </w:r>
      <w:r>
        <w:rPr>
          <w:rFonts w:hint="default"/>
          <w:lang w:val="en-US" w:eastAsia="zh-CN"/>
        </w:rPr>
        <w:t>2023</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Being Resolute in Being a Voluntarily Childless Woman Living in Ireland: A Hermeneutic Phenomenological Study</w:t>
      </w:r>
      <w:r>
        <w:rPr>
          <w:rFonts w:hint="default"/>
          <w:lang w:eastAsia="zh-CN"/>
        </w:rPr>
        <w:t xml:space="preserve">’, </w:t>
      </w:r>
      <w:r>
        <w:rPr>
          <w:rFonts w:hint="default" w:ascii="Times New Roman Italic" w:hAnsi="Times New Roman Italic" w:cs="Times New Roman Italic"/>
          <w:i/>
          <w:iCs/>
          <w:lang w:val="en-US" w:eastAsia="zh-CN"/>
        </w:rPr>
        <w:t>The Family Journal</w:t>
      </w:r>
      <w:r>
        <w:rPr>
          <w:rFonts w:hint="default"/>
          <w:lang w:val="en-US" w:eastAsia="zh-CN"/>
        </w:rPr>
        <w:t xml:space="preserve">, </w:t>
      </w:r>
      <w:r>
        <w:rPr>
          <w:rFonts w:hint="default"/>
          <w:lang w:eastAsia="zh-CN"/>
        </w:rPr>
        <w:t>pp.1-12.</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Palen, L. and Salzman, M.</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2002</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Voice-mail diary studies for naturalistic data capture under mobile conditions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In Proceedings of the 2002 ACM conference on Computer supported cooperative work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w:t>
      </w:r>
      <w:r>
        <w:rPr>
          <w:rFonts w:hint="default" w:ascii="Times New Roman" w:hAnsi="Times New Roman" w:eastAsia="宋体" w:cs="Times New Roman"/>
          <w:i w:val="0"/>
          <w:iCs w:val="0"/>
          <w:caps w:val="0"/>
          <w:color w:val="222222"/>
          <w:spacing w:val="0"/>
          <w:kern w:val="0"/>
          <w:sz w:val="22"/>
          <w:szCs w:val="22"/>
          <w:shd w:val="clear" w:fill="FFFFFF"/>
          <w:lang w:eastAsia="zh-CN" w:bidi="ar"/>
        </w:rPr>
        <w:t xml:space="preserve"> 6,</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pp. 87-95.</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Palen, L. and Salzman, M. (in press) ‘Beyond the handset: Designing for Wireless Communications Usability’,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Transactions on Computer-Human Interaction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Poppleton, S., Briner, R.B. and Kiefer, T.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roles of context and everyday experience in understanding work‐non‐work relationships: A qualitative diary study of white‐and blue‐collar workers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Journal of Occupational and Organizational Psychology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81(3), pp.481-502.</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Rafaeli, E., Cranford, J.A., Green, A.S., Shrout, P.E. and Bolger, 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good and bad of relationships: How social hindrance and social support affect relationship feelings in daily life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Personality and Social Psychology Bulletin</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34(12), pp.1703-1718.</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Randall, W.L. and Phoenix, C.</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2009</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problem with truth in qualitative interviews: reflections from a narrative perspective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Qualitative research in sport and exercise</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1(2), pp.125-140.</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Riessman, C.K.</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2003</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Analysis of personal narratives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Inside interviewing: New lenses, new concerns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pp.331-346.</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Rifktovna, A.D. and Ergashevna, K.S.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2022</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Narrative strategy as a kind of communication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caps w:val="0"/>
          <w:color w:val="222222"/>
          <w:spacing w:val="0"/>
          <w:kern w:val="0"/>
          <w:sz w:val="22"/>
          <w:szCs w:val="22"/>
          <w:shd w:val="clear" w:fill="FFFFFF"/>
          <w:lang w:val="en-US" w:eastAsia="zh-CN" w:bidi="ar"/>
        </w:rPr>
        <w:t>Galaxy International Interdisciplinary Research Journal</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Regular" w:hAnsi="Times New Roman Regular" w:eastAsia="宋体" w:cs="Times New Roman Regular"/>
          <w:i w:val="0"/>
          <w:iCs/>
          <w:caps w:val="0"/>
          <w:color w:val="222222"/>
          <w:spacing w:val="0"/>
          <w:kern w:val="0"/>
          <w:sz w:val="22"/>
          <w:szCs w:val="22"/>
          <w:shd w:val="clear" w:fill="FFFFFF"/>
          <w:lang w:val="en-US" w:eastAsia="zh-CN" w:bidi="ar"/>
        </w:rPr>
        <w:t>10</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(7), pp.27-30.</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Russeel, A.W. (2000) ‘Book reviews: Narrative and Psychotherapy. McLeod, John. (1997). London: Sage. 180 pp. (paperback).’,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Journal of Medical Humanities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21, pp.247-249.</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lang w:val="en-US" w:eastAsia="zh-CN"/>
        </w:rPr>
        <w:t>Sauca, M.L.</w:t>
      </w:r>
      <w:r>
        <w:rPr>
          <w:rFonts w:hint="default"/>
          <w:lang w:eastAsia="zh-CN"/>
        </w:rPr>
        <w:t xml:space="preserve"> (</w:t>
      </w:r>
      <w:r>
        <w:rPr>
          <w:rFonts w:hint="default"/>
          <w:lang w:val="en-US" w:eastAsia="zh-CN"/>
        </w:rPr>
        <w:t>2022</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Blood rites-reconnecting with the innate feminine: An interpretive phenomenological analysis</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Consciousness, Spirituality &amp; Transpersonal Psychology,</w:t>
      </w:r>
      <w:r>
        <w:rPr>
          <w:rFonts w:hint="default"/>
          <w:lang w:val="en-US" w:eastAsia="zh-CN"/>
        </w:rPr>
        <w:t> 3, pp.128-143.</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Shankar, S., O'Brien, H.L. and Absar, R.</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Rhythms of everyday life in mobile information seeking: Reflections on a photo-diary stud</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y’,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Library Trends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66(4), pp.535-567.</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Stephens, C. and Breheny, M.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2013</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Narrative analysis in psychological research: An integrated approach to interpreting stories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Qualitative research in psychology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10(1), pp.14-27.</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Susan E.C. (1992) ‘Reviewed Work: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 xml:space="preserve">Interpreting Women’s Lives: Feminist Theory and Personal Narratives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by The Personal Narrative Group’, </w:t>
      </w:r>
      <w:r>
        <w:rPr>
          <w:rFonts w:hint="default" w:ascii="Times New Roman Italic" w:hAnsi="Times New Roman Italic" w:eastAsia="宋体" w:cs="Times New Roman Italic"/>
          <w:i/>
          <w:iCs/>
          <w:caps w:val="0"/>
          <w:color w:val="222222"/>
          <w:spacing w:val="0"/>
          <w:kern w:val="0"/>
          <w:sz w:val="22"/>
          <w:szCs w:val="22"/>
          <w:shd w:val="clear" w:fill="FFFFFF"/>
          <w:lang w:eastAsia="zh-CN" w:bidi="ar"/>
        </w:rPr>
        <w:t>Gender and Society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6(1), pp.144-146.</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Symon, G., &amp; Cassell, C. (Eds.). (1998)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Qualitative methods and analysis in organizational research: A practical guide</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London: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Sage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p>
    <w:p>
      <w:pPr>
        <w:rPr>
          <w:rFonts w:hint="default"/>
          <w:lang w:val="en-US" w:eastAsia="zh-CN"/>
        </w:rPr>
      </w:pPr>
      <w:r>
        <w:rPr>
          <w:rFonts w:hint="default"/>
          <w:lang w:val="en-US" w:eastAsia="zh-CN"/>
        </w:rPr>
        <w:t xml:space="preserve">Taguibao, J.A. and Bance, L.O. </w:t>
      </w:r>
      <w:r>
        <w:rPr>
          <w:rFonts w:hint="default"/>
          <w:lang w:eastAsia="zh-CN"/>
        </w:rPr>
        <w:t>(</w:t>
      </w:r>
      <w:r>
        <w:rPr>
          <w:rFonts w:hint="default"/>
          <w:lang w:val="en-US" w:eastAsia="zh-CN"/>
        </w:rPr>
        <w:t>2022</w:t>
      </w:r>
      <w:r>
        <w:rPr>
          <w:rFonts w:hint="default"/>
          <w:lang w:eastAsia="zh-CN"/>
        </w:rPr>
        <w:t>)</w:t>
      </w:r>
      <w:r>
        <w:rPr>
          <w:rFonts w:hint="default"/>
          <w:lang w:val="en-US" w:eastAsia="zh-CN"/>
        </w:rPr>
        <w:t xml:space="preserve"> </w:t>
      </w:r>
      <w:r>
        <w:rPr>
          <w:rFonts w:hint="default"/>
          <w:lang w:eastAsia="zh-CN"/>
        </w:rPr>
        <w:t>‘</w:t>
      </w:r>
      <w:r>
        <w:rPr>
          <w:rFonts w:hint="default"/>
          <w:lang w:val="en-US" w:eastAsia="zh-CN"/>
        </w:rPr>
        <w:t>It's the Climb: The Reproductive Journey and Well-being of Filipino Women with Infertility</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Philippine Social Science Journal</w:t>
      </w:r>
      <w:r>
        <w:rPr>
          <w:rFonts w:hint="default"/>
          <w:lang w:val="en-US" w:eastAsia="zh-CN"/>
        </w:rPr>
        <w:t>, 5(4), pp.28-43.</w:t>
      </w:r>
    </w:p>
    <w:p>
      <w:pPr>
        <w:rPr>
          <w:rFonts w:hint="default"/>
          <w:lang w:val="en-US" w:eastAsia="zh-CN"/>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Tamboukou, M., Andrews, M. and Squire, C.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2008</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Doing narrative research</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London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California, New.</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lang w:eastAsia="zh-CN"/>
        </w:rPr>
        <w:t xml:space="preserve">Toders, L. (2007) </w:t>
      </w:r>
      <w:r>
        <w:rPr>
          <w:rFonts w:hint="default" w:ascii="Times New Roman Italic" w:hAnsi="Times New Roman Italic" w:cs="Times New Roman Italic"/>
          <w:i/>
          <w:iCs/>
          <w:lang w:eastAsia="zh-CN"/>
        </w:rPr>
        <w:t>Embodied enquiry: Phenomenological touchstones for research, psychotherapy and spiritually</w:t>
      </w:r>
      <w:r>
        <w:rPr>
          <w:rFonts w:hint="default"/>
          <w:lang w:eastAsia="zh-CN"/>
        </w:rPr>
        <w:t>. Bsaingstoke, Hampshire: Palgrave Macmillan.</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lang w:val="en-US" w:eastAsia="zh-CN"/>
        </w:rPr>
        <w:t>Tuohy, D., Cooney, A., Dowling, M., Murphy, K. and Sixsmith, J.</w:t>
      </w:r>
      <w:r>
        <w:rPr>
          <w:rFonts w:hint="default"/>
          <w:lang w:eastAsia="zh-CN"/>
        </w:rPr>
        <w:t xml:space="preserve"> (</w:t>
      </w:r>
      <w:r>
        <w:rPr>
          <w:rFonts w:hint="default"/>
          <w:lang w:val="en-US" w:eastAsia="zh-CN"/>
        </w:rPr>
        <w:t>2013</w:t>
      </w:r>
      <w:r>
        <w:rPr>
          <w:rFonts w:hint="default"/>
          <w:lang w:eastAsia="zh-CN"/>
        </w:rPr>
        <w:t>) ‘</w:t>
      </w:r>
      <w:r>
        <w:rPr>
          <w:rFonts w:hint="default"/>
          <w:lang w:val="en-US" w:eastAsia="zh-CN"/>
        </w:rPr>
        <w:t>An overview of interpretive phenomenology as a research methodology</w:t>
      </w:r>
      <w:r>
        <w:rPr>
          <w:rFonts w:hint="default"/>
          <w:lang w:eastAsia="zh-CN"/>
        </w:rPr>
        <w:t>’,</w:t>
      </w:r>
      <w:r>
        <w:rPr>
          <w:rFonts w:hint="default"/>
          <w:lang w:val="en-US" w:eastAsia="zh-CN"/>
        </w:rPr>
        <w:t> </w:t>
      </w:r>
      <w:r>
        <w:rPr>
          <w:rFonts w:hint="default" w:ascii="Times New Roman Italic" w:hAnsi="Times New Roman Italic" w:cs="Times New Roman Italic"/>
          <w:i/>
          <w:iCs/>
          <w:lang w:val="en-US" w:eastAsia="zh-CN"/>
        </w:rPr>
        <w:t>Nurse researcher</w:t>
      </w:r>
      <w:r>
        <w:rPr>
          <w:rFonts w:hint="default"/>
          <w:lang w:val="en-US" w:eastAsia="zh-CN"/>
        </w:rPr>
        <w:t>, 20(6)</w:t>
      </w:r>
      <w:r>
        <w:rPr>
          <w:rFonts w:hint="default"/>
          <w:lang w:eastAsia="zh-CN"/>
        </w:rPr>
        <w:t>, pp.17-21.</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VanWynsberghe, R. and Khan, S.</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2007</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Redefining case study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International journal of qualitative methods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6(2), pp.80-94.</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Wiles, J.L., Rosenberg, M.W. and Kearns, R.A.</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2005</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Narrative analysis as a strategy for understanding interview talk in geographic research</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Area</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37(1), pp.89-99.</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Yin, R.K. (2003)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Case Study Research: Design and Methods</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3rd Edition</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London: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Sage</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Zammit, C.</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2001</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xml:space="preserve"> </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The art of healing: A journey through cancer: Implications for art therapy</w:t>
      </w:r>
      <w: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t>’,</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w:t>
      </w:r>
      <w:r>
        <w:rPr>
          <w:rFonts w:hint="default" w:ascii="Times New Roman Italic" w:hAnsi="Times New Roman Italic" w:eastAsia="宋体" w:cs="Times New Roman Italic"/>
          <w:i/>
          <w:iCs/>
          <w:caps w:val="0"/>
          <w:color w:val="222222"/>
          <w:spacing w:val="0"/>
          <w:kern w:val="0"/>
          <w:sz w:val="22"/>
          <w:szCs w:val="22"/>
          <w:shd w:val="clear" w:fill="FFFFFF"/>
          <w:lang w:val="en-US" w:eastAsia="zh-CN" w:bidi="ar"/>
        </w:rPr>
        <w:t>Art Therapy</w:t>
      </w:r>
      <w: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t>, 18(1), pp.27-36.</w:t>
      </w: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lang w:eastAsia="zh-CN"/>
        </w:rPr>
      </w:pPr>
    </w:p>
    <w:p>
      <w:pPr>
        <w:rPr>
          <w:rFonts w:hint="default"/>
          <w:lang w:val="en-US" w:eastAsia="zh-CN"/>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lang w:eastAsia="zh-CN"/>
        </w:rPr>
      </w:pPr>
    </w:p>
    <w:p>
      <w:pPr>
        <w:rPr>
          <w:rFonts w:hint="default" w:ascii="Times New Roman Regular" w:hAnsi="Times New Roman Regular" w:eastAsia="宋体" w:cs="Times New Roman Regular"/>
          <w:i w:val="0"/>
          <w:caps w:val="0"/>
          <w:color w:val="222222"/>
          <w:spacing w:val="0"/>
          <w:kern w:val="0"/>
          <w:sz w:val="22"/>
          <w:szCs w:val="22"/>
          <w:shd w:val="clear" w:fill="FFFFFF"/>
          <w:lang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Pr>
        <w:rPr>
          <w:rFonts w:hint="default" w:ascii="Times New Roman Regular" w:hAnsi="Times New Roman Regular" w:eastAsia="宋体" w:cs="Times New Roman Regular"/>
          <w:i w:val="0"/>
          <w:caps w:val="0"/>
          <w:color w:val="222222"/>
          <w:spacing w:val="0"/>
          <w:kern w:val="0"/>
          <w:sz w:val="22"/>
          <w:szCs w:val="22"/>
          <w:shd w:val="clear" w:fill="FFFFFF"/>
          <w:lang w:val="en-US" w:eastAsia="zh-CN" w:bidi="ar"/>
        </w:rPr>
      </w:pPr>
    </w:p>
    <w:p/>
    <w:p/>
    <w:sectPr>
      <w:headerReference r:id="rId4" w:type="first"/>
      <w:headerReference r:id="rId3" w:type="even"/>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KTJ">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B24">
    <w:altName w:val="苹方-简"/>
    <w:panose1 w:val="00000000000000000000"/>
    <w:charset w:val="00"/>
    <w:family w:val="auto"/>
    <w:pitch w:val="default"/>
    <w:sig w:usb0="00000000" w:usb1="00000000" w:usb2="00000000" w:usb3="00000000" w:csb0="00000000" w:csb1="00000000"/>
  </w:font>
  <w:font w:name="B9">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隶书">
    <w:altName w:val="宋体-简"/>
    <w:panose1 w:val="0201050906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报隶-简">
    <w:altName w:val="华文宋体"/>
    <w:panose1 w:val="02010600040101010101"/>
    <w:charset w:val="86"/>
    <w:family w:val="auto"/>
    <w:pitch w:val="default"/>
    <w:sig w:usb0="00000000" w:usb1="00000000" w:usb2="00000016" w:usb3="00000000" w:csb0="0004001F" w:csb1="00000000"/>
  </w:font>
  <w:font w:name="汉仪中黑KW">
    <w:panose1 w:val="00020600040101010101"/>
    <w:charset w:val="86"/>
    <w:family w:val="auto"/>
    <w:pitch w:val="default"/>
    <w:sig w:usb0="A00002BF" w:usb1="18EF7CFA" w:usb2="00000016" w:usb3="00000000" w:csb0="00040000" w:csb1="00000000"/>
  </w:font>
  <w:font w:name="Times New Roman Regular">
    <w:panose1 w:val="02020503050405090304"/>
    <w:charset w:val="00"/>
    <w:family w:val="auto"/>
    <w:pitch w:val="default"/>
    <w:sig w:usb0="E0000AFF" w:usb1="00007843" w:usb2="00000001" w:usb3="00000000" w:csb0="400001BF" w:csb1="DFF7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仿宋_GB2312">
    <w:altName w:val="方正仿宋_GBK"/>
    <w:panose1 w:val="02010609030101010101"/>
    <w:charset w:val="86"/>
    <w:family w:val="modern"/>
    <w:pitch w:val="default"/>
    <w:sig w:usb0="00000000" w:usb1="00000000" w:usb2="00000000" w:usb3="00000000" w:csb0="00040000" w:csb1="00000000"/>
  </w:font>
  <w:font w:name="微软雅黑">
    <w:altName w:val="汉仪旗黑"/>
    <w:panose1 w:val="020B0503020204020204"/>
    <w:charset w:val="86"/>
    <w:family w:val="swiss"/>
    <w:pitch w:val="default"/>
    <w:sig w:usb0="00000000" w:usb1="00000000" w:usb2="00000016" w:usb3="00000000" w:csb0="0004001F" w:csb1="00000000"/>
  </w:font>
  <w:font w:name="方正小标宋_GBK">
    <w:altName w:val="苹方-简"/>
    <w:panose1 w:val="00000000000000000000"/>
    <w:charset w:val="86"/>
    <w:family w:val="script"/>
    <w:pitch w:val="default"/>
    <w:sig w:usb0="00000000" w:usb1="00000000" w:usb2="00000010" w:usb3="00000000" w:csb0="00040000" w:csb1="00000000"/>
  </w:font>
  <w:font w:name="微软简行楷">
    <w:altName w:val="苹方-简"/>
    <w:panose1 w:val="00000000000000000000"/>
    <w:charset w:val="00"/>
    <w:family w:val="auto"/>
    <w:pitch w:val="default"/>
    <w:sig w:usb0="00000000" w:usb1="00000000" w:usb2="00000000" w:usb3="00000000" w:csb0="00000000" w:csb1="00000000"/>
  </w:font>
  <w:font w:name="華康行書體">
    <w:altName w:val="苹方-简"/>
    <w:panose1 w:val="02010609000101010101"/>
    <w:charset w:val="00"/>
    <w:family w:val="auto"/>
    <w:pitch w:val="default"/>
    <w:sig w:usb0="00000000" w:usb1="00000000" w:usb2="00000000" w:usb3="00000000" w:csb0="00000000" w:csb1="00000000"/>
  </w:font>
  <w:font w:name="微软简粗黑">
    <w:altName w:val="苹方-简"/>
    <w:panose1 w:val="00000000000000000000"/>
    <w:charset w:val="00"/>
    <w:family w:val="auto"/>
    <w:pitch w:val="default"/>
    <w:sig w:usb0="00000000" w:usb1="00000000" w:usb2="00000000" w:usb3="00000000" w:csb0="00000000" w:csb1="00000000"/>
  </w:font>
  <w:font w:name="思源黑体">
    <w:altName w:val="苹方-简"/>
    <w:panose1 w:val="020B0500000000090000"/>
    <w:charset w:val="86"/>
    <w:family w:val="auto"/>
    <w:pitch w:val="default"/>
    <w:sig w:usb0="00000000" w:usb1="00000000" w:usb2="00000016" w:usb3="00000000" w:csb0="60060107" w:csb1="00000000"/>
  </w:font>
  <w:font w:name="方正仿宋_GBK">
    <w:panose1 w:val="02000000000000000000"/>
    <w:charset w:val="86"/>
    <w:family w:val="auto"/>
    <w:pitch w:val="default"/>
    <w:sig w:usb0="A00002BF" w:usb1="38CF7CFA" w:usb2="00082016" w:usb3="00000000" w:csb0="00040001" w:csb1="00000000"/>
  </w:font>
  <w:font w:name="汉仪旗黑">
    <w:panose1 w:val="00020600040101010101"/>
    <w:charset w:val="86"/>
    <w:family w:val="auto"/>
    <w:pitch w:val="default"/>
    <w:sig w:usb0="A00002BF" w:usb1="1ACF7CFA" w:usb2="00000016" w:usb3="00000000" w:csb0="0004009F" w:csb1="DFD70000"/>
  </w:font>
  <w:font w:name="Kingsoft Sign">
    <w:panose1 w:val="05050102010706020507"/>
    <w:charset w:val="00"/>
    <w:family w:val="auto"/>
    <w:pitch w:val="default"/>
    <w:sig w:usb0="00000000" w:usb1="10000000" w:usb2="00000000" w:usb3="00000000" w:csb0="00000001" w:csb1="00000000"/>
  </w:font>
  <w:font w:name="Arial Regular">
    <w:panose1 w:val="020B0604020202090204"/>
    <w:charset w:val="00"/>
    <w:family w:val="auto"/>
    <w:pitch w:val="default"/>
    <w:sig w:usb0="E0000AFF" w:usb1="00007843" w:usb2="00000001" w:usb3="00000000" w:csb0="400001BF" w:csb1="DFF70000"/>
  </w:font>
  <w:font w:name="Thonburi Regular">
    <w:panose1 w:val="00000400000000000000"/>
    <w:charset w:val="00"/>
    <w:family w:val="auto"/>
    <w:pitch w:val="default"/>
    <w:sig w:usb0="01000000" w:usb1="00000000" w:usb2="00000000" w:usb3="00000000" w:csb0="20000193" w:csb1="4D000000"/>
  </w:font>
  <w:font w:name="儷宋 Pro">
    <w:altName w:val="苹方-简"/>
    <w:panose1 w:val="02020300000000000000"/>
    <w:charset w:val="88"/>
    <w:family w:val="auto"/>
    <w:pitch w:val="default"/>
    <w:sig w:usb0="00000000" w:usb1="00000000" w:usb2="00000016" w:usb3="00000000" w:csb0="00100000" w:csb1="00000000"/>
  </w:font>
  <w:font w:name="Times New Roman Bold">
    <w:panose1 w:val="02020503050405090304"/>
    <w:charset w:val="00"/>
    <w:family w:val="auto"/>
    <w:pitch w:val="default"/>
    <w:sig w:usb0="E0000AFF" w:usb1="00007843" w:usb2="00000001" w:usb3="00000000" w:csb0="400001BF" w:csb1="DFF70000"/>
  </w:font>
  <w:font w:name="Arial Unicode MS">
    <w:panose1 w:val="020B0604020202020204"/>
    <w:charset w:val="86"/>
    <w:family w:val="auto"/>
    <w:pitch w:val="default"/>
    <w:sig w:usb0="FFFFFFFF" w:usb1="E9FFFFFF" w:usb2="0000003F" w:usb3="00000000" w:csb0="603F01FF" w:csb1="FFFF0000"/>
  </w:font>
  <w:font w:name="Apple Color Emoji">
    <w:panose1 w:val="00000000000000000000"/>
    <w:charset w:val="00"/>
    <w:family w:val="auto"/>
    <w:pitch w:val="default"/>
    <w:sig w:usb0="00000003" w:usb1="18000000" w:usb2="14000000" w:usb3="00000000" w:csb0="0000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 w:name="华文楷体">
    <w:altName w:val="华文宋体"/>
    <w:panose1 w:val="02010600040101010101"/>
    <w:charset w:val="86"/>
    <w:family w:val="auto"/>
    <w:pitch w:val="default"/>
    <w:sig w:usb0="00000000" w:usb1="00000000" w:usb2="00000016" w:usb3="00000000" w:csb0="0004001F" w:csb1="00000000"/>
  </w:font>
  <w:font w:name="Yuanti TC Regular">
    <w:altName w:val="华文宋体"/>
    <w:panose1 w:val="02010600040101010101"/>
    <w:charset w:val="86"/>
    <w:family w:val="auto"/>
    <w:pitch w:val="default"/>
    <w:sig w:usb0="00000000" w:usb1="00000000" w:usb2="00000016" w:usb3="00000000" w:csb0="0004001F" w:csb1="00000000"/>
  </w:font>
  <w:font w:name="Heiti SC Light">
    <w:panose1 w:val="02000000000000000000"/>
    <w:charset w:val="86"/>
    <w:family w:val="auto"/>
    <w:pitch w:val="default"/>
    <w:sig w:usb0="8000002F" w:usb1="0800004A" w:usb2="00000000" w:usb3="00000000" w:csb0="203E0000" w:csb1="00000000"/>
  </w:font>
  <w:font w:name="Traditional Arabic">
    <w:altName w:val="苹方-简"/>
    <w:panose1 w:val="02020603050405020304"/>
    <w:charset w:val="00"/>
    <w:family w:val="auto"/>
    <w:pitch w:val="default"/>
    <w:sig w:usb0="00000000" w:usb1="00000000" w:usb2="00000008" w:usb3="00000000" w:csb0="00000041" w:csb1="20080000"/>
  </w:font>
  <w:font w:name="仿宋">
    <w:altName w:val="方正仿宋_GBK"/>
    <w:panose1 w:val="02010609060101010101"/>
    <w:charset w:val="86"/>
    <w:family w:val="auto"/>
    <w:pitch w:val="default"/>
    <w:sig w:usb0="00000000" w:usb1="00000000" w:usb2="00000016" w:usb3="00000000" w:csb0="00040001" w:csb1="00000000"/>
  </w:font>
  <w:font w:name="手札体-繁">
    <w:altName w:val="苹方-简"/>
    <w:panose1 w:val="03000500000000000000"/>
    <w:charset w:val="86"/>
    <w:family w:val="auto"/>
    <w:pitch w:val="default"/>
    <w:sig w:usb0="00000000" w:usb1="00000000" w:usb2="00000016" w:usb3="00000000" w:csb0="00040001" w:csb1="00000000"/>
  </w:font>
  <w:font w:name="兰亭黑-繁">
    <w:altName w:val="苹方-简"/>
    <w:panose1 w:val="03000509000000000000"/>
    <w:charset w:val="88"/>
    <w:family w:val="auto"/>
    <w:pitch w:val="default"/>
    <w:sig w:usb0="00000000" w:usb1="00000000" w:usb2="00000000" w:usb3="00000000" w:csb0="00100000" w:csb1="00000000"/>
  </w:font>
  <w:font w:name="Times New Roman Italic">
    <w:panose1 w:val="02020503050405090304"/>
    <w:charset w:val="00"/>
    <w:family w:val="auto"/>
    <w:pitch w:val="default"/>
    <w:sig w:usb0="E0000AFF" w:usb1="00007843" w:usb2="00000001" w:usb3="00000000" w:csb0="400001BF" w:csb1="DFF70000"/>
  </w:font>
  <w:font w:name="Heiti SC Medium">
    <w:panose1 w:val="02000000000000000000"/>
    <w:charset w:val="86"/>
    <w:family w:val="auto"/>
    <w:pitch w:val="default"/>
    <w:sig w:usb0="8000002F" w:usb1="0800004A" w:usb2="00000000" w:usb3="00000000" w:csb0="203E0000" w:csb1="00000000"/>
  </w:font>
  <w:font w:name="Times New Roman Light">
    <w:altName w:val="苹方-简"/>
    <w:panose1 w:val="00000000000000000000"/>
    <w:charset w:val="00"/>
    <w:family w:val="auto"/>
    <w:pitch w:val="default"/>
    <w:sig w:usb0="00000000" w:usb1="00000000" w:usb2="00000000" w:usb3="00000000" w:csb0="00000000" w:csb1="00000000"/>
  </w:font>
  <w:font w:name="Times New Roman Medium">
    <w:altName w:val="苹方-简"/>
    <w:panose1 w:val="00000000000000000000"/>
    <w:charset w:val="00"/>
    <w:family w:val="auto"/>
    <w:pitch w:val="default"/>
    <w:sig w:usb0="00000000" w:usb1="00000000" w:usb2="00000000" w:usb3="00000000" w:csb0="00000000" w:csb1="00000000"/>
  </w:font>
  <w:font w:name="Hiragino Sans GB W3">
    <w:panose1 w:val="020B0300000000000000"/>
    <w:charset w:val="86"/>
    <w:family w:val="auto"/>
    <w:pitch w:val="default"/>
    <w:sig w:usb0="A00002BF" w:usb1="1ACF7CFA" w:usb2="00000016" w:usb3="00000000" w:csb0="00060007" w:csb1="00000000"/>
  </w:font>
  <w:font w:name="凌慧体-繁">
    <w:altName w:val="宋体-简"/>
    <w:panose1 w:val="03050602040302020204"/>
    <w:charset w:val="86"/>
    <w:family w:val="auto"/>
    <w:pitch w:val="default"/>
    <w:sig w:usb0="00000000" w:usb1="00000000" w:usb2="0000001E" w:usb3="00000000" w:csb0="20140183" w:csb1="00000000"/>
  </w:font>
  <w:font w:name="娃娃体-简">
    <w:altName w:val="苹方-简"/>
    <w:panose1 w:val="040B0500000000000000"/>
    <w:charset w:val="86"/>
    <w:family w:val="auto"/>
    <w:pitch w:val="default"/>
    <w:sig w:usb0="00000000" w:usb1="00000000" w:usb2="00000016" w:usb3="00000000" w:csb0="00040003" w:csb1="00000000"/>
  </w:font>
  <w:font w:name="HanziPen TC Regular">
    <w:altName w:val="苹方-简"/>
    <w:panose1 w:val="03000300000000000000"/>
    <w:charset w:val="86"/>
    <w:family w:val="auto"/>
    <w:pitch w:val="default"/>
    <w:sig w:usb0="00000000" w:usb1="00000000" w:usb2="00000016" w:usb3="00000000" w:csb0="00040001" w:csb1="00000000"/>
  </w:font>
  <w:font w:name="魏碑-繁">
    <w:altName w:val="苹方-简"/>
    <w:panose1 w:val="03000800000000000000"/>
    <w:charset w:val="88"/>
    <w:family w:val="auto"/>
    <w:pitch w:val="default"/>
    <w:sig w:usb0="00000000" w:usb1="00000000" w:usb2="00000016" w:usb3="00000000" w:csb0="20120187" w:csb1="00000000"/>
  </w:font>
  <w:font w:name="Andale Mono">
    <w:panose1 w:val="020B0509000000000004"/>
    <w:charset w:val="00"/>
    <w:family w:val="auto"/>
    <w:pitch w:val="default"/>
    <w:sig w:usb0="00000287" w:usb1="00000000" w:usb2="00000000" w:usb3="00000000" w:csb0="6000009F" w:csb1="DFD70000"/>
  </w:font>
  <w:font w:name="Arial Black">
    <w:panose1 w:val="020B0A04020102020204"/>
    <w:charset w:val="00"/>
    <w:family w:val="auto"/>
    <w:pitch w:val="default"/>
    <w:sig w:usb0="00000287" w:usb1="00000000" w:usb2="00000000" w:usb3="00000000" w:csb0="2000009F" w:csb1="DFD70000"/>
  </w:font>
  <w:font w:name="STHeiti Light">
    <w:altName w:val="华文宋体"/>
    <w:panose1 w:val="02010600040101010101"/>
    <w:charset w:val="86"/>
    <w:family w:val="auto"/>
    <w:pitch w:val="default"/>
    <w:sig w:usb0="00000000" w:usb1="00000000" w:usb2="00000000" w:usb3="00000000" w:csb0="00040001" w:csb1="00000000"/>
  </w:font>
  <w:font w:name="Apple Symbols">
    <w:panose1 w:val="02000000000000000000"/>
    <w:charset w:val="00"/>
    <w:family w:val="auto"/>
    <w:pitch w:val="default"/>
    <w:sig w:usb0="800000A3" w:usb1="08007BEB" w:usb2="01840034" w:usb3="0000A268" w:csb0="200001FB" w:csb1="DDFF0000"/>
  </w:font>
  <w:font w:name="Baloo Da">
    <w:altName w:val="苹方-简"/>
    <w:panose1 w:val="03080902040302020200"/>
    <w:charset w:val="00"/>
    <w:family w:val="auto"/>
    <w:pitch w:val="default"/>
    <w:sig w:usb0="00000000" w:usb1="00000000" w:usb2="00000000" w:usb3="00000000" w:csb0="20000193" w:csb1="00000000"/>
  </w:font>
  <w:font w:name="Corsiva Hebrew Regular">
    <w:panose1 w:val="00000000000000000000"/>
    <w:charset w:val="00"/>
    <w:family w:val="auto"/>
    <w:pitch w:val="default"/>
    <w:sig w:usb0="80000843" w:usb1="40000002" w:usb2="00000000" w:usb3="00000000" w:csb0="00000001" w:csb1="00000000"/>
  </w:font>
  <w:font w:name="Kannada Sangam MN Regular">
    <w:panose1 w:val="00000500000000000000"/>
    <w:charset w:val="00"/>
    <w:family w:val="auto"/>
    <w:pitch w:val="default"/>
    <w:sig w:usb0="00400001" w:usb1="00000000" w:usb2="00000000" w:usb3="00000000" w:csb0="00000001" w:csb1="00000000"/>
  </w:font>
  <w:font w:name="InaiMathi Regular">
    <w:panose1 w:val="00000500000000000000"/>
    <w:charset w:val="00"/>
    <w:family w:val="auto"/>
    <w:pitch w:val="default"/>
    <w:sig w:usb0="00100001" w:usb1="00000000" w:usb2="00000000" w:usb3="00000000" w:csb0="00000001" w:csb1="00000000"/>
  </w:font>
  <w:font w:name="雅痞-简">
    <w:altName w:val="华文宋体"/>
    <w:panose1 w:val="020F0603040207020204"/>
    <w:charset w:val="86"/>
    <w:family w:val="auto"/>
    <w:pitch w:val="default"/>
    <w:sig w:usb0="00000000" w:usb1="00000000" w:usb2="0000001E" w:usb3="00000000" w:csb0="00040001" w:csb1="00000000"/>
  </w:font>
  <w:font w:name="標楷體">
    <w:altName w:val="苹方-简"/>
    <w:panose1 w:val="02010601000101010101"/>
    <w:charset w:val="00"/>
    <w:family w:val="auto"/>
    <w:pitch w:val="default"/>
    <w:sig w:usb0="00000000" w:usb1="00000000" w:usb2="00000000" w:usb3="00000000" w:csb0="00000000" w:csb1="00000000"/>
  </w:font>
  <w:font w:name="蘋果儷中黑">
    <w:altName w:val="苹方-简"/>
    <w:panose1 w:val="00000000000000000000"/>
    <w:charset w:val="00"/>
    <w:family w:val="auto"/>
    <w:pitch w:val="default"/>
    <w:sig w:usb0="00000000" w:usb1="00000000" w:usb2="00000016" w:usb3="00000000" w:csb0="00000001" w:csb1="00000000"/>
  </w:font>
  <w:font w:name="报隶-繁">
    <w:altName w:val="华文宋体"/>
    <w:panose1 w:val="02010600040101010101"/>
    <w:charset w:val="86"/>
    <w:family w:val="auto"/>
    <w:pitch w:val="default"/>
    <w:sig w:usb0="00000000" w:usb1="00000000" w:usb2="00000016" w:usb3="00000000" w:csb0="0004001F" w:csb1="00000000"/>
  </w:font>
  <w:font w:name="Devanagari MT Regular">
    <w:panose1 w:val="02000500020000000000"/>
    <w:charset w:val="00"/>
    <w:family w:val="auto"/>
    <w:pitch w:val="default"/>
    <w:sig w:usb0="80008003" w:usb1="1000C0C0" w:usb2="00000000" w:usb3="00000000" w:csb0="00000001" w:csb1="00000000"/>
  </w:font>
  <w:font w:name="Kefa Regular">
    <w:panose1 w:val="02000506000000020004"/>
    <w:charset w:val="00"/>
    <w:family w:val="auto"/>
    <w:pitch w:val="default"/>
    <w:sig w:usb0="800000AF" w:usb1="4000204B" w:usb2="00000800" w:usb3="00000000" w:csb0="20000001" w:csb1="00000000"/>
  </w:font>
  <w:font w:name="Nanum Gothic Regular">
    <w:altName w:val="Apple SD Gothic Neo"/>
    <w:panose1 w:val="020D0604000000000000"/>
    <w:charset w:val="81"/>
    <w:family w:val="auto"/>
    <w:pitch w:val="default"/>
    <w:sig w:usb0="00000000" w:usb1="00000000" w:usb2="00000010" w:usb3="00000000" w:csb0="00080001" w:csb1="00000000"/>
  </w:font>
  <w:font w:name="Noto Sans Meetei Mayek">
    <w:panose1 w:val="020B0502040504020204"/>
    <w:charset w:val="00"/>
    <w:family w:val="auto"/>
    <w:pitch w:val="default"/>
    <w:sig w:usb0="80000003" w:usb1="00002000" w:usb2="00000000" w:usb3="00000000" w:csb0="00000001" w:csb1="00000000"/>
  </w:font>
  <w:font w:name="Noto Sans Tai Tham">
    <w:panose1 w:val="020B0502040504020204"/>
    <w:charset w:val="00"/>
    <w:family w:val="auto"/>
    <w:pitch w:val="default"/>
    <w:sig w:usb0="00000000" w:usb1="00000000" w:usb2="00000000" w:usb3="00000000" w:csb0="00000001" w:csb1="00000000"/>
  </w:font>
  <w:font w:name="Silom">
    <w:panose1 w:val="00000400000000000000"/>
    <w:charset w:val="00"/>
    <w:family w:val="auto"/>
    <w:pitch w:val="default"/>
    <w:sig w:usb0="A10000FF" w:usb1="5000205A" w:usb2="00000020" w:usb3="00000000" w:csb0="20000193" w:csb1="4D000000"/>
  </w:font>
  <w:font w:name="Noto Sans Chakma">
    <w:panose1 w:val="020B0502040504020204"/>
    <w:charset w:val="00"/>
    <w:family w:val="auto"/>
    <w:pitch w:val="default"/>
    <w:sig w:usb0="80010003" w:usb1="02002000" w:usb2="00000400" w:usb3="00000000" w:csb0="00000001" w:csb1="00000000"/>
  </w:font>
  <w:font w:name="儷黑 Pro">
    <w:altName w:val="苹方-简"/>
    <w:panose1 w:val="020B0500000000000000"/>
    <w:charset w:val="88"/>
    <w:family w:val="auto"/>
    <w:pitch w:val="default"/>
    <w:sig w:usb0="00000000" w:usb1="00000000" w:usb2="00000016" w:usb3="00000000" w:csb0="00100000" w:csb1="00000000"/>
  </w:font>
  <w:font w:name="微软雅黑">
    <w:altName w:val="汉仪旗黑"/>
    <w:panose1 w:val="00000000000000000000"/>
    <w:charset w:val="00"/>
    <w:family w:val="auto"/>
    <w:pitch w:val="default"/>
    <w:sig w:usb0="00000000" w:usb1="00000000" w:usb2="00000000" w:usb3="00000000" w:csb0="00000000" w:csb1="00000000"/>
  </w:font>
  <w:font w:name="Songti SC Regular">
    <w:panose1 w:val="02010800040101010101"/>
    <w:charset w:val="86"/>
    <w:family w:val="auto"/>
    <w:pitch w:val="default"/>
    <w:sig w:usb0="00000001" w:usb1="080F0000" w:usb2="00000000" w:usb3="00000000" w:csb0="00040000" w:csb1="00000000"/>
  </w:font>
  <w:font w:name="隶变-繁">
    <w:altName w:val="华文宋体"/>
    <w:panose1 w:val="02010600040101010101"/>
    <w:charset w:val="86"/>
    <w:family w:val="auto"/>
    <w:pitch w:val="default"/>
    <w:sig w:usb0="00000000" w:usb1="00000000" w:usb2="00000016" w:usb3="00000000" w:csb0="0004001F" w:csb1="00000000"/>
  </w:font>
  <w:font w:name="Zapf Dingbats">
    <w:panose1 w:val="05020102010704020609"/>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Wingdings 3">
    <w:panose1 w:val="05040102010807070707"/>
    <w:charset w:val="00"/>
    <w:family w:val="auto"/>
    <w:pitch w:val="default"/>
    <w:sig w:usb0="00000000" w:usb1="00000000" w:usb2="00000000" w:usb3="00000000" w:csb0="80000000" w:csb1="00000000"/>
  </w:font>
  <w:font w:name="Al Bayan Plain">
    <w:panose1 w:val="00000000000000000000"/>
    <w:charset w:val="00"/>
    <w:family w:val="auto"/>
    <w:pitch w:val="default"/>
    <w:sig w:usb0="00002000" w:usb1="00000000" w:usb2="00000008" w:usb3="00000000" w:csb0="00000040" w:csb1="20000000"/>
  </w:font>
  <w:font w:name="Heiti TC Light">
    <w:panose1 w:val="02000000000000000000"/>
    <w:charset w:val="86"/>
    <w:family w:val="auto"/>
    <w:pitch w:val="default"/>
    <w:sig w:usb0="8000002F" w:usb1="0800004A" w:usb2="00000000" w:usb3="00000000" w:csb0="203E0000" w:csb1="00000000"/>
  </w:font>
  <w:font w:name="Heiti SC Bold">
    <w:altName w:val="苹方-简"/>
    <w:panose1 w:val="00000000000000000000"/>
    <w:charset w:val="00"/>
    <w:family w:val="auto"/>
    <w:pitch w:val="default"/>
    <w:sig w:usb0="00000000" w:usb1="00000000" w:usb2="00000000" w:usb3="00000000" w:csb0="00000000" w:csb1="00000000"/>
  </w:font>
  <w:font w:name="Songti SC Bold">
    <w:panose1 w:val="02010800040101010101"/>
    <w:charset w:val="86"/>
    <w:family w:val="auto"/>
    <w:pitch w:val="default"/>
    <w:sig w:usb0="00000001" w:usb1="080F0000" w:usb2="00000000" w:usb3="00000000" w:csb0="00040000" w:csb1="00000000"/>
  </w:font>
  <w:font w:name="Arial Italic">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Arial Bold Italic">
    <w:panose1 w:val="020B0604020202090204"/>
    <w:charset w:val="00"/>
    <w:family w:val="auto"/>
    <w:pitch w:val="default"/>
    <w:sig w:usb0="E0000AFF" w:usb1="00007843" w:usb2="00000001" w:usb3="00000000" w:csb0="400001BF" w:csb1="DFF70000"/>
  </w:font>
  <w:font w:name="华文宋体">
    <w:panose1 w:val="02010600040101010101"/>
    <w:charset w:val="86"/>
    <w:family w:val="auto"/>
    <w:pitch w:val="default"/>
    <w:sig w:usb0="80000287" w:usb1="280F3C52" w:usb2="00000016" w:usb3="00000000" w:csb0="0004001F" w:csb1="00000000"/>
  </w:font>
  <w:font w:name="Apple SD Gothic Neo">
    <w:panose1 w:val="02000300000000000000"/>
    <w:charset w:val="81"/>
    <w:family w:val="auto"/>
    <w:pitch w:val="default"/>
    <w:sig w:usb0="00000203" w:usb1="21D12C10" w:usb2="00000010" w:usb3="00000000" w:csb0="00280005" w:csb1="00000000"/>
  </w:font>
  <w:font w:name="Calibri Light">
    <w:altName w:val="Helvetica Neue"/>
    <w:panose1 w:val="020F0302020204030204"/>
    <w:charset w:val="00"/>
    <w:family w:val="swiss"/>
    <w:pitch w:val="default"/>
    <w:sig w:usb0="00000000" w:usb1="00000000" w:usb2="00000009" w:usb3="00000000" w:csb0="000001FF" w:csb1="00000000"/>
  </w:font>
  <w:font w:name="Arial">
    <w:panose1 w:val="020B0604020202090204"/>
    <w:charset w:val="00"/>
    <w:family w:val="auto"/>
    <w:pitch w:val="default"/>
    <w:sig w:usb0="E0000AFF" w:usb1="00007843" w:usb2="00000001" w:usb3="00000000" w:csb0="400001BF" w:csb1="DFF70000"/>
  </w:font>
  <w:font w:name="sans-serif">
    <w:altName w:val="苹方-简"/>
    <w:panose1 w:val="00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Segoe UI">
    <w:altName w:val="苹方-简"/>
    <w:panose1 w:val="020B0502040204020203"/>
    <w:charset w:val="00"/>
    <w:family w:val="swiss"/>
    <w:pitch w:val="default"/>
    <w:sig w:usb0="00000000" w:usb1="00000000" w:usb2="00000009" w:usb3="00000000" w:csb0="000001FF" w:csb1="00000000"/>
  </w:font>
  <w:font w:name="Arial Rounded MT Bold">
    <w:panose1 w:val="020F0704030504030204"/>
    <w:charset w:val="4D"/>
    <w:family w:val="swiss"/>
    <w:pitch w:val="default"/>
    <w:sig w:usb0="00000003" w:usb1="00000000" w:usb2="00000000" w:usb3="00000000" w:csb0="20000001" w:csb1="00000000"/>
  </w:font>
  <w:font w:name="兰亭黑-简">
    <w:altName w:val="冬青黑体简体中文"/>
    <w:panose1 w:val="02000000000000000000"/>
    <w:charset w:val="86"/>
    <w:family w:val="auto"/>
    <w:pitch w:val="default"/>
    <w:sig w:usb0="00000000" w:usb1="00000000" w:usb2="00000000" w:usb3="00000000" w:csb0="00040000" w:csb1="00000000"/>
  </w:font>
  <w:font w:name="Google Sans">
    <w:altName w:val="苹方-简"/>
    <w:panose1 w:val="00000000000000000000"/>
    <w:charset w:val="00"/>
    <w:family w:val="auto"/>
    <w:pitch w:val="default"/>
    <w:sig w:usb0="00000000" w:usb1="00000000" w:usb2="00000000" w:usb3="00000000" w:csb0="00000000" w:csb1="00000000"/>
  </w:font>
  <w:font w:name="sofia-pro">
    <w:altName w:val="苹方-简"/>
    <w:panose1 w:val="00000000000000000000"/>
    <w:charset w:val="00"/>
    <w:family w:val="auto"/>
    <w:pitch w:val="default"/>
    <w:sig w:usb0="00000000" w:usb1="00000000" w:usb2="00000000" w:usb3="00000000" w:csb0="00000000" w:csb1="00000000"/>
  </w:font>
  <w:font w:name="华文仿宋">
    <w:altName w:val="华文宋体"/>
    <w:panose1 w:val="02010600040101010101"/>
    <w:charset w:val="86"/>
    <w:family w:val="auto"/>
    <w:pitch w:val="default"/>
    <w:sig w:usb0="00000000" w:usb1="00000000" w:usb2="00000000" w:usb3="00000000" w:csb0="0004009F" w:csb1="DFD70000"/>
  </w:font>
  <w:font w:name="@等线">
    <w:altName w:val="华文宋体"/>
    <w:panose1 w:val="02010600030101010101"/>
    <w:charset w:val="86"/>
    <w:family w:val="auto"/>
    <w:pitch w:val="default"/>
    <w:sig w:usb0="00000000" w:usb1="00000000" w:usb2="00000016" w:usb3="00000000" w:csb0="0004000F" w:csb1="00000000"/>
  </w:font>
  <w:font w:name="DengXian">
    <w:altName w:val="汉仪中等线KW"/>
    <w:panose1 w:val="02010600030101010101"/>
    <w:charset w:val="86"/>
    <w:family w:val="auto"/>
    <w:pitch w:val="default"/>
    <w:sig w:usb0="00000000" w:usb1="00000000" w:usb2="00000016" w:usb3="00000000" w:csb0="0004000F" w:csb1="00000000"/>
  </w:font>
  <w:font w:name="Cambria Math">
    <w:altName w:val="Kingsoft Math"/>
    <w:panose1 w:val="02040503050406030204"/>
    <w:charset w:val="00"/>
    <w:family w:val="auto"/>
    <w:pitch w:val="default"/>
    <w:sig w:usb0="00000000" w:usb1="00000000" w:usb2="00000000" w:usb3="00000000" w:csb0="0000019F" w:csb1="00000000"/>
  </w:font>
  <w:font w:name="汉仪中等线KW">
    <w:panose1 w:val="01010104010101010101"/>
    <w:charset w:val="86"/>
    <w:family w:val="auto"/>
    <w:pitch w:val="default"/>
    <w:sig w:usb0="800002BF" w:usb1="004F7CFA" w:usb2="00000000" w:usb3="00000000" w:csb0="00040001" w:csb1="00000000"/>
  </w:font>
  <w:font w:name="Kingsoft Math">
    <w:panose1 w:val="02040503050406030204"/>
    <w:charset w:val="00"/>
    <w:family w:val="auto"/>
    <w:pitch w:val="default"/>
    <w:sig w:usb0="80000087" w:usb1="00002068" w:usb2="00000000" w:usb3="00000000" w:csb0="2000019F" w:csb1="00000000"/>
  </w:font>
  <w:font w:name="DengXian">
    <w:altName w:val="汉仪中等线KW"/>
    <w:panose1 w:val="00000000000000000000"/>
    <w:charset w:val="00"/>
    <w:family w:val="auto"/>
    <w:pitch w:val="default"/>
    <w:sig w:usb0="00000000" w:usb1="00000000" w:usb2="00000000" w:usb3="00000000" w:csb0="00000000" w:csb1="00000000"/>
  </w:font>
  <w:font w:name="Apercu">
    <w:altName w:val="苹方-简"/>
    <w:panose1 w:val="00000000000000000000"/>
    <w:charset w:val="00"/>
    <w:family w:val="auto"/>
    <w:pitch w:val="default"/>
    <w:sig w:usb0="00000000" w:usb1="00000000" w:usb2="00000000" w:usb3="00000000" w:csb0="00000000" w:csb1="00000000"/>
  </w:font>
  <w:font w:name="Verdana">
    <w:panose1 w:val="020B0804030504040204"/>
    <w:charset w:val="00"/>
    <w:family w:val="auto"/>
    <w:pitch w:val="default"/>
    <w:sig w:usb0="A10006FF" w:usb1="4000205B" w:usb2="00000010" w:usb3="00000000" w:csb0="2000019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86"/>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7"/>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B7ABD"/>
    <w:rsid w:val="000620EB"/>
    <w:rsid w:val="000639F3"/>
    <w:rsid w:val="00090D1F"/>
    <w:rsid w:val="000C14D0"/>
    <w:rsid w:val="000C22F1"/>
    <w:rsid w:val="000D30F8"/>
    <w:rsid w:val="001061A6"/>
    <w:rsid w:val="001F1C05"/>
    <w:rsid w:val="001F4506"/>
    <w:rsid w:val="0021292D"/>
    <w:rsid w:val="002172E9"/>
    <w:rsid w:val="00255875"/>
    <w:rsid w:val="002A1B03"/>
    <w:rsid w:val="002D6875"/>
    <w:rsid w:val="0031416D"/>
    <w:rsid w:val="003815B0"/>
    <w:rsid w:val="003B2174"/>
    <w:rsid w:val="003C2E57"/>
    <w:rsid w:val="003F07E2"/>
    <w:rsid w:val="00431B30"/>
    <w:rsid w:val="0045397E"/>
    <w:rsid w:val="004636E4"/>
    <w:rsid w:val="005252D2"/>
    <w:rsid w:val="00536BE0"/>
    <w:rsid w:val="005807A5"/>
    <w:rsid w:val="00593EAC"/>
    <w:rsid w:val="005F48E7"/>
    <w:rsid w:val="0061250C"/>
    <w:rsid w:val="006151BA"/>
    <w:rsid w:val="0068516F"/>
    <w:rsid w:val="006E61EA"/>
    <w:rsid w:val="007A0A79"/>
    <w:rsid w:val="007D0612"/>
    <w:rsid w:val="007F22DE"/>
    <w:rsid w:val="00823DAF"/>
    <w:rsid w:val="00831F5F"/>
    <w:rsid w:val="008345B1"/>
    <w:rsid w:val="008449DD"/>
    <w:rsid w:val="00881949"/>
    <w:rsid w:val="0089412F"/>
    <w:rsid w:val="008B4A87"/>
    <w:rsid w:val="00906D52"/>
    <w:rsid w:val="00994138"/>
    <w:rsid w:val="009C5DEB"/>
    <w:rsid w:val="009F2A43"/>
    <w:rsid w:val="00A77E87"/>
    <w:rsid w:val="00AF5FAF"/>
    <w:rsid w:val="00B104B0"/>
    <w:rsid w:val="00B465AC"/>
    <w:rsid w:val="00B76030"/>
    <w:rsid w:val="00B77354"/>
    <w:rsid w:val="00BA0D4B"/>
    <w:rsid w:val="00BE65AB"/>
    <w:rsid w:val="00C02F91"/>
    <w:rsid w:val="00C14CB1"/>
    <w:rsid w:val="00C40690"/>
    <w:rsid w:val="00C628B6"/>
    <w:rsid w:val="00C82232"/>
    <w:rsid w:val="00C9191E"/>
    <w:rsid w:val="00D02839"/>
    <w:rsid w:val="00D0781F"/>
    <w:rsid w:val="00D8368A"/>
    <w:rsid w:val="00DB6CFD"/>
    <w:rsid w:val="00DE10B0"/>
    <w:rsid w:val="00E120EE"/>
    <w:rsid w:val="00E40DE7"/>
    <w:rsid w:val="00EA0339"/>
    <w:rsid w:val="00EA483D"/>
    <w:rsid w:val="00ED0968"/>
    <w:rsid w:val="00ED20FC"/>
    <w:rsid w:val="00ED2D8B"/>
    <w:rsid w:val="00F156A8"/>
    <w:rsid w:val="00F5482B"/>
    <w:rsid w:val="00F70A51"/>
    <w:rsid w:val="00F77A36"/>
    <w:rsid w:val="00FB5183"/>
    <w:rsid w:val="0E7B7ABD"/>
    <w:rsid w:val="27FF8F16"/>
    <w:rsid w:val="2FDAAF46"/>
    <w:rsid w:val="5FEFC134"/>
    <w:rsid w:val="67B731D2"/>
    <w:rsid w:val="685EAB9F"/>
    <w:rsid w:val="6F97B830"/>
    <w:rsid w:val="6FDFB76B"/>
    <w:rsid w:val="727BA423"/>
    <w:rsid w:val="73B1BCD8"/>
    <w:rsid w:val="7AFE3E60"/>
    <w:rsid w:val="7EFA5CAB"/>
    <w:rsid w:val="8FEE1DAE"/>
    <w:rsid w:val="B9BF5C68"/>
    <w:rsid w:val="D8FF3E4E"/>
    <w:rsid w:val="DFFF25DD"/>
    <w:rsid w:val="EB7F52BB"/>
    <w:rsid w:val="EE77C07F"/>
    <w:rsid w:val="EF46C4A7"/>
    <w:rsid w:val="F9EF9FDE"/>
    <w:rsid w:val="F9FC75BD"/>
    <w:rsid w:val="FAEFEF36"/>
    <w:rsid w:val="FCFAAF02"/>
    <w:rsid w:val="FFEFA8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1"/>
      <w:szCs w:val="32"/>
      <w:lang w:val="en-US" w:eastAsia="zh-CN" w:bidi="ar-SA"/>
    </w:rPr>
  </w:style>
  <w:style w:type="character" w:default="1" w:styleId="4">
    <w:name w:val="Default Paragraph Font"/>
    <w:unhideWhenUsed/>
    <w:qFormat/>
    <w:uiPriority w:val="1"/>
  </w:style>
  <w:style w:type="table" w:default="1" w:styleId="5">
    <w:name w:val="Normal Table"/>
    <w:unhideWhenUsed/>
    <w:qFormat/>
    <w:uiPriority w:val="99"/>
    <w:tblPr>
      <w:tblCellMar>
        <w:top w:w="0" w:type="dxa"/>
        <w:left w:w="108" w:type="dxa"/>
        <w:bottom w:w="0" w:type="dxa"/>
        <w:right w:w="108" w:type="dxa"/>
      </w:tblCellMar>
    </w:tblPr>
  </w:style>
  <w:style w:type="paragraph" w:styleId="2">
    <w:name w:val="footer"/>
    <w:basedOn w:val="1"/>
    <w:link w:val="8"/>
    <w:qFormat/>
    <w:uiPriority w:val="0"/>
    <w:pPr>
      <w:tabs>
        <w:tab w:val="center" w:pos="4153"/>
        <w:tab w:val="right" w:pos="8306"/>
      </w:tabs>
      <w:snapToGrid w:val="0"/>
      <w:jc w:val="left"/>
    </w:pPr>
    <w:rPr>
      <w:sz w:val="18"/>
      <w:szCs w:val="18"/>
    </w:rPr>
  </w:style>
  <w:style w:type="paragraph" w:styleId="3">
    <w:name w:val="header"/>
    <w:basedOn w:val="1"/>
    <w:link w:val="7"/>
    <w:qFormat/>
    <w:uiPriority w:val="0"/>
    <w:pPr>
      <w:pBdr>
        <w:bottom w:val="single" w:color="auto" w:sz="6" w:space="1"/>
      </w:pBdr>
      <w:tabs>
        <w:tab w:val="center" w:pos="4153"/>
        <w:tab w:val="right" w:pos="8306"/>
      </w:tabs>
      <w:snapToGrid w:val="0"/>
      <w:jc w:val="center"/>
    </w:pPr>
    <w:rPr>
      <w:sz w:val="18"/>
      <w:szCs w:val="18"/>
    </w:rPr>
  </w:style>
  <w:style w:type="table" w:styleId="6">
    <w:name w:val="Table Grid"/>
    <w:basedOn w:val="5"/>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7">
    <w:name w:val="页眉 字符"/>
    <w:basedOn w:val="4"/>
    <w:link w:val="3"/>
    <w:qFormat/>
    <w:uiPriority w:val="0"/>
    <w:rPr>
      <w:rFonts w:ascii="Times New Roman" w:hAnsi="Times New Roman"/>
      <w:kern w:val="2"/>
      <w:sz w:val="18"/>
      <w:szCs w:val="18"/>
    </w:rPr>
  </w:style>
  <w:style w:type="character" w:customStyle="1" w:styleId="8">
    <w:name w:val="页脚 字符"/>
    <w:basedOn w:val="4"/>
    <w:link w:val="2"/>
    <w:qFormat/>
    <w:uiPriority w:val="0"/>
    <w:rPr>
      <w:rFonts w:ascii="Times New Roman" w:hAnsi="Times New Roman"/>
      <w:kern w:val="2"/>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8</Pages>
  <Words>4273</Words>
  <Characters>23711</Characters>
  <Lines>197</Lines>
  <Paragraphs>55</Paragraphs>
  <ScaleCrop>false</ScaleCrop>
  <LinksUpToDate>false</LinksUpToDate>
  <CharactersWithSpaces>27929</CharactersWithSpaces>
  <Application>WPS Office_2.7.1.4479_F1E327BC-269C-435d-A152-05C5408002CA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2023-05-11T12:29:00Z</dcterms:created>
  <dc:creator>fengxiao</dc:creator>
  <cp:lastModifiedBy>fengxiao</cp:lastModifiedBy>
  <dcterms:modified xsi:type="dcterms:W3CDTF">2023-05-25T16:44:22Z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2052-2.7.1.4479</vt:lpwstr>
  </property>
</Properties>
</file>