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6A7B7" w14:textId="77777777" w:rsidR="001926BC" w:rsidRDefault="001926BC">
      <w:pPr>
        <w:spacing w:after="2000"/>
      </w:pPr>
    </w:p>
    <w:p w14:paraId="593423BF" w14:textId="39AE6A7E" w:rsidR="001926BC" w:rsidRDefault="001926BC" w:rsidP="00D860CE">
      <w:pPr>
        <w:jc w:val="center"/>
      </w:pPr>
    </w:p>
    <w:p w14:paraId="49A5E76B" w14:textId="50B34D9E" w:rsidR="001926BC" w:rsidRDefault="00000000" w:rsidP="00AE0013">
      <w:pPr>
        <w:jc w:val="center"/>
      </w:pPr>
      <w:r>
        <w:rPr>
          <w:rFonts w:ascii="Calibri" w:eastAsia="Calibri" w:hAnsi="Calibri" w:cs="Calibri"/>
          <w:sz w:val="26"/>
          <w:szCs w:val="26"/>
        </w:rPr>
        <w:t xml:space="preserve">Module: </w:t>
      </w:r>
    </w:p>
    <w:p w14:paraId="148F441E" w14:textId="51EFC7FE" w:rsidR="00AE0013" w:rsidRDefault="00AE0013" w:rsidP="00AE0013">
      <w:pPr>
        <w:jc w:val="center"/>
      </w:pPr>
      <w:r>
        <w:t>Enter</w:t>
      </w:r>
      <w:r w:rsidR="00487274">
        <w:t>prise and Entrepreneurship</w:t>
      </w:r>
      <w:r w:rsidR="00A41E37">
        <w:t xml:space="preserve"> (LCLM4006)</w:t>
      </w:r>
    </w:p>
    <w:p w14:paraId="7CABCDC8" w14:textId="77777777" w:rsidR="001926BC" w:rsidRDefault="00000000">
      <w:pPr>
        <w:spacing w:before="800"/>
        <w:jc w:val="center"/>
      </w:pPr>
      <w:r>
        <w:rPr>
          <w:rFonts w:ascii="Calibri" w:eastAsia="Calibri" w:hAnsi="Calibri" w:cs="Calibri"/>
          <w:b/>
          <w:bCs/>
          <w:color w:val="375623"/>
          <w:sz w:val="44"/>
          <w:szCs w:val="44"/>
        </w:rPr>
        <w:t>GreenLoop Market</w:t>
      </w:r>
    </w:p>
    <w:p w14:paraId="660270A8" w14:textId="77777777" w:rsidR="001926BC" w:rsidRDefault="00000000">
      <w:pPr>
        <w:spacing w:after="800"/>
        <w:jc w:val="center"/>
      </w:pPr>
      <w:r>
        <w:rPr>
          <w:rFonts w:ascii="Calibri" w:eastAsia="Calibri" w:hAnsi="Calibri" w:cs="Calibri"/>
          <w:sz w:val="26"/>
          <w:szCs w:val="26"/>
        </w:rPr>
        <w:t>A Business Plan for a Zero-Waste, Community-Focused Grocery Store</w:t>
      </w:r>
    </w:p>
    <w:p w14:paraId="06A8D8BE" w14:textId="77777777" w:rsidR="001926BC" w:rsidRDefault="00000000">
      <w:pPr>
        <w:spacing w:before="1600"/>
        <w:jc w:val="center"/>
      </w:pPr>
      <w:r>
        <w:rPr>
          <w:rFonts w:ascii="Calibri" w:eastAsia="Calibri" w:hAnsi="Calibri" w:cs="Calibri"/>
          <w:sz w:val="22"/>
          <w:szCs w:val="22"/>
        </w:rPr>
        <w:t>Assignment: Business Plan</w:t>
      </w:r>
    </w:p>
    <w:p w14:paraId="168FA03B" w14:textId="4E19245A" w:rsidR="001926BC" w:rsidRDefault="00000000">
      <w:pPr>
        <w:jc w:val="center"/>
      </w:pPr>
      <w:r>
        <w:rPr>
          <w:rFonts w:ascii="Calibri" w:eastAsia="Calibri" w:hAnsi="Calibri" w:cs="Calibri"/>
          <w:sz w:val="22"/>
          <w:szCs w:val="22"/>
        </w:rPr>
        <w:t xml:space="preserve">Lecturer: </w:t>
      </w:r>
      <w:r w:rsidR="00A41E37">
        <w:rPr>
          <w:rFonts w:ascii="Calibri" w:eastAsia="Calibri" w:hAnsi="Calibri" w:cs="Calibri"/>
          <w:sz w:val="22"/>
          <w:szCs w:val="22"/>
        </w:rPr>
        <w:t xml:space="preserve">Thomas </w:t>
      </w:r>
      <w:r w:rsidR="00704341">
        <w:rPr>
          <w:rFonts w:ascii="Calibri" w:eastAsia="Calibri" w:hAnsi="Calibri" w:cs="Calibri"/>
          <w:sz w:val="22"/>
          <w:szCs w:val="22"/>
        </w:rPr>
        <w:t>Adeyemi</w:t>
      </w:r>
    </w:p>
    <w:p w14:paraId="1F02BB8C" w14:textId="187AE4DD" w:rsidR="001926BC" w:rsidRDefault="00000000">
      <w:pPr>
        <w:spacing w:before="400"/>
        <w:jc w:val="center"/>
      </w:pPr>
      <w:r>
        <w:rPr>
          <w:rFonts w:ascii="Calibri" w:eastAsia="Calibri" w:hAnsi="Calibri" w:cs="Calibri"/>
          <w:sz w:val="22"/>
          <w:szCs w:val="22"/>
        </w:rPr>
        <w:t xml:space="preserve">Student Name: </w:t>
      </w:r>
      <w:r w:rsidR="00704341">
        <w:rPr>
          <w:rFonts w:ascii="Calibri" w:eastAsia="Calibri" w:hAnsi="Calibri" w:cs="Calibri"/>
          <w:sz w:val="22"/>
          <w:szCs w:val="22"/>
        </w:rPr>
        <w:t>George-Andrei Colibaba</w:t>
      </w:r>
    </w:p>
    <w:p w14:paraId="46E1A19B" w14:textId="1AAEC7D5" w:rsidR="001926BC" w:rsidRDefault="00000000">
      <w:pPr>
        <w:jc w:val="center"/>
      </w:pPr>
      <w:r>
        <w:rPr>
          <w:rFonts w:ascii="Calibri" w:eastAsia="Calibri" w:hAnsi="Calibri" w:cs="Calibri"/>
          <w:sz w:val="22"/>
          <w:szCs w:val="22"/>
        </w:rPr>
        <w:t xml:space="preserve">Student ID: </w:t>
      </w:r>
      <w:r w:rsidR="00E63609">
        <w:rPr>
          <w:rFonts w:ascii="Calibri" w:eastAsia="Calibri" w:hAnsi="Calibri" w:cs="Calibri"/>
          <w:sz w:val="22"/>
          <w:szCs w:val="22"/>
        </w:rPr>
        <w:t>2508306</w:t>
      </w:r>
    </w:p>
    <w:p w14:paraId="5901968B" w14:textId="77777777" w:rsidR="001926BC" w:rsidRDefault="00000000">
      <w:pPr>
        <w:jc w:val="center"/>
      </w:pPr>
      <w:r>
        <w:rPr>
          <w:rFonts w:ascii="Calibri" w:eastAsia="Calibri" w:hAnsi="Calibri" w:cs="Calibri"/>
          <w:sz w:val="22"/>
          <w:szCs w:val="22"/>
        </w:rPr>
        <w:t>Date: July 2026</w:t>
      </w:r>
    </w:p>
    <w:p w14:paraId="2CF9272B" w14:textId="77777777" w:rsidR="001926BC" w:rsidRDefault="00000000">
      <w:r>
        <w:br w:type="page"/>
      </w:r>
    </w:p>
    <w:p w14:paraId="6D6059D6" w14:textId="77777777" w:rsidR="001926BC" w:rsidRDefault="001926BC">
      <w:pPr>
        <w:sectPr w:rsidR="001926BC">
          <w:pgSz w:w="12240" w:h="15840"/>
          <w:pgMar w:top="1440" w:right="1440" w:bottom="1440" w:left="1440" w:header="708" w:footer="708" w:gutter="0"/>
          <w:cols w:space="720"/>
          <w:docGrid w:linePitch="360"/>
        </w:sectPr>
      </w:pPr>
    </w:p>
    <w:p w14:paraId="24634FF2" w14:textId="77777777" w:rsidR="001926BC" w:rsidRDefault="00000000">
      <w:pPr>
        <w:pStyle w:val="Heading1"/>
        <w:spacing w:before="300" w:after="150"/>
      </w:pPr>
      <w:bookmarkStart w:id="0" w:name="_Toc235982464"/>
      <w:r>
        <w:lastRenderedPageBreak/>
        <w:t>Executive Summary</w:t>
      </w:r>
      <w:bookmarkEnd w:id="0"/>
    </w:p>
    <w:p w14:paraId="10FEAB4B" w14:textId="77777777" w:rsidR="001926BC" w:rsidRDefault="00000000">
      <w:pPr>
        <w:spacing w:after="200" w:line="276" w:lineRule="auto"/>
        <w:jc w:val="both"/>
      </w:pPr>
      <w:r>
        <w:rPr>
          <w:rFonts w:ascii="Calibri" w:eastAsia="Calibri" w:hAnsi="Calibri" w:cs="Calibri"/>
          <w:sz w:val="22"/>
          <w:szCs w:val="22"/>
        </w:rPr>
        <w:t>GreenLoop Market is a proposed zero-waste, package-free grocery store to be opened in a mid-sized UK town centre, selling pantry staples, household cleaning products and personal care items by weight, removing single-use plastic packaging from everyday grocery shopping.</w:t>
      </w:r>
    </w:p>
    <w:p w14:paraId="14FE0E73" w14:textId="77777777" w:rsidR="001926BC" w:rsidRDefault="00000000">
      <w:pPr>
        <w:spacing w:after="200" w:line="276" w:lineRule="auto"/>
        <w:jc w:val="both"/>
      </w:pPr>
      <w:r>
        <w:rPr>
          <w:rFonts w:ascii="Calibri" w:eastAsia="Calibri" w:hAnsi="Calibri" w:cs="Calibri"/>
          <w:sz w:val="22"/>
          <w:szCs w:val="22"/>
        </w:rPr>
        <w:t>Beyond its retail offer, the business embeds sustainability and community support directly into its model: a weekly food bank donation of short-dated stock addresses local food insecurity, and a Community Skills Programme, run with the local jobcentre and a youth charity, provides paid six-month retail placements for long-term unemployed 16 to 24 year olds.</w:t>
      </w:r>
    </w:p>
    <w:p w14:paraId="717D2013" w14:textId="77777777" w:rsidR="001926BC" w:rsidRDefault="00000000">
      <w:pPr>
        <w:spacing w:after="200" w:line="276" w:lineRule="auto"/>
        <w:jc w:val="both"/>
      </w:pPr>
      <w:r>
        <w:rPr>
          <w:rFonts w:ascii="Calibri" w:eastAsia="Calibri" w:hAnsi="Calibri" w:cs="Calibri"/>
          <w:sz w:val="22"/>
          <w:szCs w:val="22"/>
        </w:rPr>
        <w:t>The business will trade as a Private Limited Company (Ltd) with a lean management structure led by a Managing Director, supported by a Store Manager, a part-time Community Partnerships Coordinator, and retail assistants drawn partly from the Skills Programme. Market research indicates a supportive policy environment, rising consumer demand for low-waste and ethically positioned retail, and a local competitive gap that neither the two nearby supermarkets nor the town's health food shop currently fill.</w:t>
      </w:r>
    </w:p>
    <w:p w14:paraId="684471FC" w14:textId="77777777" w:rsidR="001926BC" w:rsidRDefault="00000000">
      <w:pPr>
        <w:spacing w:after="200" w:line="276" w:lineRule="auto"/>
        <w:jc w:val="both"/>
      </w:pPr>
      <w:r>
        <w:rPr>
          <w:rFonts w:ascii="Calibri" w:eastAsia="Calibri" w:hAnsi="Calibri" w:cs="Calibri"/>
          <w:sz w:val="22"/>
          <w:szCs w:val="22"/>
        </w:rPr>
        <w:t>Marketing will focus on social media storytelling, an in-store loyalty scheme and community workshops, targeting environmentally conscious households, students and shared households within the local area at low advertising cost. The business is seeking £45,000 in start-up funding, made up of founder savings, a Government-backed Start Up Loan, and a small business bank loan, to cover shop fit-out, initial stock and the first month of trading costs, leaving a prudent working capital buffer as the business establishes its customer base.</w:t>
      </w:r>
    </w:p>
    <w:p w14:paraId="24D5BEC5" w14:textId="77777777" w:rsidR="001926BC" w:rsidRDefault="00000000">
      <w:r>
        <w:br w:type="page"/>
      </w:r>
    </w:p>
    <w:p w14:paraId="37044676" w14:textId="77777777" w:rsidR="001926BC" w:rsidRDefault="00000000">
      <w:pPr>
        <w:pStyle w:val="Heading1"/>
        <w:spacing w:before="300" w:after="150"/>
      </w:pPr>
      <w:bookmarkStart w:id="1" w:name="_Toc235982465"/>
      <w:r>
        <w:lastRenderedPageBreak/>
        <w:t>Table of Contents</w:t>
      </w:r>
      <w:bookmarkEnd w:id="1"/>
    </w:p>
    <w:sdt>
      <w:sdtPr>
        <w:alias w:val="Table of Contents"/>
        <w:id w:val="-2107022219"/>
      </w:sdtPr>
      <w:sdtContent>
        <w:p w14:paraId="3A0FEDDE" w14:textId="77777777" w:rsidR="00D860CE" w:rsidRDefault="00000000">
          <w:pPr>
            <w:pStyle w:val="TOC1"/>
            <w:tabs>
              <w:tab w:val="right" w:leader="dot" w:pos="9016"/>
            </w:tabs>
            <w:rPr>
              <w:noProof/>
            </w:rPr>
          </w:pPr>
          <w:r>
            <w:fldChar w:fldCharType="begin"/>
          </w:r>
          <w:r>
            <w:instrText>TOC \h \o "1-2"</w:instrText>
          </w:r>
          <w:r>
            <w:fldChar w:fldCharType="separate"/>
          </w:r>
          <w:hyperlink w:anchor="_Toc235982464" w:history="1">
            <w:r w:rsidR="00D860CE" w:rsidRPr="00766361">
              <w:rPr>
                <w:rStyle w:val="Hyperlink"/>
                <w:noProof/>
              </w:rPr>
              <w:t>Executive Summary</w:t>
            </w:r>
            <w:r w:rsidR="00D860CE">
              <w:rPr>
                <w:noProof/>
              </w:rPr>
              <w:tab/>
            </w:r>
            <w:r w:rsidR="00D860CE">
              <w:rPr>
                <w:noProof/>
              </w:rPr>
              <w:fldChar w:fldCharType="begin"/>
            </w:r>
            <w:r w:rsidR="00D860CE">
              <w:rPr>
                <w:noProof/>
              </w:rPr>
              <w:instrText xml:space="preserve"> PAGEREF _Toc235982464 \h </w:instrText>
            </w:r>
            <w:r w:rsidR="00D860CE">
              <w:rPr>
                <w:noProof/>
              </w:rPr>
            </w:r>
            <w:r w:rsidR="00D860CE">
              <w:rPr>
                <w:noProof/>
              </w:rPr>
              <w:fldChar w:fldCharType="separate"/>
            </w:r>
            <w:r w:rsidR="00D860CE">
              <w:rPr>
                <w:noProof/>
              </w:rPr>
              <w:t>1</w:t>
            </w:r>
            <w:r w:rsidR="00D860CE">
              <w:rPr>
                <w:noProof/>
              </w:rPr>
              <w:fldChar w:fldCharType="end"/>
            </w:r>
          </w:hyperlink>
        </w:p>
        <w:p w14:paraId="10251EB0" w14:textId="77777777" w:rsidR="00D860CE" w:rsidRDefault="00D860CE">
          <w:pPr>
            <w:pStyle w:val="TOC1"/>
            <w:tabs>
              <w:tab w:val="right" w:leader="dot" w:pos="9016"/>
            </w:tabs>
            <w:rPr>
              <w:noProof/>
            </w:rPr>
          </w:pPr>
          <w:hyperlink w:anchor="_Toc235982465" w:history="1">
            <w:r w:rsidRPr="00766361">
              <w:rPr>
                <w:rStyle w:val="Hyperlink"/>
                <w:noProof/>
              </w:rPr>
              <w:t>Table of Contents</w:t>
            </w:r>
            <w:r>
              <w:rPr>
                <w:noProof/>
              </w:rPr>
              <w:tab/>
            </w:r>
            <w:r>
              <w:rPr>
                <w:noProof/>
              </w:rPr>
              <w:fldChar w:fldCharType="begin"/>
            </w:r>
            <w:r>
              <w:rPr>
                <w:noProof/>
              </w:rPr>
              <w:instrText xml:space="preserve"> PAGEREF _Toc235982465 \h </w:instrText>
            </w:r>
            <w:r>
              <w:rPr>
                <w:noProof/>
              </w:rPr>
            </w:r>
            <w:r>
              <w:rPr>
                <w:noProof/>
              </w:rPr>
              <w:fldChar w:fldCharType="separate"/>
            </w:r>
            <w:r>
              <w:rPr>
                <w:noProof/>
              </w:rPr>
              <w:t>1</w:t>
            </w:r>
            <w:r>
              <w:rPr>
                <w:noProof/>
              </w:rPr>
              <w:fldChar w:fldCharType="end"/>
            </w:r>
          </w:hyperlink>
        </w:p>
        <w:p w14:paraId="7B1712E3" w14:textId="77777777" w:rsidR="00D860CE" w:rsidRDefault="00D860CE">
          <w:pPr>
            <w:pStyle w:val="TOC1"/>
            <w:tabs>
              <w:tab w:val="right" w:leader="dot" w:pos="9016"/>
            </w:tabs>
            <w:rPr>
              <w:noProof/>
            </w:rPr>
          </w:pPr>
          <w:hyperlink w:anchor="_Toc235982466" w:history="1">
            <w:r w:rsidRPr="00766361">
              <w:rPr>
                <w:rStyle w:val="Hyperlink"/>
                <w:noProof/>
              </w:rPr>
              <w:t>1. Overview of the Business Idea</w:t>
            </w:r>
            <w:r>
              <w:rPr>
                <w:noProof/>
              </w:rPr>
              <w:tab/>
            </w:r>
            <w:r>
              <w:rPr>
                <w:noProof/>
              </w:rPr>
              <w:fldChar w:fldCharType="begin"/>
            </w:r>
            <w:r>
              <w:rPr>
                <w:noProof/>
              </w:rPr>
              <w:instrText xml:space="preserve"> PAGEREF _Toc235982466 \h </w:instrText>
            </w:r>
            <w:r>
              <w:rPr>
                <w:noProof/>
              </w:rPr>
            </w:r>
            <w:r>
              <w:rPr>
                <w:noProof/>
              </w:rPr>
              <w:fldChar w:fldCharType="separate"/>
            </w:r>
            <w:r>
              <w:rPr>
                <w:noProof/>
              </w:rPr>
              <w:t>1</w:t>
            </w:r>
            <w:r>
              <w:rPr>
                <w:noProof/>
              </w:rPr>
              <w:fldChar w:fldCharType="end"/>
            </w:r>
          </w:hyperlink>
        </w:p>
        <w:p w14:paraId="3F3C7D36" w14:textId="77777777" w:rsidR="00D860CE" w:rsidRDefault="00D860CE">
          <w:pPr>
            <w:pStyle w:val="TOC1"/>
            <w:tabs>
              <w:tab w:val="right" w:leader="dot" w:pos="9016"/>
            </w:tabs>
            <w:rPr>
              <w:noProof/>
            </w:rPr>
          </w:pPr>
          <w:hyperlink w:anchor="_Toc235982467" w:history="1">
            <w:r w:rsidRPr="00766361">
              <w:rPr>
                <w:rStyle w:val="Hyperlink"/>
                <w:noProof/>
              </w:rPr>
              <w:t>2. Market Research</w:t>
            </w:r>
            <w:r>
              <w:rPr>
                <w:noProof/>
              </w:rPr>
              <w:tab/>
            </w:r>
            <w:r>
              <w:rPr>
                <w:noProof/>
              </w:rPr>
              <w:fldChar w:fldCharType="begin"/>
            </w:r>
            <w:r>
              <w:rPr>
                <w:noProof/>
              </w:rPr>
              <w:instrText xml:space="preserve"> PAGEREF _Toc235982467 \h </w:instrText>
            </w:r>
            <w:r>
              <w:rPr>
                <w:noProof/>
              </w:rPr>
            </w:r>
            <w:r>
              <w:rPr>
                <w:noProof/>
              </w:rPr>
              <w:fldChar w:fldCharType="separate"/>
            </w:r>
            <w:r>
              <w:rPr>
                <w:noProof/>
              </w:rPr>
              <w:t>1</w:t>
            </w:r>
            <w:r>
              <w:rPr>
                <w:noProof/>
              </w:rPr>
              <w:fldChar w:fldCharType="end"/>
            </w:r>
          </w:hyperlink>
        </w:p>
        <w:p w14:paraId="0E9C4614" w14:textId="77777777" w:rsidR="00D860CE" w:rsidRDefault="00D860CE">
          <w:pPr>
            <w:pStyle w:val="TOC1"/>
            <w:tabs>
              <w:tab w:val="right" w:leader="dot" w:pos="9016"/>
            </w:tabs>
            <w:rPr>
              <w:noProof/>
            </w:rPr>
          </w:pPr>
          <w:hyperlink w:anchor="_Toc235982468" w:history="1">
            <w:r w:rsidRPr="00766361">
              <w:rPr>
                <w:rStyle w:val="Hyperlink"/>
                <w:noProof/>
              </w:rPr>
              <w:t>3. Marketing Communications</w:t>
            </w:r>
            <w:r>
              <w:rPr>
                <w:noProof/>
              </w:rPr>
              <w:tab/>
            </w:r>
            <w:r>
              <w:rPr>
                <w:noProof/>
              </w:rPr>
              <w:fldChar w:fldCharType="begin"/>
            </w:r>
            <w:r>
              <w:rPr>
                <w:noProof/>
              </w:rPr>
              <w:instrText xml:space="preserve"> PAGEREF _Toc235982468 \h </w:instrText>
            </w:r>
            <w:r>
              <w:rPr>
                <w:noProof/>
              </w:rPr>
            </w:r>
            <w:r>
              <w:rPr>
                <w:noProof/>
              </w:rPr>
              <w:fldChar w:fldCharType="separate"/>
            </w:r>
            <w:r>
              <w:rPr>
                <w:noProof/>
              </w:rPr>
              <w:t>1</w:t>
            </w:r>
            <w:r>
              <w:rPr>
                <w:noProof/>
              </w:rPr>
              <w:fldChar w:fldCharType="end"/>
            </w:r>
          </w:hyperlink>
        </w:p>
        <w:p w14:paraId="1C392F5B" w14:textId="77777777" w:rsidR="00D860CE" w:rsidRDefault="00D860CE">
          <w:pPr>
            <w:pStyle w:val="TOC1"/>
            <w:tabs>
              <w:tab w:val="right" w:leader="dot" w:pos="9016"/>
            </w:tabs>
            <w:rPr>
              <w:noProof/>
            </w:rPr>
          </w:pPr>
          <w:hyperlink w:anchor="_Toc235982469" w:history="1">
            <w:r w:rsidRPr="00766361">
              <w:rPr>
                <w:rStyle w:val="Hyperlink"/>
                <w:noProof/>
              </w:rPr>
              <w:t>4. Financials</w:t>
            </w:r>
            <w:r>
              <w:rPr>
                <w:noProof/>
              </w:rPr>
              <w:tab/>
            </w:r>
            <w:r>
              <w:rPr>
                <w:noProof/>
              </w:rPr>
              <w:fldChar w:fldCharType="begin"/>
            </w:r>
            <w:r>
              <w:rPr>
                <w:noProof/>
              </w:rPr>
              <w:instrText xml:space="preserve"> PAGEREF _Toc235982469 \h </w:instrText>
            </w:r>
            <w:r>
              <w:rPr>
                <w:noProof/>
              </w:rPr>
            </w:r>
            <w:r>
              <w:rPr>
                <w:noProof/>
              </w:rPr>
              <w:fldChar w:fldCharType="separate"/>
            </w:r>
            <w:r>
              <w:rPr>
                <w:noProof/>
              </w:rPr>
              <w:t>1</w:t>
            </w:r>
            <w:r>
              <w:rPr>
                <w:noProof/>
              </w:rPr>
              <w:fldChar w:fldCharType="end"/>
            </w:r>
          </w:hyperlink>
        </w:p>
        <w:p w14:paraId="58DA717A" w14:textId="77777777" w:rsidR="00D860CE" w:rsidRDefault="00D860CE">
          <w:pPr>
            <w:pStyle w:val="TOC1"/>
            <w:tabs>
              <w:tab w:val="right" w:leader="dot" w:pos="9016"/>
            </w:tabs>
            <w:rPr>
              <w:noProof/>
            </w:rPr>
          </w:pPr>
          <w:hyperlink w:anchor="_Toc235982470" w:history="1">
            <w:r w:rsidRPr="00766361">
              <w:rPr>
                <w:rStyle w:val="Hyperlink"/>
                <w:noProof/>
              </w:rPr>
              <w:t>Reference List</w:t>
            </w:r>
            <w:r>
              <w:rPr>
                <w:noProof/>
              </w:rPr>
              <w:tab/>
            </w:r>
            <w:r>
              <w:rPr>
                <w:noProof/>
              </w:rPr>
              <w:fldChar w:fldCharType="begin"/>
            </w:r>
            <w:r>
              <w:rPr>
                <w:noProof/>
              </w:rPr>
              <w:instrText xml:space="preserve"> PAGEREF _Toc235982470 \h </w:instrText>
            </w:r>
            <w:r>
              <w:rPr>
                <w:noProof/>
              </w:rPr>
            </w:r>
            <w:r>
              <w:rPr>
                <w:noProof/>
              </w:rPr>
              <w:fldChar w:fldCharType="separate"/>
            </w:r>
            <w:r>
              <w:rPr>
                <w:noProof/>
              </w:rPr>
              <w:t>1</w:t>
            </w:r>
            <w:r>
              <w:rPr>
                <w:noProof/>
              </w:rPr>
              <w:fldChar w:fldCharType="end"/>
            </w:r>
          </w:hyperlink>
        </w:p>
        <w:p w14:paraId="4F4030BB" w14:textId="77777777" w:rsidR="001926BC" w:rsidRDefault="00000000">
          <w:r>
            <w:fldChar w:fldCharType="end"/>
          </w:r>
        </w:p>
      </w:sdtContent>
    </w:sdt>
    <w:p w14:paraId="6C9A66D9" w14:textId="77777777" w:rsidR="001926BC" w:rsidRDefault="00000000">
      <w:r>
        <w:br w:type="page"/>
      </w:r>
    </w:p>
    <w:p w14:paraId="7A6888C4" w14:textId="77777777" w:rsidR="001926BC" w:rsidRDefault="001926BC">
      <w:pPr>
        <w:sectPr w:rsidR="001926BC">
          <w:pgSz w:w="11906" w:h="16838"/>
          <w:pgMar w:top="1440" w:right="1440" w:bottom="1440" w:left="1440" w:header="708" w:footer="708" w:gutter="0"/>
          <w:cols w:space="720"/>
          <w:docGrid w:linePitch="360"/>
        </w:sectPr>
      </w:pPr>
    </w:p>
    <w:p w14:paraId="1753C3D0" w14:textId="77777777" w:rsidR="001926BC" w:rsidRDefault="00000000">
      <w:pPr>
        <w:pStyle w:val="Heading1"/>
        <w:spacing w:before="300" w:after="150"/>
      </w:pPr>
      <w:bookmarkStart w:id="2" w:name="_Toc235982466"/>
      <w:r>
        <w:lastRenderedPageBreak/>
        <w:t>1. Overview of the Business Idea</w:t>
      </w:r>
      <w:bookmarkEnd w:id="2"/>
    </w:p>
    <w:p w14:paraId="038BB8BD" w14:textId="77777777" w:rsidR="001926BC" w:rsidRDefault="00000000">
      <w:pPr>
        <w:spacing w:after="200" w:line="276" w:lineRule="auto"/>
        <w:jc w:val="both"/>
      </w:pPr>
      <w:r>
        <w:rPr>
          <w:rFonts w:ascii="Calibri" w:eastAsia="Calibri" w:hAnsi="Calibri" w:cs="Calibri"/>
          <w:sz w:val="22"/>
          <w:szCs w:val="22"/>
        </w:rPr>
        <w:t>GreenLoop Market is a zero-waste, package-free grocery store that will open in a mid-sized UK town centre. The business sells everyday pantry staples, such as grains, pulses, pasta, cereals, dried fruit and nuts, alongside household cleaning products and personal care items, including shampoo, soap and washing-up liquid. All products are dispensed by weight into containers that customers bring from home or purchase in-store, removing the single-use plastic packaging associated with conventional supermarket shopping. GreenLoop will also stock reusable alternatives, such as beeswax food wraps, bamboo toothbrushes and cotton produce bags, so that customers can build a lower-waste household with a single visit rather than sourcing these items from several different retailers.</w:t>
      </w:r>
    </w:p>
    <w:p w14:paraId="223AEAA7" w14:textId="77777777" w:rsidR="001926BC" w:rsidRDefault="00000000">
      <w:pPr>
        <w:spacing w:after="200" w:line="276" w:lineRule="auto"/>
        <w:jc w:val="both"/>
      </w:pPr>
      <w:r>
        <w:rPr>
          <w:rFonts w:ascii="Calibri" w:eastAsia="Calibri" w:hAnsi="Calibri" w:cs="Calibri"/>
          <w:sz w:val="22"/>
          <w:szCs w:val="22"/>
        </w:rPr>
        <w:t>The mission of the business is twofold: to make plastic-free, low-waste shopping genuinely convenient and affordable for ordinary households, and to use the shop as a platform for tangible local social impact. Alongside the retail offer, GreenLoop will run a Community Skills Programme in partnership with the local jobcentre and a youth charity. The programme offers paid, six-month retail work placements to young people aged 16 to 24 who are long-term unemployed, combining on-the-job experience with a recognised retail qualification. Short-dated dry goods that cannot be sold will be donated weekly to the town's food bank, reducing food waste while supporting families facing food insecurity. These two initiatives give the business a clear sustainability and community dimension that sits alongside, and reinforces, its core commercial purpose.</w:t>
      </w:r>
    </w:p>
    <w:p w14:paraId="4948C0CA" w14:textId="77777777" w:rsidR="001926BC" w:rsidRDefault="00000000">
      <w:pPr>
        <w:spacing w:after="200" w:line="276" w:lineRule="auto"/>
        <w:jc w:val="both"/>
      </w:pPr>
      <w:r>
        <w:rPr>
          <w:rFonts w:ascii="Calibri" w:eastAsia="Calibri" w:hAnsi="Calibri" w:cs="Calibri"/>
          <w:sz w:val="22"/>
          <w:szCs w:val="22"/>
        </w:rPr>
        <w:t>The primary target customer is environmentally conscious households within walking or short driving distance of the town centre, including young professionals, families with children, and older residents who remember shopping without excessive packaging and are drawn back to it for cost and environmental reasons alike. A secondary audience is local students and shared households, for whom small, flexible refill quantities are more affordable than large pre-packaged units. By serving several overlapping customer groups rather than a single narrow segment, GreenLoop reduces its dependence on any one type of shopper and builds a broader base of steady, repeat custom.</w:t>
      </w:r>
    </w:p>
    <w:p w14:paraId="0718E119" w14:textId="77777777" w:rsidR="001926BC" w:rsidRDefault="00000000">
      <w:pPr>
        <w:spacing w:after="200" w:line="276" w:lineRule="auto"/>
        <w:jc w:val="both"/>
      </w:pPr>
      <w:r>
        <w:rPr>
          <w:rFonts w:ascii="Calibri" w:eastAsia="Calibri" w:hAnsi="Calibri" w:cs="Calibri"/>
          <w:sz w:val="22"/>
          <w:szCs w:val="22"/>
        </w:rPr>
        <w:t>The business will operate as a Private Limited Company (Ltd), which limits the personal financial liability of the founder and makes it easier to raise external investment or apply for business loans, while keeping administrative and reporting requirements manageable for a small enterprise. The management structure is deliberately lean to keep overheads low in the first year. The founder will act as Managing Director, responsible for overall strategy, supplier relationships and finances. A Store Manager will oversee day-to-day retail operations, stock control and staff rotas. A part-time Community Partnerships Coordinator will manage the food bank donations and the Skills Programme placements, liaising directly with the jobcentre and charity partners. Two to three retail assistants, including participants from the Skills Programme, will support the shop floor, with responsibilities rotated so that trainees gain broad experience across stock replenishment, customer service and till operations.</w:t>
      </w:r>
    </w:p>
    <w:p w14:paraId="60803C25" w14:textId="77777777" w:rsidR="001926BC" w:rsidRDefault="00000000">
      <w:pPr>
        <w:pStyle w:val="Heading1"/>
        <w:spacing w:before="300" w:after="150"/>
      </w:pPr>
      <w:bookmarkStart w:id="3" w:name="_Toc235982467"/>
      <w:r>
        <w:t>2. Market Research</w:t>
      </w:r>
      <w:bookmarkEnd w:id="3"/>
    </w:p>
    <w:p w14:paraId="32903CE5" w14:textId="77777777" w:rsidR="001926BC" w:rsidRDefault="00000000">
      <w:pPr>
        <w:spacing w:after="200" w:line="276" w:lineRule="auto"/>
        <w:jc w:val="both"/>
      </w:pPr>
      <w:r>
        <w:rPr>
          <w:rFonts w:ascii="Calibri" w:eastAsia="Calibri" w:hAnsi="Calibri" w:cs="Calibri"/>
          <w:sz w:val="22"/>
          <w:szCs w:val="22"/>
        </w:rPr>
        <w:t>A PESTEL analysis helps to identify the external factors likely to affect GreenLoop Market.</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7500"/>
      </w:tblGrid>
      <w:tr w:rsidR="001926BC" w14:paraId="770B016F" w14:textId="77777777">
        <w:tc>
          <w:tcPr>
            <w:tcW w:w="2000" w:type="dxa"/>
            <w:shd w:val="clear" w:color="auto" w:fill="E2EFDA"/>
          </w:tcPr>
          <w:p w14:paraId="627CF4C8" w14:textId="77777777" w:rsidR="001926BC" w:rsidRDefault="00000000">
            <w:r>
              <w:rPr>
                <w:rFonts w:ascii="Calibri" w:eastAsia="Calibri" w:hAnsi="Calibri" w:cs="Calibri"/>
                <w:b/>
                <w:bCs/>
              </w:rPr>
              <w:lastRenderedPageBreak/>
              <w:t>Political</w:t>
            </w:r>
          </w:p>
        </w:tc>
        <w:tc>
          <w:tcPr>
            <w:tcW w:w="7500" w:type="dxa"/>
          </w:tcPr>
          <w:p w14:paraId="6EC78375" w14:textId="77777777" w:rsidR="001926BC" w:rsidRDefault="00000000">
            <w:r>
              <w:rPr>
                <w:rFonts w:ascii="Calibri" w:eastAsia="Calibri" w:hAnsi="Calibri" w:cs="Calibri"/>
              </w:rPr>
              <w:t>Government policy is increasingly supportive of waste reduction, including the UK's plastic packaging tax and local council initiatives that reward businesses reducing landfill waste, both of which favour a packaging-free retail model and may open up grant funding in future.</w:t>
            </w:r>
          </w:p>
        </w:tc>
      </w:tr>
      <w:tr w:rsidR="001926BC" w14:paraId="3233FA0E" w14:textId="77777777">
        <w:tc>
          <w:tcPr>
            <w:tcW w:w="2000" w:type="dxa"/>
          </w:tcPr>
          <w:p w14:paraId="7C42E8BF" w14:textId="77777777" w:rsidR="001926BC" w:rsidRDefault="00000000">
            <w:r>
              <w:rPr>
                <w:rFonts w:ascii="Calibri" w:eastAsia="Calibri" w:hAnsi="Calibri" w:cs="Calibri"/>
                <w:b/>
                <w:bCs/>
              </w:rPr>
              <w:t>Economic</w:t>
            </w:r>
          </w:p>
        </w:tc>
        <w:tc>
          <w:tcPr>
            <w:tcW w:w="7500" w:type="dxa"/>
          </w:tcPr>
          <w:p w14:paraId="2DE7D71B" w14:textId="77777777" w:rsidR="001926BC" w:rsidRDefault="00000000">
            <w:r>
              <w:rPr>
                <w:rFonts w:ascii="Calibri" w:eastAsia="Calibri" w:hAnsi="Calibri" w:cs="Calibri"/>
              </w:rPr>
              <w:t>Household budgets remain under pressure from inflation, which could discourage some shoppers from paying a premium for ethical products; however, buying in bulk by weight is often cheaper per unit than pre-packaged equivalents, which helps offset this concern and broadens the potential customer base.</w:t>
            </w:r>
          </w:p>
        </w:tc>
      </w:tr>
      <w:tr w:rsidR="001926BC" w14:paraId="20495D00" w14:textId="77777777">
        <w:tc>
          <w:tcPr>
            <w:tcW w:w="2000" w:type="dxa"/>
            <w:shd w:val="clear" w:color="auto" w:fill="E2EFDA"/>
          </w:tcPr>
          <w:p w14:paraId="0F0CBD5C" w14:textId="77777777" w:rsidR="001926BC" w:rsidRDefault="00000000">
            <w:r>
              <w:rPr>
                <w:rFonts w:ascii="Calibri" w:eastAsia="Calibri" w:hAnsi="Calibri" w:cs="Calibri"/>
                <w:b/>
                <w:bCs/>
              </w:rPr>
              <w:t>Social</w:t>
            </w:r>
          </w:p>
        </w:tc>
        <w:tc>
          <w:tcPr>
            <w:tcW w:w="7500" w:type="dxa"/>
          </w:tcPr>
          <w:p w14:paraId="76C936D4" w14:textId="77777777" w:rsidR="001926BC" w:rsidRDefault="00000000">
            <w:r>
              <w:rPr>
                <w:rFonts w:ascii="Calibri" w:eastAsia="Calibri" w:hAnsi="Calibri" w:cs="Calibri"/>
              </w:rPr>
              <w:t>Public awareness of plastic pollution and food waste has grown substantially, and consumers, particularly younger shoppers, increasingly expect brands to demonstrate genuine social and environmental commitments, making authentic community involvement a genuine commercial advantage.</w:t>
            </w:r>
          </w:p>
        </w:tc>
      </w:tr>
      <w:tr w:rsidR="001926BC" w14:paraId="2289EADE" w14:textId="77777777">
        <w:tc>
          <w:tcPr>
            <w:tcW w:w="2000" w:type="dxa"/>
          </w:tcPr>
          <w:p w14:paraId="398197C0" w14:textId="77777777" w:rsidR="001926BC" w:rsidRDefault="00000000">
            <w:r>
              <w:rPr>
                <w:rFonts w:ascii="Calibri" w:eastAsia="Calibri" w:hAnsi="Calibri" w:cs="Calibri"/>
                <w:b/>
                <w:bCs/>
              </w:rPr>
              <w:t>Technological</w:t>
            </w:r>
          </w:p>
        </w:tc>
        <w:tc>
          <w:tcPr>
            <w:tcW w:w="7500" w:type="dxa"/>
          </w:tcPr>
          <w:p w14:paraId="3BA776EB" w14:textId="77777777" w:rsidR="001926BC" w:rsidRDefault="00000000">
            <w:r>
              <w:rPr>
                <w:rFonts w:ascii="Calibri" w:eastAsia="Calibri" w:hAnsi="Calibri" w:cs="Calibri"/>
              </w:rPr>
              <w:t>Simple, low-cost point-of-sale systems now allow small retailers to weigh and price loose goods efficiently and track stock accurately, while social media provides an affordable channel to build a local following without a large advertising budget.</w:t>
            </w:r>
          </w:p>
        </w:tc>
      </w:tr>
      <w:tr w:rsidR="001926BC" w14:paraId="37F8EBE5" w14:textId="77777777">
        <w:tc>
          <w:tcPr>
            <w:tcW w:w="2000" w:type="dxa"/>
            <w:shd w:val="clear" w:color="auto" w:fill="E2EFDA"/>
          </w:tcPr>
          <w:p w14:paraId="200403CB" w14:textId="77777777" w:rsidR="001926BC" w:rsidRDefault="00000000">
            <w:r>
              <w:rPr>
                <w:rFonts w:ascii="Calibri" w:eastAsia="Calibri" w:hAnsi="Calibri" w:cs="Calibri"/>
                <w:b/>
                <w:bCs/>
              </w:rPr>
              <w:t>Environmental</w:t>
            </w:r>
          </w:p>
        </w:tc>
        <w:tc>
          <w:tcPr>
            <w:tcW w:w="7500" w:type="dxa"/>
          </w:tcPr>
          <w:p w14:paraId="55123E9D" w14:textId="77777777" w:rsidR="001926BC" w:rsidRDefault="00000000">
            <w:r>
              <w:rPr>
                <w:rFonts w:ascii="Calibri" w:eastAsia="Calibri" w:hAnsi="Calibri" w:cs="Calibri"/>
              </w:rPr>
              <w:t>Reducing single-use plastic and food waste directly addresses two of the most visible environmental concerns among consumers, and sourcing from local and organic suppliers where possible further reduces the business's carbon footprint and transport costs.</w:t>
            </w:r>
          </w:p>
        </w:tc>
      </w:tr>
      <w:tr w:rsidR="001926BC" w14:paraId="0A01BB90" w14:textId="77777777">
        <w:tc>
          <w:tcPr>
            <w:tcW w:w="2000" w:type="dxa"/>
          </w:tcPr>
          <w:p w14:paraId="637E8861" w14:textId="77777777" w:rsidR="001926BC" w:rsidRDefault="00000000">
            <w:r>
              <w:rPr>
                <w:rFonts w:ascii="Calibri" w:eastAsia="Calibri" w:hAnsi="Calibri" w:cs="Calibri"/>
                <w:b/>
                <w:bCs/>
              </w:rPr>
              <w:t>Legal</w:t>
            </w:r>
          </w:p>
        </w:tc>
        <w:tc>
          <w:tcPr>
            <w:tcW w:w="7500" w:type="dxa"/>
          </w:tcPr>
          <w:p w14:paraId="0842E96D" w14:textId="77777777" w:rsidR="001926BC" w:rsidRDefault="00000000">
            <w:r>
              <w:rPr>
                <w:rFonts w:ascii="Calibri" w:eastAsia="Calibri" w:hAnsi="Calibri" w:cs="Calibri"/>
              </w:rPr>
              <w:t>The business must comply with food hygiene and weights-and-measures regulations for loose goods, as well as standard employment law for the Skills Programme placements; both are manageable with proper staff training and standard compliance procedures.</w:t>
            </w:r>
          </w:p>
        </w:tc>
      </w:tr>
    </w:tbl>
    <w:p w14:paraId="7F85494B" w14:textId="77777777" w:rsidR="001926BC" w:rsidRDefault="001926BC">
      <w:pPr>
        <w:spacing w:after="200"/>
      </w:pPr>
    </w:p>
    <w:p w14:paraId="3759B51D" w14:textId="77777777" w:rsidR="001926BC" w:rsidRDefault="00000000">
      <w:pPr>
        <w:spacing w:after="200" w:line="276" w:lineRule="auto"/>
        <w:jc w:val="both"/>
      </w:pPr>
      <w:r>
        <w:rPr>
          <w:rFonts w:ascii="Calibri" w:eastAsia="Calibri" w:hAnsi="Calibri" w:cs="Calibri"/>
          <w:sz w:val="22"/>
          <w:szCs w:val="22"/>
        </w:rPr>
        <w:t>In terms of competition, the town has two established supermarkets and one independent health food shop that stocks some loose goods as a minor part of a much wider general range. None currently offer a dedicated, fully package-free shopping experience or a comparable community programme. The supermarkets compete mainly on price and convenience, while the health food shop competes on range and premium positioning. GreenLoop's point of difference is depth of refill range, a genuinely package-free format across the whole store, and the combined food bank and employment partnership, which larger competitors are unlikely to replicate credibly at a local level, giving the business a defensible niche rather than a head-on price war.</w:t>
      </w:r>
    </w:p>
    <w:p w14:paraId="0785DE8C" w14:textId="77777777" w:rsidR="001926BC" w:rsidRDefault="00000000">
      <w:pPr>
        <w:pStyle w:val="Heading1"/>
        <w:spacing w:before="300" w:after="150"/>
      </w:pPr>
      <w:bookmarkStart w:id="4" w:name="_Toc235982468"/>
      <w:r>
        <w:t>3. Marketing Communications</w:t>
      </w:r>
      <w:bookmarkEnd w:id="4"/>
    </w:p>
    <w:p w14:paraId="35B75F80" w14:textId="77777777" w:rsidR="001926BC" w:rsidRDefault="00000000">
      <w:pPr>
        <w:spacing w:after="200" w:line="276" w:lineRule="auto"/>
        <w:jc w:val="both"/>
      </w:pPr>
      <w:r>
        <w:rPr>
          <w:rFonts w:ascii="Calibri" w:eastAsia="Calibri" w:hAnsi="Calibri" w:cs="Calibri"/>
          <w:sz w:val="22"/>
          <w:szCs w:val="22"/>
        </w:rPr>
        <w:t>GreenLoop's marketing strategy focuses on building a loyal local customer base rather than competing directly on price with national supermarkets. The core message across all channels will centre on two ideas: shopping without packaging waste, and shopping in a way that visibly supports the local community, since both resonate strongly with the target audience identified in the market research above.</w:t>
      </w:r>
    </w:p>
    <w:p w14:paraId="56D785A5" w14:textId="77777777" w:rsidR="001926BC" w:rsidRDefault="00000000">
      <w:pPr>
        <w:spacing w:after="200" w:line="276" w:lineRule="auto"/>
        <w:jc w:val="both"/>
      </w:pPr>
      <w:r>
        <w:rPr>
          <w:rFonts w:ascii="Calibri" w:eastAsia="Calibri" w:hAnsi="Calibri" w:cs="Calibri"/>
          <w:sz w:val="22"/>
          <w:szCs w:val="22"/>
        </w:rPr>
        <w:t>Social media, particularly Instagram and Facebook, will be the primary channel, used to share practical zero-waste tips, introduce suppliers, and highlight the Skills Programme trainees and food bank donations, giving customers a transparent and ongoing view of the business's impact rather than a one-off launch message. A launch event will invite local press, the food bank and jobcentre partners, giving the opening added credibility and generating local news coverage at very low cost compared with paid advertising.</w:t>
      </w:r>
    </w:p>
    <w:p w14:paraId="252EE41C" w14:textId="77777777" w:rsidR="001926BC" w:rsidRDefault="00000000">
      <w:pPr>
        <w:spacing w:after="200" w:line="276" w:lineRule="auto"/>
        <w:jc w:val="both"/>
      </w:pPr>
      <w:r>
        <w:rPr>
          <w:rFonts w:ascii="Calibri" w:eastAsia="Calibri" w:hAnsi="Calibri" w:cs="Calibri"/>
          <w:sz w:val="22"/>
          <w:szCs w:val="22"/>
        </w:rPr>
        <w:t xml:space="preserve">In-store, clear signage will explain how refill shopping works for new customers who may be unfamiliar with the format, and a simple loyalty scheme will reward customers who consistently bring reusable containers, encouraging repeat visits. GreenLoop will also partner with local schools and community groups to run short workshops on reducing household waste, positioning the shop as a community </w:t>
      </w:r>
      <w:r>
        <w:rPr>
          <w:rFonts w:ascii="Calibri" w:eastAsia="Calibri" w:hAnsi="Calibri" w:cs="Calibri"/>
          <w:sz w:val="22"/>
          <w:szCs w:val="22"/>
        </w:rPr>
        <w:lastRenderedPageBreak/>
        <w:t>resource rather than only a retail outlet. Word-of-mouth referral is expected to be a significant driver of growth, supported by a modest referral discount for customers who introduce a friend, and a printed local leaflet drop will complement the digital channels in the weeks around launch to reach older residents who are less active on social media.</w:t>
      </w:r>
    </w:p>
    <w:p w14:paraId="12F1BF7F" w14:textId="77777777" w:rsidR="001926BC" w:rsidRDefault="00000000">
      <w:pPr>
        <w:spacing w:after="200" w:line="276" w:lineRule="auto"/>
        <w:jc w:val="both"/>
      </w:pPr>
      <w:r>
        <w:rPr>
          <w:rFonts w:ascii="Calibri" w:eastAsia="Calibri" w:hAnsi="Calibri" w:cs="Calibri"/>
          <w:sz w:val="22"/>
          <w:szCs w:val="22"/>
        </w:rPr>
        <w:t>Pricing communication will emphasise per-unit value rather than headline price, since refill goods are typically cheaper by weight than packaged alternatives once customers move past the unfamiliar format. A short, low-cost email newsletter will follow up with customers after their first visit, sharing recipes, restocking reminders and updates on the Skills Programme, helping to convert first-time visitors into regular shoppers without requiring an ongoing paid advertising budget.</w:t>
      </w:r>
    </w:p>
    <w:p w14:paraId="5F4C1CE3" w14:textId="77777777" w:rsidR="001926BC" w:rsidRDefault="00000000">
      <w:pPr>
        <w:pStyle w:val="Heading1"/>
        <w:spacing w:before="300" w:after="150"/>
      </w:pPr>
      <w:bookmarkStart w:id="5" w:name="_Toc235982469"/>
      <w:r>
        <w:t>4. Financials</w:t>
      </w:r>
      <w:bookmarkEnd w:id="5"/>
    </w:p>
    <w:p w14:paraId="05FD21AF" w14:textId="77777777" w:rsidR="001926BC" w:rsidRDefault="00000000">
      <w:pPr>
        <w:spacing w:after="200" w:line="276" w:lineRule="auto"/>
        <w:jc w:val="both"/>
      </w:pPr>
      <w:r>
        <w:rPr>
          <w:rFonts w:ascii="Calibri" w:eastAsia="Calibri" w:hAnsi="Calibri" w:cs="Calibri"/>
          <w:sz w:val="22"/>
          <w:szCs w:val="22"/>
        </w:rPr>
        <w:t>GreenLoop Market requires £45,000 in start-up funding. £10,000 will come from the founder's personal savings, demonstrating commitment and reducing early reliance on external debt. £15,000 will be sought through the Start Up Loans scheme, a UK Government-backed personal loan for new businesses that offers lower, fixed interest rates and free mentoring, making it well suited to a first-time founder without significant collateral to offer a bank. The remaining £20,000 will be requested as a small business loan from a high-street bank, chosen because the business has a clear, largely asset-backed use of funds, such as shop fit-out and initial stock, which supports a more straightforward secured lending application than an unsecured facility would.</w:t>
      </w:r>
    </w:p>
    <w:p w14:paraId="5B01FBA8" w14:textId="77777777" w:rsidR="001926BC" w:rsidRDefault="00000000">
      <w:pPr>
        <w:spacing w:after="200" w:line="276" w:lineRule="auto"/>
        <w:jc w:val="both"/>
      </w:pPr>
      <w:r>
        <w:rPr>
          <w:rFonts w:ascii="Calibri" w:eastAsia="Calibri" w:hAnsi="Calibri" w:cs="Calibri"/>
          <w:sz w:val="22"/>
          <w:szCs w:val="22"/>
        </w:rPr>
        <w:t>The main start-up expenses expected during the first month of operation are set out below:</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500"/>
        <w:gridCol w:w="3000"/>
      </w:tblGrid>
      <w:tr w:rsidR="001926BC" w14:paraId="27D59582" w14:textId="77777777">
        <w:tc>
          <w:tcPr>
            <w:tcW w:w="6500" w:type="dxa"/>
            <w:shd w:val="clear" w:color="auto" w:fill="375623"/>
          </w:tcPr>
          <w:p w14:paraId="76204800" w14:textId="77777777" w:rsidR="001926BC" w:rsidRDefault="00000000">
            <w:r>
              <w:rPr>
                <w:rFonts w:ascii="Calibri" w:eastAsia="Calibri" w:hAnsi="Calibri" w:cs="Calibri"/>
                <w:b/>
                <w:bCs/>
                <w:color w:val="FFFFFF"/>
              </w:rPr>
              <w:t>Expense Item</w:t>
            </w:r>
          </w:p>
        </w:tc>
        <w:tc>
          <w:tcPr>
            <w:tcW w:w="3000" w:type="dxa"/>
            <w:shd w:val="clear" w:color="auto" w:fill="375623"/>
          </w:tcPr>
          <w:p w14:paraId="4F771E63" w14:textId="77777777" w:rsidR="001926BC" w:rsidRDefault="00000000">
            <w:pPr>
              <w:jc w:val="right"/>
            </w:pPr>
            <w:r>
              <w:rPr>
                <w:rFonts w:ascii="Calibri" w:eastAsia="Calibri" w:hAnsi="Calibri" w:cs="Calibri"/>
                <w:b/>
                <w:bCs/>
                <w:color w:val="FFFFFF"/>
              </w:rPr>
              <w:t>Cost (£)</w:t>
            </w:r>
          </w:p>
        </w:tc>
      </w:tr>
      <w:tr w:rsidR="001926BC" w14:paraId="0DFAD7D1" w14:textId="77777777">
        <w:tc>
          <w:tcPr>
            <w:tcW w:w="6500" w:type="dxa"/>
          </w:tcPr>
          <w:p w14:paraId="47D55206" w14:textId="77777777" w:rsidR="001926BC" w:rsidRDefault="00000000">
            <w:r>
              <w:rPr>
                <w:rFonts w:ascii="Calibri" w:eastAsia="Calibri" w:hAnsi="Calibri" w:cs="Calibri"/>
              </w:rPr>
              <w:t>Shop fit-out (dispensers, shelving, scales)</w:t>
            </w:r>
          </w:p>
        </w:tc>
        <w:tc>
          <w:tcPr>
            <w:tcW w:w="3000" w:type="dxa"/>
          </w:tcPr>
          <w:p w14:paraId="5DB89A0D" w14:textId="77777777" w:rsidR="001926BC" w:rsidRDefault="00000000">
            <w:pPr>
              <w:jc w:val="right"/>
            </w:pPr>
            <w:r>
              <w:rPr>
                <w:rFonts w:ascii="Calibri" w:eastAsia="Calibri" w:hAnsi="Calibri" w:cs="Calibri"/>
              </w:rPr>
              <w:t>15,000</w:t>
            </w:r>
          </w:p>
        </w:tc>
      </w:tr>
      <w:tr w:rsidR="001926BC" w14:paraId="291908E6" w14:textId="77777777">
        <w:tc>
          <w:tcPr>
            <w:tcW w:w="6500" w:type="dxa"/>
          </w:tcPr>
          <w:p w14:paraId="6B362066" w14:textId="77777777" w:rsidR="001926BC" w:rsidRDefault="00000000">
            <w:r>
              <w:rPr>
                <w:rFonts w:ascii="Calibri" w:eastAsia="Calibri" w:hAnsi="Calibri" w:cs="Calibri"/>
              </w:rPr>
              <w:t>First month's rent and deposit</w:t>
            </w:r>
          </w:p>
        </w:tc>
        <w:tc>
          <w:tcPr>
            <w:tcW w:w="3000" w:type="dxa"/>
          </w:tcPr>
          <w:p w14:paraId="1685E118" w14:textId="77777777" w:rsidR="001926BC" w:rsidRDefault="00000000">
            <w:pPr>
              <w:jc w:val="right"/>
            </w:pPr>
            <w:r>
              <w:rPr>
                <w:rFonts w:ascii="Calibri" w:eastAsia="Calibri" w:hAnsi="Calibri" w:cs="Calibri"/>
              </w:rPr>
              <w:t>4,500</w:t>
            </w:r>
          </w:p>
        </w:tc>
      </w:tr>
      <w:tr w:rsidR="001926BC" w14:paraId="11DE38C5" w14:textId="77777777">
        <w:tc>
          <w:tcPr>
            <w:tcW w:w="6500" w:type="dxa"/>
          </w:tcPr>
          <w:p w14:paraId="4077155A" w14:textId="77777777" w:rsidR="001926BC" w:rsidRDefault="00000000">
            <w:r>
              <w:rPr>
                <w:rFonts w:ascii="Calibri" w:eastAsia="Calibri" w:hAnsi="Calibri" w:cs="Calibri"/>
              </w:rPr>
              <w:t>Initial stock (dry goods, household, personal care)</w:t>
            </w:r>
          </w:p>
        </w:tc>
        <w:tc>
          <w:tcPr>
            <w:tcW w:w="3000" w:type="dxa"/>
          </w:tcPr>
          <w:p w14:paraId="337B0792" w14:textId="77777777" w:rsidR="001926BC" w:rsidRDefault="00000000">
            <w:pPr>
              <w:jc w:val="right"/>
            </w:pPr>
            <w:r>
              <w:rPr>
                <w:rFonts w:ascii="Calibri" w:eastAsia="Calibri" w:hAnsi="Calibri" w:cs="Calibri"/>
              </w:rPr>
              <w:t>12,000</w:t>
            </w:r>
          </w:p>
        </w:tc>
      </w:tr>
      <w:tr w:rsidR="001926BC" w14:paraId="39648D83" w14:textId="77777777">
        <w:tc>
          <w:tcPr>
            <w:tcW w:w="6500" w:type="dxa"/>
          </w:tcPr>
          <w:p w14:paraId="1534910C" w14:textId="77777777" w:rsidR="001926BC" w:rsidRDefault="00000000">
            <w:r>
              <w:rPr>
                <w:rFonts w:ascii="Calibri" w:eastAsia="Calibri" w:hAnsi="Calibri" w:cs="Calibri"/>
              </w:rPr>
              <w:t>Point-of-sale and weighing system</w:t>
            </w:r>
          </w:p>
        </w:tc>
        <w:tc>
          <w:tcPr>
            <w:tcW w:w="3000" w:type="dxa"/>
          </w:tcPr>
          <w:p w14:paraId="1CAD24AC" w14:textId="77777777" w:rsidR="001926BC" w:rsidRDefault="00000000">
            <w:pPr>
              <w:jc w:val="right"/>
            </w:pPr>
            <w:r>
              <w:rPr>
                <w:rFonts w:ascii="Calibri" w:eastAsia="Calibri" w:hAnsi="Calibri" w:cs="Calibri"/>
              </w:rPr>
              <w:t>2,500</w:t>
            </w:r>
          </w:p>
        </w:tc>
      </w:tr>
      <w:tr w:rsidR="001926BC" w14:paraId="7A04502F" w14:textId="77777777">
        <w:tc>
          <w:tcPr>
            <w:tcW w:w="6500" w:type="dxa"/>
          </w:tcPr>
          <w:p w14:paraId="6195A8D0" w14:textId="77777777" w:rsidR="001926BC" w:rsidRDefault="00000000">
            <w:r>
              <w:rPr>
                <w:rFonts w:ascii="Calibri" w:eastAsia="Calibri" w:hAnsi="Calibri" w:cs="Calibri"/>
              </w:rPr>
              <w:t>Public liability and stock insurance</w:t>
            </w:r>
          </w:p>
        </w:tc>
        <w:tc>
          <w:tcPr>
            <w:tcW w:w="3000" w:type="dxa"/>
          </w:tcPr>
          <w:p w14:paraId="457A25AE" w14:textId="77777777" w:rsidR="001926BC" w:rsidRDefault="00000000">
            <w:pPr>
              <w:jc w:val="right"/>
            </w:pPr>
            <w:r>
              <w:rPr>
                <w:rFonts w:ascii="Calibri" w:eastAsia="Calibri" w:hAnsi="Calibri" w:cs="Calibri"/>
              </w:rPr>
              <w:t>800</w:t>
            </w:r>
          </w:p>
        </w:tc>
      </w:tr>
      <w:tr w:rsidR="001926BC" w14:paraId="60512436" w14:textId="77777777">
        <w:tc>
          <w:tcPr>
            <w:tcW w:w="6500" w:type="dxa"/>
          </w:tcPr>
          <w:p w14:paraId="12852253" w14:textId="77777777" w:rsidR="001926BC" w:rsidRDefault="00000000">
            <w:r>
              <w:rPr>
                <w:rFonts w:ascii="Calibri" w:eastAsia="Calibri" w:hAnsi="Calibri" w:cs="Calibri"/>
              </w:rPr>
              <w:t>Staff wages (pre-opening setup week)</w:t>
            </w:r>
          </w:p>
        </w:tc>
        <w:tc>
          <w:tcPr>
            <w:tcW w:w="3000" w:type="dxa"/>
          </w:tcPr>
          <w:p w14:paraId="18827863" w14:textId="77777777" w:rsidR="001926BC" w:rsidRDefault="00000000">
            <w:pPr>
              <w:jc w:val="right"/>
            </w:pPr>
            <w:r>
              <w:rPr>
                <w:rFonts w:ascii="Calibri" w:eastAsia="Calibri" w:hAnsi="Calibri" w:cs="Calibri"/>
              </w:rPr>
              <w:t>2,200</w:t>
            </w:r>
          </w:p>
        </w:tc>
      </w:tr>
      <w:tr w:rsidR="001926BC" w14:paraId="700DC24F" w14:textId="77777777">
        <w:tc>
          <w:tcPr>
            <w:tcW w:w="6500" w:type="dxa"/>
          </w:tcPr>
          <w:p w14:paraId="23E718F1" w14:textId="77777777" w:rsidR="001926BC" w:rsidRDefault="00000000">
            <w:r>
              <w:rPr>
                <w:rFonts w:ascii="Calibri" w:eastAsia="Calibri" w:hAnsi="Calibri" w:cs="Calibri"/>
              </w:rPr>
              <w:t>Launch marketing and opening event</w:t>
            </w:r>
          </w:p>
        </w:tc>
        <w:tc>
          <w:tcPr>
            <w:tcW w:w="3000" w:type="dxa"/>
          </w:tcPr>
          <w:p w14:paraId="73B4898C" w14:textId="77777777" w:rsidR="001926BC" w:rsidRDefault="00000000">
            <w:pPr>
              <w:jc w:val="right"/>
            </w:pPr>
            <w:r>
              <w:rPr>
                <w:rFonts w:ascii="Calibri" w:eastAsia="Calibri" w:hAnsi="Calibri" w:cs="Calibri"/>
              </w:rPr>
              <w:t>1,500</w:t>
            </w:r>
          </w:p>
        </w:tc>
      </w:tr>
      <w:tr w:rsidR="001926BC" w14:paraId="22E92BC2" w14:textId="77777777">
        <w:tc>
          <w:tcPr>
            <w:tcW w:w="6500" w:type="dxa"/>
          </w:tcPr>
          <w:p w14:paraId="5AE433AE" w14:textId="77777777" w:rsidR="001926BC" w:rsidRDefault="00000000">
            <w:r>
              <w:rPr>
                <w:rFonts w:ascii="Calibri" w:eastAsia="Calibri" w:hAnsi="Calibri" w:cs="Calibri"/>
              </w:rPr>
              <w:t>Registration, food hygiene certification, legal costs</w:t>
            </w:r>
          </w:p>
        </w:tc>
        <w:tc>
          <w:tcPr>
            <w:tcW w:w="3000" w:type="dxa"/>
          </w:tcPr>
          <w:p w14:paraId="7F9F7219" w14:textId="77777777" w:rsidR="001926BC" w:rsidRDefault="00000000">
            <w:pPr>
              <w:jc w:val="right"/>
            </w:pPr>
            <w:r>
              <w:rPr>
                <w:rFonts w:ascii="Calibri" w:eastAsia="Calibri" w:hAnsi="Calibri" w:cs="Calibri"/>
              </w:rPr>
              <w:t>1,000</w:t>
            </w:r>
          </w:p>
        </w:tc>
      </w:tr>
      <w:tr w:rsidR="001926BC" w14:paraId="0CFD68B8" w14:textId="77777777">
        <w:tc>
          <w:tcPr>
            <w:tcW w:w="6500" w:type="dxa"/>
            <w:shd w:val="clear" w:color="auto" w:fill="375623"/>
          </w:tcPr>
          <w:p w14:paraId="664082EC" w14:textId="77777777" w:rsidR="001926BC" w:rsidRDefault="00000000">
            <w:r>
              <w:rPr>
                <w:rFonts w:ascii="Calibri" w:eastAsia="Calibri" w:hAnsi="Calibri" w:cs="Calibri"/>
                <w:b/>
                <w:bCs/>
                <w:color w:val="FFFFFF"/>
              </w:rPr>
              <w:t>Total start-up expenses</w:t>
            </w:r>
          </w:p>
        </w:tc>
        <w:tc>
          <w:tcPr>
            <w:tcW w:w="3000" w:type="dxa"/>
            <w:shd w:val="clear" w:color="auto" w:fill="375623"/>
          </w:tcPr>
          <w:p w14:paraId="53EB8295" w14:textId="77777777" w:rsidR="001926BC" w:rsidRDefault="00000000">
            <w:pPr>
              <w:jc w:val="right"/>
            </w:pPr>
            <w:r>
              <w:rPr>
                <w:rFonts w:ascii="Calibri" w:eastAsia="Calibri" w:hAnsi="Calibri" w:cs="Calibri"/>
                <w:b/>
                <w:bCs/>
                <w:color w:val="FFFFFF"/>
              </w:rPr>
              <w:t>39,500</w:t>
            </w:r>
          </w:p>
        </w:tc>
      </w:tr>
      <w:tr w:rsidR="001926BC" w14:paraId="02BD258D" w14:textId="77777777">
        <w:tc>
          <w:tcPr>
            <w:tcW w:w="6500" w:type="dxa"/>
          </w:tcPr>
          <w:p w14:paraId="70A72578" w14:textId="77777777" w:rsidR="001926BC" w:rsidRDefault="00000000">
            <w:r>
              <w:rPr>
                <w:rFonts w:ascii="Calibri" w:eastAsia="Calibri" w:hAnsi="Calibri" w:cs="Calibri"/>
              </w:rPr>
              <w:t>Working capital buffer</w:t>
            </w:r>
          </w:p>
        </w:tc>
        <w:tc>
          <w:tcPr>
            <w:tcW w:w="3000" w:type="dxa"/>
          </w:tcPr>
          <w:p w14:paraId="57556980" w14:textId="77777777" w:rsidR="001926BC" w:rsidRDefault="00000000">
            <w:pPr>
              <w:jc w:val="right"/>
            </w:pPr>
            <w:r>
              <w:rPr>
                <w:rFonts w:ascii="Calibri" w:eastAsia="Calibri" w:hAnsi="Calibri" w:cs="Calibri"/>
              </w:rPr>
              <w:t>5,500</w:t>
            </w:r>
          </w:p>
        </w:tc>
      </w:tr>
    </w:tbl>
    <w:p w14:paraId="2D5641BB" w14:textId="77777777" w:rsidR="001926BC" w:rsidRDefault="001926BC">
      <w:pPr>
        <w:spacing w:after="200"/>
      </w:pPr>
    </w:p>
    <w:p w14:paraId="61245C8E" w14:textId="77777777" w:rsidR="001926BC" w:rsidRDefault="00000000">
      <w:pPr>
        <w:spacing w:after="200" w:line="276" w:lineRule="auto"/>
        <w:jc w:val="both"/>
      </w:pPr>
      <w:r>
        <w:rPr>
          <w:rFonts w:ascii="Calibri" w:eastAsia="Calibri" w:hAnsi="Calibri" w:cs="Calibri"/>
          <w:sz w:val="22"/>
          <w:szCs w:val="22"/>
        </w:rPr>
        <w:t>Together these expenses total approximately £39,500, leaving a working capital buffer of £5,500 to cover early trading costs, such as top-up stock orders, before monthly revenue stabilises. This buffer is deliberately conservative, reflecting the fact that footfall and average basket size typically take several weeks to build for a new independent retailer, and the founder would rather approach investors and lenders with a realistic cushion than risk a cash shortfall in the earliest and most vulnerable weeks of trading.</w:t>
      </w:r>
    </w:p>
    <w:p w14:paraId="4AFF9837" w14:textId="77777777" w:rsidR="001926BC" w:rsidRDefault="00000000">
      <w:r>
        <w:br w:type="page"/>
      </w:r>
    </w:p>
    <w:p w14:paraId="4A7F4DA5" w14:textId="77777777" w:rsidR="001926BC" w:rsidRDefault="00000000">
      <w:pPr>
        <w:pStyle w:val="Heading1"/>
        <w:spacing w:before="300" w:after="150"/>
      </w:pPr>
      <w:bookmarkStart w:id="6" w:name="_Toc235982470"/>
      <w:r>
        <w:lastRenderedPageBreak/>
        <w:t>Reference List</w:t>
      </w:r>
      <w:bookmarkEnd w:id="6"/>
    </w:p>
    <w:p w14:paraId="10D2A0B7" w14:textId="77777777" w:rsidR="001926BC" w:rsidRDefault="00000000">
      <w:pPr>
        <w:spacing w:after="200" w:line="276" w:lineRule="auto"/>
        <w:jc w:val="both"/>
      </w:pPr>
      <w:r>
        <w:rPr>
          <w:rFonts w:ascii="Calibri" w:eastAsia="Calibri" w:hAnsi="Calibri" w:cs="Calibri"/>
          <w:sz w:val="22"/>
          <w:szCs w:val="22"/>
        </w:rPr>
        <w:t>British Business Bank. (2026). Start Up Loans. [Accessed July 2026].</w:t>
      </w:r>
    </w:p>
    <w:p w14:paraId="7B6C43ED" w14:textId="77777777" w:rsidR="001926BC" w:rsidRDefault="00000000">
      <w:pPr>
        <w:spacing w:after="200" w:line="276" w:lineRule="auto"/>
        <w:jc w:val="both"/>
      </w:pPr>
      <w:r>
        <w:rPr>
          <w:rFonts w:ascii="Calibri" w:eastAsia="Calibri" w:hAnsi="Calibri" w:cs="Calibri"/>
          <w:sz w:val="22"/>
          <w:szCs w:val="22"/>
        </w:rPr>
        <w:t>Department for Environment, Food and Rural Affairs. (2025). Plastic Packaging Tax guidance. [Accessed July 2026].</w:t>
      </w:r>
    </w:p>
    <w:p w14:paraId="0376C4D3" w14:textId="77777777" w:rsidR="001926BC" w:rsidRDefault="00000000">
      <w:pPr>
        <w:spacing w:after="200" w:line="276" w:lineRule="auto"/>
        <w:jc w:val="both"/>
      </w:pPr>
      <w:r>
        <w:rPr>
          <w:rFonts w:ascii="Calibri" w:eastAsia="Calibri" w:hAnsi="Calibri" w:cs="Calibri"/>
          <w:sz w:val="22"/>
          <w:szCs w:val="22"/>
        </w:rPr>
        <w:t>Trussell Trust. (2026). Food bank data and insights. [Accessed July 2026].</w:t>
      </w:r>
    </w:p>
    <w:p w14:paraId="7E699184" w14:textId="77777777" w:rsidR="001926BC" w:rsidRDefault="00000000">
      <w:pPr>
        <w:spacing w:after="200" w:line="276" w:lineRule="auto"/>
        <w:jc w:val="both"/>
      </w:pPr>
      <w:r>
        <w:rPr>
          <w:rFonts w:ascii="Calibri" w:eastAsia="Calibri" w:hAnsi="Calibri" w:cs="Calibri"/>
          <w:sz w:val="22"/>
          <w:szCs w:val="22"/>
        </w:rPr>
        <w:t>Note: Replace the entries above with the full, correctly formatted references (e.g., Harvard or APA style, as required by your module) for all sources actually used in your final submission.</w:t>
      </w:r>
    </w:p>
    <w:sectPr w:rsidR="001926BC">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4676C2"/>
    <w:multiLevelType w:val="hybridMultilevel"/>
    <w:tmpl w:val="73227032"/>
    <w:lvl w:ilvl="0" w:tplc="9D1CC960">
      <w:start w:val="1"/>
      <w:numFmt w:val="bullet"/>
      <w:lvlText w:val="●"/>
      <w:lvlJc w:val="left"/>
      <w:pPr>
        <w:ind w:left="720" w:hanging="360"/>
      </w:pPr>
    </w:lvl>
    <w:lvl w:ilvl="1" w:tplc="F7449918">
      <w:start w:val="1"/>
      <w:numFmt w:val="bullet"/>
      <w:lvlText w:val="○"/>
      <w:lvlJc w:val="left"/>
      <w:pPr>
        <w:ind w:left="1440" w:hanging="360"/>
      </w:pPr>
    </w:lvl>
    <w:lvl w:ilvl="2" w:tplc="BC56BD84">
      <w:start w:val="1"/>
      <w:numFmt w:val="bullet"/>
      <w:lvlText w:val="■"/>
      <w:lvlJc w:val="left"/>
      <w:pPr>
        <w:ind w:left="2160" w:hanging="360"/>
      </w:pPr>
    </w:lvl>
    <w:lvl w:ilvl="3" w:tplc="0ECE56BA">
      <w:start w:val="1"/>
      <w:numFmt w:val="bullet"/>
      <w:lvlText w:val="●"/>
      <w:lvlJc w:val="left"/>
      <w:pPr>
        <w:ind w:left="2880" w:hanging="360"/>
      </w:pPr>
    </w:lvl>
    <w:lvl w:ilvl="4" w:tplc="731EE1C6">
      <w:start w:val="1"/>
      <w:numFmt w:val="bullet"/>
      <w:lvlText w:val="○"/>
      <w:lvlJc w:val="left"/>
      <w:pPr>
        <w:ind w:left="3600" w:hanging="360"/>
      </w:pPr>
    </w:lvl>
    <w:lvl w:ilvl="5" w:tplc="E74E5D22">
      <w:start w:val="1"/>
      <w:numFmt w:val="bullet"/>
      <w:lvlText w:val="■"/>
      <w:lvlJc w:val="left"/>
      <w:pPr>
        <w:ind w:left="4320" w:hanging="360"/>
      </w:pPr>
    </w:lvl>
    <w:lvl w:ilvl="6" w:tplc="53E60CBE">
      <w:start w:val="1"/>
      <w:numFmt w:val="bullet"/>
      <w:lvlText w:val="●"/>
      <w:lvlJc w:val="left"/>
      <w:pPr>
        <w:ind w:left="5040" w:hanging="360"/>
      </w:pPr>
    </w:lvl>
    <w:lvl w:ilvl="7" w:tplc="4A724BAA">
      <w:start w:val="1"/>
      <w:numFmt w:val="bullet"/>
      <w:lvlText w:val="●"/>
      <w:lvlJc w:val="left"/>
      <w:pPr>
        <w:ind w:left="5760" w:hanging="360"/>
      </w:pPr>
    </w:lvl>
    <w:lvl w:ilvl="8" w:tplc="3B00FE04">
      <w:start w:val="1"/>
      <w:numFmt w:val="bullet"/>
      <w:lvlText w:val="●"/>
      <w:lvlJc w:val="left"/>
      <w:pPr>
        <w:ind w:left="6480" w:hanging="360"/>
      </w:pPr>
    </w:lvl>
  </w:abstractNum>
  <w:abstractNum w:abstractNumId="1" w15:restartNumberingAfterBreak="0">
    <w:nsid w:val="7390217F"/>
    <w:multiLevelType w:val="hybridMultilevel"/>
    <w:tmpl w:val="62D01A36"/>
    <w:lvl w:ilvl="0" w:tplc="D1FEB4A4">
      <w:start w:val="1"/>
      <w:numFmt w:val="bullet"/>
      <w:lvlText w:val="•"/>
      <w:lvlJc w:val="left"/>
      <w:pPr>
        <w:ind w:left="720" w:hanging="360"/>
      </w:pPr>
    </w:lvl>
    <w:lvl w:ilvl="1" w:tplc="6F08F1A4">
      <w:numFmt w:val="decimal"/>
      <w:lvlText w:val=""/>
      <w:lvlJc w:val="left"/>
    </w:lvl>
    <w:lvl w:ilvl="2" w:tplc="C6544246">
      <w:numFmt w:val="decimal"/>
      <w:lvlText w:val=""/>
      <w:lvlJc w:val="left"/>
    </w:lvl>
    <w:lvl w:ilvl="3" w:tplc="02DE6F16">
      <w:numFmt w:val="decimal"/>
      <w:lvlText w:val=""/>
      <w:lvlJc w:val="left"/>
    </w:lvl>
    <w:lvl w:ilvl="4" w:tplc="2BAE1ACA">
      <w:numFmt w:val="decimal"/>
      <w:lvlText w:val=""/>
      <w:lvlJc w:val="left"/>
    </w:lvl>
    <w:lvl w:ilvl="5" w:tplc="35AC8716">
      <w:numFmt w:val="decimal"/>
      <w:lvlText w:val=""/>
      <w:lvlJc w:val="left"/>
    </w:lvl>
    <w:lvl w:ilvl="6" w:tplc="0124088C">
      <w:numFmt w:val="decimal"/>
      <w:lvlText w:val=""/>
      <w:lvlJc w:val="left"/>
    </w:lvl>
    <w:lvl w:ilvl="7" w:tplc="571E6D1A">
      <w:numFmt w:val="decimal"/>
      <w:lvlText w:val=""/>
      <w:lvlJc w:val="left"/>
    </w:lvl>
    <w:lvl w:ilvl="8" w:tplc="133E73BA">
      <w:numFmt w:val="decimal"/>
      <w:lvlText w:val=""/>
      <w:lvlJc w:val="left"/>
    </w:lvl>
  </w:abstractNum>
  <w:num w:numId="1" w16cid:durableId="164314671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6BC"/>
    <w:rsid w:val="0002735C"/>
    <w:rsid w:val="001926BC"/>
    <w:rsid w:val="003B7096"/>
    <w:rsid w:val="00487274"/>
    <w:rsid w:val="00704341"/>
    <w:rsid w:val="009A70A0"/>
    <w:rsid w:val="00A41E37"/>
    <w:rsid w:val="00AE0013"/>
    <w:rsid w:val="00D860CE"/>
    <w:rsid w:val="00E63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ECA83"/>
  <w15:docId w15:val="{5AACB1A9-B7F7-4A90-A68F-F5A8E15F9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D860C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1938</Words>
  <Characters>11047</Characters>
  <Application>Microsoft Office Word</Application>
  <DocSecurity>0</DocSecurity>
  <Lines>92</Lines>
  <Paragraphs>25</Paragraphs>
  <ScaleCrop>false</ScaleCrop>
  <Company/>
  <LinksUpToDate>false</LinksUpToDate>
  <CharactersWithSpaces>12960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George Colibaba</cp:lastModifiedBy>
  <cp:revision>8</cp:revision>
  <dcterms:created xsi:type="dcterms:W3CDTF">2026-07-24T15:02:00Z</dcterms:created>
  <dcterms:modified xsi:type="dcterms:W3CDTF">2026-07-26T17:28:00Z</dcterms:modified>
</cp:coreProperties>
</file>