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063EE2" w14:textId="77777777" w:rsidR="00901A3E" w:rsidRPr="006D324C" w:rsidRDefault="00901A3E" w:rsidP="00901A3E">
      <w:pPr>
        <w:jc w:val="center"/>
        <w:rPr>
          <w:rFonts w:ascii="Arial" w:eastAsia="Arial" w:hAnsi="Arial" w:cs="Arial"/>
          <w:b/>
          <w:bCs/>
        </w:rPr>
      </w:pPr>
      <w:r w:rsidRPr="006D324C">
        <w:rPr>
          <w:rFonts w:ascii="Arial" w:eastAsia="Arial" w:hAnsi="Arial" w:cs="Arial"/>
          <w:noProof/>
          <w:lang w:eastAsia="en-GB"/>
        </w:rPr>
        <w:drawing>
          <wp:inline distT="0" distB="0" distL="0" distR="0" wp14:anchorId="72AEC0D2" wp14:editId="35281C9E">
            <wp:extent cx="3355429" cy="1250062"/>
            <wp:effectExtent l="0" t="0" r="0" b="0"/>
            <wp:docPr id="2010088675" name="image2.png" descr="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png" descr="University of Wales Trinity Saint David"/>
                    <pic:cNvPicPr preferRelativeResize="0"/>
                  </pic:nvPicPr>
                  <pic:blipFill>
                    <a:blip r:embed="rId7"/>
                    <a:srcRect/>
                    <a:stretch>
                      <a:fillRect/>
                    </a:stretch>
                  </pic:blipFill>
                  <pic:spPr>
                    <a:xfrm>
                      <a:off x="0" y="0"/>
                      <a:ext cx="3355429" cy="1250062"/>
                    </a:xfrm>
                    <a:prstGeom prst="rect">
                      <a:avLst/>
                    </a:prstGeom>
                    <a:ln/>
                  </pic:spPr>
                </pic:pic>
              </a:graphicData>
            </a:graphic>
          </wp:inline>
        </w:drawing>
      </w:r>
    </w:p>
    <w:p w14:paraId="0CA75027" w14:textId="77777777" w:rsidR="00901A3E" w:rsidRPr="006D324C" w:rsidRDefault="00901A3E" w:rsidP="00901A3E">
      <w:pPr>
        <w:jc w:val="center"/>
        <w:rPr>
          <w:rFonts w:ascii="Arial" w:eastAsia="Arial" w:hAnsi="Arial" w:cs="Arial"/>
          <w:b/>
          <w:bCs/>
        </w:rPr>
      </w:pPr>
    </w:p>
    <w:p w14:paraId="09BA98CD" w14:textId="77777777" w:rsidR="00901A3E" w:rsidRPr="00C739B1" w:rsidRDefault="00901A3E" w:rsidP="00901A3E">
      <w:pPr>
        <w:pBdr>
          <w:top w:val="nil"/>
          <w:left w:val="nil"/>
          <w:bottom w:val="nil"/>
          <w:right w:val="nil"/>
          <w:between w:val="nil"/>
        </w:pBdr>
        <w:jc w:val="center"/>
        <w:rPr>
          <w:rFonts w:ascii="Arial" w:eastAsia="Arial" w:hAnsi="Arial" w:cs="Arial"/>
          <w:b/>
          <w:bCs/>
          <w:sz w:val="32"/>
          <w:szCs w:val="32"/>
        </w:rPr>
      </w:pPr>
      <w:r w:rsidRPr="00C739B1">
        <w:rPr>
          <w:rFonts w:ascii="Arial" w:eastAsia="Arial" w:hAnsi="Arial" w:cs="Arial"/>
          <w:b/>
          <w:bCs/>
          <w:sz w:val="32"/>
          <w:szCs w:val="32"/>
        </w:rPr>
        <w:t>Programme Name: Master of Business Administration</w:t>
      </w:r>
    </w:p>
    <w:p w14:paraId="56849F87" w14:textId="77777777" w:rsidR="00901A3E" w:rsidRPr="00C739B1" w:rsidRDefault="00901A3E" w:rsidP="00901A3E">
      <w:pPr>
        <w:pBdr>
          <w:top w:val="nil"/>
          <w:left w:val="nil"/>
          <w:bottom w:val="nil"/>
          <w:right w:val="nil"/>
          <w:between w:val="nil"/>
        </w:pBdr>
        <w:jc w:val="center"/>
        <w:rPr>
          <w:rFonts w:ascii="Arial" w:eastAsia="Arial" w:hAnsi="Arial" w:cs="Arial"/>
          <w:b/>
          <w:bCs/>
          <w:sz w:val="32"/>
          <w:szCs w:val="32"/>
        </w:rPr>
      </w:pPr>
    </w:p>
    <w:p w14:paraId="38E8DA95" w14:textId="77777777" w:rsidR="00901A3E" w:rsidRDefault="00901A3E" w:rsidP="00901A3E">
      <w:pPr>
        <w:pBdr>
          <w:top w:val="nil"/>
          <w:left w:val="nil"/>
          <w:bottom w:val="nil"/>
          <w:right w:val="nil"/>
          <w:between w:val="nil"/>
        </w:pBdr>
        <w:jc w:val="center"/>
        <w:rPr>
          <w:rFonts w:ascii="Arial" w:eastAsia="Arial" w:hAnsi="Arial" w:cs="Arial"/>
          <w:b/>
          <w:bCs/>
          <w:sz w:val="28"/>
          <w:szCs w:val="28"/>
        </w:rPr>
      </w:pPr>
      <w:r w:rsidRPr="009A6085">
        <w:rPr>
          <w:rFonts w:ascii="Arial" w:eastAsia="Arial" w:hAnsi="Arial" w:cs="Arial"/>
          <w:b/>
          <w:bCs/>
          <w:sz w:val="28"/>
          <w:szCs w:val="28"/>
        </w:rPr>
        <w:t xml:space="preserve">Name and Code of the Module: </w:t>
      </w:r>
      <w:r>
        <w:rPr>
          <w:rFonts w:ascii="Arial" w:eastAsia="Arial" w:hAnsi="Arial" w:cs="Arial"/>
          <w:b/>
          <w:bCs/>
          <w:sz w:val="28"/>
          <w:szCs w:val="28"/>
        </w:rPr>
        <w:t>Strategic Management</w:t>
      </w:r>
    </w:p>
    <w:p w14:paraId="5816461E" w14:textId="77777777" w:rsidR="00901A3E" w:rsidRPr="009A6085" w:rsidRDefault="00901A3E" w:rsidP="00901A3E">
      <w:pPr>
        <w:pBdr>
          <w:top w:val="nil"/>
          <w:left w:val="nil"/>
          <w:bottom w:val="nil"/>
          <w:right w:val="nil"/>
          <w:between w:val="nil"/>
        </w:pBdr>
        <w:jc w:val="center"/>
        <w:rPr>
          <w:rFonts w:ascii="Arial" w:eastAsia="Arial" w:hAnsi="Arial" w:cs="Arial"/>
          <w:b/>
          <w:bCs/>
          <w:sz w:val="28"/>
          <w:szCs w:val="28"/>
        </w:rPr>
      </w:pPr>
      <w:r w:rsidRPr="009A6085">
        <w:rPr>
          <w:rFonts w:ascii="Arial" w:eastAsia="Arial" w:hAnsi="Arial" w:cs="Arial"/>
          <w:b/>
          <w:bCs/>
          <w:sz w:val="28"/>
          <w:szCs w:val="28"/>
        </w:rPr>
        <w:t>LCMB70</w:t>
      </w:r>
      <w:r>
        <w:rPr>
          <w:rFonts w:ascii="Arial" w:eastAsia="Arial" w:hAnsi="Arial" w:cs="Arial"/>
          <w:b/>
          <w:bCs/>
          <w:sz w:val="28"/>
          <w:szCs w:val="28"/>
        </w:rPr>
        <w:t>03</w:t>
      </w:r>
    </w:p>
    <w:p w14:paraId="698CCB61" w14:textId="77777777" w:rsidR="00901A3E" w:rsidRPr="00C739B1" w:rsidRDefault="00901A3E" w:rsidP="00901A3E">
      <w:pPr>
        <w:pBdr>
          <w:top w:val="nil"/>
          <w:left w:val="nil"/>
          <w:bottom w:val="nil"/>
          <w:right w:val="nil"/>
          <w:between w:val="nil"/>
        </w:pBdr>
        <w:jc w:val="center"/>
        <w:rPr>
          <w:rFonts w:ascii="Arial" w:eastAsia="Arial" w:hAnsi="Arial" w:cs="Arial"/>
          <w:b/>
          <w:bCs/>
          <w:sz w:val="32"/>
          <w:szCs w:val="32"/>
        </w:rPr>
      </w:pPr>
    </w:p>
    <w:p w14:paraId="59634A50" w14:textId="7DDF45FE" w:rsidR="00901A3E" w:rsidRPr="00C739B1" w:rsidRDefault="00901A3E" w:rsidP="00901A3E">
      <w:pPr>
        <w:pBdr>
          <w:top w:val="nil"/>
          <w:left w:val="nil"/>
          <w:bottom w:val="nil"/>
          <w:right w:val="nil"/>
          <w:between w:val="nil"/>
        </w:pBdr>
        <w:jc w:val="center"/>
        <w:rPr>
          <w:rFonts w:ascii="Arial" w:eastAsia="Arial" w:hAnsi="Arial" w:cs="Arial"/>
          <w:b/>
          <w:bCs/>
          <w:sz w:val="32"/>
          <w:szCs w:val="32"/>
        </w:rPr>
      </w:pPr>
      <w:r w:rsidRPr="00C739B1">
        <w:rPr>
          <w:rFonts w:ascii="Arial" w:eastAsia="Arial" w:hAnsi="Arial" w:cs="Arial"/>
          <w:b/>
          <w:bCs/>
          <w:sz w:val="32"/>
          <w:szCs w:val="32"/>
        </w:rPr>
        <w:t xml:space="preserve">Title: Report- </w:t>
      </w:r>
      <w:r>
        <w:rPr>
          <w:rFonts w:ascii="Arial" w:eastAsia="Arial" w:hAnsi="Arial" w:cs="Arial"/>
          <w:b/>
          <w:bCs/>
          <w:sz w:val="32"/>
          <w:szCs w:val="32"/>
        </w:rPr>
        <w:t>Tesla</w:t>
      </w:r>
    </w:p>
    <w:p w14:paraId="5126C57D" w14:textId="77777777" w:rsidR="00901A3E" w:rsidRPr="00C739B1" w:rsidRDefault="00901A3E" w:rsidP="00901A3E">
      <w:pPr>
        <w:pBdr>
          <w:top w:val="nil"/>
          <w:left w:val="nil"/>
          <w:bottom w:val="nil"/>
          <w:right w:val="nil"/>
          <w:between w:val="nil"/>
        </w:pBdr>
        <w:jc w:val="center"/>
        <w:rPr>
          <w:rFonts w:ascii="Arial" w:eastAsia="Arial" w:hAnsi="Arial" w:cs="Arial"/>
          <w:b/>
          <w:bCs/>
          <w:sz w:val="32"/>
          <w:szCs w:val="32"/>
        </w:rPr>
      </w:pPr>
    </w:p>
    <w:p w14:paraId="577331DD" w14:textId="77777777" w:rsidR="00901A3E" w:rsidRPr="00C739B1" w:rsidRDefault="00901A3E" w:rsidP="00901A3E">
      <w:pPr>
        <w:pBdr>
          <w:top w:val="nil"/>
          <w:left w:val="nil"/>
          <w:bottom w:val="nil"/>
          <w:right w:val="nil"/>
          <w:between w:val="nil"/>
        </w:pBdr>
        <w:jc w:val="center"/>
        <w:rPr>
          <w:rFonts w:ascii="Arial" w:eastAsia="Arial" w:hAnsi="Arial" w:cs="Arial"/>
          <w:b/>
          <w:bCs/>
          <w:sz w:val="32"/>
          <w:szCs w:val="32"/>
        </w:rPr>
      </w:pPr>
      <w:r w:rsidRPr="00C739B1">
        <w:rPr>
          <w:rFonts w:ascii="Arial" w:eastAsia="Arial" w:hAnsi="Arial" w:cs="Arial"/>
          <w:b/>
          <w:bCs/>
          <w:sz w:val="32"/>
          <w:szCs w:val="32"/>
        </w:rPr>
        <w:t xml:space="preserve">Lecturer’s Name: </w:t>
      </w:r>
      <w:r>
        <w:rPr>
          <w:rFonts w:ascii="Arial" w:eastAsia="Arial" w:hAnsi="Arial" w:cs="Arial"/>
          <w:b/>
          <w:bCs/>
          <w:sz w:val="32"/>
          <w:szCs w:val="32"/>
        </w:rPr>
        <w:t>Amare Desta</w:t>
      </w:r>
    </w:p>
    <w:p w14:paraId="794CC2E0" w14:textId="77777777" w:rsidR="00901A3E" w:rsidRPr="00C739B1" w:rsidRDefault="00901A3E" w:rsidP="00901A3E">
      <w:pPr>
        <w:pBdr>
          <w:top w:val="nil"/>
          <w:left w:val="nil"/>
          <w:bottom w:val="nil"/>
          <w:right w:val="nil"/>
          <w:between w:val="nil"/>
        </w:pBdr>
        <w:jc w:val="center"/>
        <w:rPr>
          <w:rFonts w:ascii="Arial" w:eastAsia="Arial" w:hAnsi="Arial" w:cs="Arial"/>
          <w:b/>
          <w:bCs/>
          <w:sz w:val="32"/>
          <w:szCs w:val="32"/>
        </w:rPr>
      </w:pPr>
    </w:p>
    <w:p w14:paraId="10DCF22E" w14:textId="77777777" w:rsidR="00901A3E" w:rsidRPr="00C739B1" w:rsidRDefault="00901A3E" w:rsidP="00901A3E">
      <w:pPr>
        <w:spacing w:before="1"/>
        <w:ind w:left="893" w:right="901"/>
        <w:jc w:val="center"/>
        <w:rPr>
          <w:rFonts w:ascii="Arial" w:hAnsi="Arial" w:cs="Arial"/>
          <w:b/>
          <w:bCs/>
          <w:sz w:val="32"/>
          <w:szCs w:val="32"/>
        </w:rPr>
      </w:pPr>
      <w:r w:rsidRPr="00C739B1">
        <w:rPr>
          <w:rFonts w:ascii="Arial" w:hAnsi="Arial" w:cs="Arial"/>
          <w:b/>
          <w:bCs/>
          <w:sz w:val="32"/>
          <w:szCs w:val="32"/>
        </w:rPr>
        <w:t>Student</w:t>
      </w:r>
      <w:r w:rsidRPr="00C739B1">
        <w:rPr>
          <w:rFonts w:ascii="Arial" w:hAnsi="Arial" w:cs="Arial"/>
          <w:b/>
          <w:bCs/>
          <w:spacing w:val="-10"/>
          <w:sz w:val="32"/>
          <w:szCs w:val="32"/>
        </w:rPr>
        <w:t xml:space="preserve"> </w:t>
      </w:r>
      <w:r w:rsidRPr="00C739B1">
        <w:rPr>
          <w:rFonts w:ascii="Arial" w:hAnsi="Arial" w:cs="Arial"/>
          <w:b/>
          <w:bCs/>
          <w:sz w:val="32"/>
          <w:szCs w:val="32"/>
        </w:rPr>
        <w:t>Name:</w:t>
      </w:r>
      <w:r w:rsidRPr="00C739B1">
        <w:rPr>
          <w:rFonts w:ascii="Arial" w:hAnsi="Arial" w:cs="Arial"/>
          <w:b/>
          <w:bCs/>
          <w:spacing w:val="-13"/>
          <w:sz w:val="32"/>
          <w:szCs w:val="32"/>
        </w:rPr>
        <w:t xml:space="preserve"> Harshil Mukeshbhai Korat</w:t>
      </w:r>
    </w:p>
    <w:p w14:paraId="07438A48" w14:textId="77777777" w:rsidR="00901A3E" w:rsidRPr="00C739B1" w:rsidRDefault="00901A3E" w:rsidP="00901A3E">
      <w:pPr>
        <w:spacing w:before="1"/>
        <w:ind w:left="893" w:right="901"/>
        <w:jc w:val="center"/>
        <w:rPr>
          <w:rFonts w:ascii="Arial" w:hAnsi="Arial" w:cs="Arial"/>
          <w:b/>
          <w:bCs/>
          <w:sz w:val="32"/>
          <w:szCs w:val="32"/>
        </w:rPr>
      </w:pPr>
      <w:r w:rsidRPr="00C739B1">
        <w:rPr>
          <w:rFonts w:ascii="Arial" w:hAnsi="Arial" w:cs="Arial"/>
          <w:b/>
          <w:bCs/>
          <w:sz w:val="32"/>
          <w:szCs w:val="32"/>
        </w:rPr>
        <w:t>Student ID: 2430624</w:t>
      </w:r>
    </w:p>
    <w:p w14:paraId="451CAF24" w14:textId="77777777" w:rsidR="00901A3E" w:rsidRPr="00C739B1" w:rsidRDefault="00901A3E" w:rsidP="00901A3E">
      <w:pPr>
        <w:pBdr>
          <w:top w:val="nil"/>
          <w:left w:val="nil"/>
          <w:bottom w:val="nil"/>
          <w:right w:val="nil"/>
          <w:between w:val="nil"/>
        </w:pBdr>
        <w:rPr>
          <w:rFonts w:ascii="Arial" w:eastAsia="Arial" w:hAnsi="Arial" w:cs="Arial"/>
          <w:b/>
          <w:bCs/>
          <w:sz w:val="32"/>
          <w:szCs w:val="32"/>
        </w:rPr>
      </w:pPr>
      <w:r w:rsidRPr="00C739B1">
        <w:rPr>
          <w:rFonts w:ascii="Arial" w:hAnsi="Arial" w:cs="Arial"/>
          <w:b/>
          <w:bCs/>
          <w:sz w:val="32"/>
          <w:szCs w:val="32"/>
        </w:rPr>
        <w:tab/>
      </w:r>
      <w:r w:rsidRPr="00C739B1">
        <w:rPr>
          <w:rFonts w:ascii="Arial" w:hAnsi="Arial" w:cs="Arial"/>
          <w:b/>
          <w:bCs/>
          <w:sz w:val="32"/>
          <w:szCs w:val="32"/>
        </w:rPr>
        <w:tab/>
      </w:r>
      <w:r w:rsidRPr="00C739B1">
        <w:rPr>
          <w:rFonts w:ascii="Arial" w:hAnsi="Arial" w:cs="Arial"/>
          <w:b/>
          <w:bCs/>
          <w:sz w:val="32"/>
          <w:szCs w:val="32"/>
        </w:rPr>
        <w:tab/>
      </w:r>
      <w:r w:rsidRPr="00C739B1">
        <w:rPr>
          <w:rFonts w:ascii="Arial" w:hAnsi="Arial" w:cs="Arial"/>
          <w:b/>
          <w:bCs/>
          <w:sz w:val="32"/>
          <w:szCs w:val="32"/>
        </w:rPr>
        <w:tab/>
      </w:r>
      <w:r w:rsidRPr="00C739B1">
        <w:rPr>
          <w:rFonts w:ascii="Arial" w:hAnsi="Arial" w:cs="Arial"/>
          <w:b/>
          <w:bCs/>
          <w:sz w:val="32"/>
          <w:szCs w:val="32"/>
        </w:rPr>
        <w:tab/>
      </w:r>
    </w:p>
    <w:p w14:paraId="7877E0C0" w14:textId="77777777" w:rsidR="00901A3E" w:rsidRPr="00C739B1" w:rsidRDefault="00901A3E" w:rsidP="00901A3E">
      <w:pPr>
        <w:ind w:left="900" w:right="901"/>
        <w:jc w:val="center"/>
        <w:rPr>
          <w:rFonts w:ascii="Arial" w:hAnsi="Arial" w:cs="Arial"/>
          <w:b/>
          <w:bCs/>
          <w:sz w:val="32"/>
          <w:szCs w:val="32"/>
        </w:rPr>
      </w:pPr>
      <w:r w:rsidRPr="00C739B1">
        <w:rPr>
          <w:rFonts w:ascii="Arial" w:hAnsi="Arial" w:cs="Arial"/>
          <w:b/>
          <w:bCs/>
          <w:sz w:val="32"/>
          <w:szCs w:val="32"/>
        </w:rPr>
        <w:t>Term</w:t>
      </w:r>
      <w:r w:rsidRPr="00C739B1">
        <w:rPr>
          <w:rFonts w:ascii="Arial" w:hAnsi="Arial" w:cs="Arial"/>
          <w:b/>
          <w:bCs/>
          <w:spacing w:val="-7"/>
          <w:sz w:val="32"/>
          <w:szCs w:val="32"/>
        </w:rPr>
        <w:t xml:space="preserve"> </w:t>
      </w:r>
      <w:proofErr w:type="gramStart"/>
      <w:r w:rsidRPr="00C739B1">
        <w:rPr>
          <w:rFonts w:ascii="Arial" w:hAnsi="Arial" w:cs="Arial"/>
          <w:b/>
          <w:bCs/>
          <w:spacing w:val="-10"/>
          <w:sz w:val="32"/>
          <w:szCs w:val="32"/>
        </w:rPr>
        <w:t>2</w:t>
      </w:r>
      <w:proofErr w:type="gramEnd"/>
    </w:p>
    <w:p w14:paraId="29F61C70" w14:textId="38BD8EDA" w:rsidR="00901A3E" w:rsidRPr="006D324C" w:rsidRDefault="00901A3E" w:rsidP="00901A3E">
      <w:pPr>
        <w:jc w:val="center"/>
        <w:rPr>
          <w:rFonts w:ascii="Arial" w:eastAsia="Arial" w:hAnsi="Arial" w:cs="Arial"/>
          <w:b/>
          <w:bCs/>
        </w:rPr>
      </w:pPr>
      <w:r w:rsidRPr="00C739B1">
        <w:rPr>
          <w:rFonts w:ascii="Arial" w:hAnsi="Arial" w:cs="Arial"/>
          <w:b/>
          <w:bCs/>
          <w:sz w:val="32"/>
          <w:szCs w:val="32"/>
        </w:rPr>
        <w:t>Submission</w:t>
      </w:r>
      <w:r w:rsidRPr="00C739B1">
        <w:rPr>
          <w:rFonts w:ascii="Arial" w:hAnsi="Arial" w:cs="Arial"/>
          <w:b/>
          <w:bCs/>
          <w:spacing w:val="-18"/>
          <w:sz w:val="32"/>
          <w:szCs w:val="32"/>
        </w:rPr>
        <w:t xml:space="preserve"> </w:t>
      </w:r>
      <w:r w:rsidRPr="00C739B1">
        <w:rPr>
          <w:rFonts w:ascii="Arial" w:hAnsi="Arial" w:cs="Arial"/>
          <w:b/>
          <w:bCs/>
          <w:sz w:val="32"/>
          <w:szCs w:val="32"/>
        </w:rPr>
        <w:t>Date:</w:t>
      </w:r>
      <w:r w:rsidRPr="00C739B1">
        <w:rPr>
          <w:rFonts w:ascii="Arial" w:hAnsi="Arial" w:cs="Arial"/>
          <w:b/>
          <w:bCs/>
          <w:spacing w:val="-10"/>
          <w:sz w:val="32"/>
          <w:szCs w:val="32"/>
        </w:rPr>
        <w:t xml:space="preserve"> </w:t>
      </w:r>
      <w:r>
        <w:rPr>
          <w:rFonts w:ascii="Arial" w:hAnsi="Arial" w:cs="Arial"/>
          <w:b/>
          <w:bCs/>
          <w:sz w:val="32"/>
          <w:szCs w:val="32"/>
        </w:rPr>
        <w:t>22</w:t>
      </w:r>
      <w:r w:rsidRPr="00C739B1">
        <w:rPr>
          <w:rFonts w:ascii="Arial" w:hAnsi="Arial" w:cs="Arial"/>
          <w:b/>
          <w:bCs/>
          <w:spacing w:val="-24"/>
          <w:sz w:val="32"/>
          <w:szCs w:val="32"/>
        </w:rPr>
        <w:t xml:space="preserve"> DECEMBER</w:t>
      </w:r>
      <w:r w:rsidRPr="00C739B1">
        <w:rPr>
          <w:rFonts w:ascii="Arial" w:hAnsi="Arial" w:cs="Arial"/>
          <w:b/>
          <w:bCs/>
          <w:sz w:val="32"/>
          <w:szCs w:val="32"/>
        </w:rPr>
        <w:t xml:space="preserve">, </w:t>
      </w:r>
      <w:r w:rsidRPr="00C739B1">
        <w:rPr>
          <w:rFonts w:ascii="Arial" w:hAnsi="Arial" w:cs="Arial"/>
          <w:b/>
          <w:bCs/>
          <w:spacing w:val="-4"/>
          <w:sz w:val="32"/>
          <w:szCs w:val="32"/>
        </w:rPr>
        <w:t>2025</w:t>
      </w:r>
      <w:r w:rsidRPr="006D324C">
        <w:rPr>
          <w:rFonts w:ascii="Arial" w:hAnsi="Arial" w:cs="Arial"/>
        </w:rPr>
        <w:br w:type="page"/>
      </w:r>
    </w:p>
    <w:p w14:paraId="61ADC3BC" w14:textId="77777777" w:rsidR="00901A3E" w:rsidRPr="00A11799" w:rsidRDefault="00901A3E" w:rsidP="00901A3E">
      <w:pPr>
        <w:jc w:val="center"/>
        <w:rPr>
          <w:rFonts w:ascii="Arial" w:eastAsia="Arial" w:hAnsi="Arial" w:cs="Arial"/>
          <w:b/>
          <w:bCs/>
        </w:rPr>
      </w:pPr>
      <w:r w:rsidRPr="00A11799">
        <w:rPr>
          <w:rFonts w:ascii="Arial" w:eastAsia="Arial" w:hAnsi="Arial" w:cs="Arial"/>
          <w:b/>
          <w:bCs/>
        </w:rPr>
        <w:lastRenderedPageBreak/>
        <w:t>Executive Summary</w:t>
      </w:r>
    </w:p>
    <w:p w14:paraId="623AF556" w14:textId="77777777" w:rsidR="00901A3E" w:rsidRPr="00A11799" w:rsidRDefault="00901A3E" w:rsidP="00901A3E">
      <w:pPr>
        <w:rPr>
          <w:rFonts w:ascii="Arial" w:eastAsia="Arial" w:hAnsi="Arial" w:cs="Arial"/>
        </w:rPr>
      </w:pPr>
      <w:r w:rsidRPr="00A11799">
        <w:rPr>
          <w:rFonts w:ascii="Arial" w:eastAsia="Arial" w:hAnsi="Arial" w:cs="Arial"/>
        </w:rPr>
        <w:t xml:space="preserve">Brazil has one of the biggest car markets in the world with over two million cars sold annually. In relevance to entering the market early and influencing consumer perceptions of high-end infrastructure and technology in electric vehicles, Tesla might profit from this new demand. With 201,773 sales, they accounted for 7.4% of the market for all-electric vehicles. China accounted for 40.6% of Model Y deliveries, while the US accounted for 34.8%. Tesla unveiled a less expensive version of the Model Y in May, which might derive greater profit. Brazil and the state of São Paulo should </w:t>
      </w:r>
      <w:proofErr w:type="gramStart"/>
      <w:r w:rsidRPr="00A11799">
        <w:rPr>
          <w:rFonts w:ascii="Arial" w:eastAsia="Arial" w:hAnsi="Arial" w:cs="Arial"/>
        </w:rPr>
        <w:t>be used</w:t>
      </w:r>
      <w:proofErr w:type="gramEnd"/>
      <w:r w:rsidRPr="00A11799">
        <w:rPr>
          <w:rFonts w:ascii="Arial" w:eastAsia="Arial" w:hAnsi="Arial" w:cs="Arial"/>
        </w:rPr>
        <w:t xml:space="preserve"> for the low-risk, fast, and data-based entry into Brazil through imports and a flagship showroom in Brazil. Brazil </w:t>
      </w:r>
      <w:proofErr w:type="gramStart"/>
      <w:r w:rsidRPr="00A11799">
        <w:rPr>
          <w:rFonts w:ascii="Arial" w:eastAsia="Arial" w:hAnsi="Arial" w:cs="Arial"/>
        </w:rPr>
        <w:t>is regarded</w:t>
      </w:r>
      <w:proofErr w:type="gramEnd"/>
      <w:r w:rsidRPr="00A11799">
        <w:rPr>
          <w:rFonts w:ascii="Arial" w:eastAsia="Arial" w:hAnsi="Arial" w:cs="Arial"/>
        </w:rPr>
        <w:t xml:space="preserve"> as one of the biggest global marketplaces, and Tesla's primary target market is urban and affluent consumers who have a significant demand for high-end EVs. It </w:t>
      </w:r>
      <w:proofErr w:type="gramStart"/>
      <w:r w:rsidRPr="00A11799">
        <w:rPr>
          <w:rFonts w:ascii="Arial" w:eastAsia="Arial" w:hAnsi="Arial" w:cs="Arial"/>
        </w:rPr>
        <w:t>is anticipated</w:t>
      </w:r>
      <w:proofErr w:type="gramEnd"/>
      <w:r w:rsidRPr="00A11799">
        <w:rPr>
          <w:rFonts w:ascii="Arial" w:eastAsia="Arial" w:hAnsi="Arial" w:cs="Arial"/>
        </w:rPr>
        <w:t xml:space="preserve"> that manufacturing of cars and other light vehicles will rise by 8.4% in 2025. Thus, Tesla will be able to </w:t>
      </w:r>
      <w:proofErr w:type="gramStart"/>
      <w:r w:rsidRPr="00A11799">
        <w:rPr>
          <w:rFonts w:ascii="Arial" w:eastAsia="Arial" w:hAnsi="Arial" w:cs="Arial"/>
        </w:rPr>
        <w:t>test</w:t>
      </w:r>
      <w:proofErr w:type="gramEnd"/>
      <w:r w:rsidRPr="00A11799">
        <w:rPr>
          <w:rFonts w:ascii="Arial" w:eastAsia="Arial" w:hAnsi="Arial" w:cs="Arial"/>
        </w:rPr>
        <w:t xml:space="preserve"> the demand for the Model 3/Y, experiment with prices and after-sales services, and avoid having to commit large sums of money all at once.</w:t>
      </w:r>
    </w:p>
    <w:p w14:paraId="0AE2CF9E" w14:textId="77777777" w:rsidR="00901A3E" w:rsidRPr="00A11799" w:rsidRDefault="00901A3E" w:rsidP="00901A3E">
      <w:pPr>
        <w:rPr>
          <w:rFonts w:ascii="Arial" w:eastAsia="Arial" w:hAnsi="Arial" w:cs="Arial"/>
          <w:b/>
          <w:bCs/>
        </w:rPr>
      </w:pPr>
    </w:p>
    <w:p w14:paraId="3A439F0A" w14:textId="77777777" w:rsidR="00901A3E" w:rsidRPr="00A11799" w:rsidRDefault="00901A3E" w:rsidP="00901A3E">
      <w:pPr>
        <w:rPr>
          <w:rFonts w:ascii="Arial" w:eastAsia="Arial" w:hAnsi="Arial" w:cs="Arial"/>
        </w:rPr>
      </w:pPr>
      <w:r w:rsidRPr="00A11799">
        <w:rPr>
          <w:rFonts w:ascii="Arial" w:hAnsi="Arial" w:cs="Arial"/>
        </w:rPr>
        <w:br w:type="page"/>
      </w:r>
    </w:p>
    <w:sdt>
      <w:sdtPr>
        <w:rPr>
          <w:rFonts w:ascii="Arial" w:eastAsia="Times New Roman" w:hAnsi="Arial" w:cs="Arial"/>
          <w:color w:val="auto"/>
          <w:sz w:val="24"/>
          <w:szCs w:val="24"/>
          <w:highlight w:val="white"/>
          <w:lang w:val="en-GB"/>
        </w:rPr>
        <w:id w:val="-766777497"/>
        <w:docPartObj>
          <w:docPartGallery w:val="Table of Contents"/>
          <w:docPartUnique/>
        </w:docPartObj>
      </w:sdtPr>
      <w:sdtEndPr>
        <w:rPr>
          <w:b/>
          <w:bCs/>
          <w:noProof/>
        </w:rPr>
      </w:sdtEndPr>
      <w:sdtContent>
        <w:p w14:paraId="4F3916C7" w14:textId="77777777" w:rsidR="00901A3E" w:rsidRPr="00A11799" w:rsidRDefault="00901A3E" w:rsidP="00901A3E">
          <w:pPr>
            <w:pStyle w:val="TOCHeading"/>
            <w:spacing w:line="240" w:lineRule="auto"/>
            <w:jc w:val="center"/>
            <w:rPr>
              <w:rFonts w:ascii="Arial" w:hAnsi="Arial" w:cs="Arial"/>
              <w:b/>
              <w:color w:val="auto"/>
              <w:sz w:val="24"/>
              <w:szCs w:val="24"/>
            </w:rPr>
          </w:pPr>
          <w:r w:rsidRPr="00A11799">
            <w:rPr>
              <w:rFonts w:ascii="Arial" w:hAnsi="Arial" w:cs="Arial"/>
              <w:b/>
              <w:color w:val="auto"/>
              <w:sz w:val="24"/>
              <w:szCs w:val="24"/>
            </w:rPr>
            <w:t>Table of Contents</w:t>
          </w:r>
        </w:p>
        <w:p w14:paraId="72038A0D" w14:textId="6CD699B0" w:rsidR="00EF7D90" w:rsidRDefault="00901A3E">
          <w:pPr>
            <w:pStyle w:val="TOC1"/>
            <w:tabs>
              <w:tab w:val="right" w:leader="dot" w:pos="9350"/>
            </w:tabs>
            <w:rPr>
              <w:rFonts w:eastAsiaTheme="minorEastAsia" w:cstheme="minorBidi"/>
              <w:b w:val="0"/>
              <w:bCs w:val="0"/>
              <w:i w:val="0"/>
              <w:iCs w:val="0"/>
              <w:noProof/>
              <w:sz w:val="22"/>
              <w:szCs w:val="22"/>
              <w:highlight w:val="none"/>
              <w:lang w:val="en-IN" w:eastAsia="en-IN"/>
            </w:rPr>
          </w:pPr>
          <w:r w:rsidRPr="00A11799">
            <w:rPr>
              <w:rFonts w:ascii="Arial" w:hAnsi="Arial" w:cs="Arial"/>
              <w:b w:val="0"/>
              <w:bCs w:val="0"/>
            </w:rPr>
            <w:fldChar w:fldCharType="begin"/>
          </w:r>
          <w:r w:rsidRPr="00A11799">
            <w:rPr>
              <w:rFonts w:ascii="Arial" w:hAnsi="Arial" w:cs="Arial"/>
            </w:rPr>
            <w:instrText xml:space="preserve"> TOC \o "1-3" \h \z \u </w:instrText>
          </w:r>
          <w:r w:rsidRPr="00A11799">
            <w:rPr>
              <w:rFonts w:ascii="Arial" w:hAnsi="Arial" w:cs="Arial"/>
              <w:b w:val="0"/>
              <w:bCs w:val="0"/>
            </w:rPr>
            <w:fldChar w:fldCharType="separate"/>
          </w:r>
          <w:hyperlink w:anchor="_Toc217248190" w:history="1">
            <w:r w:rsidR="00EF7D90" w:rsidRPr="005768B2">
              <w:rPr>
                <w:rStyle w:val="Hyperlink"/>
                <w:rFonts w:ascii="Arial" w:eastAsia="Arial" w:hAnsi="Arial" w:cs="Arial"/>
                <w:noProof/>
              </w:rPr>
              <w:t>Introduction:-</w:t>
            </w:r>
            <w:r w:rsidR="00EF7D90">
              <w:rPr>
                <w:noProof/>
                <w:webHidden/>
              </w:rPr>
              <w:tab/>
            </w:r>
            <w:r w:rsidR="00EF7D90">
              <w:rPr>
                <w:noProof/>
                <w:webHidden/>
              </w:rPr>
              <w:fldChar w:fldCharType="begin"/>
            </w:r>
            <w:r w:rsidR="00EF7D90">
              <w:rPr>
                <w:noProof/>
                <w:webHidden/>
              </w:rPr>
              <w:instrText xml:space="preserve"> PAGEREF _Toc217248190 \h </w:instrText>
            </w:r>
            <w:r w:rsidR="00EF7D90">
              <w:rPr>
                <w:noProof/>
                <w:webHidden/>
              </w:rPr>
            </w:r>
            <w:r w:rsidR="00EF7D90">
              <w:rPr>
                <w:noProof/>
                <w:webHidden/>
              </w:rPr>
              <w:fldChar w:fldCharType="separate"/>
            </w:r>
            <w:r w:rsidR="00E30FBA">
              <w:rPr>
                <w:noProof/>
                <w:webHidden/>
              </w:rPr>
              <w:t>3</w:t>
            </w:r>
            <w:r w:rsidR="00EF7D90">
              <w:rPr>
                <w:noProof/>
                <w:webHidden/>
              </w:rPr>
              <w:fldChar w:fldCharType="end"/>
            </w:r>
          </w:hyperlink>
        </w:p>
        <w:p w14:paraId="0CD40DBC" w14:textId="5BA2F15B" w:rsidR="00EF7D90" w:rsidRDefault="00EF7D90">
          <w:pPr>
            <w:pStyle w:val="TOC1"/>
            <w:tabs>
              <w:tab w:val="right" w:leader="dot" w:pos="9350"/>
            </w:tabs>
            <w:rPr>
              <w:rFonts w:eastAsiaTheme="minorEastAsia" w:cstheme="minorBidi"/>
              <w:b w:val="0"/>
              <w:bCs w:val="0"/>
              <w:i w:val="0"/>
              <w:iCs w:val="0"/>
              <w:noProof/>
              <w:sz w:val="22"/>
              <w:szCs w:val="22"/>
              <w:highlight w:val="none"/>
              <w:lang w:val="en-IN" w:eastAsia="en-IN"/>
            </w:rPr>
          </w:pPr>
          <w:hyperlink w:anchor="_Toc217248191" w:history="1">
            <w:r w:rsidRPr="005768B2">
              <w:rPr>
                <w:rStyle w:val="Hyperlink"/>
                <w:rFonts w:ascii="Arial" w:eastAsia="Arial" w:hAnsi="Arial" w:cs="Arial"/>
                <w:noProof/>
              </w:rPr>
              <w:t>1. Selection of Organisation and Target Market:-</w:t>
            </w:r>
            <w:r>
              <w:rPr>
                <w:noProof/>
                <w:webHidden/>
              </w:rPr>
              <w:tab/>
            </w:r>
            <w:r>
              <w:rPr>
                <w:noProof/>
                <w:webHidden/>
              </w:rPr>
              <w:fldChar w:fldCharType="begin"/>
            </w:r>
            <w:r>
              <w:rPr>
                <w:noProof/>
                <w:webHidden/>
              </w:rPr>
              <w:instrText xml:space="preserve"> PAGEREF _Toc217248191 \h </w:instrText>
            </w:r>
            <w:r>
              <w:rPr>
                <w:noProof/>
                <w:webHidden/>
              </w:rPr>
            </w:r>
            <w:r>
              <w:rPr>
                <w:noProof/>
                <w:webHidden/>
              </w:rPr>
              <w:fldChar w:fldCharType="separate"/>
            </w:r>
            <w:r w:rsidR="00E30FBA">
              <w:rPr>
                <w:noProof/>
                <w:webHidden/>
              </w:rPr>
              <w:t>3</w:t>
            </w:r>
            <w:r>
              <w:rPr>
                <w:noProof/>
                <w:webHidden/>
              </w:rPr>
              <w:fldChar w:fldCharType="end"/>
            </w:r>
          </w:hyperlink>
        </w:p>
        <w:p w14:paraId="3E1FA643" w14:textId="74AD1933"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192" w:history="1">
            <w:r w:rsidRPr="005768B2">
              <w:rPr>
                <w:rStyle w:val="Hyperlink"/>
                <w:rFonts w:ascii="Arial" w:eastAsia="Arial" w:hAnsi="Arial" w:cs="Arial"/>
                <w:noProof/>
              </w:rPr>
              <w:t>The chosen organisation:-</w:t>
            </w:r>
            <w:r>
              <w:rPr>
                <w:noProof/>
                <w:webHidden/>
              </w:rPr>
              <w:tab/>
            </w:r>
            <w:r>
              <w:rPr>
                <w:noProof/>
                <w:webHidden/>
              </w:rPr>
              <w:fldChar w:fldCharType="begin"/>
            </w:r>
            <w:r>
              <w:rPr>
                <w:noProof/>
                <w:webHidden/>
              </w:rPr>
              <w:instrText xml:space="preserve"> PAGEREF _Toc217248192 \h </w:instrText>
            </w:r>
            <w:r>
              <w:rPr>
                <w:noProof/>
                <w:webHidden/>
              </w:rPr>
            </w:r>
            <w:r>
              <w:rPr>
                <w:noProof/>
                <w:webHidden/>
              </w:rPr>
              <w:fldChar w:fldCharType="separate"/>
            </w:r>
            <w:r w:rsidR="00E30FBA">
              <w:rPr>
                <w:noProof/>
                <w:webHidden/>
              </w:rPr>
              <w:t>3</w:t>
            </w:r>
            <w:r>
              <w:rPr>
                <w:noProof/>
                <w:webHidden/>
              </w:rPr>
              <w:fldChar w:fldCharType="end"/>
            </w:r>
          </w:hyperlink>
        </w:p>
        <w:p w14:paraId="5F3A1E52" w14:textId="100D904E"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193" w:history="1">
            <w:r w:rsidRPr="005768B2">
              <w:rPr>
                <w:rStyle w:val="Hyperlink"/>
                <w:rFonts w:ascii="Arial" w:eastAsia="Arial" w:hAnsi="Arial" w:cs="Arial"/>
                <w:noProof/>
              </w:rPr>
              <w:t>Target Market:-</w:t>
            </w:r>
            <w:r>
              <w:rPr>
                <w:noProof/>
                <w:webHidden/>
              </w:rPr>
              <w:tab/>
            </w:r>
            <w:r>
              <w:rPr>
                <w:noProof/>
                <w:webHidden/>
              </w:rPr>
              <w:fldChar w:fldCharType="begin"/>
            </w:r>
            <w:r>
              <w:rPr>
                <w:noProof/>
                <w:webHidden/>
              </w:rPr>
              <w:instrText xml:space="preserve"> PAGEREF _Toc217248193 \h </w:instrText>
            </w:r>
            <w:r>
              <w:rPr>
                <w:noProof/>
                <w:webHidden/>
              </w:rPr>
            </w:r>
            <w:r>
              <w:rPr>
                <w:noProof/>
                <w:webHidden/>
              </w:rPr>
              <w:fldChar w:fldCharType="separate"/>
            </w:r>
            <w:r w:rsidR="00E30FBA">
              <w:rPr>
                <w:noProof/>
                <w:webHidden/>
              </w:rPr>
              <w:t>3</w:t>
            </w:r>
            <w:r>
              <w:rPr>
                <w:noProof/>
                <w:webHidden/>
              </w:rPr>
              <w:fldChar w:fldCharType="end"/>
            </w:r>
          </w:hyperlink>
        </w:p>
        <w:p w14:paraId="53AA22A7" w14:textId="20B59878"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194" w:history="1">
            <w:r w:rsidRPr="005768B2">
              <w:rPr>
                <w:rStyle w:val="Hyperlink"/>
                <w:rFonts w:ascii="Arial" w:eastAsia="Arial" w:hAnsi="Arial" w:cs="Arial"/>
                <w:noProof/>
              </w:rPr>
              <w:t>Rationale for the Decision:-</w:t>
            </w:r>
            <w:r>
              <w:rPr>
                <w:noProof/>
                <w:webHidden/>
              </w:rPr>
              <w:tab/>
            </w:r>
            <w:r>
              <w:rPr>
                <w:noProof/>
                <w:webHidden/>
              </w:rPr>
              <w:fldChar w:fldCharType="begin"/>
            </w:r>
            <w:r>
              <w:rPr>
                <w:noProof/>
                <w:webHidden/>
              </w:rPr>
              <w:instrText xml:space="preserve"> PAGEREF _Toc217248194 \h </w:instrText>
            </w:r>
            <w:r>
              <w:rPr>
                <w:noProof/>
                <w:webHidden/>
              </w:rPr>
            </w:r>
            <w:r>
              <w:rPr>
                <w:noProof/>
                <w:webHidden/>
              </w:rPr>
              <w:fldChar w:fldCharType="separate"/>
            </w:r>
            <w:r w:rsidR="00E30FBA">
              <w:rPr>
                <w:noProof/>
                <w:webHidden/>
              </w:rPr>
              <w:t>5</w:t>
            </w:r>
            <w:r>
              <w:rPr>
                <w:noProof/>
                <w:webHidden/>
              </w:rPr>
              <w:fldChar w:fldCharType="end"/>
            </w:r>
          </w:hyperlink>
        </w:p>
        <w:p w14:paraId="41004BF7" w14:textId="2C37A0FD" w:rsidR="00EF7D90" w:rsidRDefault="00EF7D90">
          <w:pPr>
            <w:pStyle w:val="TOC1"/>
            <w:tabs>
              <w:tab w:val="right" w:leader="dot" w:pos="9350"/>
            </w:tabs>
            <w:rPr>
              <w:rFonts w:eastAsiaTheme="minorEastAsia" w:cstheme="minorBidi"/>
              <w:b w:val="0"/>
              <w:bCs w:val="0"/>
              <w:i w:val="0"/>
              <w:iCs w:val="0"/>
              <w:noProof/>
              <w:sz w:val="22"/>
              <w:szCs w:val="22"/>
              <w:highlight w:val="none"/>
              <w:lang w:val="en-IN" w:eastAsia="en-IN"/>
            </w:rPr>
          </w:pPr>
          <w:hyperlink w:anchor="_Toc217248195" w:history="1">
            <w:r w:rsidRPr="005768B2">
              <w:rPr>
                <w:rStyle w:val="Hyperlink"/>
                <w:rFonts w:ascii="Arial" w:eastAsia="Arial" w:hAnsi="Arial" w:cs="Arial"/>
                <w:noProof/>
              </w:rPr>
              <w:t>2. Comprehensive Strategic Analysis:-</w:t>
            </w:r>
            <w:r>
              <w:rPr>
                <w:noProof/>
                <w:webHidden/>
              </w:rPr>
              <w:tab/>
            </w:r>
            <w:r>
              <w:rPr>
                <w:noProof/>
                <w:webHidden/>
              </w:rPr>
              <w:fldChar w:fldCharType="begin"/>
            </w:r>
            <w:r>
              <w:rPr>
                <w:noProof/>
                <w:webHidden/>
              </w:rPr>
              <w:instrText xml:space="preserve"> PAGEREF _Toc217248195 \h </w:instrText>
            </w:r>
            <w:r>
              <w:rPr>
                <w:noProof/>
                <w:webHidden/>
              </w:rPr>
            </w:r>
            <w:r>
              <w:rPr>
                <w:noProof/>
                <w:webHidden/>
              </w:rPr>
              <w:fldChar w:fldCharType="separate"/>
            </w:r>
            <w:r w:rsidR="00E30FBA">
              <w:rPr>
                <w:noProof/>
                <w:webHidden/>
              </w:rPr>
              <w:t>7</w:t>
            </w:r>
            <w:r>
              <w:rPr>
                <w:noProof/>
                <w:webHidden/>
              </w:rPr>
              <w:fldChar w:fldCharType="end"/>
            </w:r>
          </w:hyperlink>
        </w:p>
        <w:p w14:paraId="436F20C4" w14:textId="29964542"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196" w:history="1">
            <w:r w:rsidRPr="005768B2">
              <w:rPr>
                <w:rStyle w:val="Hyperlink"/>
                <w:rFonts w:ascii="Arial" w:eastAsia="Arial" w:hAnsi="Arial" w:cs="Arial"/>
                <w:noProof/>
              </w:rPr>
              <w:t>Macro-Environmental Analysis: PESTEL:-</w:t>
            </w:r>
            <w:r>
              <w:rPr>
                <w:noProof/>
                <w:webHidden/>
              </w:rPr>
              <w:tab/>
            </w:r>
            <w:r>
              <w:rPr>
                <w:noProof/>
                <w:webHidden/>
              </w:rPr>
              <w:fldChar w:fldCharType="begin"/>
            </w:r>
            <w:r>
              <w:rPr>
                <w:noProof/>
                <w:webHidden/>
              </w:rPr>
              <w:instrText xml:space="preserve"> PAGEREF _Toc217248196 \h </w:instrText>
            </w:r>
            <w:r>
              <w:rPr>
                <w:noProof/>
                <w:webHidden/>
              </w:rPr>
            </w:r>
            <w:r>
              <w:rPr>
                <w:noProof/>
                <w:webHidden/>
              </w:rPr>
              <w:fldChar w:fldCharType="separate"/>
            </w:r>
            <w:r w:rsidR="00E30FBA">
              <w:rPr>
                <w:noProof/>
                <w:webHidden/>
              </w:rPr>
              <w:t>7</w:t>
            </w:r>
            <w:r>
              <w:rPr>
                <w:noProof/>
                <w:webHidden/>
              </w:rPr>
              <w:fldChar w:fldCharType="end"/>
            </w:r>
          </w:hyperlink>
        </w:p>
        <w:p w14:paraId="1948D779" w14:textId="62C3981E"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197" w:history="1">
            <w:r w:rsidRPr="005768B2">
              <w:rPr>
                <w:rStyle w:val="Hyperlink"/>
                <w:rFonts w:ascii="Arial" w:eastAsia="Arial" w:hAnsi="Arial" w:cs="Arial"/>
                <w:noProof/>
              </w:rPr>
              <w:t>Performance analysis: SWOT:-</w:t>
            </w:r>
            <w:r>
              <w:rPr>
                <w:noProof/>
                <w:webHidden/>
              </w:rPr>
              <w:tab/>
            </w:r>
            <w:r>
              <w:rPr>
                <w:noProof/>
                <w:webHidden/>
              </w:rPr>
              <w:fldChar w:fldCharType="begin"/>
            </w:r>
            <w:r>
              <w:rPr>
                <w:noProof/>
                <w:webHidden/>
              </w:rPr>
              <w:instrText xml:space="preserve"> PAGEREF _Toc217248197 \h </w:instrText>
            </w:r>
            <w:r>
              <w:rPr>
                <w:noProof/>
                <w:webHidden/>
              </w:rPr>
            </w:r>
            <w:r>
              <w:rPr>
                <w:noProof/>
                <w:webHidden/>
              </w:rPr>
              <w:fldChar w:fldCharType="separate"/>
            </w:r>
            <w:r w:rsidR="00E30FBA">
              <w:rPr>
                <w:noProof/>
                <w:webHidden/>
              </w:rPr>
              <w:t>11</w:t>
            </w:r>
            <w:r>
              <w:rPr>
                <w:noProof/>
                <w:webHidden/>
              </w:rPr>
              <w:fldChar w:fldCharType="end"/>
            </w:r>
          </w:hyperlink>
        </w:p>
        <w:p w14:paraId="1A7EEF63" w14:textId="60449DD4"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198" w:history="1">
            <w:r w:rsidRPr="005768B2">
              <w:rPr>
                <w:rStyle w:val="Hyperlink"/>
                <w:rFonts w:ascii="Arial" w:eastAsia="Arial" w:hAnsi="Arial" w:cs="Arial"/>
                <w:noProof/>
              </w:rPr>
              <w:t>Insights and Strategic Implications:-</w:t>
            </w:r>
            <w:r>
              <w:rPr>
                <w:noProof/>
                <w:webHidden/>
              </w:rPr>
              <w:tab/>
            </w:r>
            <w:r>
              <w:rPr>
                <w:noProof/>
                <w:webHidden/>
              </w:rPr>
              <w:fldChar w:fldCharType="begin"/>
            </w:r>
            <w:r>
              <w:rPr>
                <w:noProof/>
                <w:webHidden/>
              </w:rPr>
              <w:instrText xml:space="preserve"> PAGEREF _Toc217248198 \h </w:instrText>
            </w:r>
            <w:r>
              <w:rPr>
                <w:noProof/>
                <w:webHidden/>
              </w:rPr>
            </w:r>
            <w:r>
              <w:rPr>
                <w:noProof/>
                <w:webHidden/>
              </w:rPr>
              <w:fldChar w:fldCharType="separate"/>
            </w:r>
            <w:r w:rsidR="00E30FBA">
              <w:rPr>
                <w:noProof/>
                <w:webHidden/>
              </w:rPr>
              <w:t>12</w:t>
            </w:r>
            <w:r>
              <w:rPr>
                <w:noProof/>
                <w:webHidden/>
              </w:rPr>
              <w:fldChar w:fldCharType="end"/>
            </w:r>
          </w:hyperlink>
        </w:p>
        <w:p w14:paraId="12B265CF" w14:textId="7C543A92" w:rsidR="00EF7D90" w:rsidRDefault="00EF7D90">
          <w:pPr>
            <w:pStyle w:val="TOC1"/>
            <w:tabs>
              <w:tab w:val="right" w:leader="dot" w:pos="9350"/>
            </w:tabs>
            <w:rPr>
              <w:rFonts w:eastAsiaTheme="minorEastAsia" w:cstheme="minorBidi"/>
              <w:b w:val="0"/>
              <w:bCs w:val="0"/>
              <w:i w:val="0"/>
              <w:iCs w:val="0"/>
              <w:noProof/>
              <w:sz w:val="22"/>
              <w:szCs w:val="22"/>
              <w:highlight w:val="none"/>
              <w:lang w:val="en-IN" w:eastAsia="en-IN"/>
            </w:rPr>
          </w:pPr>
          <w:hyperlink w:anchor="_Toc217248199" w:history="1">
            <w:r w:rsidRPr="005768B2">
              <w:rPr>
                <w:rStyle w:val="Hyperlink"/>
                <w:rFonts w:ascii="Arial" w:eastAsia="Arial" w:hAnsi="Arial" w:cs="Arial"/>
                <w:noProof/>
              </w:rPr>
              <w:t>3. Strategy Development and Formulation:-</w:t>
            </w:r>
            <w:r>
              <w:rPr>
                <w:noProof/>
                <w:webHidden/>
              </w:rPr>
              <w:tab/>
            </w:r>
            <w:r>
              <w:rPr>
                <w:noProof/>
                <w:webHidden/>
              </w:rPr>
              <w:fldChar w:fldCharType="begin"/>
            </w:r>
            <w:r>
              <w:rPr>
                <w:noProof/>
                <w:webHidden/>
              </w:rPr>
              <w:instrText xml:space="preserve"> PAGEREF _Toc217248199 \h </w:instrText>
            </w:r>
            <w:r>
              <w:rPr>
                <w:noProof/>
                <w:webHidden/>
              </w:rPr>
            </w:r>
            <w:r>
              <w:rPr>
                <w:noProof/>
                <w:webHidden/>
              </w:rPr>
              <w:fldChar w:fldCharType="separate"/>
            </w:r>
            <w:r w:rsidR="00E30FBA">
              <w:rPr>
                <w:noProof/>
                <w:webHidden/>
              </w:rPr>
              <w:t>12</w:t>
            </w:r>
            <w:r>
              <w:rPr>
                <w:noProof/>
                <w:webHidden/>
              </w:rPr>
              <w:fldChar w:fldCharType="end"/>
            </w:r>
          </w:hyperlink>
        </w:p>
        <w:p w14:paraId="60F87C8E" w14:textId="352739C6"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200" w:history="1">
            <w:r w:rsidRPr="005768B2">
              <w:rPr>
                <w:rStyle w:val="Hyperlink"/>
                <w:rFonts w:ascii="Arial" w:eastAsia="Arial" w:hAnsi="Arial" w:cs="Arial"/>
                <w:noProof/>
              </w:rPr>
              <w:t>Strategic Direction and Rationale:-</w:t>
            </w:r>
            <w:r>
              <w:rPr>
                <w:noProof/>
                <w:webHidden/>
              </w:rPr>
              <w:tab/>
            </w:r>
            <w:r>
              <w:rPr>
                <w:noProof/>
                <w:webHidden/>
              </w:rPr>
              <w:fldChar w:fldCharType="begin"/>
            </w:r>
            <w:r>
              <w:rPr>
                <w:noProof/>
                <w:webHidden/>
              </w:rPr>
              <w:instrText xml:space="preserve"> PAGEREF _Toc217248200 \h </w:instrText>
            </w:r>
            <w:r>
              <w:rPr>
                <w:noProof/>
                <w:webHidden/>
              </w:rPr>
            </w:r>
            <w:r>
              <w:rPr>
                <w:noProof/>
                <w:webHidden/>
              </w:rPr>
              <w:fldChar w:fldCharType="separate"/>
            </w:r>
            <w:r w:rsidR="00E30FBA">
              <w:rPr>
                <w:noProof/>
                <w:webHidden/>
              </w:rPr>
              <w:t>12</w:t>
            </w:r>
            <w:r>
              <w:rPr>
                <w:noProof/>
                <w:webHidden/>
              </w:rPr>
              <w:fldChar w:fldCharType="end"/>
            </w:r>
          </w:hyperlink>
        </w:p>
        <w:p w14:paraId="37CF42EE" w14:textId="006F526D"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201" w:history="1">
            <w:r w:rsidRPr="005768B2">
              <w:rPr>
                <w:rStyle w:val="Hyperlink"/>
                <w:rFonts w:ascii="Arial" w:eastAsia="Arial" w:hAnsi="Arial" w:cs="Arial"/>
                <w:noProof/>
              </w:rPr>
              <w:t>Market Entry Mode Strategy:-</w:t>
            </w:r>
            <w:r>
              <w:rPr>
                <w:noProof/>
                <w:webHidden/>
              </w:rPr>
              <w:tab/>
            </w:r>
            <w:r>
              <w:rPr>
                <w:noProof/>
                <w:webHidden/>
              </w:rPr>
              <w:fldChar w:fldCharType="begin"/>
            </w:r>
            <w:r>
              <w:rPr>
                <w:noProof/>
                <w:webHidden/>
              </w:rPr>
              <w:instrText xml:space="preserve"> PAGEREF _Toc217248201 \h </w:instrText>
            </w:r>
            <w:r>
              <w:rPr>
                <w:noProof/>
                <w:webHidden/>
              </w:rPr>
            </w:r>
            <w:r>
              <w:rPr>
                <w:noProof/>
                <w:webHidden/>
              </w:rPr>
              <w:fldChar w:fldCharType="separate"/>
            </w:r>
            <w:r w:rsidR="00E30FBA">
              <w:rPr>
                <w:noProof/>
                <w:webHidden/>
              </w:rPr>
              <w:t>13</w:t>
            </w:r>
            <w:r>
              <w:rPr>
                <w:noProof/>
                <w:webHidden/>
              </w:rPr>
              <w:fldChar w:fldCharType="end"/>
            </w:r>
          </w:hyperlink>
        </w:p>
        <w:p w14:paraId="25477B28" w14:textId="76AD0B0D"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202" w:history="1">
            <w:r w:rsidRPr="005768B2">
              <w:rPr>
                <w:rStyle w:val="Hyperlink"/>
                <w:rFonts w:ascii="Arial" w:eastAsia="Arial" w:hAnsi="Arial" w:cs="Arial"/>
                <w:noProof/>
              </w:rPr>
              <w:t>Ansoff Matrix:-</w:t>
            </w:r>
            <w:r>
              <w:rPr>
                <w:noProof/>
                <w:webHidden/>
              </w:rPr>
              <w:tab/>
            </w:r>
            <w:r>
              <w:rPr>
                <w:noProof/>
                <w:webHidden/>
              </w:rPr>
              <w:fldChar w:fldCharType="begin"/>
            </w:r>
            <w:r>
              <w:rPr>
                <w:noProof/>
                <w:webHidden/>
              </w:rPr>
              <w:instrText xml:space="preserve"> PAGEREF _Toc217248202 \h </w:instrText>
            </w:r>
            <w:r>
              <w:rPr>
                <w:noProof/>
                <w:webHidden/>
              </w:rPr>
            </w:r>
            <w:r>
              <w:rPr>
                <w:noProof/>
                <w:webHidden/>
              </w:rPr>
              <w:fldChar w:fldCharType="separate"/>
            </w:r>
            <w:r w:rsidR="00E30FBA">
              <w:rPr>
                <w:noProof/>
                <w:webHidden/>
              </w:rPr>
              <w:t>14</w:t>
            </w:r>
            <w:r>
              <w:rPr>
                <w:noProof/>
                <w:webHidden/>
              </w:rPr>
              <w:fldChar w:fldCharType="end"/>
            </w:r>
          </w:hyperlink>
        </w:p>
        <w:p w14:paraId="424C6714" w14:textId="485C4750"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203" w:history="1">
            <w:r w:rsidRPr="005768B2">
              <w:rPr>
                <w:rStyle w:val="Hyperlink"/>
                <w:rFonts w:ascii="Arial" w:eastAsia="Arial" w:hAnsi="Arial" w:cs="Arial"/>
                <w:noProof/>
              </w:rPr>
              <w:t>Competitive positioning: Porter’s Generic Strategies:-</w:t>
            </w:r>
            <w:r>
              <w:rPr>
                <w:noProof/>
                <w:webHidden/>
              </w:rPr>
              <w:tab/>
            </w:r>
            <w:r>
              <w:rPr>
                <w:noProof/>
                <w:webHidden/>
              </w:rPr>
              <w:fldChar w:fldCharType="begin"/>
            </w:r>
            <w:r>
              <w:rPr>
                <w:noProof/>
                <w:webHidden/>
              </w:rPr>
              <w:instrText xml:space="preserve"> PAGEREF _Toc217248203 \h </w:instrText>
            </w:r>
            <w:r>
              <w:rPr>
                <w:noProof/>
                <w:webHidden/>
              </w:rPr>
            </w:r>
            <w:r>
              <w:rPr>
                <w:noProof/>
                <w:webHidden/>
              </w:rPr>
              <w:fldChar w:fldCharType="separate"/>
            </w:r>
            <w:r w:rsidR="00E30FBA">
              <w:rPr>
                <w:noProof/>
                <w:webHidden/>
              </w:rPr>
              <w:t>15</w:t>
            </w:r>
            <w:r>
              <w:rPr>
                <w:noProof/>
                <w:webHidden/>
              </w:rPr>
              <w:fldChar w:fldCharType="end"/>
            </w:r>
          </w:hyperlink>
        </w:p>
        <w:p w14:paraId="081B30ED" w14:textId="0F812DF1"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204" w:history="1">
            <w:r w:rsidRPr="005768B2">
              <w:rPr>
                <w:rStyle w:val="Hyperlink"/>
                <w:rFonts w:ascii="Arial" w:eastAsia="Arial" w:hAnsi="Arial" w:cs="Arial"/>
                <w:noProof/>
              </w:rPr>
              <w:t>Strategic Fit and Capability Assessment: VRIO Framework:-</w:t>
            </w:r>
            <w:r>
              <w:rPr>
                <w:noProof/>
                <w:webHidden/>
              </w:rPr>
              <w:tab/>
            </w:r>
            <w:r>
              <w:rPr>
                <w:noProof/>
                <w:webHidden/>
              </w:rPr>
              <w:fldChar w:fldCharType="begin"/>
            </w:r>
            <w:r>
              <w:rPr>
                <w:noProof/>
                <w:webHidden/>
              </w:rPr>
              <w:instrText xml:space="preserve"> PAGEREF _Toc217248204 \h </w:instrText>
            </w:r>
            <w:r>
              <w:rPr>
                <w:noProof/>
                <w:webHidden/>
              </w:rPr>
            </w:r>
            <w:r>
              <w:rPr>
                <w:noProof/>
                <w:webHidden/>
              </w:rPr>
              <w:fldChar w:fldCharType="separate"/>
            </w:r>
            <w:r w:rsidR="00E30FBA">
              <w:rPr>
                <w:noProof/>
                <w:webHidden/>
              </w:rPr>
              <w:t>16</w:t>
            </w:r>
            <w:r>
              <w:rPr>
                <w:noProof/>
                <w:webHidden/>
              </w:rPr>
              <w:fldChar w:fldCharType="end"/>
            </w:r>
          </w:hyperlink>
        </w:p>
        <w:p w14:paraId="1630B297" w14:textId="5B801D2B"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205" w:history="1">
            <w:r w:rsidRPr="005768B2">
              <w:rPr>
                <w:rStyle w:val="Hyperlink"/>
                <w:rFonts w:ascii="Arial" w:eastAsia="Arial" w:hAnsi="Arial" w:cs="Arial"/>
                <w:noProof/>
              </w:rPr>
              <w:t>Strategy Implementation Components:-</w:t>
            </w:r>
            <w:r>
              <w:rPr>
                <w:noProof/>
                <w:webHidden/>
              </w:rPr>
              <w:tab/>
            </w:r>
            <w:r>
              <w:rPr>
                <w:noProof/>
                <w:webHidden/>
              </w:rPr>
              <w:fldChar w:fldCharType="begin"/>
            </w:r>
            <w:r>
              <w:rPr>
                <w:noProof/>
                <w:webHidden/>
              </w:rPr>
              <w:instrText xml:space="preserve"> PAGEREF _Toc217248205 \h </w:instrText>
            </w:r>
            <w:r>
              <w:rPr>
                <w:noProof/>
                <w:webHidden/>
              </w:rPr>
            </w:r>
            <w:r>
              <w:rPr>
                <w:noProof/>
                <w:webHidden/>
              </w:rPr>
              <w:fldChar w:fldCharType="separate"/>
            </w:r>
            <w:r w:rsidR="00E30FBA">
              <w:rPr>
                <w:noProof/>
                <w:webHidden/>
              </w:rPr>
              <w:t>17</w:t>
            </w:r>
            <w:r>
              <w:rPr>
                <w:noProof/>
                <w:webHidden/>
              </w:rPr>
              <w:fldChar w:fldCharType="end"/>
            </w:r>
          </w:hyperlink>
        </w:p>
        <w:p w14:paraId="65401110" w14:textId="5D8D6CAF"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206" w:history="1">
            <w:r w:rsidRPr="005768B2">
              <w:rPr>
                <w:rStyle w:val="Hyperlink"/>
                <w:rFonts w:ascii="Arial" w:eastAsia="Arial" w:hAnsi="Arial" w:cs="Arial"/>
                <w:noProof/>
              </w:rPr>
              <w:t>Risk analysis and mitigation:-</w:t>
            </w:r>
            <w:r>
              <w:rPr>
                <w:noProof/>
                <w:webHidden/>
              </w:rPr>
              <w:tab/>
            </w:r>
            <w:r>
              <w:rPr>
                <w:noProof/>
                <w:webHidden/>
              </w:rPr>
              <w:fldChar w:fldCharType="begin"/>
            </w:r>
            <w:r>
              <w:rPr>
                <w:noProof/>
                <w:webHidden/>
              </w:rPr>
              <w:instrText xml:space="preserve"> PAGEREF _Toc217248206 \h </w:instrText>
            </w:r>
            <w:r>
              <w:rPr>
                <w:noProof/>
                <w:webHidden/>
              </w:rPr>
            </w:r>
            <w:r>
              <w:rPr>
                <w:noProof/>
                <w:webHidden/>
              </w:rPr>
              <w:fldChar w:fldCharType="separate"/>
            </w:r>
            <w:r w:rsidR="00E30FBA">
              <w:rPr>
                <w:noProof/>
                <w:webHidden/>
              </w:rPr>
              <w:t>18</w:t>
            </w:r>
            <w:r>
              <w:rPr>
                <w:noProof/>
                <w:webHidden/>
              </w:rPr>
              <w:fldChar w:fldCharType="end"/>
            </w:r>
          </w:hyperlink>
        </w:p>
        <w:p w14:paraId="65DB7438" w14:textId="3A3ED522" w:rsidR="00EF7D90" w:rsidRDefault="00EF7D90">
          <w:pPr>
            <w:pStyle w:val="TOC1"/>
            <w:tabs>
              <w:tab w:val="right" w:leader="dot" w:pos="9350"/>
            </w:tabs>
            <w:rPr>
              <w:rFonts w:eastAsiaTheme="minorEastAsia" w:cstheme="minorBidi"/>
              <w:b w:val="0"/>
              <w:bCs w:val="0"/>
              <w:i w:val="0"/>
              <w:iCs w:val="0"/>
              <w:noProof/>
              <w:sz w:val="22"/>
              <w:szCs w:val="22"/>
              <w:highlight w:val="none"/>
              <w:lang w:val="en-IN" w:eastAsia="en-IN"/>
            </w:rPr>
          </w:pPr>
          <w:hyperlink w:anchor="_Toc217248207" w:history="1">
            <w:r w:rsidRPr="005768B2">
              <w:rPr>
                <w:rStyle w:val="Hyperlink"/>
                <w:rFonts w:ascii="Arial" w:eastAsia="Arial" w:hAnsi="Arial" w:cs="Arial"/>
                <w:noProof/>
              </w:rPr>
              <w:t>4. Balanced Scorecard and advanced Triple Bottom Line identifying KPIs and success metrics:-</w:t>
            </w:r>
            <w:r>
              <w:rPr>
                <w:noProof/>
                <w:webHidden/>
              </w:rPr>
              <w:tab/>
            </w:r>
            <w:r>
              <w:rPr>
                <w:noProof/>
                <w:webHidden/>
              </w:rPr>
              <w:fldChar w:fldCharType="begin"/>
            </w:r>
            <w:r>
              <w:rPr>
                <w:noProof/>
                <w:webHidden/>
              </w:rPr>
              <w:instrText xml:space="preserve"> PAGEREF _Toc217248207 \h </w:instrText>
            </w:r>
            <w:r>
              <w:rPr>
                <w:noProof/>
                <w:webHidden/>
              </w:rPr>
            </w:r>
            <w:r>
              <w:rPr>
                <w:noProof/>
                <w:webHidden/>
              </w:rPr>
              <w:fldChar w:fldCharType="separate"/>
            </w:r>
            <w:r w:rsidR="00E30FBA">
              <w:rPr>
                <w:noProof/>
                <w:webHidden/>
              </w:rPr>
              <w:t>22</w:t>
            </w:r>
            <w:r>
              <w:rPr>
                <w:noProof/>
                <w:webHidden/>
              </w:rPr>
              <w:fldChar w:fldCharType="end"/>
            </w:r>
          </w:hyperlink>
        </w:p>
        <w:p w14:paraId="2F066747" w14:textId="20BFD725"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208" w:history="1">
            <w:r w:rsidRPr="005768B2">
              <w:rPr>
                <w:rStyle w:val="Hyperlink"/>
                <w:rFonts w:ascii="Arial" w:eastAsia="Arial" w:hAnsi="Arial" w:cs="Arial"/>
                <w:noProof/>
              </w:rPr>
              <w:t>Balanced Scorecard framework:-</w:t>
            </w:r>
            <w:r>
              <w:rPr>
                <w:noProof/>
                <w:webHidden/>
              </w:rPr>
              <w:tab/>
            </w:r>
            <w:r>
              <w:rPr>
                <w:noProof/>
                <w:webHidden/>
              </w:rPr>
              <w:fldChar w:fldCharType="begin"/>
            </w:r>
            <w:r>
              <w:rPr>
                <w:noProof/>
                <w:webHidden/>
              </w:rPr>
              <w:instrText xml:space="preserve"> PAGEREF _Toc217248208 \h </w:instrText>
            </w:r>
            <w:r>
              <w:rPr>
                <w:noProof/>
                <w:webHidden/>
              </w:rPr>
            </w:r>
            <w:r>
              <w:rPr>
                <w:noProof/>
                <w:webHidden/>
              </w:rPr>
              <w:fldChar w:fldCharType="separate"/>
            </w:r>
            <w:r w:rsidR="00E30FBA">
              <w:rPr>
                <w:noProof/>
                <w:webHidden/>
              </w:rPr>
              <w:t>22</w:t>
            </w:r>
            <w:r>
              <w:rPr>
                <w:noProof/>
                <w:webHidden/>
              </w:rPr>
              <w:fldChar w:fldCharType="end"/>
            </w:r>
          </w:hyperlink>
        </w:p>
        <w:p w14:paraId="23B4EDF4" w14:textId="67FD76EE" w:rsidR="00EF7D90" w:rsidRDefault="00EF7D90">
          <w:pPr>
            <w:pStyle w:val="TOC2"/>
            <w:tabs>
              <w:tab w:val="right" w:leader="dot" w:pos="9350"/>
            </w:tabs>
            <w:rPr>
              <w:rFonts w:eastAsiaTheme="minorEastAsia" w:cstheme="minorBidi"/>
              <w:b w:val="0"/>
              <w:bCs w:val="0"/>
              <w:noProof/>
              <w:highlight w:val="none"/>
              <w:lang w:val="en-IN" w:eastAsia="en-IN"/>
            </w:rPr>
          </w:pPr>
          <w:hyperlink w:anchor="_Toc217248209" w:history="1">
            <w:r w:rsidRPr="005768B2">
              <w:rPr>
                <w:rStyle w:val="Hyperlink"/>
                <w:rFonts w:ascii="Arial" w:eastAsia="Arial" w:hAnsi="Arial" w:cs="Arial"/>
                <w:noProof/>
              </w:rPr>
              <w:t>Triple Bottom Line (TBL) Integration:-</w:t>
            </w:r>
            <w:r>
              <w:rPr>
                <w:noProof/>
                <w:webHidden/>
              </w:rPr>
              <w:tab/>
            </w:r>
            <w:r>
              <w:rPr>
                <w:noProof/>
                <w:webHidden/>
              </w:rPr>
              <w:fldChar w:fldCharType="begin"/>
            </w:r>
            <w:r>
              <w:rPr>
                <w:noProof/>
                <w:webHidden/>
              </w:rPr>
              <w:instrText xml:space="preserve"> PAGEREF _Toc217248209 \h </w:instrText>
            </w:r>
            <w:r>
              <w:rPr>
                <w:noProof/>
                <w:webHidden/>
              </w:rPr>
            </w:r>
            <w:r>
              <w:rPr>
                <w:noProof/>
                <w:webHidden/>
              </w:rPr>
              <w:fldChar w:fldCharType="separate"/>
            </w:r>
            <w:r w:rsidR="00E30FBA">
              <w:rPr>
                <w:noProof/>
                <w:webHidden/>
              </w:rPr>
              <w:t>23</w:t>
            </w:r>
            <w:r>
              <w:rPr>
                <w:noProof/>
                <w:webHidden/>
              </w:rPr>
              <w:fldChar w:fldCharType="end"/>
            </w:r>
          </w:hyperlink>
        </w:p>
        <w:p w14:paraId="6F197757" w14:textId="7FE8B036" w:rsidR="00EF7D90" w:rsidRDefault="00EF7D90">
          <w:pPr>
            <w:pStyle w:val="TOC1"/>
            <w:tabs>
              <w:tab w:val="right" w:leader="dot" w:pos="9350"/>
            </w:tabs>
            <w:rPr>
              <w:rFonts w:eastAsiaTheme="minorEastAsia" w:cstheme="minorBidi"/>
              <w:b w:val="0"/>
              <w:bCs w:val="0"/>
              <w:i w:val="0"/>
              <w:iCs w:val="0"/>
              <w:noProof/>
              <w:sz w:val="22"/>
              <w:szCs w:val="22"/>
              <w:highlight w:val="none"/>
              <w:lang w:val="en-IN" w:eastAsia="en-IN"/>
            </w:rPr>
          </w:pPr>
          <w:hyperlink w:anchor="_Toc217248210" w:history="1">
            <w:r w:rsidRPr="005768B2">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_Toc217248210 \h </w:instrText>
            </w:r>
            <w:r>
              <w:rPr>
                <w:noProof/>
                <w:webHidden/>
              </w:rPr>
            </w:r>
            <w:r>
              <w:rPr>
                <w:noProof/>
                <w:webHidden/>
              </w:rPr>
              <w:fldChar w:fldCharType="separate"/>
            </w:r>
            <w:r w:rsidR="00E30FBA">
              <w:rPr>
                <w:noProof/>
                <w:webHidden/>
              </w:rPr>
              <w:t>26</w:t>
            </w:r>
            <w:r>
              <w:rPr>
                <w:noProof/>
                <w:webHidden/>
              </w:rPr>
              <w:fldChar w:fldCharType="end"/>
            </w:r>
          </w:hyperlink>
        </w:p>
        <w:p w14:paraId="3F042C4E" w14:textId="17DF8EA0" w:rsidR="00EF7D90" w:rsidRDefault="00EF7D90">
          <w:pPr>
            <w:pStyle w:val="TOC1"/>
            <w:tabs>
              <w:tab w:val="right" w:leader="dot" w:pos="9350"/>
            </w:tabs>
            <w:rPr>
              <w:rFonts w:eastAsiaTheme="minorEastAsia" w:cstheme="minorBidi"/>
              <w:b w:val="0"/>
              <w:bCs w:val="0"/>
              <w:i w:val="0"/>
              <w:iCs w:val="0"/>
              <w:noProof/>
              <w:sz w:val="22"/>
              <w:szCs w:val="22"/>
              <w:highlight w:val="none"/>
              <w:lang w:val="en-IN" w:eastAsia="en-IN"/>
            </w:rPr>
          </w:pPr>
          <w:hyperlink w:anchor="_Toc217248211" w:history="1">
            <w:r w:rsidRPr="005768B2">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_Toc217248211 \h </w:instrText>
            </w:r>
            <w:r>
              <w:rPr>
                <w:noProof/>
                <w:webHidden/>
              </w:rPr>
            </w:r>
            <w:r>
              <w:rPr>
                <w:noProof/>
                <w:webHidden/>
              </w:rPr>
              <w:fldChar w:fldCharType="separate"/>
            </w:r>
            <w:r w:rsidR="00E30FBA">
              <w:rPr>
                <w:noProof/>
                <w:webHidden/>
              </w:rPr>
              <w:t>27</w:t>
            </w:r>
            <w:r>
              <w:rPr>
                <w:noProof/>
                <w:webHidden/>
              </w:rPr>
              <w:fldChar w:fldCharType="end"/>
            </w:r>
          </w:hyperlink>
        </w:p>
        <w:p w14:paraId="1E24952A" w14:textId="289D78CC" w:rsidR="00EF7D90" w:rsidRDefault="00EF7D90">
          <w:pPr>
            <w:pStyle w:val="TOC1"/>
            <w:tabs>
              <w:tab w:val="right" w:leader="dot" w:pos="9350"/>
            </w:tabs>
            <w:rPr>
              <w:rFonts w:eastAsiaTheme="minorEastAsia" w:cstheme="minorBidi"/>
              <w:b w:val="0"/>
              <w:bCs w:val="0"/>
              <w:i w:val="0"/>
              <w:iCs w:val="0"/>
              <w:noProof/>
              <w:sz w:val="22"/>
              <w:szCs w:val="22"/>
              <w:highlight w:val="none"/>
              <w:lang w:val="en-IN" w:eastAsia="en-IN"/>
            </w:rPr>
          </w:pPr>
          <w:hyperlink w:anchor="_Toc217248212" w:history="1">
            <w:r w:rsidRPr="005768B2">
              <w:rPr>
                <w:rStyle w:val="Hyperlink"/>
                <w:rFonts w:ascii="Arial" w:eastAsia="Arial" w:hAnsi="Arial" w:cs="Arial"/>
                <w:noProof/>
              </w:rPr>
              <w:t>Appendix: PESTLE Analysis</w:t>
            </w:r>
            <w:r>
              <w:rPr>
                <w:noProof/>
                <w:webHidden/>
              </w:rPr>
              <w:tab/>
            </w:r>
            <w:r>
              <w:rPr>
                <w:noProof/>
                <w:webHidden/>
              </w:rPr>
              <w:fldChar w:fldCharType="begin"/>
            </w:r>
            <w:r>
              <w:rPr>
                <w:noProof/>
                <w:webHidden/>
              </w:rPr>
              <w:instrText xml:space="preserve"> PAGEREF _Toc217248212 \h </w:instrText>
            </w:r>
            <w:r>
              <w:rPr>
                <w:noProof/>
                <w:webHidden/>
              </w:rPr>
            </w:r>
            <w:r>
              <w:rPr>
                <w:noProof/>
                <w:webHidden/>
              </w:rPr>
              <w:fldChar w:fldCharType="separate"/>
            </w:r>
            <w:r w:rsidR="00E30FBA">
              <w:rPr>
                <w:noProof/>
                <w:webHidden/>
              </w:rPr>
              <w:t>33</w:t>
            </w:r>
            <w:r>
              <w:rPr>
                <w:noProof/>
                <w:webHidden/>
              </w:rPr>
              <w:fldChar w:fldCharType="end"/>
            </w:r>
          </w:hyperlink>
        </w:p>
        <w:p w14:paraId="61DF5F6E" w14:textId="7C7B2427" w:rsidR="00901A3E" w:rsidRPr="00A11799" w:rsidRDefault="00901A3E" w:rsidP="00901A3E">
          <w:pPr>
            <w:rPr>
              <w:rFonts w:ascii="Arial" w:hAnsi="Arial" w:cs="Arial"/>
            </w:rPr>
          </w:pPr>
          <w:r w:rsidRPr="00A11799">
            <w:rPr>
              <w:rFonts w:ascii="Arial" w:hAnsi="Arial" w:cs="Arial"/>
              <w:b/>
              <w:bCs/>
              <w:noProof/>
            </w:rPr>
            <w:lastRenderedPageBreak/>
            <w:fldChar w:fldCharType="end"/>
          </w:r>
        </w:p>
      </w:sdtContent>
    </w:sdt>
    <w:p w14:paraId="515CE8AF" w14:textId="465A8500" w:rsidR="00901A3E" w:rsidRPr="00A11799" w:rsidRDefault="00901A3E" w:rsidP="00901A3E">
      <w:pPr>
        <w:pStyle w:val="Heading1"/>
        <w:rPr>
          <w:rFonts w:ascii="Arial" w:eastAsia="Arial" w:hAnsi="Arial" w:cs="Arial"/>
        </w:rPr>
      </w:pPr>
      <w:bookmarkStart w:id="0" w:name="_Toc217248190"/>
      <w:r w:rsidRPr="00A11799">
        <w:rPr>
          <w:rFonts w:ascii="Arial" w:eastAsia="Arial" w:hAnsi="Arial" w:cs="Arial"/>
        </w:rPr>
        <w:t>Introduction</w:t>
      </w:r>
      <w:r>
        <w:rPr>
          <w:rFonts w:ascii="Arial" w:eastAsia="Arial" w:hAnsi="Arial" w:cs="Arial"/>
        </w:rPr>
        <w:t>:-</w:t>
      </w:r>
      <w:bookmarkEnd w:id="0"/>
    </w:p>
    <w:p w14:paraId="745766B9" w14:textId="55671C66" w:rsidR="00901A3E" w:rsidRDefault="00901A3E" w:rsidP="00901A3E">
      <w:pPr>
        <w:rPr>
          <w:rFonts w:ascii="Arial" w:eastAsia="Arial" w:hAnsi="Arial" w:cs="Arial"/>
        </w:rPr>
      </w:pPr>
      <w:r w:rsidRPr="00A11799">
        <w:rPr>
          <w:rFonts w:ascii="Arial" w:eastAsia="Arial" w:hAnsi="Arial" w:cs="Arial"/>
        </w:rPr>
        <w:t xml:space="preserve">The analytical report forms an organisational expansion plan through the lens of strategic frameworks. In this report, Tesla </w:t>
      </w:r>
      <w:proofErr w:type="gramStart"/>
      <w:r w:rsidRPr="00A11799">
        <w:rPr>
          <w:rFonts w:ascii="Arial" w:eastAsia="Arial" w:hAnsi="Arial" w:cs="Arial"/>
        </w:rPr>
        <w:t>is chosen</w:t>
      </w:r>
      <w:proofErr w:type="gramEnd"/>
      <w:r w:rsidRPr="00A11799">
        <w:rPr>
          <w:rFonts w:ascii="Arial" w:eastAsia="Arial" w:hAnsi="Arial" w:cs="Arial"/>
        </w:rPr>
        <w:t xml:space="preserve"> and the </w:t>
      </w:r>
      <w:r w:rsidRPr="00A70440">
        <w:rPr>
          <w:rFonts w:ascii="Arial" w:eastAsia="Arial" w:hAnsi="Arial" w:cs="Arial"/>
        </w:rPr>
        <w:t>Brazil</w:t>
      </w:r>
      <w:r w:rsidRPr="00A11799">
        <w:rPr>
          <w:rFonts w:ascii="Arial" w:eastAsia="Arial" w:hAnsi="Arial" w:cs="Arial"/>
        </w:rPr>
        <w:t xml:space="preserve"> market </w:t>
      </w:r>
      <w:proofErr w:type="gramStart"/>
      <w:r w:rsidRPr="00A11799">
        <w:rPr>
          <w:rFonts w:ascii="Arial" w:eastAsia="Arial" w:hAnsi="Arial" w:cs="Arial"/>
        </w:rPr>
        <w:t>is chosen</w:t>
      </w:r>
      <w:proofErr w:type="gramEnd"/>
      <w:r w:rsidRPr="00A11799">
        <w:rPr>
          <w:rFonts w:ascii="Arial" w:eastAsia="Arial" w:hAnsi="Arial" w:cs="Arial"/>
        </w:rPr>
        <w:t xml:space="preserve"> as the company and the target market. As suggested by Reddy (2025), the car manufacturer acquired 7.4% of the all-electric vehicle market with 201,773 sales. 40.6% of Model Y deliveries came from China compared to 34.8% from the US. Tesla reported quarterly revenue of USD 28.1 billion in Q3 2025, a 12% year-over-year increase. Tesla is involved in the production of automobiles, solar products, energy storage, and the Model S, 3, X, and Y. Additionally, the car giant has several business segments such as automotive, energy generation, storage that includes solar panel integration and others. Tesla operates in </w:t>
      </w:r>
      <w:proofErr w:type="gramStart"/>
      <w:r w:rsidRPr="00A11799">
        <w:rPr>
          <w:rFonts w:ascii="Arial" w:eastAsia="Arial" w:hAnsi="Arial" w:cs="Arial"/>
        </w:rPr>
        <w:t>several</w:t>
      </w:r>
      <w:proofErr w:type="gramEnd"/>
      <w:r w:rsidRPr="00A11799">
        <w:rPr>
          <w:rFonts w:ascii="Arial" w:eastAsia="Arial" w:hAnsi="Arial" w:cs="Arial"/>
        </w:rPr>
        <w:t xml:space="preserve"> countries such as China, United States, United Kingdom, Europe, North America, Korea, Thailand, United Arab </w:t>
      </w:r>
      <w:proofErr w:type="gramStart"/>
      <w:r w:rsidRPr="00A11799">
        <w:rPr>
          <w:rFonts w:ascii="Arial" w:eastAsia="Arial" w:hAnsi="Arial" w:cs="Arial"/>
        </w:rPr>
        <w:t>Emirates</w:t>
      </w:r>
      <w:proofErr w:type="gramEnd"/>
      <w:r w:rsidRPr="00A11799">
        <w:rPr>
          <w:rFonts w:ascii="Arial" w:eastAsia="Arial" w:hAnsi="Arial" w:cs="Arial"/>
        </w:rPr>
        <w:t xml:space="preserve"> and others (Guardian, 2025). </w:t>
      </w:r>
    </w:p>
    <w:p w14:paraId="6FB95FC0" w14:textId="77777777" w:rsidR="00EF7D90" w:rsidRPr="00A11799" w:rsidRDefault="00EF7D90" w:rsidP="00901A3E">
      <w:pPr>
        <w:rPr>
          <w:rFonts w:ascii="Arial" w:eastAsia="Arial" w:hAnsi="Arial" w:cs="Arial"/>
          <w:b/>
          <w:bCs/>
        </w:rPr>
      </w:pPr>
    </w:p>
    <w:p w14:paraId="580CCFA6" w14:textId="23850974" w:rsidR="00901A3E" w:rsidRPr="00A11799" w:rsidRDefault="00901A3E" w:rsidP="00901A3E">
      <w:pPr>
        <w:pStyle w:val="Heading1"/>
        <w:rPr>
          <w:rFonts w:ascii="Arial" w:eastAsia="Arial" w:hAnsi="Arial" w:cs="Arial"/>
        </w:rPr>
      </w:pPr>
      <w:bookmarkStart w:id="1" w:name="_Toc217248191"/>
      <w:r w:rsidRPr="00A11799">
        <w:rPr>
          <w:rFonts w:ascii="Arial" w:eastAsia="Arial" w:hAnsi="Arial" w:cs="Arial"/>
        </w:rPr>
        <w:t>1. Selection of Organisation and Target Market</w:t>
      </w:r>
      <w:r>
        <w:rPr>
          <w:rFonts w:ascii="Arial" w:eastAsia="Arial" w:hAnsi="Arial" w:cs="Arial"/>
        </w:rPr>
        <w:t>:-</w:t>
      </w:r>
      <w:bookmarkEnd w:id="1"/>
    </w:p>
    <w:p w14:paraId="7E870AA9" w14:textId="3580E01F" w:rsidR="00901A3E" w:rsidRPr="00A11799" w:rsidRDefault="00901A3E" w:rsidP="00901A3E">
      <w:pPr>
        <w:pStyle w:val="Heading2"/>
        <w:rPr>
          <w:rFonts w:ascii="Arial" w:eastAsia="Arial" w:hAnsi="Arial" w:cs="Arial"/>
        </w:rPr>
      </w:pPr>
      <w:bookmarkStart w:id="2" w:name="_heading=h.vwlnyt4sthmo" w:colFirst="0" w:colLast="0"/>
      <w:bookmarkStart w:id="3" w:name="_Toc217248192"/>
      <w:bookmarkEnd w:id="2"/>
      <w:r w:rsidRPr="00A11799">
        <w:rPr>
          <w:rFonts w:ascii="Arial" w:eastAsia="Arial" w:hAnsi="Arial" w:cs="Arial"/>
        </w:rPr>
        <w:t>The chosen organisation</w:t>
      </w:r>
      <w:r w:rsidR="000A2DDC">
        <w:rPr>
          <w:rFonts w:ascii="Arial" w:eastAsia="Arial" w:hAnsi="Arial" w:cs="Arial"/>
        </w:rPr>
        <w:t>:-</w:t>
      </w:r>
      <w:bookmarkEnd w:id="3"/>
    </w:p>
    <w:p w14:paraId="1DB10329" w14:textId="77777777" w:rsidR="00901A3E" w:rsidRPr="00A11799" w:rsidRDefault="00901A3E" w:rsidP="00901A3E">
      <w:pPr>
        <w:rPr>
          <w:rFonts w:ascii="Arial" w:eastAsia="Arial" w:hAnsi="Arial" w:cs="Arial"/>
        </w:rPr>
      </w:pPr>
      <w:bookmarkStart w:id="4" w:name="_heading=h.cghxzbpugecm" w:colFirst="0" w:colLast="0"/>
      <w:bookmarkEnd w:id="4"/>
      <w:r w:rsidRPr="00A11799">
        <w:rPr>
          <w:rFonts w:ascii="Arial" w:eastAsia="Arial" w:hAnsi="Arial" w:cs="Arial"/>
        </w:rPr>
        <w:t xml:space="preserve">Tesla Inc. is an electric vehicle (EV) and clean energy company based in the United States, established in 2003 by Martin Eberhard and Marc Tarpenning, and </w:t>
      </w:r>
      <w:proofErr w:type="gramStart"/>
      <w:r w:rsidRPr="00A11799">
        <w:rPr>
          <w:rFonts w:ascii="Arial" w:eastAsia="Arial" w:hAnsi="Arial" w:cs="Arial"/>
        </w:rPr>
        <w:t>later on</w:t>
      </w:r>
      <w:proofErr w:type="gramEnd"/>
      <w:r w:rsidRPr="00A11799">
        <w:rPr>
          <w:rFonts w:ascii="Arial" w:eastAsia="Arial" w:hAnsi="Arial" w:cs="Arial"/>
        </w:rPr>
        <w:t xml:space="preserve"> Elon Musk joined. In the view of Reddy (2025), in Q3 2025, Tesla recorded quarterly revenue of </w:t>
      </w:r>
      <w:r w:rsidRPr="00A11799">
        <w:rPr>
          <w:rFonts w:ascii="Arial" w:eastAsia="Arial" w:hAnsi="Arial" w:cs="Arial"/>
          <w:i/>
          <w:iCs/>
        </w:rPr>
        <w:t>USD 28.1 billion</w:t>
      </w:r>
      <w:r w:rsidRPr="00A11799">
        <w:rPr>
          <w:rFonts w:ascii="Arial" w:eastAsia="Arial" w:hAnsi="Arial" w:cs="Arial"/>
        </w:rPr>
        <w:t xml:space="preserve">, which has increased by 12 percent year on year. Tesla operates in the automotive manufacturing, Model S, 3, X, Y, energy storage, and solar products business. It has a reputation for battery technology innovation, autonomous </w:t>
      </w:r>
      <w:proofErr w:type="gramStart"/>
      <w:r w:rsidRPr="00A11799">
        <w:rPr>
          <w:rFonts w:ascii="Arial" w:eastAsia="Arial" w:hAnsi="Arial" w:cs="Arial"/>
        </w:rPr>
        <w:t>driving</w:t>
      </w:r>
      <w:proofErr w:type="gramEnd"/>
      <w:r w:rsidRPr="00A11799">
        <w:rPr>
          <w:rFonts w:ascii="Arial" w:eastAsia="Arial" w:hAnsi="Arial" w:cs="Arial"/>
        </w:rPr>
        <w:t xml:space="preserve"> and sustainable transport. </w:t>
      </w:r>
    </w:p>
    <w:p w14:paraId="2AD308D9" w14:textId="4F0F8E8D" w:rsidR="00901A3E" w:rsidRPr="00A11799" w:rsidRDefault="00901A3E" w:rsidP="00901A3E">
      <w:pPr>
        <w:pStyle w:val="Heading2"/>
        <w:rPr>
          <w:rFonts w:ascii="Arial" w:eastAsia="Arial" w:hAnsi="Arial" w:cs="Arial"/>
        </w:rPr>
      </w:pPr>
      <w:bookmarkStart w:id="5" w:name="_heading=h.8lwvzzuzlg1w" w:colFirst="0" w:colLast="0"/>
      <w:bookmarkStart w:id="6" w:name="_Toc217248193"/>
      <w:bookmarkEnd w:id="5"/>
      <w:r w:rsidRPr="00A11799">
        <w:rPr>
          <w:rFonts w:ascii="Arial" w:eastAsia="Arial" w:hAnsi="Arial" w:cs="Arial"/>
        </w:rPr>
        <w:t>Target Market</w:t>
      </w:r>
      <w:r w:rsidR="000A2DDC">
        <w:rPr>
          <w:rFonts w:ascii="Arial" w:eastAsia="Arial" w:hAnsi="Arial" w:cs="Arial"/>
        </w:rPr>
        <w:t>:-</w:t>
      </w:r>
      <w:bookmarkEnd w:id="6"/>
    </w:p>
    <w:p w14:paraId="7D073536" w14:textId="77777777" w:rsidR="00901A3E" w:rsidRPr="00A11799" w:rsidRDefault="00901A3E" w:rsidP="00901A3E">
      <w:pPr>
        <w:rPr>
          <w:rFonts w:ascii="Arial" w:eastAsia="Arial" w:hAnsi="Arial" w:cs="Arial"/>
        </w:rPr>
      </w:pPr>
      <w:r w:rsidRPr="00A11799">
        <w:rPr>
          <w:rFonts w:ascii="Arial" w:eastAsia="Arial" w:hAnsi="Arial" w:cs="Arial"/>
        </w:rPr>
        <w:t xml:space="preserve">The automobile market of </w:t>
      </w:r>
      <w:r w:rsidRPr="000A2DDC">
        <w:rPr>
          <w:rFonts w:ascii="Arial" w:eastAsia="Arial" w:hAnsi="Arial" w:cs="Arial"/>
          <w:u w:val="single"/>
        </w:rPr>
        <w:t>Brazil</w:t>
      </w:r>
      <w:r w:rsidRPr="00A11799">
        <w:rPr>
          <w:rFonts w:ascii="Arial" w:eastAsia="Arial" w:hAnsi="Arial" w:cs="Arial"/>
        </w:rPr>
        <w:t xml:space="preserve"> is one of the largest in the world since it sells more than two million vehicles each year. Policy incentives, tax cuts on EVs and increased consumer interest in green mobility are driving the electric vehicle (EV) industry in the UAE, which </w:t>
      </w:r>
      <w:proofErr w:type="gramStart"/>
      <w:r w:rsidRPr="00A11799">
        <w:rPr>
          <w:rFonts w:ascii="Arial" w:eastAsia="Arial" w:hAnsi="Arial" w:cs="Arial"/>
        </w:rPr>
        <w:t>is not developed</w:t>
      </w:r>
      <w:proofErr w:type="gramEnd"/>
      <w:r w:rsidRPr="00A11799">
        <w:rPr>
          <w:rFonts w:ascii="Arial" w:eastAsia="Arial" w:hAnsi="Arial" w:cs="Arial"/>
        </w:rPr>
        <w:t xml:space="preserve"> as in Europe, China, or North America. Tesla can capitalise on such a new need through early entry and influencing market perceptions </w:t>
      </w:r>
      <w:proofErr w:type="gramStart"/>
      <w:r w:rsidRPr="00A11799">
        <w:rPr>
          <w:rFonts w:ascii="Arial" w:eastAsia="Arial" w:hAnsi="Arial" w:cs="Arial"/>
        </w:rPr>
        <w:t xml:space="preserve">with regard </w:t>
      </w:r>
      <w:r w:rsidRPr="00A11799">
        <w:rPr>
          <w:rFonts w:ascii="Arial" w:eastAsia="Arial" w:hAnsi="Arial" w:cs="Arial"/>
        </w:rPr>
        <w:lastRenderedPageBreak/>
        <w:t>to</w:t>
      </w:r>
      <w:proofErr w:type="gramEnd"/>
      <w:r w:rsidRPr="00A11799">
        <w:rPr>
          <w:rFonts w:ascii="Arial" w:eastAsia="Arial" w:hAnsi="Arial" w:cs="Arial"/>
        </w:rPr>
        <w:t xml:space="preserve"> high-end technology and infrastructure in electric vehicles (Guardian, 2025). Sriram and Roy (2025) stated that Tesla claimed that it had made deliveries of 497,099 cars in the third quarter, which was 7.4 % higher than deliveries made in the third quarter a year before. </w:t>
      </w:r>
    </w:p>
    <w:p w14:paraId="1891444B" w14:textId="77777777" w:rsidR="00901A3E" w:rsidRPr="00A11799" w:rsidRDefault="00901A3E" w:rsidP="00901A3E">
      <w:pPr>
        <w:rPr>
          <w:rFonts w:ascii="Arial" w:eastAsia="Arial" w:hAnsi="Arial" w:cs="Arial"/>
        </w:rPr>
      </w:pPr>
      <w:r w:rsidRPr="00A11799">
        <w:rPr>
          <w:rFonts w:ascii="Arial" w:eastAsia="Arial" w:hAnsi="Arial" w:cs="Arial"/>
        </w:rPr>
        <w:t xml:space="preserve">It also shipped 481,166 of its Model 3 compact sedan and Model Y crossover in the September quarter (Guardian, 2025). The automaker will declare quarterly outcomes on 22 October. Investment research firm Visible Alpha forecasts that the annual 2025 deliveries will be approximately 1.61 million, approximately </w:t>
      </w:r>
      <w:proofErr w:type="gramStart"/>
      <w:r w:rsidRPr="00A11799">
        <w:rPr>
          <w:rFonts w:ascii="Arial" w:eastAsia="Arial" w:hAnsi="Arial" w:cs="Arial"/>
        </w:rPr>
        <w:t>10</w:t>
      </w:r>
      <w:proofErr w:type="gramEnd"/>
      <w:r w:rsidRPr="00A11799">
        <w:rPr>
          <w:rFonts w:ascii="Arial" w:eastAsia="Arial" w:hAnsi="Arial" w:cs="Arial"/>
        </w:rPr>
        <w:t xml:space="preserve"> fewer than the 2024 deliveries, according to California State University, Los Angeles. Tesla will require producing 389,498 vehicles in the December quarter to achieve the same forecast (Klender, 2025). </w:t>
      </w:r>
    </w:p>
    <w:p w14:paraId="17F5A579" w14:textId="77777777" w:rsidR="00901A3E" w:rsidRPr="00A11799" w:rsidRDefault="00901A3E" w:rsidP="00901A3E">
      <w:pPr>
        <w:rPr>
          <w:rFonts w:ascii="Arial" w:eastAsia="Arial" w:hAnsi="Arial" w:cs="Arial"/>
        </w:rPr>
      </w:pPr>
      <w:r w:rsidRPr="00A11799">
        <w:rPr>
          <w:rFonts w:ascii="Arial" w:eastAsia="Arial" w:hAnsi="Arial" w:cs="Arial"/>
        </w:rPr>
        <w:t xml:space="preserve">One of the greatest obstacles in EV uptake in Brazil is a shortage of charging equipment. Thus, Tesla needs to focus on establishing a first network of Supercharger stations on major interstate highways and in major urban centres (Klender, 2025). Infrastructure costs can </w:t>
      </w:r>
      <w:proofErr w:type="gramStart"/>
      <w:r w:rsidRPr="00A11799">
        <w:rPr>
          <w:rFonts w:ascii="Arial" w:eastAsia="Arial" w:hAnsi="Arial" w:cs="Arial"/>
        </w:rPr>
        <w:t>be mitigated</w:t>
      </w:r>
      <w:proofErr w:type="gramEnd"/>
      <w:r w:rsidRPr="00A11799">
        <w:rPr>
          <w:rFonts w:ascii="Arial" w:eastAsia="Arial" w:hAnsi="Arial" w:cs="Arial"/>
        </w:rPr>
        <w:t xml:space="preserve"> by forming joint ventures with shopping centres, business real </w:t>
      </w:r>
      <w:proofErr w:type="gramStart"/>
      <w:r w:rsidRPr="00A11799">
        <w:rPr>
          <w:rFonts w:ascii="Arial" w:eastAsia="Arial" w:hAnsi="Arial" w:cs="Arial"/>
        </w:rPr>
        <w:t>estate</w:t>
      </w:r>
      <w:proofErr w:type="gramEnd"/>
      <w:r w:rsidRPr="00A11799">
        <w:rPr>
          <w:rFonts w:ascii="Arial" w:eastAsia="Arial" w:hAnsi="Arial" w:cs="Arial"/>
        </w:rPr>
        <w:t xml:space="preserve"> and energy suppliers of renewable energy. It sold 201,773 units, and that was 7.4 per cent of the total all-electric car market. The demand occurred in two markets, with 40.6 and 34.8% of the Model Y deliveries taking place in China and the US, respectively. In May, Tesla introduced a cheaper model of the Tesla Model Y, according to Reuters. The rear-wheel drive model with a long-range would have a price of up to about 44,990 (39,903) in the US, excluding a 7,500 federal tax credit (James Roberts, 2025). This more accessible pricing will be hoping to make the carmaker stay on the top of its rivals. Tesla Model Y became the largest-selling BEV in the world in the first quarter of 2025.</w:t>
      </w:r>
    </w:p>
    <w:p w14:paraId="45D9DD96" w14:textId="77777777" w:rsidR="00901A3E" w:rsidRPr="00A11799" w:rsidRDefault="00901A3E" w:rsidP="00901A3E">
      <w:pPr>
        <w:rPr>
          <w:rFonts w:ascii="Arial" w:eastAsia="Arial" w:hAnsi="Arial" w:cs="Arial"/>
        </w:rPr>
      </w:pPr>
      <w:r w:rsidRPr="00A11799">
        <w:rPr>
          <w:rFonts w:ascii="Arial" w:eastAsia="Arial" w:hAnsi="Arial" w:cs="Arial"/>
        </w:rPr>
        <w:t xml:space="preserve">Local production would make Tesla competitive in relation to local and Chinese EV competitors. The factory could also be involved in the national development agenda by providing high-skilled green-technology employment and contributing to the industrial modernisation plans of Brazil (Klender, 2025). Elon Musk, the carmaker, had been publicising the expiry, employing it as a marketing tactic alongside discounts, and leasing options to drive people to buy and lease its electric cars. However, the company shares </w:t>
      </w:r>
      <w:proofErr w:type="gramStart"/>
      <w:r w:rsidRPr="00A11799">
        <w:rPr>
          <w:rFonts w:ascii="Arial" w:eastAsia="Arial" w:hAnsi="Arial" w:cs="Arial"/>
        </w:rPr>
        <w:t>were burdened</w:t>
      </w:r>
      <w:proofErr w:type="gramEnd"/>
      <w:r w:rsidRPr="00A11799">
        <w:rPr>
          <w:rFonts w:ascii="Arial" w:eastAsia="Arial" w:hAnsi="Arial" w:cs="Arial"/>
        </w:rPr>
        <w:t xml:space="preserve"> by the concerns of declining sales in the next few quarters, given the </w:t>
      </w:r>
      <w:r w:rsidRPr="00A11799">
        <w:rPr>
          <w:rFonts w:ascii="Arial" w:eastAsia="Arial" w:hAnsi="Arial" w:cs="Arial"/>
        </w:rPr>
        <w:lastRenderedPageBreak/>
        <w:t>expiry of the federal tax credit of 7500, and the shares decreased in the morning (Guardian, 2025). The overall cost of ownership, integration with renewable energy, and autopilot safety measures helps to establish partnerships with large retail chains and renewable energy companies on the location of chargers and consider joint ventures with local manufacturers to impose localisation.</w:t>
      </w:r>
    </w:p>
    <w:p w14:paraId="52169A09" w14:textId="027C6713" w:rsidR="00901A3E" w:rsidRPr="00A11799" w:rsidRDefault="00901A3E" w:rsidP="00901A3E">
      <w:pPr>
        <w:pStyle w:val="Heading2"/>
        <w:rPr>
          <w:rFonts w:ascii="Arial" w:eastAsia="Arial" w:hAnsi="Arial" w:cs="Arial"/>
        </w:rPr>
      </w:pPr>
      <w:bookmarkStart w:id="7" w:name="_heading=h.uobj84byzu5t" w:colFirst="0" w:colLast="0"/>
      <w:bookmarkStart w:id="8" w:name="_Toc217248194"/>
      <w:bookmarkEnd w:id="7"/>
      <w:r w:rsidRPr="00A11799">
        <w:rPr>
          <w:rFonts w:ascii="Arial" w:eastAsia="Arial" w:hAnsi="Arial" w:cs="Arial"/>
        </w:rPr>
        <w:t>Rationale for the Decision</w:t>
      </w:r>
      <w:r w:rsidR="000A2DDC">
        <w:rPr>
          <w:rFonts w:ascii="Arial" w:eastAsia="Arial" w:hAnsi="Arial" w:cs="Arial"/>
        </w:rPr>
        <w:t>:-</w:t>
      </w:r>
      <w:bookmarkEnd w:id="8"/>
    </w:p>
    <w:p w14:paraId="48201D3E" w14:textId="77777777" w:rsidR="00901A3E" w:rsidRPr="00A11799" w:rsidRDefault="00901A3E" w:rsidP="00901A3E">
      <w:pPr>
        <w:rPr>
          <w:rFonts w:ascii="Arial" w:eastAsia="Arial" w:hAnsi="Arial" w:cs="Arial"/>
        </w:rPr>
      </w:pPr>
      <w:r w:rsidRPr="00A11799">
        <w:rPr>
          <w:rFonts w:ascii="Arial" w:eastAsia="Arial" w:hAnsi="Arial" w:cs="Arial"/>
        </w:rPr>
        <w:t xml:space="preserve">The low-risk, quick and data-based entry into Brazil through imports and a flagship showroom in Brazil should </w:t>
      </w:r>
      <w:proofErr w:type="gramStart"/>
      <w:r w:rsidRPr="00A11799">
        <w:rPr>
          <w:rFonts w:ascii="Arial" w:eastAsia="Arial" w:hAnsi="Arial" w:cs="Arial"/>
        </w:rPr>
        <w:t>be done</w:t>
      </w:r>
      <w:proofErr w:type="gramEnd"/>
      <w:r w:rsidRPr="00A11799">
        <w:rPr>
          <w:rFonts w:ascii="Arial" w:eastAsia="Arial" w:hAnsi="Arial" w:cs="Arial"/>
        </w:rPr>
        <w:t xml:space="preserve"> through Brazil and then through the state of São Paulo. Brazil </w:t>
      </w:r>
      <w:proofErr w:type="gramStart"/>
      <w:r w:rsidRPr="00A11799">
        <w:rPr>
          <w:rFonts w:ascii="Arial" w:eastAsia="Arial" w:hAnsi="Arial" w:cs="Arial"/>
        </w:rPr>
        <w:t>is considered</w:t>
      </w:r>
      <w:proofErr w:type="gramEnd"/>
      <w:r w:rsidRPr="00A11799">
        <w:rPr>
          <w:rFonts w:ascii="Arial" w:eastAsia="Arial" w:hAnsi="Arial" w:cs="Arial"/>
        </w:rPr>
        <w:t xml:space="preserve"> one of the largest world markets, with the main demand for high-end EVs </w:t>
      </w:r>
      <w:proofErr w:type="gramStart"/>
      <w:r w:rsidRPr="00A11799">
        <w:rPr>
          <w:rFonts w:ascii="Arial" w:eastAsia="Arial" w:hAnsi="Arial" w:cs="Arial"/>
        </w:rPr>
        <w:t>being concentrated</w:t>
      </w:r>
      <w:proofErr w:type="gramEnd"/>
      <w:r w:rsidRPr="00A11799">
        <w:rPr>
          <w:rFonts w:ascii="Arial" w:eastAsia="Arial" w:hAnsi="Arial" w:cs="Arial"/>
        </w:rPr>
        <w:t xml:space="preserve"> among urban and higher-income consumers, which is the first target of Tesla (Guardian, 2025). Entry of imports will allow Tesla to test the demand of Model 3/Y, experiment with prices and after-sales services, and will not have to spend significant capital at once when political or tariff regulations are still in the final formation, and policy can justify it. The production in 2025 </w:t>
      </w:r>
      <w:proofErr w:type="gramStart"/>
      <w:r w:rsidRPr="00A11799">
        <w:rPr>
          <w:rFonts w:ascii="Arial" w:eastAsia="Arial" w:hAnsi="Arial" w:cs="Arial"/>
        </w:rPr>
        <w:t>is projected</w:t>
      </w:r>
      <w:proofErr w:type="gramEnd"/>
      <w:r w:rsidRPr="00A11799">
        <w:rPr>
          <w:rFonts w:ascii="Arial" w:eastAsia="Arial" w:hAnsi="Arial" w:cs="Arial"/>
        </w:rPr>
        <w:t xml:space="preserve"> to increase by 8.4% of the light vehicles, cars, and pickup trucks to 2.58 million (EV Boosters, 2024). The overall production, comprising commercial vehicles, will reach 2.8 million units in 2025. Out of this production, 428,000 will </w:t>
      </w:r>
      <w:proofErr w:type="gramStart"/>
      <w:r w:rsidRPr="00A11799">
        <w:rPr>
          <w:rFonts w:ascii="Arial" w:eastAsia="Arial" w:hAnsi="Arial" w:cs="Arial"/>
        </w:rPr>
        <w:t>be exported</w:t>
      </w:r>
      <w:proofErr w:type="gramEnd"/>
      <w:r w:rsidRPr="00A11799">
        <w:rPr>
          <w:rFonts w:ascii="Arial" w:eastAsia="Arial" w:hAnsi="Arial" w:cs="Arial"/>
        </w:rPr>
        <w:t xml:space="preserve"> in 2025, which is 7.4 % higher than in 2025, the group indicated (Thurston, 2025). </w:t>
      </w:r>
    </w:p>
    <w:p w14:paraId="130EA26D" w14:textId="77777777" w:rsidR="00901A3E" w:rsidRPr="00A11799" w:rsidRDefault="00901A3E" w:rsidP="00901A3E">
      <w:pPr>
        <w:pBdr>
          <w:top w:val="nil"/>
          <w:left w:val="nil"/>
          <w:bottom w:val="nil"/>
          <w:right w:val="nil"/>
          <w:between w:val="nil"/>
        </w:pBdr>
        <w:jc w:val="center"/>
        <w:rPr>
          <w:rFonts w:ascii="Arial" w:eastAsia="Arial" w:hAnsi="Arial" w:cs="Arial"/>
          <w:b/>
          <w:bCs/>
        </w:rPr>
      </w:pPr>
      <w:r w:rsidRPr="00A11799">
        <w:rPr>
          <w:rFonts w:ascii="Arial" w:eastAsia="Arial" w:hAnsi="Arial" w:cs="Arial"/>
          <w:b/>
          <w:bCs/>
          <w:noProof/>
          <w:lang w:eastAsia="en-GB"/>
        </w:rPr>
        <w:drawing>
          <wp:inline distT="114300" distB="114300" distL="114300" distR="114300" wp14:anchorId="5EDEBBA1" wp14:editId="21D0EE5A">
            <wp:extent cx="5943600" cy="2844800"/>
            <wp:effectExtent l="0" t="0" r="0" b="0"/>
            <wp:docPr id="201008867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844800"/>
                    </a:xfrm>
                    <a:prstGeom prst="rect">
                      <a:avLst/>
                    </a:prstGeom>
                    <a:ln/>
                  </pic:spPr>
                </pic:pic>
              </a:graphicData>
            </a:graphic>
          </wp:inline>
        </w:drawing>
      </w:r>
    </w:p>
    <w:p w14:paraId="3379ED57" w14:textId="77777777" w:rsidR="00901A3E" w:rsidRPr="00A11799" w:rsidRDefault="00901A3E" w:rsidP="00901A3E">
      <w:pPr>
        <w:pBdr>
          <w:top w:val="nil"/>
          <w:left w:val="nil"/>
          <w:bottom w:val="nil"/>
          <w:right w:val="nil"/>
          <w:between w:val="nil"/>
        </w:pBdr>
        <w:jc w:val="center"/>
        <w:rPr>
          <w:rFonts w:ascii="Arial" w:eastAsia="Arial" w:hAnsi="Arial" w:cs="Arial"/>
          <w:b/>
          <w:bCs/>
        </w:rPr>
      </w:pPr>
      <w:r w:rsidRPr="00A11799">
        <w:rPr>
          <w:rFonts w:ascii="Arial" w:eastAsia="Arial" w:hAnsi="Arial" w:cs="Arial"/>
          <w:b/>
          <w:bCs/>
        </w:rPr>
        <w:t>Figure 1: Automotive car market of Brazil</w:t>
      </w:r>
    </w:p>
    <w:p w14:paraId="6792EFDB" w14:textId="77777777" w:rsidR="00901A3E" w:rsidRPr="00A11799" w:rsidRDefault="00901A3E" w:rsidP="00901A3E">
      <w:pPr>
        <w:jc w:val="center"/>
        <w:rPr>
          <w:rFonts w:ascii="Arial" w:eastAsia="Arial" w:hAnsi="Arial" w:cs="Arial"/>
        </w:rPr>
      </w:pPr>
      <w:r w:rsidRPr="00A11799">
        <w:rPr>
          <w:rFonts w:ascii="Arial" w:eastAsia="Arial" w:hAnsi="Arial" w:cs="Arial"/>
        </w:rPr>
        <w:lastRenderedPageBreak/>
        <w:t>(Source: Kalagate, Patil and Kumbhar, 2024))</w:t>
      </w:r>
    </w:p>
    <w:p w14:paraId="0B0888D1" w14:textId="77777777" w:rsidR="00901A3E" w:rsidRPr="00A11799" w:rsidRDefault="00901A3E" w:rsidP="00901A3E">
      <w:pPr>
        <w:rPr>
          <w:rFonts w:ascii="Arial" w:eastAsia="Arial" w:hAnsi="Arial" w:cs="Arial"/>
        </w:rPr>
      </w:pPr>
      <w:r w:rsidRPr="00A11799">
        <w:rPr>
          <w:rFonts w:ascii="Arial" w:eastAsia="Arial" w:hAnsi="Arial" w:cs="Arial"/>
        </w:rPr>
        <w:t xml:space="preserve">The 2025 predictions may </w:t>
      </w:r>
      <w:proofErr w:type="gramStart"/>
      <w:r w:rsidRPr="00A11799">
        <w:rPr>
          <w:rFonts w:ascii="Arial" w:eastAsia="Arial" w:hAnsi="Arial" w:cs="Arial"/>
        </w:rPr>
        <w:t>be understated</w:t>
      </w:r>
      <w:proofErr w:type="gramEnd"/>
      <w:r w:rsidRPr="00A11799">
        <w:rPr>
          <w:rFonts w:ascii="Arial" w:eastAsia="Arial" w:hAnsi="Arial" w:cs="Arial"/>
        </w:rPr>
        <w:t xml:space="preserve">, as there is a likelihood of increased sales in the second half being high. In an industry declaration, the President of Anfavea, Márcio de Lima Leite, said that in the comparison of the second half of 2024 with the first half, production was 26.2 higher, registrations were higher by 32% and exports were higher by 44.2% (Thurston, 2025). Tesla has revolutionised the EV market. Since its initial years of making the Roadster, Tesla has grown exponentially to a range of models it has today (Guardian, 2025). This </w:t>
      </w:r>
      <w:proofErr w:type="gramStart"/>
      <w:r w:rsidRPr="00A11799">
        <w:rPr>
          <w:rFonts w:ascii="Arial" w:eastAsia="Arial" w:hAnsi="Arial" w:cs="Arial"/>
        </w:rPr>
        <w:t>is reflected</w:t>
      </w:r>
      <w:proofErr w:type="gramEnd"/>
      <w:r w:rsidRPr="00A11799">
        <w:rPr>
          <w:rFonts w:ascii="Arial" w:eastAsia="Arial" w:hAnsi="Arial" w:cs="Arial"/>
        </w:rPr>
        <w:t xml:space="preserve"> by the global capacity of the company in production. The Fremont factory in California is the first production location of Tesla with the capacity to produce 650,000 vehicles per year (EV Boosters, 2024). This comprises a total of 550.000 Model 3 and Model Y, and 100.000 units of Model S and Model X (Swati Kalagate, </w:t>
      </w:r>
      <w:proofErr w:type="gramStart"/>
      <w:r w:rsidRPr="00A11799">
        <w:rPr>
          <w:rFonts w:ascii="Arial" w:eastAsia="Arial" w:hAnsi="Arial" w:cs="Arial"/>
        </w:rPr>
        <w:t>Patil</w:t>
      </w:r>
      <w:proofErr w:type="gramEnd"/>
      <w:r w:rsidRPr="00A11799">
        <w:rPr>
          <w:rFonts w:ascii="Arial" w:eastAsia="Arial" w:hAnsi="Arial" w:cs="Arial"/>
        </w:rPr>
        <w:t xml:space="preserve"> and Vishal Kumbhar, 2024). Nevada Gigafactory 1 mostly manufactures lithium-ion battery cells and is preparing to manufacture the new 4680-type cylindrical battery cells and Tesla Semi electric trucks, though at present being </w:t>
      </w:r>
      <w:proofErr w:type="gramStart"/>
      <w:r w:rsidRPr="00A11799">
        <w:rPr>
          <w:rFonts w:ascii="Arial" w:eastAsia="Arial" w:hAnsi="Arial" w:cs="Arial"/>
        </w:rPr>
        <w:t>tested</w:t>
      </w:r>
      <w:proofErr w:type="gramEnd"/>
      <w:r w:rsidRPr="00A11799">
        <w:rPr>
          <w:rFonts w:ascii="Arial" w:eastAsia="Arial" w:hAnsi="Arial" w:cs="Arial"/>
        </w:rPr>
        <w:t xml:space="preserve"> in pilot manufacture. </w:t>
      </w:r>
    </w:p>
    <w:p w14:paraId="61756EC0" w14:textId="77777777" w:rsidR="00901A3E" w:rsidRPr="00A11799" w:rsidRDefault="00901A3E" w:rsidP="00901A3E">
      <w:pPr>
        <w:rPr>
          <w:rFonts w:ascii="Arial" w:eastAsia="Arial" w:hAnsi="Arial" w:cs="Arial"/>
        </w:rPr>
      </w:pPr>
      <w:r w:rsidRPr="00A11799">
        <w:rPr>
          <w:rFonts w:ascii="Arial" w:eastAsia="Arial" w:hAnsi="Arial" w:cs="Arial"/>
        </w:rPr>
        <w:t xml:space="preserve">The first overseas factory, known as the Giga factory </w:t>
      </w:r>
      <w:proofErr w:type="gramStart"/>
      <w:r w:rsidRPr="00A11799">
        <w:rPr>
          <w:rFonts w:ascii="Arial" w:eastAsia="Arial" w:hAnsi="Arial" w:cs="Arial"/>
        </w:rPr>
        <w:t>3</w:t>
      </w:r>
      <w:proofErr w:type="gramEnd"/>
      <w:r w:rsidRPr="00A11799">
        <w:rPr>
          <w:rFonts w:ascii="Arial" w:eastAsia="Arial" w:hAnsi="Arial" w:cs="Arial"/>
        </w:rPr>
        <w:t xml:space="preserve"> at Shanghai, is the main exporting centre of Tesla, where more than 750.000 Model 3 and Model Y models can </w:t>
      </w:r>
      <w:proofErr w:type="gramStart"/>
      <w:r w:rsidRPr="00A11799">
        <w:rPr>
          <w:rFonts w:ascii="Arial" w:eastAsia="Arial" w:hAnsi="Arial" w:cs="Arial"/>
        </w:rPr>
        <w:t>be made</w:t>
      </w:r>
      <w:proofErr w:type="gramEnd"/>
      <w:r w:rsidRPr="00A11799">
        <w:rPr>
          <w:rFonts w:ascii="Arial" w:eastAsia="Arial" w:hAnsi="Arial" w:cs="Arial"/>
        </w:rPr>
        <w:t xml:space="preserve"> each year. Another new Tesla plant, the Berlin Gigafactory 4, will bring more than 250.000 units annually to the company with the Model Y in mind (Guardian, 2025). In the meantime, Gigafactory 5 in Austin, Texas, is manufacturing more than 250.000 units of Model Y in a year and preparing to start the production of the Cybertruck (Guardian, 2025). </w:t>
      </w:r>
    </w:p>
    <w:p w14:paraId="712697C2" w14:textId="77777777" w:rsidR="00901A3E" w:rsidRPr="00A11799" w:rsidRDefault="00901A3E" w:rsidP="00901A3E">
      <w:pPr>
        <w:rPr>
          <w:rFonts w:ascii="Arial" w:eastAsia="Arial" w:hAnsi="Arial" w:cs="Arial"/>
          <w:b/>
          <w:bCs/>
        </w:rPr>
      </w:pPr>
      <w:bookmarkStart w:id="9" w:name="_heading=h.91q3fglw6xqe" w:colFirst="0" w:colLast="0"/>
      <w:bookmarkEnd w:id="9"/>
      <w:r w:rsidRPr="00A11799">
        <w:rPr>
          <w:rFonts w:ascii="Arial" w:hAnsi="Arial" w:cs="Arial"/>
        </w:rPr>
        <w:br w:type="page"/>
      </w:r>
    </w:p>
    <w:p w14:paraId="7098EFC6" w14:textId="77777777" w:rsidR="00901A3E" w:rsidRPr="00A11799" w:rsidRDefault="00901A3E" w:rsidP="00901A3E">
      <w:pPr>
        <w:pStyle w:val="Heading1"/>
        <w:rPr>
          <w:rFonts w:ascii="Arial" w:eastAsia="Arial" w:hAnsi="Arial" w:cs="Arial"/>
        </w:rPr>
      </w:pPr>
      <w:bookmarkStart w:id="10" w:name="_Toc217248195"/>
      <w:r w:rsidRPr="00A11799">
        <w:rPr>
          <w:rFonts w:ascii="Arial" w:eastAsia="Arial" w:hAnsi="Arial" w:cs="Arial"/>
        </w:rPr>
        <w:lastRenderedPageBreak/>
        <w:t>2. Comprehensive Strategic Analysis:-</w:t>
      </w:r>
      <w:bookmarkEnd w:id="10"/>
    </w:p>
    <w:p w14:paraId="36337A56" w14:textId="640A4CDC" w:rsidR="00901A3E" w:rsidRPr="00A11799" w:rsidRDefault="00901A3E" w:rsidP="00901A3E">
      <w:pPr>
        <w:pStyle w:val="Heading2"/>
        <w:rPr>
          <w:rFonts w:ascii="Arial" w:eastAsia="Arial" w:hAnsi="Arial" w:cs="Arial"/>
        </w:rPr>
      </w:pPr>
      <w:bookmarkStart w:id="11" w:name="_Toc217248196"/>
      <w:r w:rsidRPr="00A11799">
        <w:rPr>
          <w:rFonts w:ascii="Arial" w:eastAsia="Arial" w:hAnsi="Arial" w:cs="Arial"/>
        </w:rPr>
        <w:t>Macro-Environmental Analysis: PESTEL</w:t>
      </w:r>
      <w:r w:rsidR="000A2DDC">
        <w:rPr>
          <w:rFonts w:ascii="Arial" w:eastAsia="Arial" w:hAnsi="Arial" w:cs="Arial"/>
        </w:rPr>
        <w:t>:-</w:t>
      </w:r>
      <w:bookmarkEnd w:id="11"/>
    </w:p>
    <w:p w14:paraId="6FE9155F" w14:textId="77777777" w:rsidR="00901A3E" w:rsidRPr="00A11799" w:rsidRDefault="00901A3E" w:rsidP="00901A3E">
      <w:pPr>
        <w:rPr>
          <w:rFonts w:ascii="Arial" w:eastAsia="Arial" w:hAnsi="Arial" w:cs="Arial"/>
        </w:rPr>
      </w:pPr>
      <w:r w:rsidRPr="00A11799">
        <w:rPr>
          <w:rFonts w:ascii="Arial" w:eastAsia="Arial" w:hAnsi="Arial" w:cs="Arial"/>
          <w:b/>
          <w:bCs/>
          <w:i/>
          <w:iCs/>
        </w:rPr>
        <w:t>Political</w:t>
      </w:r>
      <w:r w:rsidRPr="00A11799">
        <w:rPr>
          <w:rFonts w:ascii="Arial" w:eastAsia="Arial" w:hAnsi="Arial" w:cs="Arial"/>
        </w:rPr>
        <w:t xml:space="preserve">: The Brazilian government has aided the automotive industry with industrial policies such as </w:t>
      </w:r>
      <w:r w:rsidRPr="00A11799">
        <w:rPr>
          <w:rFonts w:ascii="Arial" w:eastAsia="Arial" w:hAnsi="Arial" w:cs="Arial"/>
          <w:b/>
          <w:bCs/>
          <w:i/>
          <w:iCs/>
        </w:rPr>
        <w:t>Rota 2030</w:t>
      </w:r>
      <w:r w:rsidRPr="00A11799">
        <w:rPr>
          <w:rFonts w:ascii="Arial" w:eastAsia="Arial" w:hAnsi="Arial" w:cs="Arial"/>
        </w:rPr>
        <w:t>, which promote innovation, fuel efficiency, and local production (S&amp;P Global Mobility, 2025). However, the global automaker can be uncertain due to change of administration and different tax policies. According to the report published by MERCOSUR (2015), Import tariffs and trade agreements such as “</w:t>
      </w:r>
      <w:r w:rsidRPr="00A11799">
        <w:rPr>
          <w:rFonts w:ascii="Arial" w:eastAsia="Arial" w:hAnsi="Arial" w:cs="Arial"/>
          <w:b/>
          <w:bCs/>
          <w:i/>
          <w:iCs/>
        </w:rPr>
        <w:t>MERCOSUR</w:t>
      </w:r>
      <w:r w:rsidRPr="00A11799">
        <w:rPr>
          <w:rFonts w:ascii="Arial" w:eastAsia="Arial" w:hAnsi="Arial" w:cs="Arial"/>
          <w:i/>
          <w:iCs/>
        </w:rPr>
        <w:t xml:space="preserve">” </w:t>
      </w:r>
      <w:r w:rsidRPr="00A11799">
        <w:rPr>
          <w:rFonts w:ascii="Arial" w:eastAsia="Arial" w:hAnsi="Arial" w:cs="Arial"/>
        </w:rPr>
        <w:t>are all political choices that have a major influence on the production and export strategies.</w:t>
      </w:r>
    </w:p>
    <w:p w14:paraId="5BE5DF70" w14:textId="77777777" w:rsidR="00901A3E" w:rsidRPr="00A11799" w:rsidRDefault="00901A3E" w:rsidP="00901A3E">
      <w:pPr>
        <w:jc w:val="center"/>
        <w:rPr>
          <w:rFonts w:ascii="Arial" w:eastAsia="Arial" w:hAnsi="Arial" w:cs="Arial"/>
        </w:rPr>
      </w:pPr>
      <w:r w:rsidRPr="00A11799">
        <w:rPr>
          <w:rFonts w:ascii="Arial" w:eastAsia="Arial" w:hAnsi="Arial" w:cs="Arial"/>
          <w:noProof/>
          <w:lang w:eastAsia="en-GB"/>
        </w:rPr>
        <w:drawing>
          <wp:inline distT="114300" distB="114300" distL="114300" distR="114300" wp14:anchorId="6754A485" wp14:editId="35387A81">
            <wp:extent cx="5943600" cy="2705100"/>
            <wp:effectExtent l="0" t="0" r="0" b="0"/>
            <wp:docPr id="201008867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2705100"/>
                    </a:xfrm>
                    <a:prstGeom prst="rect">
                      <a:avLst/>
                    </a:prstGeom>
                    <a:ln/>
                  </pic:spPr>
                </pic:pic>
              </a:graphicData>
            </a:graphic>
          </wp:inline>
        </w:drawing>
      </w:r>
    </w:p>
    <w:p w14:paraId="1CB9A455" w14:textId="77777777" w:rsidR="00901A3E" w:rsidRPr="00A11799" w:rsidRDefault="00901A3E" w:rsidP="00901A3E">
      <w:pPr>
        <w:pBdr>
          <w:top w:val="nil"/>
          <w:left w:val="nil"/>
          <w:bottom w:val="nil"/>
          <w:right w:val="nil"/>
          <w:between w:val="nil"/>
        </w:pBdr>
        <w:jc w:val="center"/>
        <w:rPr>
          <w:rFonts w:ascii="Arial" w:eastAsia="Arial" w:hAnsi="Arial" w:cs="Arial"/>
          <w:b/>
          <w:bCs/>
        </w:rPr>
      </w:pPr>
      <w:r w:rsidRPr="00A11799">
        <w:rPr>
          <w:rFonts w:ascii="Arial" w:eastAsia="Arial" w:hAnsi="Arial" w:cs="Arial"/>
          <w:b/>
          <w:bCs/>
        </w:rPr>
        <w:t xml:space="preserve">Figure 2: Brazil GDP growth </w:t>
      </w:r>
    </w:p>
    <w:p w14:paraId="18E1FFC9" w14:textId="77777777" w:rsidR="00901A3E" w:rsidRPr="00A11799" w:rsidRDefault="00901A3E" w:rsidP="00901A3E">
      <w:pPr>
        <w:jc w:val="center"/>
        <w:rPr>
          <w:rFonts w:ascii="Arial" w:eastAsia="Arial" w:hAnsi="Arial" w:cs="Arial"/>
        </w:rPr>
      </w:pPr>
      <w:r w:rsidRPr="00A11799">
        <w:rPr>
          <w:rFonts w:ascii="Arial" w:eastAsia="Arial" w:hAnsi="Arial" w:cs="Arial"/>
        </w:rPr>
        <w:t>(Source: Rosati, 2023)</w:t>
      </w:r>
    </w:p>
    <w:p w14:paraId="311E909F" w14:textId="77777777" w:rsidR="00901A3E" w:rsidRPr="00A11799" w:rsidRDefault="00901A3E" w:rsidP="00901A3E">
      <w:pPr>
        <w:rPr>
          <w:rFonts w:ascii="Arial" w:eastAsia="Arial" w:hAnsi="Arial" w:cs="Arial"/>
        </w:rPr>
      </w:pPr>
      <w:r w:rsidRPr="00A11799">
        <w:rPr>
          <w:rFonts w:ascii="Arial" w:eastAsia="Arial" w:hAnsi="Arial" w:cs="Arial"/>
          <w:b/>
          <w:bCs/>
          <w:i/>
          <w:iCs/>
        </w:rPr>
        <w:t>Economy</w:t>
      </w:r>
      <w:r w:rsidRPr="00A11799">
        <w:rPr>
          <w:rFonts w:ascii="Arial" w:eastAsia="Arial" w:hAnsi="Arial" w:cs="Arial"/>
        </w:rPr>
        <w:t xml:space="preserve">: The Brazilian business climate </w:t>
      </w:r>
      <w:proofErr w:type="gramStart"/>
      <w:r w:rsidRPr="00A11799">
        <w:rPr>
          <w:rFonts w:ascii="Arial" w:eastAsia="Arial" w:hAnsi="Arial" w:cs="Arial"/>
        </w:rPr>
        <w:t>is marked</w:t>
      </w:r>
      <w:proofErr w:type="gramEnd"/>
      <w:r w:rsidRPr="00A11799">
        <w:rPr>
          <w:rFonts w:ascii="Arial" w:eastAsia="Arial" w:hAnsi="Arial" w:cs="Arial"/>
        </w:rPr>
        <w:t xml:space="preserve"> by the cyclical nature, inflationary rates and volatile consumer purchasing power. As suggested by Rosati (2023), in 2023, Brazil’s GDP </w:t>
      </w:r>
      <w:r w:rsidRPr="00A11799">
        <w:rPr>
          <w:rFonts w:ascii="Arial" w:eastAsia="Arial" w:hAnsi="Arial" w:cs="Arial"/>
          <w:b/>
          <w:bCs/>
          <w:i/>
          <w:iCs/>
        </w:rPr>
        <w:t>growth was 3.40% in 2023</w:t>
      </w:r>
      <w:r w:rsidRPr="00A11799">
        <w:rPr>
          <w:rFonts w:ascii="Arial" w:eastAsia="Arial" w:hAnsi="Arial" w:cs="Arial"/>
        </w:rPr>
        <w:t>. Depreciation of currency affects imported parts increasing their cost of production. However, Brazil is one of the leading manufacturing automotive industries because it has a huge domestic market and an industrial base. Employment and availability of credit recoveries boost sales of vehicles and economic instability can halt consumer demand.</w:t>
      </w:r>
    </w:p>
    <w:p w14:paraId="7C9EEBFD" w14:textId="77777777" w:rsidR="00901A3E" w:rsidRPr="00A11799" w:rsidRDefault="00901A3E" w:rsidP="00901A3E">
      <w:pPr>
        <w:jc w:val="center"/>
        <w:rPr>
          <w:rFonts w:ascii="Arial" w:eastAsia="Arial" w:hAnsi="Arial" w:cs="Arial"/>
        </w:rPr>
      </w:pPr>
      <w:r w:rsidRPr="00A11799">
        <w:rPr>
          <w:rFonts w:ascii="Arial" w:eastAsia="Arial" w:hAnsi="Arial" w:cs="Arial"/>
          <w:noProof/>
          <w:lang w:eastAsia="en-GB"/>
        </w:rPr>
        <w:lastRenderedPageBreak/>
        <w:drawing>
          <wp:inline distT="114300" distB="114300" distL="114300" distR="114300" wp14:anchorId="52C067D3" wp14:editId="3A5BF600">
            <wp:extent cx="5610225" cy="2962275"/>
            <wp:effectExtent l="0" t="0" r="0" b="0"/>
            <wp:docPr id="201008867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610225" cy="2962275"/>
                    </a:xfrm>
                    <a:prstGeom prst="rect">
                      <a:avLst/>
                    </a:prstGeom>
                    <a:ln/>
                  </pic:spPr>
                </pic:pic>
              </a:graphicData>
            </a:graphic>
          </wp:inline>
        </w:drawing>
      </w:r>
    </w:p>
    <w:p w14:paraId="77D04D01" w14:textId="77777777" w:rsidR="00901A3E" w:rsidRPr="00A11799" w:rsidRDefault="00901A3E" w:rsidP="00901A3E">
      <w:pPr>
        <w:pBdr>
          <w:top w:val="nil"/>
          <w:left w:val="nil"/>
          <w:bottom w:val="nil"/>
          <w:right w:val="nil"/>
          <w:between w:val="nil"/>
        </w:pBdr>
        <w:jc w:val="center"/>
        <w:rPr>
          <w:rFonts w:ascii="Arial" w:eastAsia="Arial" w:hAnsi="Arial" w:cs="Arial"/>
          <w:b/>
          <w:bCs/>
        </w:rPr>
      </w:pPr>
      <w:r w:rsidRPr="00A11799">
        <w:rPr>
          <w:rFonts w:ascii="Arial" w:eastAsia="Arial" w:hAnsi="Arial" w:cs="Arial"/>
          <w:b/>
          <w:bCs/>
        </w:rPr>
        <w:t>Figure 3: Brazil electric car market</w:t>
      </w:r>
    </w:p>
    <w:p w14:paraId="0D27288F" w14:textId="77777777" w:rsidR="00901A3E" w:rsidRPr="00A11799" w:rsidRDefault="00901A3E" w:rsidP="00901A3E">
      <w:pPr>
        <w:jc w:val="center"/>
        <w:rPr>
          <w:rFonts w:ascii="Arial" w:eastAsia="Arial" w:hAnsi="Arial" w:cs="Arial"/>
        </w:rPr>
      </w:pPr>
      <w:r w:rsidRPr="00A11799">
        <w:rPr>
          <w:rFonts w:ascii="Arial" w:eastAsia="Arial" w:hAnsi="Arial" w:cs="Arial"/>
        </w:rPr>
        <w:t>(Source: Maximise Market Research, 2025)</w:t>
      </w:r>
    </w:p>
    <w:p w14:paraId="324BBFE8" w14:textId="77777777" w:rsidR="00901A3E" w:rsidRPr="00A11799" w:rsidRDefault="00901A3E" w:rsidP="00901A3E">
      <w:pPr>
        <w:rPr>
          <w:rFonts w:ascii="Arial" w:eastAsia="Arial" w:hAnsi="Arial" w:cs="Arial"/>
        </w:rPr>
      </w:pPr>
      <w:r w:rsidRPr="00A11799">
        <w:rPr>
          <w:rFonts w:ascii="Arial" w:eastAsia="Arial" w:hAnsi="Arial" w:cs="Arial"/>
          <w:b/>
          <w:bCs/>
          <w:i/>
          <w:iCs/>
        </w:rPr>
        <w:t>Social</w:t>
      </w:r>
      <w:r w:rsidRPr="00A11799">
        <w:rPr>
          <w:rFonts w:ascii="Arial" w:eastAsia="Arial" w:hAnsi="Arial" w:cs="Arial"/>
        </w:rPr>
        <w:t xml:space="preserve">: The increasing urbanisation and the increasing middle-income population of Brazil has an impact on the demand of vehicles particularly the compact and the motorcycles. The report published by Maximise Market Research (2025), Brazil car market size </w:t>
      </w:r>
      <w:proofErr w:type="gramStart"/>
      <w:r w:rsidRPr="00A11799">
        <w:rPr>
          <w:rFonts w:ascii="Arial" w:eastAsia="Arial" w:hAnsi="Arial" w:cs="Arial"/>
        </w:rPr>
        <w:t>was valued</w:t>
      </w:r>
      <w:proofErr w:type="gramEnd"/>
      <w:r w:rsidRPr="00A11799">
        <w:rPr>
          <w:rFonts w:ascii="Arial" w:eastAsia="Arial" w:hAnsi="Arial" w:cs="Arial"/>
        </w:rPr>
        <w:t xml:space="preserve"> by </w:t>
      </w:r>
      <w:r w:rsidRPr="00A11799">
        <w:rPr>
          <w:rFonts w:ascii="Arial" w:eastAsia="Arial" w:hAnsi="Arial" w:cs="Arial"/>
          <w:b/>
          <w:bCs/>
          <w:i/>
          <w:iCs/>
        </w:rPr>
        <w:t>USD 766 billion in 2023</w:t>
      </w:r>
      <w:r w:rsidRPr="00A11799">
        <w:rPr>
          <w:rFonts w:ascii="Arial" w:eastAsia="Arial" w:hAnsi="Arial" w:cs="Arial"/>
        </w:rPr>
        <w:t xml:space="preserve"> and it </w:t>
      </w:r>
      <w:proofErr w:type="gramStart"/>
      <w:r w:rsidRPr="00A11799">
        <w:rPr>
          <w:rFonts w:ascii="Arial" w:eastAsia="Arial" w:hAnsi="Arial" w:cs="Arial"/>
        </w:rPr>
        <w:t>is expected</w:t>
      </w:r>
      <w:proofErr w:type="gramEnd"/>
      <w:r w:rsidRPr="00A11799">
        <w:rPr>
          <w:rFonts w:ascii="Arial" w:eastAsia="Arial" w:hAnsi="Arial" w:cs="Arial"/>
        </w:rPr>
        <w:t xml:space="preserve"> to increase over the years. Iliff (2025) stated that in 2024,</w:t>
      </w:r>
      <w:r w:rsidRPr="00A11799">
        <w:rPr>
          <w:rFonts w:ascii="Arial" w:eastAsia="Arial" w:hAnsi="Arial" w:cs="Arial"/>
          <w:b/>
          <w:bCs/>
          <w:i/>
          <w:iCs/>
        </w:rPr>
        <w:t xml:space="preserve"> the production rate of Model 3 and Y was 1,679,338</w:t>
      </w:r>
      <w:r w:rsidRPr="00A11799">
        <w:rPr>
          <w:rFonts w:ascii="Arial" w:eastAsia="Arial" w:hAnsi="Arial" w:cs="Arial"/>
        </w:rPr>
        <w:t xml:space="preserve">. Hence, it can </w:t>
      </w:r>
      <w:proofErr w:type="gramStart"/>
      <w:r w:rsidRPr="00A11799">
        <w:rPr>
          <w:rFonts w:ascii="Arial" w:eastAsia="Arial" w:hAnsi="Arial" w:cs="Arial"/>
        </w:rPr>
        <w:t>be proven</w:t>
      </w:r>
      <w:proofErr w:type="gramEnd"/>
      <w:r w:rsidRPr="00A11799">
        <w:rPr>
          <w:rFonts w:ascii="Arial" w:eastAsia="Arial" w:hAnsi="Arial" w:cs="Arial"/>
        </w:rPr>
        <w:t xml:space="preserve"> that customers buy electric cars. A growing trend towards both sustainable mobility and safety features by consumers is compelling car manufacturers towards greener technologies. Lack of transportation in large cities also supports the demand for private vehicles.</w:t>
      </w:r>
    </w:p>
    <w:p w14:paraId="1F0DE579" w14:textId="77777777" w:rsidR="00901A3E" w:rsidRPr="00A11799" w:rsidRDefault="00901A3E" w:rsidP="00901A3E">
      <w:pPr>
        <w:rPr>
          <w:rFonts w:ascii="Arial" w:eastAsia="Arial" w:hAnsi="Arial" w:cs="Arial"/>
        </w:rPr>
      </w:pPr>
      <w:r w:rsidRPr="00A11799">
        <w:rPr>
          <w:rFonts w:ascii="Arial" w:eastAsia="Arial" w:hAnsi="Arial" w:cs="Arial"/>
          <w:b/>
          <w:bCs/>
          <w:i/>
          <w:iCs/>
        </w:rPr>
        <w:t>Technology</w:t>
      </w:r>
      <w:r w:rsidRPr="00A11799">
        <w:rPr>
          <w:rFonts w:ascii="Arial" w:eastAsia="Arial" w:hAnsi="Arial" w:cs="Arial"/>
        </w:rPr>
        <w:t xml:space="preserve">: The industry is quickly embracing automation, </w:t>
      </w:r>
      <w:proofErr w:type="gramStart"/>
      <w:r w:rsidRPr="00A11799">
        <w:rPr>
          <w:rFonts w:ascii="Arial" w:eastAsia="Arial" w:hAnsi="Arial" w:cs="Arial"/>
        </w:rPr>
        <w:t>digitalisation</w:t>
      </w:r>
      <w:proofErr w:type="gramEnd"/>
      <w:r w:rsidRPr="00A11799">
        <w:rPr>
          <w:rFonts w:ascii="Arial" w:eastAsia="Arial" w:hAnsi="Arial" w:cs="Arial"/>
        </w:rPr>
        <w:t xml:space="preserve"> and electrification. Technologies such as </w:t>
      </w:r>
      <w:r w:rsidRPr="00A11799">
        <w:rPr>
          <w:rFonts w:ascii="Arial" w:eastAsia="Arial" w:hAnsi="Arial" w:cs="Arial"/>
          <w:b/>
          <w:bCs/>
          <w:i/>
          <w:iCs/>
        </w:rPr>
        <w:t>flex-fuel systems</w:t>
      </w:r>
      <w:r w:rsidRPr="00A11799">
        <w:rPr>
          <w:rFonts w:ascii="Arial" w:eastAsia="Arial" w:hAnsi="Arial" w:cs="Arial"/>
        </w:rPr>
        <w:t xml:space="preserve"> are </w:t>
      </w:r>
      <w:proofErr w:type="gramStart"/>
      <w:r w:rsidRPr="00A11799">
        <w:rPr>
          <w:rFonts w:ascii="Arial" w:eastAsia="Arial" w:hAnsi="Arial" w:cs="Arial"/>
        </w:rPr>
        <w:t>reliable</w:t>
      </w:r>
      <w:proofErr w:type="gramEnd"/>
      <w:r w:rsidRPr="00A11799">
        <w:rPr>
          <w:rFonts w:ascii="Arial" w:eastAsia="Arial" w:hAnsi="Arial" w:cs="Arial"/>
        </w:rPr>
        <w:t xml:space="preserve"> for gasoline use, </w:t>
      </w:r>
      <w:r w:rsidRPr="00A11799">
        <w:rPr>
          <w:rFonts w:ascii="Arial" w:eastAsia="Arial" w:hAnsi="Arial" w:cs="Arial"/>
          <w:b/>
          <w:bCs/>
          <w:i/>
          <w:iCs/>
        </w:rPr>
        <w:t>advanced driver-assistance systems</w:t>
      </w:r>
      <w:r w:rsidRPr="00A11799">
        <w:rPr>
          <w:rFonts w:ascii="Arial" w:eastAsia="Arial" w:hAnsi="Arial" w:cs="Arial"/>
        </w:rPr>
        <w:t xml:space="preserve"> and the other connectivity features are effective for EV production. Brazil is still trailing the rates of EV adoption in the world because of </w:t>
      </w:r>
      <w:proofErr w:type="gramStart"/>
      <w:r w:rsidRPr="00A11799">
        <w:rPr>
          <w:rFonts w:ascii="Arial" w:eastAsia="Arial" w:hAnsi="Arial" w:cs="Arial"/>
        </w:rPr>
        <w:t>high prices</w:t>
      </w:r>
      <w:proofErr w:type="gramEnd"/>
      <w:r w:rsidRPr="00A11799">
        <w:rPr>
          <w:rFonts w:ascii="Arial" w:eastAsia="Arial" w:hAnsi="Arial" w:cs="Arial"/>
        </w:rPr>
        <w:t xml:space="preserve"> and low availability of charging stations.</w:t>
      </w:r>
    </w:p>
    <w:p w14:paraId="732923A7" w14:textId="77777777" w:rsidR="00901A3E" w:rsidRPr="00A11799" w:rsidRDefault="00901A3E" w:rsidP="00901A3E">
      <w:pPr>
        <w:rPr>
          <w:rFonts w:ascii="Arial" w:eastAsia="Arial" w:hAnsi="Arial" w:cs="Arial"/>
        </w:rPr>
      </w:pPr>
      <w:r w:rsidRPr="00A11799">
        <w:rPr>
          <w:rFonts w:ascii="Arial" w:eastAsia="Arial" w:hAnsi="Arial" w:cs="Arial"/>
          <w:b/>
          <w:bCs/>
          <w:i/>
          <w:iCs/>
        </w:rPr>
        <w:t>Legal</w:t>
      </w:r>
      <w:r w:rsidRPr="00A11799">
        <w:rPr>
          <w:rFonts w:ascii="Arial" w:eastAsia="Arial" w:hAnsi="Arial" w:cs="Arial"/>
        </w:rPr>
        <w:t>: Rules on emitting, security, and trade standards on industrial level influence the demands of production. The report published by S&amp;P Global Mobility (2025), “</w:t>
      </w:r>
      <w:r w:rsidRPr="00A11799">
        <w:rPr>
          <w:rFonts w:ascii="Arial" w:eastAsia="Arial" w:hAnsi="Arial" w:cs="Arial"/>
          <w:b/>
          <w:bCs/>
          <w:i/>
          <w:iCs/>
        </w:rPr>
        <w:t>Rota 2030</w:t>
      </w:r>
      <w:r w:rsidRPr="00A11799">
        <w:rPr>
          <w:rFonts w:ascii="Arial" w:eastAsia="Arial" w:hAnsi="Arial" w:cs="Arial"/>
        </w:rPr>
        <w:t xml:space="preserve">” </w:t>
      </w:r>
      <w:r w:rsidRPr="00A11799">
        <w:rPr>
          <w:rFonts w:ascii="Arial" w:eastAsia="Arial" w:hAnsi="Arial" w:cs="Arial"/>
        </w:rPr>
        <w:lastRenderedPageBreak/>
        <w:t xml:space="preserve">requires the use of hardcore energy and security measures. The cost of operation </w:t>
      </w:r>
      <w:proofErr w:type="gramStart"/>
      <w:r w:rsidRPr="00A11799">
        <w:rPr>
          <w:rFonts w:ascii="Arial" w:eastAsia="Arial" w:hAnsi="Arial" w:cs="Arial"/>
        </w:rPr>
        <w:t>is influenced</w:t>
      </w:r>
      <w:proofErr w:type="gramEnd"/>
      <w:r w:rsidRPr="00A11799">
        <w:rPr>
          <w:rFonts w:ascii="Arial" w:eastAsia="Arial" w:hAnsi="Arial" w:cs="Arial"/>
        </w:rPr>
        <w:t xml:space="preserve"> by adherence to labour regulations and taxing regulations that are complicated.</w:t>
      </w:r>
    </w:p>
    <w:p w14:paraId="0C49AF90" w14:textId="6456B743" w:rsidR="00901A3E" w:rsidRDefault="00901A3E" w:rsidP="00901A3E">
      <w:pPr>
        <w:rPr>
          <w:rFonts w:ascii="Arial" w:eastAsia="Arial" w:hAnsi="Arial" w:cs="Arial"/>
        </w:rPr>
      </w:pPr>
      <w:r w:rsidRPr="00A11799">
        <w:rPr>
          <w:rFonts w:ascii="Arial" w:eastAsia="Arial" w:hAnsi="Arial" w:cs="Arial"/>
          <w:b/>
          <w:bCs/>
          <w:i/>
          <w:iCs/>
        </w:rPr>
        <w:t>Environmental</w:t>
      </w:r>
      <w:r w:rsidRPr="00A11799">
        <w:rPr>
          <w:rFonts w:ascii="Arial" w:eastAsia="Arial" w:hAnsi="Arial" w:cs="Arial"/>
        </w:rPr>
        <w:t xml:space="preserve">: There is an increased pressure for sustainability, there are tighter regulations on </w:t>
      </w:r>
      <w:r w:rsidRPr="00A11799">
        <w:rPr>
          <w:rFonts w:ascii="Arial" w:eastAsia="Arial" w:hAnsi="Arial" w:cs="Arial"/>
          <w:b/>
          <w:bCs/>
          <w:i/>
          <w:iCs/>
        </w:rPr>
        <w:t>CO2 emissions,</w:t>
      </w:r>
      <w:r w:rsidRPr="00A11799">
        <w:rPr>
          <w:rFonts w:ascii="Arial" w:eastAsia="Arial" w:hAnsi="Arial" w:cs="Arial"/>
        </w:rPr>
        <w:t xml:space="preserve"> and countries have national commitments to ensure that their carbon footprints are sizable. International Energy Agency (2023) highlighted the fact that car manufacturers are putting money on </w:t>
      </w:r>
      <w:r w:rsidRPr="00A11799">
        <w:rPr>
          <w:rFonts w:ascii="Arial" w:eastAsia="Arial" w:hAnsi="Arial" w:cs="Arial"/>
          <w:b/>
          <w:bCs/>
          <w:i/>
          <w:iCs/>
        </w:rPr>
        <w:t>biofuels, ethanol engines</w:t>
      </w:r>
      <w:r w:rsidRPr="00A11799">
        <w:rPr>
          <w:rFonts w:ascii="Arial" w:eastAsia="Arial" w:hAnsi="Arial" w:cs="Arial"/>
        </w:rPr>
        <w:t>, and hybrid technologies, in line with Brazil-intense bioenergy industry.</w:t>
      </w:r>
    </w:p>
    <w:p w14:paraId="6DC1609A" w14:textId="06368AD2" w:rsidR="000A2DDC" w:rsidRDefault="000A2DDC" w:rsidP="00901A3E">
      <w:pPr>
        <w:rPr>
          <w:rFonts w:ascii="Arial" w:eastAsia="Arial" w:hAnsi="Arial" w:cs="Arial"/>
          <w:b/>
          <w:bCs/>
          <w:i/>
          <w:iCs/>
          <w:u w:val="single"/>
        </w:rPr>
      </w:pPr>
      <w:r w:rsidRPr="000A2DDC">
        <w:rPr>
          <w:rFonts w:ascii="Arial" w:eastAsia="Arial" w:hAnsi="Arial" w:cs="Arial"/>
          <w:b/>
          <w:bCs/>
          <w:i/>
          <w:iCs/>
          <w:u w:val="single"/>
        </w:rPr>
        <w:t xml:space="preserve">(refer to </w:t>
      </w:r>
      <w:r w:rsidRPr="000A2DDC">
        <w:rPr>
          <w:rFonts w:ascii="Arial" w:eastAsia="Arial" w:hAnsi="Arial" w:cs="Arial"/>
          <w:b/>
          <w:bCs/>
          <w:i/>
          <w:iCs/>
          <w:sz w:val="22"/>
          <w:szCs w:val="22"/>
          <w:u w:val="single"/>
        </w:rPr>
        <w:t>Appendix</w:t>
      </w:r>
      <w:r w:rsidRPr="000A2DDC">
        <w:rPr>
          <w:rFonts w:ascii="Arial" w:eastAsia="Arial" w:hAnsi="Arial" w:cs="Arial"/>
          <w:b/>
          <w:bCs/>
          <w:i/>
          <w:iCs/>
          <w:u w:val="single"/>
        </w:rPr>
        <w:t>)</w:t>
      </w:r>
    </w:p>
    <w:p w14:paraId="75784226" w14:textId="77777777" w:rsidR="00CA12D0" w:rsidRPr="000A2DDC" w:rsidRDefault="00CA12D0" w:rsidP="00901A3E">
      <w:pPr>
        <w:rPr>
          <w:rFonts w:ascii="Arial" w:eastAsia="Arial" w:hAnsi="Arial" w:cs="Arial"/>
          <w:b/>
          <w:bCs/>
          <w:i/>
          <w:iCs/>
          <w:u w:val="single"/>
        </w:rPr>
      </w:pPr>
    </w:p>
    <w:p w14:paraId="01E0DE64" w14:textId="226E1EDC" w:rsidR="00901A3E" w:rsidRPr="00A11799" w:rsidRDefault="00901A3E" w:rsidP="00901A3E">
      <w:pPr>
        <w:rPr>
          <w:rFonts w:ascii="Arial" w:eastAsia="Arial" w:hAnsi="Arial" w:cs="Arial"/>
          <w:b/>
          <w:bCs/>
        </w:rPr>
      </w:pPr>
      <w:r w:rsidRPr="00A11799">
        <w:rPr>
          <w:rFonts w:ascii="Arial" w:eastAsia="Arial" w:hAnsi="Arial" w:cs="Arial"/>
          <w:b/>
          <w:bCs/>
        </w:rPr>
        <w:t>Industry/ Competitive Analysis: FFM</w:t>
      </w:r>
      <w:r w:rsidR="000A2DDC">
        <w:rPr>
          <w:rFonts w:ascii="Arial" w:eastAsia="Arial" w:hAnsi="Arial" w:cs="Arial"/>
          <w:b/>
          <w:bCs/>
        </w:rPr>
        <w:t>:-</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0"/>
        <w:gridCol w:w="1530"/>
        <w:gridCol w:w="5930"/>
      </w:tblGrid>
      <w:tr w:rsidR="00901A3E" w:rsidRPr="00A11799" w14:paraId="10C90DA0" w14:textId="77777777" w:rsidTr="006E3183">
        <w:trPr>
          <w:jc w:val="center"/>
        </w:trPr>
        <w:tc>
          <w:tcPr>
            <w:tcW w:w="1900" w:type="dxa"/>
            <w:tcMar>
              <w:top w:w="100" w:type="dxa"/>
              <w:left w:w="100" w:type="dxa"/>
              <w:bottom w:w="100" w:type="dxa"/>
              <w:right w:w="100" w:type="dxa"/>
            </w:tcMar>
          </w:tcPr>
          <w:p w14:paraId="2AC042D9" w14:textId="77777777" w:rsidR="00901A3E" w:rsidRPr="00A11799" w:rsidRDefault="00901A3E" w:rsidP="006E3183">
            <w:pPr>
              <w:widowControl w:val="0"/>
              <w:pBdr>
                <w:top w:val="nil"/>
                <w:left w:val="nil"/>
                <w:bottom w:val="nil"/>
                <w:right w:val="nil"/>
                <w:between w:val="nil"/>
              </w:pBdr>
              <w:spacing w:before="0" w:after="0" w:line="240" w:lineRule="auto"/>
              <w:jc w:val="center"/>
              <w:rPr>
                <w:rFonts w:ascii="Arial" w:eastAsia="Arial" w:hAnsi="Arial" w:cs="Arial"/>
                <w:b/>
                <w:bCs/>
              </w:rPr>
            </w:pPr>
            <w:r w:rsidRPr="00A11799">
              <w:rPr>
                <w:rFonts w:ascii="Arial" w:eastAsia="Arial" w:hAnsi="Arial" w:cs="Arial"/>
                <w:b/>
                <w:bCs/>
              </w:rPr>
              <w:t xml:space="preserve">Five forces </w:t>
            </w:r>
          </w:p>
        </w:tc>
        <w:tc>
          <w:tcPr>
            <w:tcW w:w="1530" w:type="dxa"/>
            <w:tcMar>
              <w:top w:w="100" w:type="dxa"/>
              <w:left w:w="100" w:type="dxa"/>
              <w:bottom w:w="100" w:type="dxa"/>
              <w:right w:w="100" w:type="dxa"/>
            </w:tcMar>
          </w:tcPr>
          <w:p w14:paraId="2CD1523B" w14:textId="77777777" w:rsidR="00901A3E" w:rsidRPr="00A11799" w:rsidRDefault="00901A3E" w:rsidP="006E3183">
            <w:pPr>
              <w:widowControl w:val="0"/>
              <w:pBdr>
                <w:top w:val="nil"/>
                <w:left w:val="nil"/>
                <w:bottom w:val="nil"/>
                <w:right w:val="nil"/>
                <w:between w:val="nil"/>
              </w:pBdr>
              <w:spacing w:before="0" w:after="0" w:line="240" w:lineRule="auto"/>
              <w:jc w:val="center"/>
              <w:rPr>
                <w:rFonts w:ascii="Arial" w:eastAsia="Arial" w:hAnsi="Arial" w:cs="Arial"/>
                <w:b/>
                <w:bCs/>
              </w:rPr>
            </w:pPr>
            <w:r w:rsidRPr="00A11799">
              <w:rPr>
                <w:rFonts w:ascii="Arial" w:eastAsia="Arial" w:hAnsi="Arial" w:cs="Arial"/>
                <w:b/>
                <w:bCs/>
              </w:rPr>
              <w:t xml:space="preserve">Strengths </w:t>
            </w:r>
          </w:p>
        </w:tc>
        <w:tc>
          <w:tcPr>
            <w:tcW w:w="5930" w:type="dxa"/>
            <w:tcMar>
              <w:top w:w="100" w:type="dxa"/>
              <w:left w:w="100" w:type="dxa"/>
              <w:bottom w:w="100" w:type="dxa"/>
              <w:right w:w="100" w:type="dxa"/>
            </w:tcMar>
          </w:tcPr>
          <w:p w14:paraId="754C7247" w14:textId="77777777" w:rsidR="00901A3E" w:rsidRPr="00A11799" w:rsidRDefault="00901A3E" w:rsidP="006E3183">
            <w:pPr>
              <w:widowControl w:val="0"/>
              <w:pBdr>
                <w:top w:val="nil"/>
                <w:left w:val="nil"/>
                <w:bottom w:val="nil"/>
                <w:right w:val="nil"/>
                <w:between w:val="nil"/>
              </w:pBdr>
              <w:spacing w:before="0" w:after="0" w:line="240" w:lineRule="auto"/>
              <w:jc w:val="center"/>
              <w:rPr>
                <w:rFonts w:ascii="Arial" w:eastAsia="Arial" w:hAnsi="Arial" w:cs="Arial"/>
                <w:b/>
                <w:bCs/>
              </w:rPr>
            </w:pPr>
            <w:r w:rsidRPr="00A11799">
              <w:rPr>
                <w:rFonts w:ascii="Arial" w:eastAsia="Arial" w:hAnsi="Arial" w:cs="Arial"/>
                <w:b/>
                <w:bCs/>
              </w:rPr>
              <w:t>Implication on business</w:t>
            </w:r>
          </w:p>
        </w:tc>
      </w:tr>
      <w:tr w:rsidR="00901A3E" w:rsidRPr="00A11799" w14:paraId="45EEC071" w14:textId="77777777" w:rsidTr="006E3183">
        <w:trPr>
          <w:jc w:val="center"/>
        </w:trPr>
        <w:tc>
          <w:tcPr>
            <w:tcW w:w="1900" w:type="dxa"/>
            <w:tcMar>
              <w:top w:w="100" w:type="dxa"/>
              <w:left w:w="100" w:type="dxa"/>
              <w:bottom w:w="100" w:type="dxa"/>
              <w:right w:w="100" w:type="dxa"/>
            </w:tcMar>
          </w:tcPr>
          <w:p w14:paraId="0C1C621C" w14:textId="77777777" w:rsidR="00901A3E" w:rsidRPr="00A11799" w:rsidRDefault="00901A3E" w:rsidP="006E3183">
            <w:pPr>
              <w:widowControl w:val="0"/>
              <w:pBdr>
                <w:top w:val="nil"/>
                <w:left w:val="nil"/>
                <w:bottom w:val="nil"/>
                <w:right w:val="nil"/>
                <w:between w:val="nil"/>
              </w:pBdr>
              <w:spacing w:before="0" w:after="0"/>
              <w:rPr>
                <w:rFonts w:ascii="Arial" w:eastAsia="Arial" w:hAnsi="Arial" w:cs="Arial"/>
                <w:b/>
                <w:bCs/>
              </w:rPr>
            </w:pPr>
            <w:r w:rsidRPr="00A11799">
              <w:rPr>
                <w:rFonts w:ascii="Arial" w:eastAsia="Arial" w:hAnsi="Arial" w:cs="Arial"/>
                <w:b/>
                <w:bCs/>
              </w:rPr>
              <w:t xml:space="preserve">Bargaining power of customers </w:t>
            </w:r>
          </w:p>
        </w:tc>
        <w:tc>
          <w:tcPr>
            <w:tcW w:w="1530" w:type="dxa"/>
            <w:tcMar>
              <w:top w:w="100" w:type="dxa"/>
              <w:left w:w="100" w:type="dxa"/>
              <w:bottom w:w="100" w:type="dxa"/>
              <w:right w:w="100" w:type="dxa"/>
            </w:tcMar>
          </w:tcPr>
          <w:p w14:paraId="37EC7B61" w14:textId="77777777" w:rsidR="00901A3E" w:rsidRPr="00A11799" w:rsidRDefault="00901A3E" w:rsidP="006E3183">
            <w:pPr>
              <w:widowControl w:val="0"/>
              <w:pBdr>
                <w:top w:val="nil"/>
                <w:left w:val="nil"/>
                <w:bottom w:val="nil"/>
                <w:right w:val="nil"/>
                <w:between w:val="nil"/>
              </w:pBdr>
              <w:spacing w:before="0" w:after="0" w:line="240" w:lineRule="auto"/>
              <w:jc w:val="center"/>
              <w:rPr>
                <w:rFonts w:ascii="Arial" w:eastAsia="Arial" w:hAnsi="Arial" w:cs="Arial"/>
                <w:b/>
                <w:bCs/>
              </w:rPr>
            </w:pPr>
            <w:r w:rsidRPr="00A11799">
              <w:rPr>
                <w:rFonts w:ascii="Arial" w:eastAsia="Arial" w:hAnsi="Arial" w:cs="Arial"/>
                <w:b/>
                <w:bCs/>
              </w:rPr>
              <w:t xml:space="preserve">High </w:t>
            </w:r>
          </w:p>
        </w:tc>
        <w:tc>
          <w:tcPr>
            <w:tcW w:w="5930" w:type="dxa"/>
            <w:tcMar>
              <w:top w:w="100" w:type="dxa"/>
              <w:left w:w="100" w:type="dxa"/>
              <w:bottom w:w="100" w:type="dxa"/>
              <w:right w:w="100" w:type="dxa"/>
            </w:tcMar>
          </w:tcPr>
          <w:p w14:paraId="0645FC5A" w14:textId="77777777" w:rsidR="00901A3E" w:rsidRPr="00A11799" w:rsidRDefault="00901A3E" w:rsidP="006E3183">
            <w:pPr>
              <w:rPr>
                <w:rFonts w:ascii="Arial" w:eastAsia="Arial" w:hAnsi="Arial" w:cs="Arial"/>
                <w:b/>
                <w:bCs/>
              </w:rPr>
            </w:pPr>
            <w:r w:rsidRPr="00A11799">
              <w:rPr>
                <w:rFonts w:ascii="Arial" w:eastAsia="Arial" w:hAnsi="Arial" w:cs="Arial"/>
              </w:rPr>
              <w:t xml:space="preserve">Brazilian consumers are price-sensitive because of the changing economic conditions, inflation, and the issue of credit limitations. There are </w:t>
            </w:r>
            <w:proofErr w:type="gramStart"/>
            <w:r w:rsidRPr="00A11799">
              <w:rPr>
                <w:rFonts w:ascii="Arial" w:eastAsia="Arial" w:hAnsi="Arial" w:cs="Arial"/>
              </w:rPr>
              <w:t>numerous</w:t>
            </w:r>
            <w:proofErr w:type="gramEnd"/>
            <w:r w:rsidRPr="00A11799">
              <w:rPr>
                <w:rFonts w:ascii="Arial" w:eastAsia="Arial" w:hAnsi="Arial" w:cs="Arial"/>
              </w:rPr>
              <w:t xml:space="preserve"> brands, who understand buyers (Maximise Market Research, 2025). This would easily get to change brands depending on price, fuel </w:t>
            </w:r>
            <w:proofErr w:type="gramStart"/>
            <w:r w:rsidRPr="00A11799">
              <w:rPr>
                <w:rFonts w:ascii="Arial" w:eastAsia="Arial" w:hAnsi="Arial" w:cs="Arial"/>
              </w:rPr>
              <w:t>economy</w:t>
            </w:r>
            <w:proofErr w:type="gramEnd"/>
            <w:r w:rsidRPr="00A11799">
              <w:rPr>
                <w:rFonts w:ascii="Arial" w:eastAsia="Arial" w:hAnsi="Arial" w:cs="Arial"/>
              </w:rPr>
              <w:t xml:space="preserve"> or financing alternatives. </w:t>
            </w:r>
          </w:p>
        </w:tc>
      </w:tr>
      <w:tr w:rsidR="00901A3E" w:rsidRPr="00A11799" w14:paraId="7B475664" w14:textId="77777777" w:rsidTr="006E3183">
        <w:trPr>
          <w:jc w:val="center"/>
        </w:trPr>
        <w:tc>
          <w:tcPr>
            <w:tcW w:w="1900" w:type="dxa"/>
            <w:tcMar>
              <w:top w:w="100" w:type="dxa"/>
              <w:left w:w="100" w:type="dxa"/>
              <w:bottom w:w="100" w:type="dxa"/>
              <w:right w:w="100" w:type="dxa"/>
            </w:tcMar>
          </w:tcPr>
          <w:p w14:paraId="73598E48" w14:textId="77777777" w:rsidR="00901A3E" w:rsidRPr="00A11799" w:rsidRDefault="00901A3E" w:rsidP="006E3183">
            <w:pPr>
              <w:spacing w:before="0" w:after="0"/>
              <w:rPr>
                <w:rFonts w:ascii="Arial" w:eastAsia="Arial" w:hAnsi="Arial" w:cs="Arial"/>
                <w:b/>
                <w:bCs/>
              </w:rPr>
            </w:pPr>
            <w:r w:rsidRPr="00A11799">
              <w:rPr>
                <w:rFonts w:ascii="Arial" w:eastAsia="Arial" w:hAnsi="Arial" w:cs="Arial"/>
                <w:b/>
                <w:bCs/>
              </w:rPr>
              <w:t xml:space="preserve">Bargaining power of suppliers </w:t>
            </w:r>
          </w:p>
        </w:tc>
        <w:tc>
          <w:tcPr>
            <w:tcW w:w="1530" w:type="dxa"/>
            <w:tcMar>
              <w:top w:w="100" w:type="dxa"/>
              <w:left w:w="100" w:type="dxa"/>
              <w:bottom w:w="100" w:type="dxa"/>
              <w:right w:w="100" w:type="dxa"/>
            </w:tcMar>
          </w:tcPr>
          <w:p w14:paraId="4DB45B30" w14:textId="77777777" w:rsidR="00901A3E" w:rsidRPr="00A11799" w:rsidRDefault="00901A3E" w:rsidP="006E3183">
            <w:pPr>
              <w:widowControl w:val="0"/>
              <w:pBdr>
                <w:top w:val="nil"/>
                <w:left w:val="nil"/>
                <w:bottom w:val="nil"/>
                <w:right w:val="nil"/>
                <w:between w:val="nil"/>
              </w:pBdr>
              <w:spacing w:before="0" w:after="0" w:line="240" w:lineRule="auto"/>
              <w:jc w:val="center"/>
              <w:rPr>
                <w:rFonts w:ascii="Arial" w:eastAsia="Arial" w:hAnsi="Arial" w:cs="Arial"/>
                <w:b/>
                <w:bCs/>
              </w:rPr>
            </w:pPr>
            <w:r w:rsidRPr="00A11799">
              <w:rPr>
                <w:rFonts w:ascii="Arial" w:eastAsia="Arial" w:hAnsi="Arial" w:cs="Arial"/>
                <w:b/>
                <w:bCs/>
              </w:rPr>
              <w:t>Moderate to High</w:t>
            </w:r>
          </w:p>
        </w:tc>
        <w:tc>
          <w:tcPr>
            <w:tcW w:w="5930" w:type="dxa"/>
            <w:tcMar>
              <w:top w:w="100" w:type="dxa"/>
              <w:left w:w="100" w:type="dxa"/>
              <w:bottom w:w="100" w:type="dxa"/>
              <w:right w:w="100" w:type="dxa"/>
            </w:tcMar>
          </w:tcPr>
          <w:p w14:paraId="1B1B242B" w14:textId="77777777" w:rsidR="00901A3E" w:rsidRPr="00A11799" w:rsidRDefault="00901A3E" w:rsidP="006E3183">
            <w:pPr>
              <w:rPr>
                <w:rFonts w:ascii="Arial" w:eastAsia="Arial" w:hAnsi="Arial" w:cs="Arial"/>
                <w:b/>
                <w:bCs/>
              </w:rPr>
            </w:pPr>
            <w:r w:rsidRPr="00A11799">
              <w:rPr>
                <w:rFonts w:ascii="Arial" w:eastAsia="Arial" w:hAnsi="Arial" w:cs="Arial"/>
              </w:rPr>
              <w:t xml:space="preserve">Brazil shapes an automotive components system that has </w:t>
            </w:r>
            <w:proofErr w:type="gramStart"/>
            <w:r w:rsidRPr="00A11799">
              <w:rPr>
                <w:rFonts w:ascii="Arial" w:eastAsia="Arial" w:hAnsi="Arial" w:cs="Arial"/>
              </w:rPr>
              <w:t>been established</w:t>
            </w:r>
            <w:proofErr w:type="gramEnd"/>
            <w:r w:rsidRPr="00A11799">
              <w:rPr>
                <w:rFonts w:ascii="Arial" w:eastAsia="Arial" w:hAnsi="Arial" w:cs="Arial"/>
              </w:rPr>
              <w:t xml:space="preserve">, and this minimises the use of imported parts. However, Rosati (2023) argued that there are </w:t>
            </w:r>
            <w:proofErr w:type="gramStart"/>
            <w:r w:rsidRPr="00A11799">
              <w:rPr>
                <w:rFonts w:ascii="Arial" w:eastAsia="Arial" w:hAnsi="Arial" w:cs="Arial"/>
              </w:rPr>
              <w:t>many</w:t>
            </w:r>
            <w:proofErr w:type="gramEnd"/>
            <w:r w:rsidRPr="00A11799">
              <w:rPr>
                <w:rFonts w:ascii="Arial" w:eastAsia="Arial" w:hAnsi="Arial" w:cs="Arial"/>
              </w:rPr>
              <w:t xml:space="preserve"> special components imported. Currency volatility increases the costs incurred by the manufacturers giving foreign suppliers greater advantage. The power of domestic suppliers is moderate since the automaker companies often have </w:t>
            </w:r>
            <w:r w:rsidRPr="00A11799">
              <w:rPr>
                <w:rFonts w:ascii="Arial" w:eastAsia="Arial" w:hAnsi="Arial" w:cs="Arial"/>
              </w:rPr>
              <w:lastRenderedPageBreak/>
              <w:t>diversified sourcing strategies as a way of risk mitigation.</w:t>
            </w:r>
          </w:p>
        </w:tc>
      </w:tr>
      <w:tr w:rsidR="00901A3E" w:rsidRPr="00A11799" w14:paraId="03053627" w14:textId="77777777" w:rsidTr="006E3183">
        <w:trPr>
          <w:jc w:val="center"/>
        </w:trPr>
        <w:tc>
          <w:tcPr>
            <w:tcW w:w="1900" w:type="dxa"/>
            <w:tcMar>
              <w:top w:w="100" w:type="dxa"/>
              <w:left w:w="100" w:type="dxa"/>
              <w:bottom w:w="100" w:type="dxa"/>
              <w:right w:w="100" w:type="dxa"/>
            </w:tcMar>
          </w:tcPr>
          <w:p w14:paraId="7ACA332F" w14:textId="77777777" w:rsidR="00901A3E" w:rsidRPr="00A11799" w:rsidRDefault="00901A3E" w:rsidP="006E3183">
            <w:pPr>
              <w:spacing w:before="0" w:after="0"/>
              <w:rPr>
                <w:rFonts w:ascii="Arial" w:eastAsia="Arial" w:hAnsi="Arial" w:cs="Arial"/>
                <w:b/>
                <w:bCs/>
              </w:rPr>
            </w:pPr>
            <w:r w:rsidRPr="00A11799">
              <w:rPr>
                <w:rFonts w:ascii="Arial" w:eastAsia="Arial" w:hAnsi="Arial" w:cs="Arial"/>
                <w:b/>
                <w:bCs/>
              </w:rPr>
              <w:lastRenderedPageBreak/>
              <w:t>Competitive rivalry</w:t>
            </w:r>
          </w:p>
        </w:tc>
        <w:tc>
          <w:tcPr>
            <w:tcW w:w="1530" w:type="dxa"/>
            <w:tcMar>
              <w:top w:w="100" w:type="dxa"/>
              <w:left w:w="100" w:type="dxa"/>
              <w:bottom w:w="100" w:type="dxa"/>
              <w:right w:w="100" w:type="dxa"/>
            </w:tcMar>
          </w:tcPr>
          <w:p w14:paraId="3A1A91D4" w14:textId="77777777" w:rsidR="00901A3E" w:rsidRPr="00A11799" w:rsidRDefault="00901A3E" w:rsidP="006E3183">
            <w:pPr>
              <w:widowControl w:val="0"/>
              <w:pBdr>
                <w:top w:val="nil"/>
                <w:left w:val="nil"/>
                <w:bottom w:val="nil"/>
                <w:right w:val="nil"/>
                <w:between w:val="nil"/>
              </w:pBdr>
              <w:spacing w:before="0" w:after="0" w:line="240" w:lineRule="auto"/>
              <w:jc w:val="center"/>
              <w:rPr>
                <w:rFonts w:ascii="Arial" w:eastAsia="Arial" w:hAnsi="Arial" w:cs="Arial"/>
                <w:b/>
                <w:bCs/>
              </w:rPr>
            </w:pPr>
            <w:r w:rsidRPr="00A11799">
              <w:rPr>
                <w:rFonts w:ascii="Arial" w:eastAsia="Arial" w:hAnsi="Arial" w:cs="Arial"/>
                <w:b/>
                <w:bCs/>
              </w:rPr>
              <w:t xml:space="preserve">High </w:t>
            </w:r>
          </w:p>
        </w:tc>
        <w:tc>
          <w:tcPr>
            <w:tcW w:w="5930" w:type="dxa"/>
            <w:tcMar>
              <w:top w:w="100" w:type="dxa"/>
              <w:left w:w="100" w:type="dxa"/>
              <w:bottom w:w="100" w:type="dxa"/>
              <w:right w:w="100" w:type="dxa"/>
            </w:tcMar>
          </w:tcPr>
          <w:p w14:paraId="28594051" w14:textId="77777777" w:rsidR="00901A3E" w:rsidRPr="00A11799" w:rsidRDefault="00901A3E" w:rsidP="006E3183">
            <w:pPr>
              <w:rPr>
                <w:rFonts w:ascii="Arial" w:eastAsia="Arial" w:hAnsi="Arial" w:cs="Arial"/>
                <w:b/>
                <w:bCs/>
              </w:rPr>
            </w:pPr>
            <w:r w:rsidRPr="00A11799">
              <w:rPr>
                <w:rFonts w:ascii="Arial" w:eastAsia="Arial" w:hAnsi="Arial" w:cs="Arial"/>
              </w:rPr>
              <w:t xml:space="preserve">The automotive industry of Brazil is </w:t>
            </w:r>
            <w:proofErr w:type="gramStart"/>
            <w:r w:rsidRPr="00A11799">
              <w:rPr>
                <w:rFonts w:ascii="Arial" w:eastAsia="Arial" w:hAnsi="Arial" w:cs="Arial"/>
              </w:rPr>
              <w:t>very competitive</w:t>
            </w:r>
            <w:proofErr w:type="gramEnd"/>
            <w:r w:rsidRPr="00A11799">
              <w:rPr>
                <w:rFonts w:ascii="Arial" w:eastAsia="Arial" w:hAnsi="Arial" w:cs="Arial"/>
              </w:rPr>
              <w:t xml:space="preserve">. There are significant international players such as Volkswagen, General Motors, Stellantis, Toyota, Hyundai, </w:t>
            </w:r>
            <w:proofErr w:type="gramStart"/>
            <w:r w:rsidRPr="00A11799">
              <w:rPr>
                <w:rFonts w:ascii="Arial" w:eastAsia="Arial" w:hAnsi="Arial" w:cs="Arial"/>
              </w:rPr>
              <w:t>Renault</w:t>
            </w:r>
            <w:proofErr w:type="gramEnd"/>
            <w:r w:rsidRPr="00A11799">
              <w:rPr>
                <w:rFonts w:ascii="Arial" w:eastAsia="Arial" w:hAnsi="Arial" w:cs="Arial"/>
              </w:rPr>
              <w:t xml:space="preserve"> and Honda having large manufacturing plants within the country. As stated by Garraffo and Siregar (2021), the business environment is characterised by the constant innovation of models, fierce competition. The strong local production capacity increases the competition as the companies not only struggle to make sales, but also fight over the markets of the exports in Latin America (Rosati, 2023). </w:t>
            </w:r>
          </w:p>
        </w:tc>
      </w:tr>
      <w:tr w:rsidR="00901A3E" w:rsidRPr="00A11799" w14:paraId="6B871B53" w14:textId="77777777" w:rsidTr="006E3183">
        <w:trPr>
          <w:jc w:val="center"/>
        </w:trPr>
        <w:tc>
          <w:tcPr>
            <w:tcW w:w="1900" w:type="dxa"/>
            <w:tcMar>
              <w:top w:w="100" w:type="dxa"/>
              <w:left w:w="100" w:type="dxa"/>
              <w:bottom w:w="100" w:type="dxa"/>
              <w:right w:w="100" w:type="dxa"/>
            </w:tcMar>
          </w:tcPr>
          <w:p w14:paraId="79FB17A8" w14:textId="77777777" w:rsidR="00901A3E" w:rsidRPr="00A11799" w:rsidRDefault="00901A3E" w:rsidP="006E3183">
            <w:pPr>
              <w:spacing w:before="0" w:after="0"/>
              <w:rPr>
                <w:rFonts w:ascii="Arial" w:eastAsia="Arial" w:hAnsi="Arial" w:cs="Arial"/>
                <w:b/>
                <w:bCs/>
              </w:rPr>
            </w:pPr>
            <w:r w:rsidRPr="00A11799">
              <w:rPr>
                <w:rFonts w:ascii="Arial" w:eastAsia="Arial" w:hAnsi="Arial" w:cs="Arial"/>
                <w:b/>
                <w:bCs/>
              </w:rPr>
              <w:t xml:space="preserve">Threat of new entrants </w:t>
            </w:r>
          </w:p>
        </w:tc>
        <w:tc>
          <w:tcPr>
            <w:tcW w:w="1530" w:type="dxa"/>
            <w:tcMar>
              <w:top w:w="100" w:type="dxa"/>
              <w:left w:w="100" w:type="dxa"/>
              <w:bottom w:w="100" w:type="dxa"/>
              <w:right w:w="100" w:type="dxa"/>
            </w:tcMar>
          </w:tcPr>
          <w:p w14:paraId="30C78FA8" w14:textId="77777777" w:rsidR="00901A3E" w:rsidRPr="00A11799" w:rsidRDefault="00901A3E" w:rsidP="006E3183">
            <w:pPr>
              <w:widowControl w:val="0"/>
              <w:pBdr>
                <w:top w:val="nil"/>
                <w:left w:val="nil"/>
                <w:bottom w:val="nil"/>
                <w:right w:val="nil"/>
                <w:between w:val="nil"/>
              </w:pBdr>
              <w:spacing w:before="0" w:after="0" w:line="240" w:lineRule="auto"/>
              <w:jc w:val="center"/>
              <w:rPr>
                <w:rFonts w:ascii="Arial" w:eastAsia="Arial" w:hAnsi="Arial" w:cs="Arial"/>
                <w:b/>
                <w:bCs/>
              </w:rPr>
            </w:pPr>
            <w:r w:rsidRPr="00A11799">
              <w:rPr>
                <w:rFonts w:ascii="Arial" w:eastAsia="Arial" w:hAnsi="Arial" w:cs="Arial"/>
                <w:b/>
                <w:bCs/>
              </w:rPr>
              <w:t xml:space="preserve">Low </w:t>
            </w:r>
          </w:p>
        </w:tc>
        <w:tc>
          <w:tcPr>
            <w:tcW w:w="5930" w:type="dxa"/>
            <w:tcMar>
              <w:top w:w="100" w:type="dxa"/>
              <w:left w:w="100" w:type="dxa"/>
              <w:bottom w:w="100" w:type="dxa"/>
              <w:right w:w="100" w:type="dxa"/>
            </w:tcMar>
          </w:tcPr>
          <w:p w14:paraId="72DEE1BE" w14:textId="77777777" w:rsidR="00901A3E" w:rsidRPr="00A11799" w:rsidRDefault="00901A3E" w:rsidP="006E3183">
            <w:pPr>
              <w:rPr>
                <w:rFonts w:ascii="Arial" w:eastAsia="Arial" w:hAnsi="Arial" w:cs="Arial"/>
                <w:b/>
                <w:bCs/>
              </w:rPr>
            </w:pPr>
            <w:r w:rsidRPr="00A11799">
              <w:rPr>
                <w:rFonts w:ascii="Arial" w:eastAsia="Arial" w:hAnsi="Arial" w:cs="Arial"/>
              </w:rPr>
              <w:t xml:space="preserve">The report published by S&amp;P Global Mobility (2025), the policies that entrants </w:t>
            </w:r>
            <w:proofErr w:type="gramStart"/>
            <w:r w:rsidRPr="00A11799">
              <w:rPr>
                <w:rFonts w:ascii="Arial" w:eastAsia="Arial" w:hAnsi="Arial" w:cs="Arial"/>
              </w:rPr>
              <w:t>have to</w:t>
            </w:r>
            <w:proofErr w:type="gramEnd"/>
            <w:r w:rsidRPr="00A11799">
              <w:rPr>
                <w:rFonts w:ascii="Arial" w:eastAsia="Arial" w:hAnsi="Arial" w:cs="Arial"/>
              </w:rPr>
              <w:t xml:space="preserve"> go through is under Rota 2030, which requires technological and safety requirements. Penetration will be hard due to the existence of brand loyalty and distribution networks (Garraffo and Siregar, 2021). However, EV start-ups have fewer barriers to traditional barriers to entry, the cost of batteries and lack of charging infrastructure hinders entrants.</w:t>
            </w:r>
          </w:p>
        </w:tc>
      </w:tr>
      <w:tr w:rsidR="00901A3E" w:rsidRPr="00A11799" w14:paraId="47814E78" w14:textId="77777777" w:rsidTr="006E3183">
        <w:trPr>
          <w:jc w:val="center"/>
        </w:trPr>
        <w:tc>
          <w:tcPr>
            <w:tcW w:w="1900" w:type="dxa"/>
            <w:tcMar>
              <w:top w:w="100" w:type="dxa"/>
              <w:left w:w="100" w:type="dxa"/>
              <w:bottom w:w="100" w:type="dxa"/>
              <w:right w:w="100" w:type="dxa"/>
            </w:tcMar>
          </w:tcPr>
          <w:p w14:paraId="39302F2C" w14:textId="77777777" w:rsidR="00901A3E" w:rsidRPr="00A11799" w:rsidRDefault="00901A3E" w:rsidP="006E3183">
            <w:pPr>
              <w:spacing w:before="0" w:after="0"/>
              <w:rPr>
                <w:rFonts w:ascii="Arial" w:eastAsia="Arial" w:hAnsi="Arial" w:cs="Arial"/>
                <w:b/>
                <w:bCs/>
              </w:rPr>
            </w:pPr>
            <w:r w:rsidRPr="00A11799">
              <w:rPr>
                <w:rFonts w:ascii="Arial" w:eastAsia="Arial" w:hAnsi="Arial" w:cs="Arial"/>
                <w:b/>
                <w:bCs/>
              </w:rPr>
              <w:t xml:space="preserve">Threat of substitutes </w:t>
            </w:r>
          </w:p>
        </w:tc>
        <w:tc>
          <w:tcPr>
            <w:tcW w:w="1530" w:type="dxa"/>
            <w:tcMar>
              <w:top w:w="100" w:type="dxa"/>
              <w:left w:w="100" w:type="dxa"/>
              <w:bottom w:w="100" w:type="dxa"/>
              <w:right w:w="100" w:type="dxa"/>
            </w:tcMar>
          </w:tcPr>
          <w:p w14:paraId="088E73BE" w14:textId="77777777" w:rsidR="00901A3E" w:rsidRPr="00A11799" w:rsidRDefault="00901A3E" w:rsidP="006E3183">
            <w:pPr>
              <w:widowControl w:val="0"/>
              <w:pBdr>
                <w:top w:val="nil"/>
                <w:left w:val="nil"/>
                <w:bottom w:val="nil"/>
                <w:right w:val="nil"/>
                <w:between w:val="nil"/>
              </w:pBdr>
              <w:spacing w:before="0" w:after="0" w:line="240" w:lineRule="auto"/>
              <w:jc w:val="center"/>
              <w:rPr>
                <w:rFonts w:ascii="Arial" w:eastAsia="Arial" w:hAnsi="Arial" w:cs="Arial"/>
                <w:b/>
                <w:bCs/>
              </w:rPr>
            </w:pPr>
            <w:r w:rsidRPr="00A11799">
              <w:rPr>
                <w:rFonts w:ascii="Arial" w:eastAsia="Arial" w:hAnsi="Arial" w:cs="Arial"/>
                <w:b/>
                <w:bCs/>
              </w:rPr>
              <w:t>Moderate to High</w:t>
            </w:r>
          </w:p>
        </w:tc>
        <w:tc>
          <w:tcPr>
            <w:tcW w:w="5930" w:type="dxa"/>
            <w:tcMar>
              <w:top w:w="100" w:type="dxa"/>
              <w:left w:w="100" w:type="dxa"/>
              <w:bottom w:w="100" w:type="dxa"/>
              <w:right w:w="100" w:type="dxa"/>
            </w:tcMar>
          </w:tcPr>
          <w:p w14:paraId="5BFB01CF" w14:textId="77777777" w:rsidR="00901A3E" w:rsidRPr="00A11799" w:rsidRDefault="00901A3E" w:rsidP="006E3183">
            <w:pPr>
              <w:rPr>
                <w:rFonts w:ascii="Arial" w:eastAsia="Arial" w:hAnsi="Arial" w:cs="Arial"/>
                <w:b/>
                <w:bCs/>
              </w:rPr>
            </w:pPr>
            <w:r w:rsidRPr="00A11799">
              <w:rPr>
                <w:rFonts w:ascii="Arial" w:eastAsia="Arial" w:hAnsi="Arial" w:cs="Arial"/>
              </w:rPr>
              <w:t xml:space="preserve">In the view of Partsvaniya (2022), transportation in big cities is becoming better. The dependability continues to drive the consumer to car ownership. On the contrary, moderate substitutes are ride-hailing services such as Uber 99, motorcycles. The rise in the </w:t>
            </w:r>
            <w:r w:rsidRPr="00A11799">
              <w:rPr>
                <w:rFonts w:ascii="Arial" w:eastAsia="Arial" w:hAnsi="Arial" w:cs="Arial"/>
              </w:rPr>
              <w:lastRenderedPageBreak/>
              <w:t>usage of hybrid and ethanol cars also gives variety in consumer selection.</w:t>
            </w:r>
          </w:p>
        </w:tc>
      </w:tr>
    </w:tbl>
    <w:p w14:paraId="46AC3D7E" w14:textId="7B924090" w:rsidR="00901A3E" w:rsidRDefault="00901A3E" w:rsidP="00901A3E">
      <w:pPr>
        <w:pBdr>
          <w:top w:val="nil"/>
          <w:left w:val="nil"/>
          <w:bottom w:val="nil"/>
          <w:right w:val="nil"/>
          <w:between w:val="nil"/>
        </w:pBdr>
        <w:jc w:val="center"/>
        <w:rPr>
          <w:rFonts w:ascii="Arial" w:eastAsia="Arial" w:hAnsi="Arial" w:cs="Arial"/>
          <w:b/>
          <w:bCs/>
        </w:rPr>
      </w:pPr>
      <w:r w:rsidRPr="00A11799">
        <w:rPr>
          <w:rFonts w:ascii="Arial" w:eastAsia="Arial" w:hAnsi="Arial" w:cs="Arial"/>
          <w:b/>
          <w:bCs/>
        </w:rPr>
        <w:lastRenderedPageBreak/>
        <w:t xml:space="preserve">Table 1: Porter’s Five Forces analysis of Brazilian car market </w:t>
      </w:r>
    </w:p>
    <w:p w14:paraId="34C3C83A" w14:textId="77777777" w:rsidR="00CA12D0" w:rsidRPr="00A11799" w:rsidRDefault="00CA12D0" w:rsidP="00901A3E">
      <w:pPr>
        <w:pBdr>
          <w:top w:val="nil"/>
          <w:left w:val="nil"/>
          <w:bottom w:val="nil"/>
          <w:right w:val="nil"/>
          <w:between w:val="nil"/>
        </w:pBdr>
        <w:jc w:val="center"/>
        <w:rPr>
          <w:rFonts w:ascii="Arial" w:eastAsia="Arial" w:hAnsi="Arial" w:cs="Arial"/>
        </w:rPr>
      </w:pPr>
    </w:p>
    <w:p w14:paraId="58BFD3D4" w14:textId="77777777" w:rsidR="00901A3E" w:rsidRPr="00A11799" w:rsidRDefault="00901A3E" w:rsidP="00901A3E">
      <w:pPr>
        <w:pStyle w:val="Heading2"/>
        <w:rPr>
          <w:rFonts w:ascii="Arial" w:eastAsia="Arial" w:hAnsi="Arial" w:cs="Arial"/>
        </w:rPr>
      </w:pPr>
      <w:bookmarkStart w:id="12" w:name="_heading=h.2u0talsx9au9" w:colFirst="0" w:colLast="0"/>
      <w:bookmarkStart w:id="13" w:name="_Toc217248197"/>
      <w:bookmarkEnd w:id="12"/>
      <w:r w:rsidRPr="00A11799">
        <w:rPr>
          <w:rFonts w:ascii="Arial" w:eastAsia="Arial" w:hAnsi="Arial" w:cs="Arial"/>
        </w:rPr>
        <w:t>Performance analysis: SWOT:-</w:t>
      </w:r>
      <w:bookmarkEnd w:id="13"/>
    </w:p>
    <w:p w14:paraId="522E49AD" w14:textId="77777777" w:rsidR="00901A3E" w:rsidRPr="00A11799" w:rsidRDefault="00901A3E" w:rsidP="00901A3E">
      <w:pPr>
        <w:rPr>
          <w:rFonts w:ascii="Arial" w:eastAsia="Arial" w:hAnsi="Arial" w:cs="Arial"/>
          <w:b/>
          <w:bCs/>
          <w:i/>
          <w:iCs/>
        </w:rPr>
      </w:pPr>
      <w:r w:rsidRPr="00A11799">
        <w:rPr>
          <w:rFonts w:ascii="Arial" w:eastAsia="Arial" w:hAnsi="Arial" w:cs="Arial"/>
          <w:b/>
          <w:bCs/>
          <w:i/>
          <w:iCs/>
        </w:rPr>
        <w:t>Strengths</w:t>
      </w:r>
    </w:p>
    <w:p w14:paraId="54CD4DA2" w14:textId="77777777" w:rsidR="00901A3E" w:rsidRPr="00A11799" w:rsidRDefault="00901A3E" w:rsidP="00901A3E">
      <w:pPr>
        <w:rPr>
          <w:rFonts w:ascii="Arial" w:eastAsia="Arial" w:hAnsi="Arial" w:cs="Arial"/>
        </w:rPr>
      </w:pPr>
      <w:r w:rsidRPr="00A11799">
        <w:rPr>
          <w:rFonts w:ascii="Arial" w:eastAsia="Arial" w:hAnsi="Arial" w:cs="Arial"/>
        </w:rPr>
        <w:t xml:space="preserve">Tesla has established a significant brand image throughout the globe, with the world knowing that Tesla spearheaded the electric-vehicle (EV) revolution. According to Mohan (2024), Tesla is the leader in battery technology, vertical </w:t>
      </w:r>
      <w:proofErr w:type="gramStart"/>
      <w:r w:rsidRPr="00A11799">
        <w:rPr>
          <w:rFonts w:ascii="Arial" w:eastAsia="Arial" w:hAnsi="Arial" w:cs="Arial"/>
        </w:rPr>
        <w:t>manufacturing</w:t>
      </w:r>
      <w:proofErr w:type="gramEnd"/>
      <w:r w:rsidRPr="00A11799">
        <w:rPr>
          <w:rFonts w:ascii="Arial" w:eastAsia="Arial" w:hAnsi="Arial" w:cs="Arial"/>
        </w:rPr>
        <w:t xml:space="preserve"> and autonomous-driving software. Tesla has billions of vehicles on the road, which means that it has a head start in AI-based systems (Full Self-Driving) and that it can continuously improve itself through over-the-air updates. </w:t>
      </w:r>
    </w:p>
    <w:p w14:paraId="63282D3F" w14:textId="77777777" w:rsidR="00901A3E" w:rsidRPr="00A11799" w:rsidRDefault="00901A3E" w:rsidP="00901A3E">
      <w:pPr>
        <w:rPr>
          <w:rFonts w:ascii="Arial" w:eastAsia="Arial" w:hAnsi="Arial" w:cs="Arial"/>
          <w:b/>
          <w:bCs/>
          <w:i/>
          <w:iCs/>
        </w:rPr>
      </w:pPr>
      <w:r w:rsidRPr="00A11799">
        <w:rPr>
          <w:rFonts w:ascii="Arial" w:eastAsia="Arial" w:hAnsi="Arial" w:cs="Arial"/>
          <w:b/>
          <w:bCs/>
          <w:i/>
          <w:iCs/>
        </w:rPr>
        <w:t>Weaknesses</w:t>
      </w:r>
    </w:p>
    <w:p w14:paraId="175CAB39" w14:textId="77777777" w:rsidR="00901A3E" w:rsidRPr="00A11799" w:rsidRDefault="00901A3E" w:rsidP="00901A3E">
      <w:pPr>
        <w:rPr>
          <w:rFonts w:ascii="Arial" w:eastAsia="Arial" w:hAnsi="Arial" w:cs="Arial"/>
        </w:rPr>
      </w:pPr>
      <w:r w:rsidRPr="00A11799">
        <w:rPr>
          <w:rFonts w:ascii="Arial" w:eastAsia="Arial" w:hAnsi="Arial" w:cs="Arial"/>
        </w:rPr>
        <w:t xml:space="preserve">Tesla continues to depend on the sale of its EVs, and relative to the old automakers, Tesla has fewer models, which limits the market segments (Reuters, 2025). Its cars are still comparatively costly, and this can be a barrier even to price-sensitive consumers in the developing markets. Competition has increased, and margins have </w:t>
      </w:r>
      <w:proofErr w:type="gramStart"/>
      <w:r w:rsidRPr="00A11799">
        <w:rPr>
          <w:rFonts w:ascii="Arial" w:eastAsia="Arial" w:hAnsi="Arial" w:cs="Arial"/>
        </w:rPr>
        <w:t>been diminished</w:t>
      </w:r>
      <w:proofErr w:type="gramEnd"/>
      <w:r w:rsidRPr="00A11799">
        <w:rPr>
          <w:rFonts w:ascii="Arial" w:eastAsia="Arial" w:hAnsi="Arial" w:cs="Arial"/>
        </w:rPr>
        <w:t xml:space="preserve"> by price reductions to be competitive. There have also been reports on </w:t>
      </w:r>
      <w:proofErr w:type="gramStart"/>
      <w:r w:rsidRPr="00A11799">
        <w:rPr>
          <w:rFonts w:ascii="Arial" w:eastAsia="Arial" w:hAnsi="Arial" w:cs="Arial"/>
        </w:rPr>
        <w:t>some</w:t>
      </w:r>
      <w:proofErr w:type="gramEnd"/>
      <w:r w:rsidRPr="00A11799">
        <w:rPr>
          <w:rFonts w:ascii="Arial" w:eastAsia="Arial" w:hAnsi="Arial" w:cs="Arial"/>
        </w:rPr>
        <w:t xml:space="preserve"> production and quality control problems.</w:t>
      </w:r>
    </w:p>
    <w:p w14:paraId="59215B4F" w14:textId="77777777" w:rsidR="00901A3E" w:rsidRPr="00A11799" w:rsidRDefault="00901A3E" w:rsidP="00901A3E">
      <w:pPr>
        <w:rPr>
          <w:rFonts w:ascii="Arial" w:eastAsia="Arial" w:hAnsi="Arial" w:cs="Arial"/>
          <w:b/>
          <w:bCs/>
          <w:i/>
          <w:iCs/>
        </w:rPr>
      </w:pPr>
      <w:r w:rsidRPr="00A11799">
        <w:rPr>
          <w:rFonts w:ascii="Arial" w:eastAsia="Arial" w:hAnsi="Arial" w:cs="Arial"/>
          <w:b/>
          <w:bCs/>
          <w:i/>
          <w:iCs/>
        </w:rPr>
        <w:t>Opportunities</w:t>
      </w:r>
    </w:p>
    <w:p w14:paraId="6FB8C8FA" w14:textId="67A230DE" w:rsidR="00901A3E" w:rsidRDefault="00901A3E" w:rsidP="00901A3E">
      <w:pPr>
        <w:rPr>
          <w:rFonts w:ascii="Arial" w:eastAsia="Arial" w:hAnsi="Arial" w:cs="Arial"/>
        </w:rPr>
      </w:pPr>
      <w:r w:rsidRPr="00A11799">
        <w:rPr>
          <w:rFonts w:ascii="Arial" w:eastAsia="Arial" w:hAnsi="Arial" w:cs="Arial"/>
        </w:rPr>
        <w:t xml:space="preserve">The technological and market lead of Tesla is shrinking because </w:t>
      </w:r>
      <w:proofErr w:type="gramStart"/>
      <w:r w:rsidRPr="00A11799">
        <w:rPr>
          <w:rFonts w:ascii="Arial" w:eastAsia="Arial" w:hAnsi="Arial" w:cs="Arial"/>
        </w:rPr>
        <w:t>many</w:t>
      </w:r>
      <w:proofErr w:type="gramEnd"/>
      <w:r w:rsidRPr="00A11799">
        <w:rPr>
          <w:rFonts w:ascii="Arial" w:eastAsia="Arial" w:hAnsi="Arial" w:cs="Arial"/>
        </w:rPr>
        <w:t xml:space="preserve"> automakers around the world and in the region are pouring significant investments in EVs (Morgan, 2024). The production of batteries relies on lithium, nickel, among other raw materials, whose prices and supply are unpredictable and pose a threat to cost structure and profitability.</w:t>
      </w:r>
    </w:p>
    <w:p w14:paraId="5439AB8F" w14:textId="437770E7" w:rsidR="00CA12D0" w:rsidRDefault="00CA12D0" w:rsidP="00901A3E">
      <w:pPr>
        <w:rPr>
          <w:rFonts w:ascii="Arial" w:eastAsia="Arial" w:hAnsi="Arial" w:cs="Arial"/>
        </w:rPr>
      </w:pPr>
    </w:p>
    <w:p w14:paraId="58333398" w14:textId="77777777" w:rsidR="00CA12D0" w:rsidRPr="00A11799" w:rsidRDefault="00CA12D0" w:rsidP="00901A3E">
      <w:pPr>
        <w:rPr>
          <w:rFonts w:ascii="Arial" w:eastAsia="Arial" w:hAnsi="Arial" w:cs="Arial"/>
        </w:rPr>
      </w:pPr>
    </w:p>
    <w:p w14:paraId="1F031283" w14:textId="77777777" w:rsidR="00901A3E" w:rsidRPr="00A11799" w:rsidRDefault="00901A3E" w:rsidP="00901A3E">
      <w:pPr>
        <w:rPr>
          <w:rFonts w:ascii="Arial" w:eastAsia="Arial" w:hAnsi="Arial" w:cs="Arial"/>
          <w:b/>
          <w:bCs/>
          <w:i/>
          <w:iCs/>
        </w:rPr>
      </w:pPr>
      <w:r w:rsidRPr="00A11799">
        <w:rPr>
          <w:rFonts w:ascii="Arial" w:eastAsia="Arial" w:hAnsi="Arial" w:cs="Arial"/>
          <w:b/>
          <w:bCs/>
          <w:i/>
          <w:iCs/>
        </w:rPr>
        <w:lastRenderedPageBreak/>
        <w:t>Threats</w:t>
      </w:r>
    </w:p>
    <w:p w14:paraId="53E9F073" w14:textId="77777777" w:rsidR="00901A3E" w:rsidRPr="00A11799" w:rsidRDefault="00901A3E" w:rsidP="00901A3E">
      <w:pPr>
        <w:rPr>
          <w:rFonts w:ascii="Arial" w:eastAsia="Arial" w:hAnsi="Arial" w:cs="Arial"/>
        </w:rPr>
      </w:pPr>
      <w:r w:rsidRPr="00A11799">
        <w:rPr>
          <w:rFonts w:ascii="Arial" w:eastAsia="Arial" w:hAnsi="Arial" w:cs="Arial"/>
        </w:rPr>
        <w:t xml:space="preserve">There are </w:t>
      </w:r>
      <w:proofErr w:type="gramStart"/>
      <w:r w:rsidRPr="00A11799">
        <w:rPr>
          <w:rFonts w:ascii="Arial" w:eastAsia="Arial" w:hAnsi="Arial" w:cs="Arial"/>
        </w:rPr>
        <w:t>numerous</w:t>
      </w:r>
      <w:proofErr w:type="gramEnd"/>
      <w:r w:rsidRPr="00A11799">
        <w:rPr>
          <w:rFonts w:ascii="Arial" w:eastAsia="Arial" w:hAnsi="Arial" w:cs="Arial"/>
        </w:rPr>
        <w:t xml:space="preserve"> established and new automakers in the world and various regions involved in EV investments, which reduces the technological and market edge of Tesla (Morgan, 2024). Demand for premium EVs might </w:t>
      </w:r>
      <w:proofErr w:type="gramStart"/>
      <w:r w:rsidRPr="00A11799">
        <w:rPr>
          <w:rFonts w:ascii="Arial" w:eastAsia="Arial" w:hAnsi="Arial" w:cs="Arial"/>
        </w:rPr>
        <w:t>be lowered</w:t>
      </w:r>
      <w:proofErr w:type="gramEnd"/>
      <w:r w:rsidRPr="00A11799">
        <w:rPr>
          <w:rFonts w:ascii="Arial" w:eastAsia="Arial" w:hAnsi="Arial" w:cs="Arial"/>
        </w:rPr>
        <w:t xml:space="preserve"> by inflation, alterations in government incentives for EVs, fluctuations in interest rates or economic slumps.</w:t>
      </w:r>
    </w:p>
    <w:p w14:paraId="50BA42D8" w14:textId="77777777" w:rsidR="00901A3E" w:rsidRPr="00A11799" w:rsidRDefault="00901A3E" w:rsidP="00901A3E">
      <w:pPr>
        <w:pStyle w:val="Heading2"/>
        <w:rPr>
          <w:rFonts w:ascii="Arial" w:eastAsia="Arial" w:hAnsi="Arial" w:cs="Arial"/>
        </w:rPr>
      </w:pPr>
      <w:bookmarkStart w:id="14" w:name="_heading=h.mixnqr617cwx" w:colFirst="0" w:colLast="0"/>
      <w:bookmarkStart w:id="15" w:name="_Toc217248198"/>
      <w:bookmarkEnd w:id="14"/>
      <w:r w:rsidRPr="00A11799">
        <w:rPr>
          <w:rFonts w:ascii="Arial" w:eastAsia="Arial" w:hAnsi="Arial" w:cs="Arial"/>
        </w:rPr>
        <w:t>Insights and Strategic Implications:-</w:t>
      </w:r>
      <w:bookmarkEnd w:id="15"/>
    </w:p>
    <w:p w14:paraId="14A334DC" w14:textId="3F4F3AB7" w:rsidR="00901A3E" w:rsidRDefault="00901A3E" w:rsidP="00901A3E">
      <w:pPr>
        <w:rPr>
          <w:rFonts w:ascii="Arial" w:eastAsia="Arial" w:hAnsi="Arial" w:cs="Arial"/>
        </w:rPr>
      </w:pPr>
      <w:r w:rsidRPr="00A11799">
        <w:rPr>
          <w:rFonts w:ascii="Arial" w:eastAsia="Arial" w:hAnsi="Arial" w:cs="Arial"/>
        </w:rPr>
        <w:t xml:space="preserve">It can </w:t>
      </w:r>
      <w:proofErr w:type="gramStart"/>
      <w:r w:rsidRPr="00A11799">
        <w:rPr>
          <w:rFonts w:ascii="Arial" w:eastAsia="Arial" w:hAnsi="Arial" w:cs="Arial"/>
        </w:rPr>
        <w:t>be mentioned</w:t>
      </w:r>
      <w:proofErr w:type="gramEnd"/>
      <w:r w:rsidRPr="00A11799">
        <w:rPr>
          <w:rFonts w:ascii="Arial" w:eastAsia="Arial" w:hAnsi="Arial" w:cs="Arial"/>
        </w:rPr>
        <w:t xml:space="preserve"> that Tesla is a strong and innovative leader in EVs and clean energy due to its brand, technology, size, and combination strategy. Tesla needs to leverage the rise in demand for sustainable transport and energy across the world, particularly by getting into autonomous mobility and energy storage, and launching cheaper models, in order to benefit larger populations in order to sustain and extend its lead (Argus Media, 2025). Meanwhile, Tesla needs to work on the weaknesses and threats by implementing the act of decreasing the dependence on the high-end sales, controlling the margin pressures, ensuring the supply lines of the important battery materials, and avoiding the regulatory and competition risks. The balancing of innovation, affordability, and global expansion will </w:t>
      </w:r>
      <w:proofErr w:type="gramStart"/>
      <w:r w:rsidRPr="00A11799">
        <w:rPr>
          <w:rFonts w:ascii="Arial" w:eastAsia="Arial" w:hAnsi="Arial" w:cs="Arial"/>
        </w:rPr>
        <w:t>largely determine</w:t>
      </w:r>
      <w:proofErr w:type="gramEnd"/>
      <w:r w:rsidRPr="00A11799">
        <w:rPr>
          <w:rFonts w:ascii="Arial" w:eastAsia="Arial" w:hAnsi="Arial" w:cs="Arial"/>
        </w:rPr>
        <w:t xml:space="preserve"> whether Tesla will continue to lead the market in the quickly changing and ever-expanding EV and clean-energy market.</w:t>
      </w:r>
    </w:p>
    <w:p w14:paraId="5D8C58EB" w14:textId="77777777" w:rsidR="00CA12D0" w:rsidRPr="00A11799" w:rsidRDefault="00CA12D0" w:rsidP="00901A3E">
      <w:pPr>
        <w:rPr>
          <w:rFonts w:ascii="Arial" w:eastAsia="Arial" w:hAnsi="Arial" w:cs="Arial"/>
        </w:rPr>
      </w:pPr>
    </w:p>
    <w:p w14:paraId="542F8DF9" w14:textId="77777777" w:rsidR="00901A3E" w:rsidRPr="00A11799" w:rsidRDefault="00901A3E" w:rsidP="00901A3E">
      <w:pPr>
        <w:pStyle w:val="Heading1"/>
        <w:rPr>
          <w:rFonts w:ascii="Arial" w:eastAsia="Arial" w:hAnsi="Arial" w:cs="Arial"/>
        </w:rPr>
      </w:pPr>
      <w:bookmarkStart w:id="16" w:name="_Toc217248199"/>
      <w:r w:rsidRPr="00A11799">
        <w:rPr>
          <w:rFonts w:ascii="Arial" w:eastAsia="Arial" w:hAnsi="Arial" w:cs="Arial"/>
        </w:rPr>
        <w:t>3. Strategy Development and Formulation:-</w:t>
      </w:r>
      <w:bookmarkEnd w:id="16"/>
    </w:p>
    <w:p w14:paraId="3F66702F" w14:textId="7968BF72" w:rsidR="00901A3E" w:rsidRPr="00A11799" w:rsidRDefault="00901A3E" w:rsidP="00901A3E">
      <w:pPr>
        <w:pStyle w:val="Heading2"/>
        <w:rPr>
          <w:rFonts w:ascii="Arial" w:eastAsia="Arial" w:hAnsi="Arial" w:cs="Arial"/>
        </w:rPr>
      </w:pPr>
      <w:bookmarkStart w:id="17" w:name="_heading=h.d7m5tqvl79a1" w:colFirst="0" w:colLast="0"/>
      <w:bookmarkStart w:id="18" w:name="_Toc217248200"/>
      <w:bookmarkEnd w:id="17"/>
      <w:r w:rsidRPr="00A11799">
        <w:rPr>
          <w:rFonts w:ascii="Arial" w:eastAsia="Arial" w:hAnsi="Arial" w:cs="Arial"/>
        </w:rPr>
        <w:t>Strategic Direction and Rationale</w:t>
      </w:r>
      <w:r w:rsidR="000A2DDC">
        <w:rPr>
          <w:rFonts w:ascii="Arial" w:eastAsia="Arial" w:hAnsi="Arial" w:cs="Arial"/>
        </w:rPr>
        <w:t>:-</w:t>
      </w:r>
      <w:bookmarkEnd w:id="18"/>
    </w:p>
    <w:p w14:paraId="57EA9609" w14:textId="77777777" w:rsidR="00901A3E" w:rsidRPr="00A11799" w:rsidRDefault="00901A3E" w:rsidP="00901A3E">
      <w:pPr>
        <w:rPr>
          <w:rFonts w:ascii="Arial" w:hAnsi="Arial" w:cs="Arial"/>
        </w:rPr>
      </w:pPr>
      <w:r w:rsidRPr="00A11799">
        <w:rPr>
          <w:rFonts w:ascii="Arial" w:hAnsi="Arial" w:cs="Arial"/>
        </w:rPr>
        <w:t xml:space="preserve">The strategic approach Tesla takes to enter the Brazilian market is the low-risk, gradual growth, which fits the emerging EV market in Brazil and the main capabilities of Tesla. The first move, one should undertake as per the World Bank Group (2025), is to penetrate through premium urban markets like São Paulo and Rio de Janeiro with imported Model 3 and Model Y vehicles. This will enable Tesla to experiment with demand, build brand recognition, and set prices without investing seriously in a regulatory climate with uncertain rules. The justification lies in the fact that the upper-middle class of Brazil is increasing, green mobility is of great interest to the population, and the Tesla company does not enjoy a strong brand, which offers the company the first-mover advantage. The </w:t>
      </w:r>
      <w:r w:rsidRPr="00A11799">
        <w:rPr>
          <w:rFonts w:ascii="Arial" w:hAnsi="Arial" w:cs="Arial"/>
        </w:rPr>
        <w:lastRenderedPageBreak/>
        <w:t xml:space="preserve">second strategic choice is to establish a competitive advantage by being a leader in infrastructure. The scarcity of charging options is the greatest impediment to EV uptake in Brazil, thus, implementing Supercharger stations under shared ventures provides Tesla with technological distinction in addition to stimulating market acceptance. This is in line with long-term ecosystem control, which is one of the </w:t>
      </w:r>
      <w:proofErr w:type="gramStart"/>
      <w:r w:rsidRPr="00A11799">
        <w:rPr>
          <w:rFonts w:ascii="Arial" w:hAnsi="Arial" w:cs="Arial"/>
        </w:rPr>
        <w:t>main areas</w:t>
      </w:r>
      <w:proofErr w:type="gramEnd"/>
      <w:r w:rsidRPr="00A11799">
        <w:rPr>
          <w:rFonts w:ascii="Arial" w:hAnsi="Arial" w:cs="Arial"/>
        </w:rPr>
        <w:t xml:space="preserve"> of Tesla's international strategy. The third path is progressive localisation, which consists of the creation of local supplier alliances and</w:t>
      </w:r>
      <w:proofErr w:type="gramStart"/>
      <w:r w:rsidRPr="00A11799">
        <w:rPr>
          <w:rFonts w:ascii="Arial" w:hAnsi="Arial" w:cs="Arial"/>
        </w:rPr>
        <w:t>, ultimately, the</w:t>
      </w:r>
      <w:proofErr w:type="gramEnd"/>
      <w:r w:rsidRPr="00A11799">
        <w:rPr>
          <w:rFonts w:ascii="Arial" w:hAnsi="Arial" w:cs="Arial"/>
        </w:rPr>
        <w:t xml:space="preserve"> process of building vehicles in Brazil (Frennesson </w:t>
      </w:r>
      <w:r w:rsidRPr="00A11799">
        <w:rPr>
          <w:rFonts w:ascii="Arial" w:hAnsi="Arial" w:cs="Arial"/>
          <w:i/>
        </w:rPr>
        <w:t>et al</w:t>
      </w:r>
      <w:r w:rsidRPr="00A11799">
        <w:rPr>
          <w:rFonts w:ascii="Arial" w:hAnsi="Arial" w:cs="Arial"/>
        </w:rPr>
        <w:t>., 2020). This will minimise the risk of currency volatility, reduce expenses, and keep up with the incentives of Rota 2030 to be energy efficient and innovative. A combination of these strategic decisions makes Tesla sustainable to grow, competitive, and a market leader in Brazil.</w:t>
      </w:r>
    </w:p>
    <w:p w14:paraId="5D8AC4BD" w14:textId="161D8F63" w:rsidR="00901A3E" w:rsidRPr="00A11799" w:rsidRDefault="00901A3E" w:rsidP="00901A3E">
      <w:pPr>
        <w:pStyle w:val="Heading2"/>
        <w:rPr>
          <w:rFonts w:ascii="Arial" w:eastAsia="Arial" w:hAnsi="Arial" w:cs="Arial"/>
        </w:rPr>
      </w:pPr>
      <w:bookmarkStart w:id="19" w:name="_Toc217248201"/>
      <w:r w:rsidRPr="00A11799">
        <w:rPr>
          <w:rFonts w:ascii="Arial" w:eastAsia="Arial" w:hAnsi="Arial" w:cs="Arial"/>
        </w:rPr>
        <w:t>Market Entry Mode Strategy</w:t>
      </w:r>
      <w:r w:rsidR="000A2DDC">
        <w:rPr>
          <w:rFonts w:ascii="Arial" w:eastAsia="Arial" w:hAnsi="Arial" w:cs="Arial"/>
        </w:rPr>
        <w:t>:-</w:t>
      </w:r>
      <w:bookmarkEnd w:id="19"/>
    </w:p>
    <w:p w14:paraId="2FAA6EF6" w14:textId="77777777" w:rsidR="00901A3E" w:rsidRPr="00A11799" w:rsidRDefault="00901A3E" w:rsidP="00901A3E">
      <w:pPr>
        <w:rPr>
          <w:rFonts w:ascii="Arial" w:eastAsia="Arial" w:hAnsi="Arial" w:cs="Arial"/>
        </w:rPr>
      </w:pPr>
      <w:r w:rsidRPr="00A11799">
        <w:rPr>
          <w:rFonts w:ascii="Arial" w:eastAsia="Arial" w:hAnsi="Arial" w:cs="Arial"/>
        </w:rPr>
        <w:t xml:space="preserve">According to Whittington </w:t>
      </w:r>
      <w:r w:rsidRPr="00A11799">
        <w:rPr>
          <w:rFonts w:ascii="Arial" w:eastAsia="Arial" w:hAnsi="Arial" w:cs="Arial"/>
          <w:i/>
          <w:iCs/>
        </w:rPr>
        <w:t>et al</w:t>
      </w:r>
      <w:r w:rsidRPr="00A11799">
        <w:rPr>
          <w:rFonts w:ascii="Arial" w:eastAsia="Arial" w:hAnsi="Arial" w:cs="Arial"/>
        </w:rPr>
        <w:t xml:space="preserve">. (2019), it has </w:t>
      </w:r>
      <w:proofErr w:type="gramStart"/>
      <w:r w:rsidRPr="00A11799">
        <w:rPr>
          <w:rFonts w:ascii="Arial" w:eastAsia="Arial" w:hAnsi="Arial" w:cs="Arial"/>
        </w:rPr>
        <w:t>been mentioned</w:t>
      </w:r>
      <w:proofErr w:type="gramEnd"/>
      <w:r w:rsidRPr="00A11799">
        <w:rPr>
          <w:rFonts w:ascii="Arial" w:eastAsia="Arial" w:hAnsi="Arial" w:cs="Arial"/>
        </w:rPr>
        <w:t xml:space="preserve"> that the choice of an entry mode must </w:t>
      </w:r>
      <w:proofErr w:type="gramStart"/>
      <w:r w:rsidRPr="00A11799">
        <w:rPr>
          <w:rFonts w:ascii="Arial" w:eastAsia="Arial" w:hAnsi="Arial" w:cs="Arial"/>
        </w:rPr>
        <w:t>be balanced</w:t>
      </w:r>
      <w:proofErr w:type="gramEnd"/>
      <w:r w:rsidRPr="00A11799">
        <w:rPr>
          <w:rFonts w:ascii="Arial" w:eastAsia="Arial" w:hAnsi="Arial" w:cs="Arial"/>
        </w:rPr>
        <w:t xml:space="preserve"> in terms of resource commitment, risk exposure, and the level of operational control needed in the host country. In this context, </w:t>
      </w:r>
      <w:r w:rsidRPr="007D475B">
        <w:rPr>
          <w:rFonts w:ascii="Arial" w:eastAsia="Arial" w:hAnsi="Arial" w:cs="Arial"/>
          <w:b/>
          <w:bCs/>
        </w:rPr>
        <w:t>joint ventures</w:t>
      </w:r>
      <w:r w:rsidRPr="00A11799">
        <w:rPr>
          <w:rFonts w:ascii="Arial" w:eastAsia="Arial" w:hAnsi="Arial" w:cs="Arial"/>
        </w:rPr>
        <w:t xml:space="preserve"> (JVs) have been categorised as equity-based strategic alliances that are especially suited in situations that are characterised by high institutional complexity, strong localisation pressures, and high regulatory barriers. According to the analysis of the EV market in Brazil conducted by Argus Media (2025), this country is witnessing an unprecedented growth of its EV market, with 177,360 EVs registered in 2024, which represents a 90% year-on-year growth. Therefore, Tesla needs to have a localisation instead of exporting its products to be competitive.</w:t>
      </w:r>
    </w:p>
    <w:p w14:paraId="386FA736" w14:textId="77777777" w:rsidR="00901A3E" w:rsidRPr="00A11799" w:rsidRDefault="00901A3E" w:rsidP="00901A3E">
      <w:pPr>
        <w:rPr>
          <w:rFonts w:ascii="Arial" w:eastAsia="Arial" w:hAnsi="Arial" w:cs="Arial"/>
        </w:rPr>
      </w:pPr>
      <w:r w:rsidRPr="00A11799">
        <w:rPr>
          <w:rFonts w:ascii="Arial" w:eastAsia="Arial" w:hAnsi="Arial" w:cs="Arial"/>
        </w:rPr>
        <w:t xml:space="preserve">In combination with this, it has also </w:t>
      </w:r>
      <w:proofErr w:type="gramStart"/>
      <w:r w:rsidRPr="00A11799">
        <w:rPr>
          <w:rFonts w:ascii="Arial" w:eastAsia="Arial" w:hAnsi="Arial" w:cs="Arial"/>
        </w:rPr>
        <w:t>been discovered</w:t>
      </w:r>
      <w:proofErr w:type="gramEnd"/>
      <w:r w:rsidRPr="00A11799">
        <w:rPr>
          <w:rFonts w:ascii="Arial" w:eastAsia="Arial" w:hAnsi="Arial" w:cs="Arial"/>
        </w:rPr>
        <w:t xml:space="preserve"> according to Reuters (2025) that Brazil is planning to charge import taxes of up to 35% on fully assembled vehicles and in such a way, direct exporting is not economically appealing. The JV will </w:t>
      </w:r>
      <w:proofErr w:type="gramStart"/>
      <w:r w:rsidRPr="00A11799">
        <w:rPr>
          <w:rFonts w:ascii="Arial" w:eastAsia="Arial" w:hAnsi="Arial" w:cs="Arial"/>
        </w:rPr>
        <w:t>probably make</w:t>
      </w:r>
      <w:proofErr w:type="gramEnd"/>
      <w:r w:rsidRPr="00A11799">
        <w:rPr>
          <w:rFonts w:ascii="Arial" w:eastAsia="Arial" w:hAnsi="Arial" w:cs="Arial"/>
        </w:rPr>
        <w:t xml:space="preserve"> Tesla achieve local production or assembly, which means having less tariff impact and the ability to compete in prices. Moreover, according to Moura (2025), there are only 12,100 public charging points in the entire country in Brazil now. This announces great infrastructure disparities. Therefore, according to me, a local energy or car company JV would allow effective coordination of infrastructure implementation, which would enhance </w:t>
      </w:r>
      <w:r w:rsidRPr="00A11799">
        <w:rPr>
          <w:rFonts w:ascii="Arial" w:eastAsia="Arial" w:hAnsi="Arial" w:cs="Arial"/>
        </w:rPr>
        <w:lastRenderedPageBreak/>
        <w:t xml:space="preserve">the acceptance of Tesla in the market. Meanwhile, JVs are also highly resource-demanding and subject Tesla to the risk of knowledge spillover, when local partners can steal technological or managerial competencies (Shu </w:t>
      </w:r>
      <w:r w:rsidRPr="00A11799">
        <w:rPr>
          <w:rFonts w:ascii="Arial" w:eastAsia="Arial" w:hAnsi="Arial" w:cs="Arial"/>
          <w:i/>
          <w:iCs/>
        </w:rPr>
        <w:t>et al</w:t>
      </w:r>
      <w:r w:rsidRPr="00A11799">
        <w:rPr>
          <w:rFonts w:ascii="Arial" w:eastAsia="Arial" w:hAnsi="Arial" w:cs="Arial"/>
        </w:rPr>
        <w:t>., 2013). All these drawbacks are indicative of the larger constraints of equity alliances, especially on complexity, issues of governance, and strategic alignment over the long run.</w:t>
      </w:r>
    </w:p>
    <w:p w14:paraId="2E6EA646" w14:textId="6F673CBD" w:rsidR="00901A3E" w:rsidRPr="00A11799" w:rsidRDefault="00901A3E" w:rsidP="00901A3E">
      <w:pPr>
        <w:pStyle w:val="Heading2"/>
        <w:rPr>
          <w:rFonts w:ascii="Arial" w:eastAsia="Arial" w:hAnsi="Arial" w:cs="Arial"/>
        </w:rPr>
      </w:pPr>
      <w:bookmarkStart w:id="20" w:name="_Toc217248202"/>
      <w:r w:rsidRPr="00A11799">
        <w:rPr>
          <w:rFonts w:ascii="Arial" w:eastAsia="Arial" w:hAnsi="Arial" w:cs="Arial"/>
        </w:rPr>
        <w:t>Ansoff Matrix</w:t>
      </w:r>
      <w:r w:rsidR="000A2DDC">
        <w:rPr>
          <w:rFonts w:ascii="Arial" w:eastAsia="Arial" w:hAnsi="Arial" w:cs="Arial"/>
        </w:rPr>
        <w:t>:-</w:t>
      </w:r>
      <w:bookmarkEnd w:id="20"/>
    </w:p>
    <w:p w14:paraId="65ED953B" w14:textId="77777777" w:rsidR="00901A3E" w:rsidRPr="00A11799" w:rsidRDefault="00901A3E" w:rsidP="00901A3E">
      <w:pPr>
        <w:spacing w:before="0"/>
        <w:jc w:val="center"/>
        <w:rPr>
          <w:rFonts w:ascii="Arial" w:eastAsia="Arial" w:hAnsi="Arial" w:cs="Arial"/>
        </w:rPr>
      </w:pPr>
      <w:r w:rsidRPr="00A11799">
        <w:rPr>
          <w:rFonts w:ascii="Arial" w:eastAsia="Arial" w:hAnsi="Arial" w:cs="Arial"/>
          <w:noProof/>
          <w:lang w:eastAsia="en-GB"/>
        </w:rPr>
        <w:drawing>
          <wp:inline distT="0" distB="0" distL="0" distR="0" wp14:anchorId="74F92A80" wp14:editId="15E05BCD">
            <wp:extent cx="2192612" cy="1644459"/>
            <wp:effectExtent l="0" t="0" r="0" b="0"/>
            <wp:docPr id="201008867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2192612" cy="1644459"/>
                    </a:xfrm>
                    <a:prstGeom prst="rect">
                      <a:avLst/>
                    </a:prstGeom>
                    <a:ln/>
                  </pic:spPr>
                </pic:pic>
              </a:graphicData>
            </a:graphic>
          </wp:inline>
        </w:drawing>
      </w:r>
    </w:p>
    <w:p w14:paraId="6682F569" w14:textId="77777777" w:rsidR="00901A3E" w:rsidRPr="00A11799" w:rsidRDefault="00901A3E" w:rsidP="00901A3E">
      <w:pPr>
        <w:jc w:val="center"/>
        <w:rPr>
          <w:rFonts w:ascii="Arial" w:eastAsia="Arial" w:hAnsi="Arial" w:cs="Arial"/>
        </w:rPr>
      </w:pPr>
      <w:r w:rsidRPr="00A11799">
        <w:rPr>
          <w:rFonts w:ascii="Arial" w:eastAsia="Arial" w:hAnsi="Arial" w:cs="Arial"/>
          <w:b/>
          <w:bCs/>
        </w:rPr>
        <w:t>Figure 4: Ansoff Matrix</w:t>
      </w:r>
    </w:p>
    <w:p w14:paraId="490DBC73" w14:textId="77777777" w:rsidR="00901A3E" w:rsidRPr="00A11799" w:rsidRDefault="00901A3E" w:rsidP="00901A3E">
      <w:pPr>
        <w:spacing w:before="0"/>
        <w:jc w:val="center"/>
        <w:rPr>
          <w:rFonts w:ascii="Arial" w:eastAsia="Arial" w:hAnsi="Arial" w:cs="Arial"/>
        </w:rPr>
      </w:pPr>
      <w:r w:rsidRPr="00A11799">
        <w:rPr>
          <w:rFonts w:ascii="Arial" w:eastAsia="Arial" w:hAnsi="Arial" w:cs="Arial"/>
        </w:rPr>
        <w:t>(Source: Peterdy, 2025)</w:t>
      </w:r>
    </w:p>
    <w:p w14:paraId="2F03528F" w14:textId="77777777" w:rsidR="00901A3E" w:rsidRPr="00A11799" w:rsidRDefault="00901A3E" w:rsidP="00901A3E">
      <w:pPr>
        <w:spacing w:before="0"/>
        <w:rPr>
          <w:rFonts w:ascii="Arial" w:eastAsia="Arial" w:hAnsi="Arial" w:cs="Arial"/>
        </w:rPr>
      </w:pPr>
      <w:r w:rsidRPr="00A11799">
        <w:rPr>
          <w:rFonts w:ascii="Arial" w:eastAsia="Arial" w:hAnsi="Arial" w:cs="Arial"/>
        </w:rPr>
        <w:t xml:space="preserve">Ansoff Matrix provides a straightforward approach, through which Tesla can consider its alternatives as it enters Brazil, which is the largest car market in Latin America (Peterdy, 2025). As of 2023, Brazil had sold 2,204,000 automobiles and light commercial vehicles in 2023 considering 1.3% growth over 2022 (Roberts, 2024). </w:t>
      </w:r>
    </w:p>
    <w:p w14:paraId="2D82F611" w14:textId="77777777" w:rsidR="00901A3E" w:rsidRPr="00A11799" w:rsidRDefault="00901A3E" w:rsidP="00901A3E">
      <w:pPr>
        <w:spacing w:before="0"/>
        <w:rPr>
          <w:rFonts w:ascii="Arial" w:eastAsia="Arial" w:hAnsi="Arial" w:cs="Arial"/>
          <w:b/>
          <w:bCs/>
          <w:i/>
          <w:iCs/>
        </w:rPr>
      </w:pPr>
      <w:r w:rsidRPr="00A11799">
        <w:rPr>
          <w:rFonts w:ascii="Arial" w:eastAsia="Arial" w:hAnsi="Arial" w:cs="Arial"/>
          <w:b/>
          <w:bCs/>
          <w:i/>
          <w:iCs/>
        </w:rPr>
        <w:t>Market Penetration (Current Products, Current Market)</w:t>
      </w:r>
    </w:p>
    <w:p w14:paraId="1426B3E9" w14:textId="77777777" w:rsidR="00901A3E" w:rsidRPr="00A11799" w:rsidRDefault="00901A3E" w:rsidP="00901A3E">
      <w:pPr>
        <w:spacing w:before="0"/>
        <w:rPr>
          <w:rFonts w:ascii="Arial" w:eastAsia="Arial" w:hAnsi="Arial" w:cs="Arial"/>
        </w:rPr>
      </w:pPr>
      <w:r w:rsidRPr="00A11799">
        <w:rPr>
          <w:rFonts w:ascii="Arial" w:eastAsia="Arial" w:hAnsi="Arial" w:cs="Arial"/>
        </w:rPr>
        <w:t xml:space="preserve">Tesla does not officially operate in Brazil, however, through the grey market cars, they have made their way there, and even wealthier shoppers are now aware of the brand (Modern Diplomacy, 2025). It has </w:t>
      </w:r>
      <w:proofErr w:type="gramStart"/>
      <w:r w:rsidRPr="00A11799">
        <w:rPr>
          <w:rFonts w:ascii="Arial" w:eastAsia="Arial" w:hAnsi="Arial" w:cs="Arial"/>
        </w:rPr>
        <w:t>been informed</w:t>
      </w:r>
      <w:proofErr w:type="gramEnd"/>
      <w:r w:rsidRPr="00A11799">
        <w:rPr>
          <w:rFonts w:ascii="Arial" w:eastAsia="Arial" w:hAnsi="Arial" w:cs="Arial"/>
        </w:rPr>
        <w:t xml:space="preserve"> in Argus Media (2025) that EV sales rose from 93,930 units in 2023.</w:t>
      </w:r>
    </w:p>
    <w:p w14:paraId="2BD09AEE" w14:textId="77777777" w:rsidR="00901A3E" w:rsidRPr="00A11799" w:rsidRDefault="00901A3E" w:rsidP="00901A3E">
      <w:pPr>
        <w:spacing w:before="0"/>
        <w:rPr>
          <w:rFonts w:ascii="Arial" w:eastAsia="Arial" w:hAnsi="Arial" w:cs="Arial"/>
          <w:b/>
          <w:bCs/>
          <w:i/>
          <w:iCs/>
        </w:rPr>
      </w:pPr>
      <w:r w:rsidRPr="00A11799">
        <w:rPr>
          <w:rFonts w:ascii="Arial" w:eastAsia="Arial" w:hAnsi="Arial" w:cs="Arial"/>
          <w:b/>
          <w:bCs/>
          <w:i/>
          <w:iCs/>
        </w:rPr>
        <w:t>Market Development (Existing Products, New Market)</w:t>
      </w:r>
    </w:p>
    <w:p w14:paraId="7CD47985" w14:textId="77777777" w:rsidR="00901A3E" w:rsidRPr="00A11799" w:rsidRDefault="00901A3E" w:rsidP="00901A3E">
      <w:pPr>
        <w:spacing w:before="0"/>
        <w:rPr>
          <w:rFonts w:ascii="Arial" w:eastAsia="Arial" w:hAnsi="Arial" w:cs="Arial"/>
        </w:rPr>
      </w:pPr>
      <w:r w:rsidRPr="00A11799">
        <w:rPr>
          <w:rFonts w:ascii="Arial" w:eastAsia="Arial" w:hAnsi="Arial" w:cs="Arial"/>
        </w:rPr>
        <w:t xml:space="preserve">Brazil is an emerging geographic market to Tesla and it aligns to its objective to expand all over the world. According to Diego (2025), EV sales in Brazil have </w:t>
      </w:r>
      <w:proofErr w:type="gramStart"/>
      <w:r w:rsidRPr="00A11799">
        <w:rPr>
          <w:rFonts w:ascii="Arial" w:eastAsia="Arial" w:hAnsi="Arial" w:cs="Arial"/>
        </w:rPr>
        <w:t>been increased</w:t>
      </w:r>
      <w:proofErr w:type="gramEnd"/>
      <w:r w:rsidRPr="00A11799">
        <w:rPr>
          <w:rFonts w:ascii="Arial" w:eastAsia="Arial" w:hAnsi="Arial" w:cs="Arial"/>
        </w:rPr>
        <w:t xml:space="preserve"> by 63% as 14,000 EVs sold in May 2025. Tesla has an opportunity to enter in as its own </w:t>
      </w:r>
      <w:r w:rsidRPr="00A11799">
        <w:rPr>
          <w:rFonts w:ascii="Arial" w:eastAsia="Arial" w:hAnsi="Arial" w:cs="Arial"/>
        </w:rPr>
        <w:lastRenderedPageBreak/>
        <w:t xml:space="preserve">company incorporated in wholly owned form or to have an arrangement with regional assembly companies that would reduce importation duties. </w:t>
      </w:r>
    </w:p>
    <w:p w14:paraId="7E46D414" w14:textId="77777777" w:rsidR="00901A3E" w:rsidRPr="00A11799" w:rsidRDefault="00901A3E" w:rsidP="00901A3E">
      <w:pPr>
        <w:spacing w:before="0"/>
        <w:rPr>
          <w:rFonts w:ascii="Arial" w:eastAsia="Arial" w:hAnsi="Arial" w:cs="Arial"/>
          <w:b/>
          <w:bCs/>
          <w:i/>
          <w:iCs/>
        </w:rPr>
      </w:pPr>
      <w:r w:rsidRPr="00A11799">
        <w:rPr>
          <w:rFonts w:ascii="Arial" w:eastAsia="Arial" w:hAnsi="Arial" w:cs="Arial"/>
          <w:b/>
          <w:bCs/>
          <w:i/>
          <w:iCs/>
        </w:rPr>
        <w:t>Product Development (New Products, Existing Market)</w:t>
      </w:r>
    </w:p>
    <w:p w14:paraId="7E4311B3" w14:textId="77777777" w:rsidR="00901A3E" w:rsidRPr="00A11799" w:rsidRDefault="00901A3E" w:rsidP="00901A3E">
      <w:pPr>
        <w:spacing w:before="0"/>
        <w:rPr>
          <w:rFonts w:ascii="Arial" w:eastAsia="Arial" w:hAnsi="Arial" w:cs="Arial"/>
        </w:rPr>
      </w:pPr>
      <w:r w:rsidRPr="00A11799">
        <w:rPr>
          <w:rFonts w:ascii="Arial" w:eastAsia="Arial" w:hAnsi="Arial" w:cs="Arial"/>
        </w:rPr>
        <w:t>The company can provide products that are compatible with the Brazilian roads and infrastructure to make people accept Tesla. An example of these would include a cheaper EV with a price below that of the Model 3, which may appeal to the price-conscious middle-income earners of Brazil (Suba, 2020). Solar products including Tesla Solar Roof and Powerwall, are also a fit in Brazil (IEA, 2023). Offering solar services together with an EV would make Tesla unique and help Brazil to decrease emissions.</w:t>
      </w:r>
    </w:p>
    <w:p w14:paraId="6E0B0BC4" w14:textId="77777777" w:rsidR="00901A3E" w:rsidRPr="00A11799" w:rsidRDefault="00901A3E" w:rsidP="00901A3E">
      <w:pPr>
        <w:spacing w:before="0"/>
        <w:rPr>
          <w:rFonts w:ascii="Arial" w:eastAsia="Arial" w:hAnsi="Arial" w:cs="Arial"/>
          <w:b/>
          <w:bCs/>
          <w:i/>
          <w:iCs/>
        </w:rPr>
      </w:pPr>
      <w:r w:rsidRPr="00A11799">
        <w:rPr>
          <w:rFonts w:ascii="Arial" w:eastAsia="Arial" w:hAnsi="Arial" w:cs="Arial"/>
          <w:b/>
          <w:bCs/>
          <w:i/>
          <w:iCs/>
        </w:rPr>
        <w:t>Diversification (New Products, New Market)</w:t>
      </w:r>
    </w:p>
    <w:p w14:paraId="38CF5544" w14:textId="77777777" w:rsidR="00901A3E" w:rsidRPr="00A11799" w:rsidRDefault="00901A3E" w:rsidP="00901A3E">
      <w:pPr>
        <w:spacing w:before="0"/>
        <w:rPr>
          <w:rFonts w:ascii="Arial" w:hAnsi="Arial" w:cs="Arial"/>
        </w:rPr>
      </w:pPr>
      <w:r w:rsidRPr="00A11799">
        <w:rPr>
          <w:rFonts w:ascii="Arial" w:eastAsia="Arial" w:hAnsi="Arial" w:cs="Arial"/>
        </w:rPr>
        <w:t xml:space="preserve">Diversification will enable Tesla to expand beyond cars. The huge </w:t>
      </w:r>
      <w:proofErr w:type="gramStart"/>
      <w:r w:rsidRPr="00A11799">
        <w:rPr>
          <w:rFonts w:ascii="Arial" w:eastAsia="Arial" w:hAnsi="Arial" w:cs="Arial"/>
        </w:rPr>
        <w:t>logistics</w:t>
      </w:r>
      <w:proofErr w:type="gramEnd"/>
      <w:r w:rsidRPr="00A11799">
        <w:rPr>
          <w:rFonts w:ascii="Arial" w:eastAsia="Arial" w:hAnsi="Arial" w:cs="Arial"/>
        </w:rPr>
        <w:t xml:space="preserve"> and farming industry in Brazil would be able to </w:t>
      </w:r>
      <w:proofErr w:type="gramStart"/>
      <w:r w:rsidRPr="00A11799">
        <w:rPr>
          <w:rFonts w:ascii="Arial" w:eastAsia="Arial" w:hAnsi="Arial" w:cs="Arial"/>
        </w:rPr>
        <w:t>utilise</w:t>
      </w:r>
      <w:proofErr w:type="gramEnd"/>
      <w:r w:rsidRPr="00A11799">
        <w:rPr>
          <w:rFonts w:ascii="Arial" w:eastAsia="Arial" w:hAnsi="Arial" w:cs="Arial"/>
        </w:rPr>
        <w:t xml:space="preserve"> the Tesla autonomous software, Megapack storage, and the upcoming Cybertruck fleet. In the report of Dash (2025), distributed energy system storage market size of over $5.95 billion in the year of 2024 and in 2037 it </w:t>
      </w:r>
      <w:proofErr w:type="gramStart"/>
      <w:r w:rsidRPr="00A11799">
        <w:rPr>
          <w:rFonts w:ascii="Arial" w:eastAsia="Arial" w:hAnsi="Arial" w:cs="Arial"/>
        </w:rPr>
        <w:t>is expected</w:t>
      </w:r>
      <w:proofErr w:type="gramEnd"/>
      <w:r w:rsidRPr="00A11799">
        <w:rPr>
          <w:rFonts w:ascii="Arial" w:eastAsia="Arial" w:hAnsi="Arial" w:cs="Arial"/>
        </w:rPr>
        <w:t xml:space="preserve"> to reach $17.81 billion. This can reduce the dependence on car sales and this may be a risky step, but it would position Tesla as a leader in </w:t>
      </w:r>
      <w:proofErr w:type="gramStart"/>
      <w:r w:rsidRPr="00A11799">
        <w:rPr>
          <w:rFonts w:ascii="Arial" w:eastAsia="Arial" w:hAnsi="Arial" w:cs="Arial"/>
        </w:rPr>
        <w:t>a number of</w:t>
      </w:r>
      <w:proofErr w:type="gramEnd"/>
      <w:r w:rsidRPr="00A11799">
        <w:rPr>
          <w:rFonts w:ascii="Arial" w:eastAsia="Arial" w:hAnsi="Arial" w:cs="Arial"/>
        </w:rPr>
        <w:t xml:space="preserve"> sustainability areas. </w:t>
      </w:r>
    </w:p>
    <w:p w14:paraId="0506DD4F" w14:textId="0F7D2D09" w:rsidR="00901A3E" w:rsidRPr="00A11799" w:rsidRDefault="00901A3E" w:rsidP="00901A3E">
      <w:pPr>
        <w:pStyle w:val="Heading2"/>
        <w:rPr>
          <w:rFonts w:ascii="Arial" w:eastAsia="Arial" w:hAnsi="Arial" w:cs="Arial"/>
        </w:rPr>
      </w:pPr>
      <w:bookmarkStart w:id="21" w:name="_heading=h.7kwiocgzuxdc" w:colFirst="0" w:colLast="0"/>
      <w:bookmarkStart w:id="22" w:name="_Toc217248203"/>
      <w:bookmarkEnd w:id="21"/>
      <w:r w:rsidRPr="00A11799">
        <w:rPr>
          <w:rFonts w:ascii="Arial" w:eastAsia="Arial" w:hAnsi="Arial" w:cs="Arial"/>
        </w:rPr>
        <w:t>Competitive positioning: Porter’s Generic Strategies</w:t>
      </w:r>
      <w:r w:rsidR="000A2DDC">
        <w:rPr>
          <w:rFonts w:ascii="Arial" w:eastAsia="Arial" w:hAnsi="Arial" w:cs="Arial"/>
        </w:rPr>
        <w:t>:-</w:t>
      </w:r>
      <w:bookmarkEnd w:id="22"/>
    </w:p>
    <w:p w14:paraId="7364DDBD" w14:textId="77777777" w:rsidR="00901A3E" w:rsidRPr="00A11799" w:rsidRDefault="00901A3E" w:rsidP="00901A3E">
      <w:pPr>
        <w:rPr>
          <w:rFonts w:ascii="Arial" w:hAnsi="Arial" w:cs="Arial"/>
        </w:rPr>
      </w:pPr>
      <w:r w:rsidRPr="00A11799">
        <w:rPr>
          <w:rFonts w:ascii="Arial" w:eastAsia="Arial" w:hAnsi="Arial" w:cs="Arial"/>
        </w:rPr>
        <w:t xml:space="preserve">The move by Tesla into the Brazilian market best fits the differentiation approach with selective support by cost-leadership initiatives in the form of localisation and cost-efficiency advantages. The automobile market is </w:t>
      </w:r>
      <w:proofErr w:type="gramStart"/>
      <w:r w:rsidRPr="00A11799">
        <w:rPr>
          <w:rFonts w:ascii="Arial" w:eastAsia="Arial" w:hAnsi="Arial" w:cs="Arial"/>
        </w:rPr>
        <w:t>very competitive</w:t>
      </w:r>
      <w:proofErr w:type="gramEnd"/>
      <w:r w:rsidRPr="00A11799">
        <w:rPr>
          <w:rFonts w:ascii="Arial" w:eastAsia="Arial" w:hAnsi="Arial" w:cs="Arial"/>
        </w:rPr>
        <w:t xml:space="preserve">, most price sensitive, and there are </w:t>
      </w:r>
      <w:proofErr w:type="gramStart"/>
      <w:r w:rsidRPr="00A11799">
        <w:rPr>
          <w:rFonts w:ascii="Arial" w:eastAsia="Arial" w:hAnsi="Arial" w:cs="Arial"/>
        </w:rPr>
        <w:t>several</w:t>
      </w:r>
      <w:proofErr w:type="gramEnd"/>
      <w:r w:rsidRPr="00A11799">
        <w:rPr>
          <w:rFonts w:ascii="Arial" w:eastAsia="Arial" w:hAnsi="Arial" w:cs="Arial"/>
        </w:rPr>
        <w:t xml:space="preserve"> already established mass market leaders like Volkswagen, GM, </w:t>
      </w:r>
      <w:proofErr w:type="gramStart"/>
      <w:r w:rsidRPr="00A11799">
        <w:rPr>
          <w:rFonts w:ascii="Arial" w:eastAsia="Arial" w:hAnsi="Arial" w:cs="Arial"/>
        </w:rPr>
        <w:t>Toyota</w:t>
      </w:r>
      <w:proofErr w:type="gramEnd"/>
      <w:r w:rsidRPr="00A11799">
        <w:rPr>
          <w:rFonts w:ascii="Arial" w:eastAsia="Arial" w:hAnsi="Arial" w:cs="Arial"/>
        </w:rPr>
        <w:t xml:space="preserve"> and Hyundai, among others competing in the market of Brazil (Alexandre, 2025). Under these circumstances, Tesla will not be able to compete at the beginning of the pricing process based on high importation tariffs and currency fluctuations and other infrastructure limitations associated with the EV. Rather, the competitive positioning of Tesla will have to be based on technological advantages, brand image, and sustainability leadership. A </w:t>
      </w:r>
      <w:r w:rsidRPr="00A11799">
        <w:rPr>
          <w:rFonts w:ascii="Arial" w:eastAsia="Arial" w:hAnsi="Arial" w:cs="Arial"/>
          <w:b/>
          <w:bCs/>
          <w:i/>
          <w:iCs/>
        </w:rPr>
        <w:t>differentiation approach</w:t>
      </w:r>
      <w:r w:rsidRPr="00A11799">
        <w:rPr>
          <w:rFonts w:ascii="Arial" w:eastAsia="Arial" w:hAnsi="Arial" w:cs="Arial"/>
        </w:rPr>
        <w:t xml:space="preserve"> will enable Tesla to emphasise its main strengths, including autonomous driving, long-range battery performance, over-the-air </w:t>
      </w:r>
      <w:r w:rsidRPr="00A11799">
        <w:rPr>
          <w:rFonts w:ascii="Arial" w:eastAsia="Arial" w:hAnsi="Arial" w:cs="Arial"/>
        </w:rPr>
        <w:lastRenderedPageBreak/>
        <w:t xml:space="preserve">software updates, and integration with renewable energy storage (University of Cambridge, 2020). These are the features, which differentiate Tesla among the available hybrid, ethanol, and compact cars in Brazil. Such a premium positioning would be a natural target to early adopters in the key hubs such as Sao Paulo, </w:t>
      </w:r>
      <w:proofErr w:type="gramStart"/>
      <w:r w:rsidRPr="00A11799">
        <w:rPr>
          <w:rFonts w:ascii="Arial" w:eastAsia="Arial" w:hAnsi="Arial" w:cs="Arial"/>
        </w:rPr>
        <w:t>Rio de Janeiro</w:t>
      </w:r>
      <w:proofErr w:type="gramEnd"/>
      <w:r w:rsidRPr="00A11799">
        <w:rPr>
          <w:rFonts w:ascii="Arial" w:eastAsia="Arial" w:hAnsi="Arial" w:cs="Arial"/>
        </w:rPr>
        <w:t xml:space="preserve"> and Brasilia, which are wealthier consumer groups and exhibit </w:t>
      </w:r>
      <w:proofErr w:type="gramStart"/>
      <w:r w:rsidRPr="00A11799">
        <w:rPr>
          <w:rFonts w:ascii="Arial" w:eastAsia="Arial" w:hAnsi="Arial" w:cs="Arial"/>
        </w:rPr>
        <w:t>high levels</w:t>
      </w:r>
      <w:proofErr w:type="gramEnd"/>
      <w:r w:rsidRPr="00A11799">
        <w:rPr>
          <w:rFonts w:ascii="Arial" w:eastAsia="Arial" w:hAnsi="Arial" w:cs="Arial"/>
        </w:rPr>
        <w:t xml:space="preserve"> of environmental awareness. Differentiation is also applicable to the Supercharger network of Tesla, which can </w:t>
      </w:r>
      <w:proofErr w:type="gramStart"/>
      <w:r w:rsidRPr="00A11799">
        <w:rPr>
          <w:rFonts w:ascii="Arial" w:eastAsia="Arial" w:hAnsi="Arial" w:cs="Arial"/>
        </w:rPr>
        <w:t>be used</w:t>
      </w:r>
      <w:proofErr w:type="gramEnd"/>
      <w:r w:rsidRPr="00A11799">
        <w:rPr>
          <w:rFonts w:ascii="Arial" w:eastAsia="Arial" w:hAnsi="Arial" w:cs="Arial"/>
        </w:rPr>
        <w:t xml:space="preserve"> to deal with one of the biggest EV barriers in Brazil. Tesla can address differentiation in the medium term by concentrating on cost leadership, focused on reducing production and </w:t>
      </w:r>
      <w:proofErr w:type="gramStart"/>
      <w:r w:rsidRPr="00A11799">
        <w:rPr>
          <w:rFonts w:ascii="Arial" w:eastAsia="Arial" w:hAnsi="Arial" w:cs="Arial"/>
        </w:rPr>
        <w:t>logistics</w:t>
      </w:r>
      <w:proofErr w:type="gramEnd"/>
      <w:r w:rsidRPr="00A11799">
        <w:rPr>
          <w:rFonts w:ascii="Arial" w:eastAsia="Arial" w:hAnsi="Arial" w:cs="Arial"/>
        </w:rPr>
        <w:t xml:space="preserve"> costs that will </w:t>
      </w:r>
      <w:proofErr w:type="gramStart"/>
      <w:r w:rsidRPr="00A11799">
        <w:rPr>
          <w:rFonts w:ascii="Arial" w:eastAsia="Arial" w:hAnsi="Arial" w:cs="Arial"/>
        </w:rPr>
        <w:t>be achieved</w:t>
      </w:r>
      <w:proofErr w:type="gramEnd"/>
      <w:r w:rsidRPr="00A11799">
        <w:rPr>
          <w:rFonts w:ascii="Arial" w:eastAsia="Arial" w:hAnsi="Arial" w:cs="Arial"/>
        </w:rPr>
        <w:t xml:space="preserve"> gradually (Edwards, 2010). Brazil's Local assembly or Gigafactory would reduce importation tariffs through incentives in Rota 2030, take advantage of local lithium and battery-grade mineral supply, and allow the company to set competitive prices relative to Chinese EV competitors. The addition of less expensive versions like the cheap Model Y and Model 3 trim also expands the market without watering down the Tesla high-end brand.</w:t>
      </w:r>
    </w:p>
    <w:p w14:paraId="7F9B84C8" w14:textId="77777777" w:rsidR="00901A3E" w:rsidRPr="00A11799" w:rsidRDefault="00901A3E" w:rsidP="00901A3E">
      <w:pPr>
        <w:pStyle w:val="Heading2"/>
        <w:rPr>
          <w:rFonts w:ascii="Arial" w:eastAsia="Arial" w:hAnsi="Arial" w:cs="Arial"/>
        </w:rPr>
      </w:pPr>
      <w:bookmarkStart w:id="23" w:name="_heading=h.5wbq742au075" w:colFirst="0" w:colLast="0"/>
      <w:bookmarkStart w:id="24" w:name="_Toc217248204"/>
      <w:bookmarkEnd w:id="23"/>
      <w:r w:rsidRPr="00A11799">
        <w:rPr>
          <w:rFonts w:ascii="Arial" w:eastAsia="Arial" w:hAnsi="Arial" w:cs="Arial"/>
        </w:rPr>
        <w:t>Strategic Fit and Capability Assessment: VRIO Framework:-</w:t>
      </w:r>
      <w:bookmarkEnd w:id="24"/>
    </w:p>
    <w:tbl>
      <w:tblPr>
        <w:tblW w:w="9300" w:type="dxa"/>
        <w:tblBorders>
          <w:top w:val="nil"/>
          <w:left w:val="nil"/>
          <w:bottom w:val="nil"/>
          <w:right w:val="nil"/>
          <w:insideH w:val="nil"/>
          <w:insideV w:val="nil"/>
        </w:tblBorders>
        <w:tblLayout w:type="fixed"/>
        <w:tblLook w:val="0600" w:firstRow="0" w:lastRow="0" w:firstColumn="0" w:lastColumn="0" w:noHBand="1" w:noVBand="1"/>
      </w:tblPr>
      <w:tblGrid>
        <w:gridCol w:w="1845"/>
        <w:gridCol w:w="1770"/>
        <w:gridCol w:w="1410"/>
        <w:gridCol w:w="1470"/>
        <w:gridCol w:w="1380"/>
        <w:gridCol w:w="1425"/>
      </w:tblGrid>
      <w:tr w:rsidR="00901A3E" w:rsidRPr="00A11799" w14:paraId="1EEC2048" w14:textId="77777777" w:rsidTr="006E3183">
        <w:trPr>
          <w:trHeight w:val="855"/>
        </w:trPr>
        <w:tc>
          <w:tcPr>
            <w:tcW w:w="184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C41E6DE"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Resource / Capability</w:t>
            </w:r>
          </w:p>
        </w:tc>
        <w:tc>
          <w:tcPr>
            <w:tcW w:w="177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7429003"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Valuable?</w:t>
            </w:r>
          </w:p>
        </w:tc>
        <w:tc>
          <w:tcPr>
            <w:tcW w:w="141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F9BBA3A"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Rare?</w:t>
            </w:r>
          </w:p>
        </w:tc>
        <w:tc>
          <w:tcPr>
            <w:tcW w:w="147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4441592"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Inimitable?</w:t>
            </w:r>
          </w:p>
        </w:tc>
        <w:tc>
          <w:tcPr>
            <w:tcW w:w="138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2FC34FE"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Organised to Capture Value?</w:t>
            </w:r>
          </w:p>
        </w:tc>
        <w:tc>
          <w:tcPr>
            <w:tcW w:w="142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089BB87"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Strategic Implication</w:t>
            </w:r>
          </w:p>
        </w:tc>
      </w:tr>
      <w:tr w:rsidR="00901A3E" w:rsidRPr="00A11799" w14:paraId="00B85B39" w14:textId="77777777" w:rsidTr="006E3183">
        <w:trPr>
          <w:trHeight w:val="1680"/>
        </w:trPr>
        <w:tc>
          <w:tcPr>
            <w:tcW w:w="18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39F35C2"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Advanced battery technology (long range, efficiency)</w:t>
            </w:r>
          </w:p>
        </w:tc>
        <w:tc>
          <w:tcPr>
            <w:tcW w:w="1770" w:type="dxa"/>
            <w:tcBorders>
              <w:top w:val="nil"/>
              <w:left w:val="nil"/>
              <w:bottom w:val="single" w:sz="6" w:space="0" w:color="000000"/>
              <w:right w:val="single" w:sz="6" w:space="0" w:color="000000"/>
            </w:tcBorders>
            <w:tcMar>
              <w:top w:w="0" w:type="dxa"/>
              <w:left w:w="100" w:type="dxa"/>
              <w:bottom w:w="0" w:type="dxa"/>
              <w:right w:w="100" w:type="dxa"/>
            </w:tcMar>
          </w:tcPr>
          <w:p w14:paraId="6DDE37E1"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essential for Brazil’s weak charging infrastructure</w:t>
            </w:r>
          </w:p>
        </w:tc>
        <w:tc>
          <w:tcPr>
            <w:tcW w:w="1410" w:type="dxa"/>
            <w:tcBorders>
              <w:top w:val="nil"/>
              <w:left w:val="nil"/>
              <w:bottom w:val="single" w:sz="6" w:space="0" w:color="000000"/>
              <w:right w:val="single" w:sz="6" w:space="0" w:color="000000"/>
            </w:tcBorders>
            <w:tcMar>
              <w:top w:w="0" w:type="dxa"/>
              <w:left w:w="100" w:type="dxa"/>
              <w:bottom w:w="0" w:type="dxa"/>
              <w:right w:w="100" w:type="dxa"/>
            </w:tcMar>
          </w:tcPr>
          <w:p w14:paraId="01129BDE"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few competitors match Tesla’s energy density</w:t>
            </w:r>
          </w:p>
        </w:tc>
        <w:tc>
          <w:tcPr>
            <w:tcW w:w="1470" w:type="dxa"/>
            <w:tcBorders>
              <w:top w:val="nil"/>
              <w:left w:val="nil"/>
              <w:bottom w:val="single" w:sz="6" w:space="0" w:color="000000"/>
              <w:right w:val="single" w:sz="6" w:space="0" w:color="000000"/>
            </w:tcBorders>
            <w:tcMar>
              <w:top w:w="0" w:type="dxa"/>
              <w:left w:w="100" w:type="dxa"/>
              <w:bottom w:w="0" w:type="dxa"/>
              <w:right w:w="100" w:type="dxa"/>
            </w:tcMar>
          </w:tcPr>
          <w:p w14:paraId="41F24121"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High – requires years of R&amp;D and supplier integration</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14:paraId="05B972A6"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supported by global Gigafactory network</w:t>
            </w:r>
          </w:p>
        </w:tc>
        <w:tc>
          <w:tcPr>
            <w:tcW w:w="1425" w:type="dxa"/>
            <w:tcBorders>
              <w:top w:val="nil"/>
              <w:left w:val="nil"/>
              <w:bottom w:val="single" w:sz="6" w:space="0" w:color="000000"/>
              <w:right w:val="single" w:sz="6" w:space="0" w:color="000000"/>
            </w:tcBorders>
            <w:tcMar>
              <w:top w:w="0" w:type="dxa"/>
              <w:left w:w="100" w:type="dxa"/>
              <w:bottom w:w="0" w:type="dxa"/>
              <w:right w:w="100" w:type="dxa"/>
            </w:tcMar>
          </w:tcPr>
          <w:p w14:paraId="366FF936"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Sustained competitive advantage</w:t>
            </w:r>
          </w:p>
        </w:tc>
      </w:tr>
      <w:tr w:rsidR="00901A3E" w:rsidRPr="00A11799" w14:paraId="432014FF" w14:textId="77777777" w:rsidTr="006E3183">
        <w:trPr>
          <w:trHeight w:val="1680"/>
        </w:trPr>
        <w:tc>
          <w:tcPr>
            <w:tcW w:w="18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B903B93"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Autopilot &amp; AI-driven software ecosystem</w:t>
            </w:r>
          </w:p>
        </w:tc>
        <w:tc>
          <w:tcPr>
            <w:tcW w:w="1770" w:type="dxa"/>
            <w:tcBorders>
              <w:top w:val="nil"/>
              <w:left w:val="nil"/>
              <w:bottom w:val="single" w:sz="6" w:space="0" w:color="000000"/>
              <w:right w:val="single" w:sz="6" w:space="0" w:color="000000"/>
            </w:tcBorders>
            <w:tcMar>
              <w:top w:w="0" w:type="dxa"/>
              <w:left w:w="100" w:type="dxa"/>
              <w:bottom w:w="0" w:type="dxa"/>
              <w:right w:w="100" w:type="dxa"/>
            </w:tcMar>
          </w:tcPr>
          <w:p w14:paraId="274A5424"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differentiates Tesla in a tech-driven market</w:t>
            </w:r>
          </w:p>
        </w:tc>
        <w:tc>
          <w:tcPr>
            <w:tcW w:w="1410" w:type="dxa"/>
            <w:tcBorders>
              <w:top w:val="nil"/>
              <w:left w:val="nil"/>
              <w:bottom w:val="single" w:sz="6" w:space="0" w:color="000000"/>
              <w:right w:val="single" w:sz="6" w:space="0" w:color="000000"/>
            </w:tcBorders>
            <w:tcMar>
              <w:top w:w="0" w:type="dxa"/>
              <w:left w:w="100" w:type="dxa"/>
              <w:bottom w:w="0" w:type="dxa"/>
              <w:right w:w="100" w:type="dxa"/>
            </w:tcMar>
          </w:tcPr>
          <w:p w14:paraId="698AB0EF"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data advantage is rare</w:t>
            </w:r>
          </w:p>
        </w:tc>
        <w:tc>
          <w:tcPr>
            <w:tcW w:w="1470" w:type="dxa"/>
            <w:tcBorders>
              <w:top w:val="nil"/>
              <w:left w:val="nil"/>
              <w:bottom w:val="single" w:sz="6" w:space="0" w:color="000000"/>
              <w:right w:val="single" w:sz="6" w:space="0" w:color="000000"/>
            </w:tcBorders>
            <w:tcMar>
              <w:top w:w="0" w:type="dxa"/>
              <w:left w:w="100" w:type="dxa"/>
              <w:bottom w:w="0" w:type="dxa"/>
              <w:right w:w="100" w:type="dxa"/>
            </w:tcMar>
          </w:tcPr>
          <w:p w14:paraId="08B2A216" w14:textId="77777777" w:rsidR="00901A3E" w:rsidRPr="00A11799" w:rsidRDefault="00901A3E" w:rsidP="006E3183">
            <w:pPr>
              <w:spacing w:before="0" w:after="0" w:line="276" w:lineRule="auto"/>
              <w:rPr>
                <w:rFonts w:ascii="Arial" w:eastAsia="Arial" w:hAnsi="Arial" w:cs="Arial"/>
              </w:rPr>
            </w:pPr>
            <w:proofErr w:type="gramStart"/>
            <w:r w:rsidRPr="00A11799">
              <w:rPr>
                <w:rFonts w:ascii="Arial" w:eastAsia="Arial" w:hAnsi="Arial" w:cs="Arial"/>
              </w:rPr>
              <w:t>Very high</w:t>
            </w:r>
            <w:proofErr w:type="gramEnd"/>
            <w:r w:rsidRPr="00A11799">
              <w:rPr>
                <w:rFonts w:ascii="Arial" w:eastAsia="Arial" w:hAnsi="Arial" w:cs="Arial"/>
              </w:rPr>
              <w:t xml:space="preserve"> – dependent on proprietary data and algorithms</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14:paraId="4800D0A0"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OTA updates fully utilised</w:t>
            </w:r>
          </w:p>
        </w:tc>
        <w:tc>
          <w:tcPr>
            <w:tcW w:w="1425" w:type="dxa"/>
            <w:tcBorders>
              <w:top w:val="nil"/>
              <w:left w:val="nil"/>
              <w:bottom w:val="single" w:sz="6" w:space="0" w:color="000000"/>
              <w:right w:val="single" w:sz="6" w:space="0" w:color="000000"/>
            </w:tcBorders>
            <w:tcMar>
              <w:top w:w="0" w:type="dxa"/>
              <w:left w:w="100" w:type="dxa"/>
              <w:bottom w:w="0" w:type="dxa"/>
              <w:right w:w="100" w:type="dxa"/>
            </w:tcMar>
          </w:tcPr>
          <w:p w14:paraId="62507186"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Long-term competitive advantage</w:t>
            </w:r>
          </w:p>
        </w:tc>
      </w:tr>
      <w:tr w:rsidR="00901A3E" w:rsidRPr="00A11799" w14:paraId="7A7F842B" w14:textId="77777777" w:rsidTr="006E3183">
        <w:trPr>
          <w:trHeight w:val="1680"/>
        </w:trPr>
        <w:tc>
          <w:tcPr>
            <w:tcW w:w="18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0D24305"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lastRenderedPageBreak/>
              <w:t>Supercharger infrastructure model</w:t>
            </w:r>
          </w:p>
        </w:tc>
        <w:tc>
          <w:tcPr>
            <w:tcW w:w="1770" w:type="dxa"/>
            <w:tcBorders>
              <w:top w:val="nil"/>
              <w:left w:val="nil"/>
              <w:bottom w:val="single" w:sz="6" w:space="0" w:color="000000"/>
              <w:right w:val="single" w:sz="6" w:space="0" w:color="000000"/>
            </w:tcBorders>
            <w:tcMar>
              <w:top w:w="0" w:type="dxa"/>
              <w:left w:w="100" w:type="dxa"/>
              <w:bottom w:w="0" w:type="dxa"/>
              <w:right w:w="100" w:type="dxa"/>
            </w:tcMar>
          </w:tcPr>
          <w:p w14:paraId="5D61DC20"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addresses Brazil’s largest EV adoption barrier</w:t>
            </w:r>
          </w:p>
        </w:tc>
        <w:tc>
          <w:tcPr>
            <w:tcW w:w="1410" w:type="dxa"/>
            <w:tcBorders>
              <w:top w:val="nil"/>
              <w:left w:val="nil"/>
              <w:bottom w:val="single" w:sz="6" w:space="0" w:color="000000"/>
              <w:right w:val="single" w:sz="6" w:space="0" w:color="000000"/>
            </w:tcBorders>
            <w:tcMar>
              <w:top w:w="0" w:type="dxa"/>
              <w:left w:w="100" w:type="dxa"/>
              <w:bottom w:w="0" w:type="dxa"/>
              <w:right w:w="100" w:type="dxa"/>
            </w:tcMar>
          </w:tcPr>
          <w:p w14:paraId="0E469224"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no similar nationwide network</w:t>
            </w:r>
          </w:p>
        </w:tc>
        <w:tc>
          <w:tcPr>
            <w:tcW w:w="1470" w:type="dxa"/>
            <w:tcBorders>
              <w:top w:val="nil"/>
              <w:left w:val="nil"/>
              <w:bottom w:val="single" w:sz="6" w:space="0" w:color="000000"/>
              <w:right w:val="single" w:sz="6" w:space="0" w:color="000000"/>
            </w:tcBorders>
            <w:tcMar>
              <w:top w:w="0" w:type="dxa"/>
              <w:left w:w="100" w:type="dxa"/>
              <w:bottom w:w="0" w:type="dxa"/>
              <w:right w:w="100" w:type="dxa"/>
            </w:tcMar>
          </w:tcPr>
          <w:p w14:paraId="446132BD"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Moderate–High – requires capital, partnerships, and tech</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14:paraId="5FE45752"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scalable through joint ventures</w:t>
            </w:r>
          </w:p>
        </w:tc>
        <w:tc>
          <w:tcPr>
            <w:tcW w:w="1425" w:type="dxa"/>
            <w:tcBorders>
              <w:top w:val="nil"/>
              <w:left w:val="nil"/>
              <w:bottom w:val="single" w:sz="6" w:space="0" w:color="000000"/>
              <w:right w:val="single" w:sz="6" w:space="0" w:color="000000"/>
            </w:tcBorders>
            <w:tcMar>
              <w:top w:w="0" w:type="dxa"/>
              <w:left w:w="100" w:type="dxa"/>
              <w:bottom w:w="0" w:type="dxa"/>
              <w:right w:w="100" w:type="dxa"/>
            </w:tcMar>
          </w:tcPr>
          <w:p w14:paraId="55F6DCC0"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Strong, durable competitive advantage</w:t>
            </w:r>
          </w:p>
        </w:tc>
      </w:tr>
      <w:tr w:rsidR="00901A3E" w:rsidRPr="00A11799" w14:paraId="7E509D4F" w14:textId="77777777" w:rsidTr="006E3183">
        <w:trPr>
          <w:trHeight w:val="1680"/>
        </w:trPr>
        <w:tc>
          <w:tcPr>
            <w:tcW w:w="18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FE5E56"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Brand reputation &amp; EV leadership</w:t>
            </w:r>
          </w:p>
        </w:tc>
        <w:tc>
          <w:tcPr>
            <w:tcW w:w="1770" w:type="dxa"/>
            <w:tcBorders>
              <w:top w:val="nil"/>
              <w:left w:val="nil"/>
              <w:bottom w:val="single" w:sz="6" w:space="0" w:color="000000"/>
              <w:right w:val="single" w:sz="6" w:space="0" w:color="000000"/>
            </w:tcBorders>
            <w:tcMar>
              <w:top w:w="0" w:type="dxa"/>
              <w:left w:w="100" w:type="dxa"/>
              <w:bottom w:w="0" w:type="dxa"/>
              <w:right w:w="100" w:type="dxa"/>
            </w:tcMar>
          </w:tcPr>
          <w:p w14:paraId="2175AE55"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enhances early adoption in premium urban markets</w:t>
            </w:r>
          </w:p>
        </w:tc>
        <w:tc>
          <w:tcPr>
            <w:tcW w:w="1410" w:type="dxa"/>
            <w:tcBorders>
              <w:top w:val="nil"/>
              <w:left w:val="nil"/>
              <w:bottom w:val="single" w:sz="6" w:space="0" w:color="000000"/>
              <w:right w:val="single" w:sz="6" w:space="0" w:color="000000"/>
            </w:tcBorders>
            <w:tcMar>
              <w:top w:w="0" w:type="dxa"/>
              <w:left w:w="100" w:type="dxa"/>
              <w:bottom w:w="0" w:type="dxa"/>
              <w:right w:w="100" w:type="dxa"/>
            </w:tcMar>
          </w:tcPr>
          <w:p w14:paraId="3AADC959"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strongest global EV brand</w:t>
            </w:r>
          </w:p>
        </w:tc>
        <w:tc>
          <w:tcPr>
            <w:tcW w:w="1470" w:type="dxa"/>
            <w:tcBorders>
              <w:top w:val="nil"/>
              <w:left w:val="nil"/>
              <w:bottom w:val="single" w:sz="6" w:space="0" w:color="000000"/>
              <w:right w:val="single" w:sz="6" w:space="0" w:color="000000"/>
            </w:tcBorders>
            <w:tcMar>
              <w:top w:w="0" w:type="dxa"/>
              <w:left w:w="100" w:type="dxa"/>
              <w:bottom w:w="0" w:type="dxa"/>
              <w:right w:w="100" w:type="dxa"/>
            </w:tcMar>
          </w:tcPr>
          <w:p w14:paraId="38122656"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High – built over years of innovation</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14:paraId="2B558444"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strong global marketing and community</w:t>
            </w:r>
          </w:p>
        </w:tc>
        <w:tc>
          <w:tcPr>
            <w:tcW w:w="1425" w:type="dxa"/>
            <w:tcBorders>
              <w:top w:val="nil"/>
              <w:left w:val="nil"/>
              <w:bottom w:val="single" w:sz="6" w:space="0" w:color="000000"/>
              <w:right w:val="single" w:sz="6" w:space="0" w:color="000000"/>
            </w:tcBorders>
            <w:tcMar>
              <w:top w:w="0" w:type="dxa"/>
              <w:left w:w="100" w:type="dxa"/>
              <w:bottom w:w="0" w:type="dxa"/>
              <w:right w:w="100" w:type="dxa"/>
            </w:tcMar>
          </w:tcPr>
          <w:p w14:paraId="0ABFE213"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Sustained competitive advantage</w:t>
            </w:r>
          </w:p>
        </w:tc>
      </w:tr>
      <w:tr w:rsidR="00901A3E" w:rsidRPr="00A11799" w14:paraId="1996DB0A" w14:textId="77777777" w:rsidTr="006E3183">
        <w:trPr>
          <w:trHeight w:val="1680"/>
        </w:trPr>
        <w:tc>
          <w:tcPr>
            <w:tcW w:w="18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5AFD88E"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Vertical integration (batteries, software, manufacturing)</w:t>
            </w:r>
          </w:p>
        </w:tc>
        <w:tc>
          <w:tcPr>
            <w:tcW w:w="1770" w:type="dxa"/>
            <w:tcBorders>
              <w:top w:val="nil"/>
              <w:left w:val="nil"/>
              <w:bottom w:val="single" w:sz="6" w:space="0" w:color="000000"/>
              <w:right w:val="single" w:sz="6" w:space="0" w:color="000000"/>
            </w:tcBorders>
            <w:tcMar>
              <w:top w:w="0" w:type="dxa"/>
              <w:left w:w="100" w:type="dxa"/>
              <w:bottom w:w="0" w:type="dxa"/>
              <w:right w:w="100" w:type="dxa"/>
            </w:tcMar>
          </w:tcPr>
          <w:p w14:paraId="7613BF56"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lowers long-term cost &amp; boosts control</w:t>
            </w:r>
          </w:p>
        </w:tc>
        <w:tc>
          <w:tcPr>
            <w:tcW w:w="1410" w:type="dxa"/>
            <w:tcBorders>
              <w:top w:val="nil"/>
              <w:left w:val="nil"/>
              <w:bottom w:val="single" w:sz="6" w:space="0" w:color="000000"/>
              <w:right w:val="single" w:sz="6" w:space="0" w:color="000000"/>
            </w:tcBorders>
            <w:tcMar>
              <w:top w:w="0" w:type="dxa"/>
              <w:left w:w="100" w:type="dxa"/>
              <w:bottom w:w="0" w:type="dxa"/>
              <w:right w:w="100" w:type="dxa"/>
            </w:tcMar>
          </w:tcPr>
          <w:p w14:paraId="6EA03AE7"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Rare – few automakers match Tesla’s integration level</w:t>
            </w:r>
          </w:p>
        </w:tc>
        <w:tc>
          <w:tcPr>
            <w:tcW w:w="1470" w:type="dxa"/>
            <w:tcBorders>
              <w:top w:val="nil"/>
              <w:left w:val="nil"/>
              <w:bottom w:val="single" w:sz="6" w:space="0" w:color="000000"/>
              <w:right w:val="single" w:sz="6" w:space="0" w:color="000000"/>
            </w:tcBorders>
            <w:tcMar>
              <w:top w:w="0" w:type="dxa"/>
              <w:left w:w="100" w:type="dxa"/>
              <w:bottom w:w="0" w:type="dxa"/>
              <w:right w:w="100" w:type="dxa"/>
            </w:tcMar>
          </w:tcPr>
          <w:p w14:paraId="1400A914"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High – complex systems not easy to replicate</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14:paraId="78633329"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efficient global operations</w:t>
            </w:r>
          </w:p>
        </w:tc>
        <w:tc>
          <w:tcPr>
            <w:tcW w:w="1425" w:type="dxa"/>
            <w:tcBorders>
              <w:top w:val="nil"/>
              <w:left w:val="nil"/>
              <w:bottom w:val="single" w:sz="6" w:space="0" w:color="000000"/>
              <w:right w:val="single" w:sz="6" w:space="0" w:color="000000"/>
            </w:tcBorders>
            <w:tcMar>
              <w:top w:w="0" w:type="dxa"/>
              <w:left w:w="100" w:type="dxa"/>
              <w:bottom w:w="0" w:type="dxa"/>
              <w:right w:w="100" w:type="dxa"/>
            </w:tcMar>
          </w:tcPr>
          <w:p w14:paraId="10AEB65D"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Sustained competitive advantage</w:t>
            </w:r>
          </w:p>
        </w:tc>
      </w:tr>
      <w:tr w:rsidR="00901A3E" w:rsidRPr="00A11799" w14:paraId="20C87C7E" w14:textId="77777777" w:rsidTr="006E3183">
        <w:trPr>
          <w:trHeight w:val="1410"/>
        </w:trPr>
        <w:tc>
          <w:tcPr>
            <w:tcW w:w="18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B5DCC86"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Local partnerships potential (renewables, retail, energy)</w:t>
            </w:r>
          </w:p>
        </w:tc>
        <w:tc>
          <w:tcPr>
            <w:tcW w:w="1770" w:type="dxa"/>
            <w:tcBorders>
              <w:top w:val="nil"/>
              <w:left w:val="nil"/>
              <w:bottom w:val="single" w:sz="6" w:space="0" w:color="000000"/>
              <w:right w:val="single" w:sz="6" w:space="0" w:color="000000"/>
            </w:tcBorders>
            <w:tcMar>
              <w:top w:w="0" w:type="dxa"/>
              <w:left w:w="100" w:type="dxa"/>
              <w:bottom w:w="0" w:type="dxa"/>
              <w:right w:w="100" w:type="dxa"/>
            </w:tcMar>
          </w:tcPr>
          <w:p w14:paraId="687C0BDE"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reduces entry cost &amp; enhances localisation</w:t>
            </w:r>
          </w:p>
        </w:tc>
        <w:tc>
          <w:tcPr>
            <w:tcW w:w="1410" w:type="dxa"/>
            <w:tcBorders>
              <w:top w:val="nil"/>
              <w:left w:val="nil"/>
              <w:bottom w:val="single" w:sz="6" w:space="0" w:color="000000"/>
              <w:right w:val="single" w:sz="6" w:space="0" w:color="000000"/>
            </w:tcBorders>
            <w:tcMar>
              <w:top w:w="0" w:type="dxa"/>
              <w:left w:w="100" w:type="dxa"/>
              <w:bottom w:w="0" w:type="dxa"/>
              <w:right w:w="100" w:type="dxa"/>
            </w:tcMar>
          </w:tcPr>
          <w:p w14:paraId="79E01FA8"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No – competitors can also form partnerships</w:t>
            </w:r>
          </w:p>
        </w:tc>
        <w:tc>
          <w:tcPr>
            <w:tcW w:w="1470" w:type="dxa"/>
            <w:tcBorders>
              <w:top w:val="nil"/>
              <w:left w:val="nil"/>
              <w:bottom w:val="single" w:sz="6" w:space="0" w:color="000000"/>
              <w:right w:val="single" w:sz="6" w:space="0" w:color="000000"/>
            </w:tcBorders>
            <w:tcMar>
              <w:top w:w="0" w:type="dxa"/>
              <w:left w:w="100" w:type="dxa"/>
              <w:bottom w:w="0" w:type="dxa"/>
              <w:right w:w="100" w:type="dxa"/>
            </w:tcMar>
          </w:tcPr>
          <w:p w14:paraId="262B7255"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Low – easily imitable</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14:paraId="6BCDFBEC"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Partially – depends on execution in Brazil</w:t>
            </w:r>
          </w:p>
        </w:tc>
        <w:tc>
          <w:tcPr>
            <w:tcW w:w="1425" w:type="dxa"/>
            <w:tcBorders>
              <w:top w:val="nil"/>
              <w:left w:val="nil"/>
              <w:bottom w:val="single" w:sz="6" w:space="0" w:color="000000"/>
              <w:right w:val="single" w:sz="6" w:space="0" w:color="000000"/>
            </w:tcBorders>
            <w:tcMar>
              <w:top w:w="0" w:type="dxa"/>
              <w:left w:w="100" w:type="dxa"/>
              <w:bottom w:w="0" w:type="dxa"/>
              <w:right w:w="100" w:type="dxa"/>
            </w:tcMar>
          </w:tcPr>
          <w:p w14:paraId="58466CCB"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Temporary competitive advantage</w:t>
            </w:r>
          </w:p>
        </w:tc>
      </w:tr>
      <w:tr w:rsidR="00901A3E" w:rsidRPr="00A11799" w14:paraId="4B3629F0" w14:textId="77777777" w:rsidTr="006E3183">
        <w:trPr>
          <w:trHeight w:val="1410"/>
        </w:trPr>
        <w:tc>
          <w:tcPr>
            <w:tcW w:w="184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65CB1F5" w14:textId="77777777" w:rsidR="00901A3E" w:rsidRPr="00A11799" w:rsidRDefault="00901A3E" w:rsidP="006E3183">
            <w:pPr>
              <w:spacing w:before="0" w:after="0" w:line="276" w:lineRule="auto"/>
              <w:rPr>
                <w:rFonts w:ascii="Arial" w:eastAsia="Arial" w:hAnsi="Arial" w:cs="Arial"/>
                <w:b/>
                <w:bCs/>
              </w:rPr>
            </w:pPr>
            <w:r w:rsidRPr="00A11799">
              <w:rPr>
                <w:rFonts w:ascii="Arial" w:eastAsia="Arial" w:hAnsi="Arial" w:cs="Arial"/>
                <w:b/>
                <w:bCs/>
              </w:rPr>
              <w:t>Lower-priced models (e.g., Model 3/Y variants)</w:t>
            </w:r>
          </w:p>
        </w:tc>
        <w:tc>
          <w:tcPr>
            <w:tcW w:w="1770" w:type="dxa"/>
            <w:tcBorders>
              <w:top w:val="nil"/>
              <w:left w:val="nil"/>
              <w:bottom w:val="single" w:sz="6" w:space="0" w:color="000000"/>
              <w:right w:val="single" w:sz="6" w:space="0" w:color="000000"/>
            </w:tcBorders>
            <w:tcMar>
              <w:top w:w="0" w:type="dxa"/>
              <w:left w:w="100" w:type="dxa"/>
              <w:bottom w:w="0" w:type="dxa"/>
              <w:right w:w="100" w:type="dxa"/>
            </w:tcMar>
          </w:tcPr>
          <w:p w14:paraId="6D23E914"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Yes – improves price competitiveness in Brazil</w:t>
            </w:r>
          </w:p>
        </w:tc>
        <w:tc>
          <w:tcPr>
            <w:tcW w:w="1410" w:type="dxa"/>
            <w:tcBorders>
              <w:top w:val="nil"/>
              <w:left w:val="nil"/>
              <w:bottom w:val="single" w:sz="6" w:space="0" w:color="000000"/>
              <w:right w:val="single" w:sz="6" w:space="0" w:color="000000"/>
            </w:tcBorders>
            <w:tcMar>
              <w:top w:w="0" w:type="dxa"/>
              <w:left w:w="100" w:type="dxa"/>
              <w:bottom w:w="0" w:type="dxa"/>
              <w:right w:w="100" w:type="dxa"/>
            </w:tcMar>
          </w:tcPr>
          <w:p w14:paraId="15B1A5BF"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No – competitors also offer affordable EVs</w:t>
            </w:r>
          </w:p>
        </w:tc>
        <w:tc>
          <w:tcPr>
            <w:tcW w:w="1470" w:type="dxa"/>
            <w:tcBorders>
              <w:top w:val="nil"/>
              <w:left w:val="nil"/>
              <w:bottom w:val="single" w:sz="6" w:space="0" w:color="000000"/>
              <w:right w:val="single" w:sz="6" w:space="0" w:color="000000"/>
            </w:tcBorders>
            <w:tcMar>
              <w:top w:w="0" w:type="dxa"/>
              <w:left w:w="100" w:type="dxa"/>
              <w:bottom w:w="0" w:type="dxa"/>
              <w:right w:w="100" w:type="dxa"/>
            </w:tcMar>
          </w:tcPr>
          <w:p w14:paraId="5B303F11" w14:textId="77777777" w:rsidR="00901A3E" w:rsidRPr="00A11799" w:rsidRDefault="00901A3E" w:rsidP="006E3183">
            <w:pPr>
              <w:spacing w:before="0" w:after="0" w:line="276" w:lineRule="auto"/>
              <w:rPr>
                <w:rFonts w:ascii="Arial" w:eastAsia="Arial" w:hAnsi="Arial" w:cs="Arial"/>
              </w:rPr>
            </w:pPr>
            <w:r w:rsidRPr="00A11799">
              <w:rPr>
                <w:rFonts w:ascii="Arial" w:eastAsia="Arial" w:hAnsi="Arial" w:cs="Arial"/>
              </w:rPr>
              <w:t>Lo</w:t>
            </w:r>
          </w:p>
        </w:tc>
        <w:tc>
          <w:tcPr>
            <w:tcW w:w="1380" w:type="dxa"/>
            <w:tcBorders>
              <w:top w:val="nil"/>
              <w:left w:val="nil"/>
              <w:bottom w:val="single" w:sz="6" w:space="0" w:color="000000"/>
              <w:right w:val="single" w:sz="6" w:space="0" w:color="000000"/>
            </w:tcBorders>
            <w:tcMar>
              <w:top w:w="0" w:type="dxa"/>
              <w:left w:w="100" w:type="dxa"/>
              <w:bottom w:w="0" w:type="dxa"/>
              <w:right w:w="100" w:type="dxa"/>
            </w:tcMar>
          </w:tcPr>
          <w:p w14:paraId="64F04F3B" w14:textId="77777777" w:rsidR="00901A3E" w:rsidRPr="00A11799" w:rsidRDefault="00901A3E" w:rsidP="006E3183">
            <w:pPr>
              <w:spacing w:before="0" w:after="0"/>
              <w:rPr>
                <w:rFonts w:ascii="Arial" w:eastAsia="Arial" w:hAnsi="Arial" w:cs="Arial"/>
              </w:rPr>
            </w:pPr>
          </w:p>
        </w:tc>
        <w:tc>
          <w:tcPr>
            <w:tcW w:w="1425" w:type="dxa"/>
            <w:tcBorders>
              <w:top w:val="nil"/>
              <w:left w:val="nil"/>
              <w:bottom w:val="single" w:sz="6" w:space="0" w:color="000000"/>
              <w:right w:val="single" w:sz="6" w:space="0" w:color="000000"/>
            </w:tcBorders>
            <w:tcMar>
              <w:top w:w="0" w:type="dxa"/>
              <w:left w:w="100" w:type="dxa"/>
              <w:bottom w:w="0" w:type="dxa"/>
              <w:right w:w="100" w:type="dxa"/>
            </w:tcMar>
          </w:tcPr>
          <w:p w14:paraId="721C8563" w14:textId="77777777" w:rsidR="00901A3E" w:rsidRPr="00A11799" w:rsidRDefault="00901A3E" w:rsidP="006E3183">
            <w:pPr>
              <w:spacing w:before="0" w:after="0"/>
              <w:rPr>
                <w:rFonts w:ascii="Arial" w:eastAsia="Arial" w:hAnsi="Arial" w:cs="Arial"/>
              </w:rPr>
            </w:pPr>
          </w:p>
        </w:tc>
      </w:tr>
    </w:tbl>
    <w:p w14:paraId="77F3C981" w14:textId="77777777" w:rsidR="00901A3E" w:rsidRPr="00A11799" w:rsidRDefault="00901A3E" w:rsidP="00901A3E">
      <w:pPr>
        <w:pStyle w:val="Caption"/>
        <w:rPr>
          <w:rFonts w:ascii="Arial" w:hAnsi="Arial" w:cs="Arial"/>
        </w:rPr>
      </w:pPr>
      <w:r w:rsidRPr="00A11799">
        <w:rPr>
          <w:rFonts w:ascii="Arial" w:hAnsi="Arial" w:cs="Arial"/>
        </w:rPr>
        <w:t>Table 2: VRIO framework</w:t>
      </w:r>
    </w:p>
    <w:p w14:paraId="5E865A97" w14:textId="2EDD1BE9" w:rsidR="00901A3E" w:rsidRPr="00A11799" w:rsidRDefault="00901A3E" w:rsidP="00901A3E">
      <w:pPr>
        <w:pStyle w:val="Heading2"/>
        <w:rPr>
          <w:rFonts w:ascii="Arial" w:eastAsia="Arial" w:hAnsi="Arial" w:cs="Arial"/>
        </w:rPr>
      </w:pPr>
      <w:bookmarkStart w:id="25" w:name="_heading=h.pg3v63jjboj0" w:colFirst="0" w:colLast="0"/>
      <w:bookmarkStart w:id="26" w:name="_Toc217248205"/>
      <w:bookmarkEnd w:id="25"/>
      <w:r w:rsidRPr="00A11799">
        <w:rPr>
          <w:rFonts w:ascii="Arial" w:eastAsia="Arial" w:hAnsi="Arial" w:cs="Arial"/>
        </w:rPr>
        <w:t>Strategy Implementation Components</w:t>
      </w:r>
      <w:r w:rsidR="000A2DDC">
        <w:rPr>
          <w:rFonts w:ascii="Arial" w:eastAsia="Arial" w:hAnsi="Arial" w:cs="Arial"/>
        </w:rPr>
        <w:t>:-</w:t>
      </w:r>
      <w:bookmarkEnd w:id="26"/>
    </w:p>
    <w:p w14:paraId="634E2F17" w14:textId="77777777" w:rsidR="00901A3E" w:rsidRPr="00A11799" w:rsidRDefault="00901A3E" w:rsidP="00901A3E">
      <w:pPr>
        <w:rPr>
          <w:rFonts w:ascii="Arial" w:hAnsi="Arial" w:cs="Arial"/>
        </w:rPr>
      </w:pPr>
      <w:r w:rsidRPr="00A11799">
        <w:rPr>
          <w:rFonts w:ascii="Arial" w:eastAsia="Arial" w:hAnsi="Arial" w:cs="Arial"/>
        </w:rPr>
        <w:t xml:space="preserve">The execution of the strategy that will help Tesla expand into Brazil must </w:t>
      </w:r>
      <w:proofErr w:type="gramStart"/>
      <w:r w:rsidRPr="00A11799">
        <w:rPr>
          <w:rFonts w:ascii="Arial" w:eastAsia="Arial" w:hAnsi="Arial" w:cs="Arial"/>
        </w:rPr>
        <w:t>be accompanied</w:t>
      </w:r>
      <w:proofErr w:type="gramEnd"/>
      <w:r w:rsidRPr="00A11799">
        <w:rPr>
          <w:rFonts w:ascii="Arial" w:eastAsia="Arial" w:hAnsi="Arial" w:cs="Arial"/>
        </w:rPr>
        <w:t xml:space="preserve"> by the coordination of the organisational resources, capabilities, and risk-management practices to allow the company to enter the Brazilian market without any issues. Firstly is regulatory alignment, in which Tesla should constantly keep an eye on the changing policies of the automotive industry in Brazil, such as Rota 2030, and change its investment strategy as needed, which will align with it (Electrive, 2025). This </w:t>
      </w:r>
      <w:proofErr w:type="gramStart"/>
      <w:r w:rsidRPr="00A11799">
        <w:rPr>
          <w:rFonts w:ascii="Arial" w:eastAsia="Arial" w:hAnsi="Arial" w:cs="Arial"/>
        </w:rPr>
        <w:t>is combined</w:t>
      </w:r>
      <w:proofErr w:type="gramEnd"/>
      <w:r w:rsidRPr="00A11799">
        <w:rPr>
          <w:rFonts w:ascii="Arial" w:eastAsia="Arial" w:hAnsi="Arial" w:cs="Arial"/>
        </w:rPr>
        <w:t xml:space="preserve"> with a </w:t>
      </w:r>
      <w:r w:rsidRPr="00A11799">
        <w:rPr>
          <w:rFonts w:ascii="Arial" w:eastAsia="Arial" w:hAnsi="Arial" w:cs="Arial"/>
        </w:rPr>
        <w:lastRenderedPageBreak/>
        <w:t xml:space="preserve">gradual entry of the foreign country through initial imports and gradual localisation because this will reduce the exposure to the policy and tariff fluctuations. The second one is infrastructure development because the current charging network in Brazil is among the greatest obstacles to EV adoption (Globalen LLC, 2024). The implementation of the strategy ought to focus on collaboration with shopping malls, renewable energy companies, as well as real-estate developers to install Supercharger stations in large urban centres. In addition to this, Tesla should market home-charging solutions to enhance the convenience for the customers. Financial and supply chain resilience is the third important aspect. The shortages and volatility of currencies in the area make hedging measures and diversified sourcing as well as long-term strategies to form a local assembly or battery joint venture necessary (Globalen LLC, 2024). It will lower the cost of production and make the Tesla vehicles competitively priced as compared to the established manufacturers and the emerging Chinese EV manufacturers. The presence of effective marketing and differentiation strategy implementation, based on the Tesla brand, battery technology, and software ecosystem, will assist in reaching premium urban consumers and then </w:t>
      </w:r>
      <w:proofErr w:type="gramStart"/>
      <w:r w:rsidRPr="00A11799">
        <w:rPr>
          <w:rFonts w:ascii="Arial" w:eastAsia="Arial" w:hAnsi="Arial" w:cs="Arial"/>
        </w:rPr>
        <w:t>opening up</w:t>
      </w:r>
      <w:proofErr w:type="gramEnd"/>
      <w:r w:rsidRPr="00A11799">
        <w:rPr>
          <w:rFonts w:ascii="Arial" w:eastAsia="Arial" w:hAnsi="Arial" w:cs="Arial"/>
        </w:rPr>
        <w:t xml:space="preserve"> to a wider audience. All these elements </w:t>
      </w:r>
      <w:proofErr w:type="gramStart"/>
      <w:r w:rsidRPr="00A11799">
        <w:rPr>
          <w:rFonts w:ascii="Arial" w:eastAsia="Arial" w:hAnsi="Arial" w:cs="Arial"/>
        </w:rPr>
        <w:t>are combined</w:t>
      </w:r>
      <w:proofErr w:type="gramEnd"/>
      <w:r w:rsidRPr="00A11799">
        <w:rPr>
          <w:rFonts w:ascii="Arial" w:eastAsia="Arial" w:hAnsi="Arial" w:cs="Arial"/>
        </w:rPr>
        <w:t xml:space="preserve"> to provide a sustainable and scalable implementation of the Tesla strategy in Brazil.</w:t>
      </w:r>
    </w:p>
    <w:p w14:paraId="49717632" w14:textId="3C12DC26" w:rsidR="00901A3E" w:rsidRPr="00A11799" w:rsidRDefault="00901A3E" w:rsidP="00901A3E">
      <w:pPr>
        <w:pStyle w:val="Heading2"/>
        <w:rPr>
          <w:rFonts w:ascii="Arial" w:eastAsia="Arial" w:hAnsi="Arial" w:cs="Arial"/>
          <w:b w:val="0"/>
          <w:bCs w:val="0"/>
        </w:rPr>
      </w:pPr>
      <w:bookmarkStart w:id="27" w:name="_heading=h.wu7cghfcwk36" w:colFirst="0" w:colLast="0"/>
      <w:bookmarkStart w:id="28" w:name="_Toc217248206"/>
      <w:bookmarkEnd w:id="27"/>
      <w:r w:rsidRPr="00A11799">
        <w:rPr>
          <w:rFonts w:ascii="Arial" w:eastAsia="Arial" w:hAnsi="Arial" w:cs="Arial"/>
        </w:rPr>
        <w:t>Risk analysis and mitigation</w:t>
      </w:r>
      <w:r w:rsidR="000A2DDC">
        <w:rPr>
          <w:rFonts w:ascii="Arial" w:eastAsia="Arial" w:hAnsi="Arial" w:cs="Arial"/>
        </w:rPr>
        <w:t>:-</w:t>
      </w:r>
      <w:bookmarkEnd w:id="28"/>
    </w:p>
    <w:tbl>
      <w:tblPr>
        <w:tblW w:w="9865" w:type="dxa"/>
        <w:tblBorders>
          <w:top w:val="nil"/>
          <w:left w:val="nil"/>
          <w:bottom w:val="nil"/>
          <w:right w:val="nil"/>
          <w:insideH w:val="nil"/>
          <w:insideV w:val="nil"/>
        </w:tblBorders>
        <w:tblLayout w:type="fixed"/>
        <w:tblLook w:val="0600" w:firstRow="0" w:lastRow="0" w:firstColumn="0" w:lastColumn="0" w:noHBand="1" w:noVBand="1"/>
      </w:tblPr>
      <w:tblGrid>
        <w:gridCol w:w="1391"/>
        <w:gridCol w:w="1381"/>
        <w:gridCol w:w="1441"/>
        <w:gridCol w:w="781"/>
        <w:gridCol w:w="810"/>
        <w:gridCol w:w="1134"/>
        <w:gridCol w:w="1681"/>
        <w:gridCol w:w="1246"/>
      </w:tblGrid>
      <w:tr w:rsidR="00901A3E" w:rsidRPr="00A11799" w14:paraId="42A1F906" w14:textId="77777777" w:rsidTr="006E3183">
        <w:trPr>
          <w:trHeight w:val="1033"/>
        </w:trPr>
        <w:tc>
          <w:tcPr>
            <w:tcW w:w="1391"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0D04B23" w14:textId="77777777" w:rsidR="00901A3E" w:rsidRPr="00A11799" w:rsidRDefault="00901A3E" w:rsidP="006E3183">
            <w:pPr>
              <w:spacing w:before="0" w:after="0"/>
              <w:jc w:val="center"/>
              <w:rPr>
                <w:rFonts w:ascii="Arial" w:hAnsi="Arial" w:cs="Arial"/>
                <w:b/>
                <w:bCs/>
              </w:rPr>
            </w:pPr>
            <w:r w:rsidRPr="00A11799">
              <w:rPr>
                <w:rFonts w:ascii="Arial" w:hAnsi="Arial" w:cs="Arial"/>
                <w:b/>
                <w:bCs/>
              </w:rPr>
              <w:t>Risk</w:t>
            </w:r>
          </w:p>
        </w:tc>
        <w:tc>
          <w:tcPr>
            <w:tcW w:w="1381"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1DF3190" w14:textId="77777777" w:rsidR="00901A3E" w:rsidRPr="00A11799" w:rsidRDefault="00901A3E" w:rsidP="006E3183">
            <w:pPr>
              <w:spacing w:before="0" w:after="0"/>
              <w:jc w:val="center"/>
              <w:rPr>
                <w:rFonts w:ascii="Arial" w:hAnsi="Arial" w:cs="Arial"/>
                <w:b/>
                <w:bCs/>
              </w:rPr>
            </w:pPr>
            <w:r w:rsidRPr="00A11799">
              <w:rPr>
                <w:rFonts w:ascii="Arial" w:hAnsi="Arial" w:cs="Arial"/>
                <w:b/>
                <w:bCs/>
              </w:rPr>
              <w:t>Risk description and causes</w:t>
            </w:r>
          </w:p>
        </w:tc>
        <w:tc>
          <w:tcPr>
            <w:tcW w:w="1441"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A7D55D4" w14:textId="77777777" w:rsidR="00901A3E" w:rsidRPr="00A11799" w:rsidRDefault="00901A3E" w:rsidP="006E3183">
            <w:pPr>
              <w:spacing w:before="0" w:after="0"/>
              <w:jc w:val="center"/>
              <w:rPr>
                <w:rFonts w:ascii="Arial" w:hAnsi="Arial" w:cs="Arial"/>
                <w:b/>
                <w:bCs/>
              </w:rPr>
            </w:pPr>
            <w:r w:rsidRPr="00A11799">
              <w:rPr>
                <w:rFonts w:ascii="Arial" w:hAnsi="Arial" w:cs="Arial"/>
                <w:b/>
                <w:bCs/>
              </w:rPr>
              <w:t>Impact description</w:t>
            </w:r>
          </w:p>
        </w:tc>
        <w:tc>
          <w:tcPr>
            <w:tcW w:w="781"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5526AE0" w14:textId="77777777" w:rsidR="00901A3E" w:rsidRPr="00A11799" w:rsidRDefault="00901A3E" w:rsidP="006E3183">
            <w:pPr>
              <w:spacing w:before="0" w:after="0"/>
              <w:jc w:val="center"/>
              <w:rPr>
                <w:rFonts w:ascii="Arial" w:hAnsi="Arial" w:cs="Arial"/>
                <w:b/>
                <w:bCs/>
              </w:rPr>
            </w:pPr>
            <w:r w:rsidRPr="00A11799">
              <w:rPr>
                <w:rFonts w:ascii="Arial" w:hAnsi="Arial" w:cs="Arial"/>
                <w:b/>
                <w:bCs/>
              </w:rPr>
              <w:t>Impact level (1–5)</w:t>
            </w:r>
          </w:p>
        </w:tc>
        <w:tc>
          <w:tcPr>
            <w:tcW w:w="81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5DAEA71" w14:textId="77777777" w:rsidR="00901A3E" w:rsidRPr="00A11799" w:rsidRDefault="00901A3E" w:rsidP="006E3183">
            <w:pPr>
              <w:spacing w:before="0" w:after="0"/>
              <w:jc w:val="center"/>
              <w:rPr>
                <w:rFonts w:ascii="Arial" w:hAnsi="Arial" w:cs="Arial"/>
                <w:b/>
                <w:bCs/>
              </w:rPr>
            </w:pPr>
            <w:r w:rsidRPr="00A11799">
              <w:rPr>
                <w:rFonts w:ascii="Arial" w:hAnsi="Arial" w:cs="Arial"/>
                <w:b/>
                <w:bCs/>
              </w:rPr>
              <w:t>Probability level (1–5)</w:t>
            </w:r>
          </w:p>
        </w:tc>
        <w:tc>
          <w:tcPr>
            <w:tcW w:w="1134"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A60CD70" w14:textId="77777777" w:rsidR="00901A3E" w:rsidRPr="00A11799" w:rsidRDefault="00901A3E" w:rsidP="006E3183">
            <w:pPr>
              <w:spacing w:before="0" w:after="0"/>
              <w:jc w:val="center"/>
              <w:rPr>
                <w:rFonts w:ascii="Arial" w:hAnsi="Arial" w:cs="Arial"/>
                <w:b/>
                <w:bCs/>
              </w:rPr>
            </w:pPr>
            <w:r w:rsidRPr="00A11799">
              <w:rPr>
                <w:rFonts w:ascii="Arial" w:hAnsi="Arial" w:cs="Arial"/>
                <w:b/>
                <w:bCs/>
              </w:rPr>
              <w:t>Priority level (Impact × Probability)</w:t>
            </w:r>
          </w:p>
        </w:tc>
        <w:tc>
          <w:tcPr>
            <w:tcW w:w="1681"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EB61A19" w14:textId="77777777" w:rsidR="00901A3E" w:rsidRPr="00A11799" w:rsidRDefault="00901A3E" w:rsidP="006E3183">
            <w:pPr>
              <w:spacing w:before="0" w:after="0"/>
              <w:jc w:val="center"/>
              <w:rPr>
                <w:rFonts w:ascii="Arial" w:hAnsi="Arial" w:cs="Arial"/>
                <w:b/>
                <w:bCs/>
              </w:rPr>
            </w:pPr>
            <w:r w:rsidRPr="00A11799">
              <w:rPr>
                <w:rFonts w:ascii="Arial" w:hAnsi="Arial" w:cs="Arial"/>
                <w:b/>
                <w:bCs/>
              </w:rPr>
              <w:t>Mitigation strategies</w:t>
            </w:r>
          </w:p>
        </w:tc>
        <w:tc>
          <w:tcPr>
            <w:tcW w:w="1246"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B143E2C" w14:textId="77777777" w:rsidR="00901A3E" w:rsidRPr="00A11799" w:rsidRDefault="00901A3E" w:rsidP="006E3183">
            <w:pPr>
              <w:spacing w:before="0" w:after="0"/>
              <w:jc w:val="center"/>
              <w:rPr>
                <w:rFonts w:ascii="Arial" w:hAnsi="Arial" w:cs="Arial"/>
                <w:b/>
                <w:bCs/>
              </w:rPr>
            </w:pPr>
            <w:r w:rsidRPr="00A11799">
              <w:rPr>
                <w:rFonts w:ascii="Arial" w:hAnsi="Arial" w:cs="Arial"/>
                <w:b/>
                <w:bCs/>
              </w:rPr>
              <w:t>Responsible personnel for mitigation</w:t>
            </w:r>
          </w:p>
        </w:tc>
      </w:tr>
      <w:tr w:rsidR="00901A3E" w:rsidRPr="00A11799" w14:paraId="1F676650" w14:textId="77777777" w:rsidTr="006E3183">
        <w:trPr>
          <w:trHeight w:val="4094"/>
        </w:trPr>
        <w:tc>
          <w:tcPr>
            <w:tcW w:w="1391"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ADB2941" w14:textId="77777777" w:rsidR="00901A3E" w:rsidRPr="00A11799" w:rsidRDefault="00901A3E" w:rsidP="006E3183">
            <w:pPr>
              <w:spacing w:before="0" w:after="0"/>
              <w:rPr>
                <w:rFonts w:ascii="Arial" w:hAnsi="Arial" w:cs="Arial"/>
                <w:b/>
                <w:bCs/>
              </w:rPr>
            </w:pPr>
            <w:r w:rsidRPr="00A11799">
              <w:rPr>
                <w:rFonts w:ascii="Arial" w:hAnsi="Arial" w:cs="Arial"/>
                <w:b/>
                <w:bCs/>
              </w:rPr>
              <w:lastRenderedPageBreak/>
              <w:t>1. Regulatory &amp; policy uncertainty</w:t>
            </w:r>
          </w:p>
        </w:tc>
        <w:tc>
          <w:tcPr>
            <w:tcW w:w="1381" w:type="dxa"/>
            <w:tcBorders>
              <w:top w:val="nil"/>
              <w:left w:val="nil"/>
              <w:bottom w:val="single" w:sz="6" w:space="0" w:color="000000"/>
              <w:right w:val="single" w:sz="6" w:space="0" w:color="000000"/>
            </w:tcBorders>
            <w:tcMar>
              <w:top w:w="0" w:type="dxa"/>
              <w:left w:w="100" w:type="dxa"/>
              <w:bottom w:w="0" w:type="dxa"/>
              <w:right w:w="100" w:type="dxa"/>
            </w:tcMar>
          </w:tcPr>
          <w:p w14:paraId="24CA86CB" w14:textId="77777777" w:rsidR="00901A3E" w:rsidRPr="00A11799" w:rsidRDefault="00901A3E" w:rsidP="006E3183">
            <w:pPr>
              <w:rPr>
                <w:rFonts w:ascii="Arial" w:hAnsi="Arial" w:cs="Arial"/>
              </w:rPr>
            </w:pPr>
            <w:r w:rsidRPr="00A11799">
              <w:rPr>
                <w:rFonts w:ascii="Arial" w:hAnsi="Arial" w:cs="Arial"/>
              </w:rPr>
              <w:t>Any alteration in tax incentives, import tariffs, industrial policy like Rota 2030 can be a cost to operations. The change of the government usually changes the EV regulations and foreign investment policies.</w:t>
            </w:r>
          </w:p>
        </w:tc>
        <w:tc>
          <w:tcPr>
            <w:tcW w:w="1441" w:type="dxa"/>
            <w:tcBorders>
              <w:top w:val="nil"/>
              <w:left w:val="nil"/>
              <w:bottom w:val="single" w:sz="6" w:space="0" w:color="000000"/>
              <w:right w:val="single" w:sz="6" w:space="0" w:color="000000"/>
            </w:tcBorders>
            <w:tcMar>
              <w:top w:w="0" w:type="dxa"/>
              <w:left w:w="100" w:type="dxa"/>
              <w:bottom w:w="0" w:type="dxa"/>
              <w:right w:w="100" w:type="dxa"/>
            </w:tcMar>
          </w:tcPr>
          <w:p w14:paraId="08A1EDF8" w14:textId="77777777" w:rsidR="00901A3E" w:rsidRPr="00A11799" w:rsidRDefault="00901A3E" w:rsidP="006E3183">
            <w:pPr>
              <w:rPr>
                <w:rFonts w:ascii="Arial" w:hAnsi="Arial" w:cs="Arial"/>
              </w:rPr>
            </w:pPr>
            <w:r w:rsidRPr="00A11799">
              <w:rPr>
                <w:rFonts w:ascii="Arial" w:hAnsi="Arial" w:cs="Arial"/>
              </w:rPr>
              <w:t>It may cause market entry delays, raise prices of vehicles, and competitiveness to local manufacturers.</w:t>
            </w:r>
          </w:p>
        </w:tc>
        <w:tc>
          <w:tcPr>
            <w:tcW w:w="781" w:type="dxa"/>
            <w:tcBorders>
              <w:top w:val="nil"/>
              <w:left w:val="nil"/>
              <w:bottom w:val="single" w:sz="6" w:space="0" w:color="000000"/>
              <w:right w:val="single" w:sz="6" w:space="0" w:color="000000"/>
            </w:tcBorders>
            <w:tcMar>
              <w:top w:w="0" w:type="dxa"/>
              <w:left w:w="100" w:type="dxa"/>
              <w:bottom w:w="0" w:type="dxa"/>
              <w:right w:w="100" w:type="dxa"/>
            </w:tcMar>
          </w:tcPr>
          <w:p w14:paraId="4732FCDD" w14:textId="77777777" w:rsidR="00901A3E" w:rsidRPr="00A11799" w:rsidRDefault="00901A3E" w:rsidP="006E3183">
            <w:pPr>
              <w:spacing w:before="0" w:after="0"/>
              <w:rPr>
                <w:rFonts w:ascii="Arial" w:hAnsi="Arial" w:cs="Arial"/>
              </w:rPr>
            </w:pPr>
            <w:r w:rsidRPr="00A11799">
              <w:rPr>
                <w:rFonts w:ascii="Arial" w:hAnsi="Arial" w:cs="Arial"/>
              </w:rPr>
              <w:t>4</w:t>
            </w:r>
          </w:p>
        </w:tc>
        <w:tc>
          <w:tcPr>
            <w:tcW w:w="810" w:type="dxa"/>
            <w:tcBorders>
              <w:top w:val="nil"/>
              <w:left w:val="nil"/>
              <w:bottom w:val="single" w:sz="6" w:space="0" w:color="000000"/>
              <w:right w:val="single" w:sz="6" w:space="0" w:color="000000"/>
            </w:tcBorders>
            <w:tcMar>
              <w:top w:w="0" w:type="dxa"/>
              <w:left w:w="100" w:type="dxa"/>
              <w:bottom w:w="0" w:type="dxa"/>
              <w:right w:w="100" w:type="dxa"/>
            </w:tcMar>
          </w:tcPr>
          <w:p w14:paraId="0A1B85DA" w14:textId="77777777" w:rsidR="00901A3E" w:rsidRPr="00A11799" w:rsidRDefault="00901A3E" w:rsidP="006E3183">
            <w:pPr>
              <w:spacing w:before="0" w:after="0"/>
              <w:rPr>
                <w:rFonts w:ascii="Arial" w:hAnsi="Arial" w:cs="Arial"/>
              </w:rPr>
            </w:pPr>
            <w:r w:rsidRPr="00A11799">
              <w:rPr>
                <w:rFonts w:ascii="Arial" w:hAnsi="Arial" w:cs="Arial"/>
              </w:rPr>
              <w:t>4</w:t>
            </w:r>
          </w:p>
        </w:tc>
        <w:tc>
          <w:tcPr>
            <w:tcW w:w="1134" w:type="dxa"/>
            <w:tcBorders>
              <w:top w:val="nil"/>
              <w:left w:val="nil"/>
              <w:bottom w:val="single" w:sz="6" w:space="0" w:color="000000"/>
              <w:right w:val="single" w:sz="6" w:space="0" w:color="000000"/>
            </w:tcBorders>
            <w:tcMar>
              <w:top w:w="0" w:type="dxa"/>
              <w:left w:w="100" w:type="dxa"/>
              <w:bottom w:w="0" w:type="dxa"/>
              <w:right w:w="100" w:type="dxa"/>
            </w:tcMar>
          </w:tcPr>
          <w:p w14:paraId="5CEAAE52" w14:textId="77777777" w:rsidR="00901A3E" w:rsidRPr="00A11799" w:rsidRDefault="00901A3E" w:rsidP="006E3183">
            <w:pPr>
              <w:spacing w:before="0" w:after="0"/>
              <w:rPr>
                <w:rFonts w:ascii="Arial" w:hAnsi="Arial" w:cs="Arial"/>
                <w:b/>
                <w:bCs/>
              </w:rPr>
            </w:pPr>
            <w:r w:rsidRPr="00A11799">
              <w:rPr>
                <w:rFonts w:ascii="Arial" w:hAnsi="Arial" w:cs="Arial"/>
                <w:b/>
                <w:bCs/>
              </w:rPr>
              <w:t>16</w:t>
            </w:r>
          </w:p>
        </w:tc>
        <w:tc>
          <w:tcPr>
            <w:tcW w:w="1681" w:type="dxa"/>
            <w:tcBorders>
              <w:top w:val="nil"/>
              <w:left w:val="nil"/>
              <w:bottom w:val="single" w:sz="6" w:space="0" w:color="000000"/>
              <w:right w:val="single" w:sz="6" w:space="0" w:color="000000"/>
            </w:tcBorders>
            <w:tcMar>
              <w:top w:w="0" w:type="dxa"/>
              <w:left w:w="100" w:type="dxa"/>
              <w:bottom w:w="0" w:type="dxa"/>
              <w:right w:w="100" w:type="dxa"/>
            </w:tcMar>
          </w:tcPr>
          <w:p w14:paraId="322E6D7C" w14:textId="77777777" w:rsidR="00901A3E" w:rsidRPr="00A11799" w:rsidRDefault="00901A3E" w:rsidP="006E3183">
            <w:pPr>
              <w:rPr>
                <w:rFonts w:ascii="Arial" w:hAnsi="Arial" w:cs="Arial"/>
              </w:rPr>
            </w:pPr>
            <w:r w:rsidRPr="00A11799">
              <w:rPr>
                <w:rFonts w:ascii="Arial" w:hAnsi="Arial" w:cs="Arial"/>
              </w:rPr>
              <w:t>Continuous communication with federal/ state regulators; policy changes; invest gradually (imports - localisation).</w:t>
            </w:r>
          </w:p>
        </w:tc>
        <w:tc>
          <w:tcPr>
            <w:tcW w:w="1246" w:type="dxa"/>
            <w:tcBorders>
              <w:top w:val="nil"/>
              <w:left w:val="nil"/>
              <w:bottom w:val="single" w:sz="6" w:space="0" w:color="000000"/>
              <w:right w:val="single" w:sz="6" w:space="0" w:color="000000"/>
            </w:tcBorders>
            <w:tcMar>
              <w:top w:w="0" w:type="dxa"/>
              <w:left w:w="100" w:type="dxa"/>
              <w:bottom w:w="0" w:type="dxa"/>
              <w:right w:w="100" w:type="dxa"/>
            </w:tcMar>
          </w:tcPr>
          <w:p w14:paraId="3A2B04E4" w14:textId="77777777" w:rsidR="00901A3E" w:rsidRPr="00A11799" w:rsidRDefault="00901A3E" w:rsidP="006E3183">
            <w:pPr>
              <w:spacing w:before="0" w:after="0"/>
              <w:rPr>
                <w:rFonts w:ascii="Arial" w:hAnsi="Arial" w:cs="Arial"/>
              </w:rPr>
            </w:pPr>
            <w:r w:rsidRPr="00A11799">
              <w:rPr>
                <w:rFonts w:ascii="Arial" w:hAnsi="Arial" w:cs="Arial"/>
              </w:rPr>
              <w:t>Government Relations Manager, Legal Compliance Team</w:t>
            </w:r>
          </w:p>
        </w:tc>
      </w:tr>
      <w:tr w:rsidR="00901A3E" w:rsidRPr="00A11799" w14:paraId="7DC6A032" w14:textId="77777777" w:rsidTr="006E3183">
        <w:trPr>
          <w:trHeight w:val="2826"/>
        </w:trPr>
        <w:tc>
          <w:tcPr>
            <w:tcW w:w="1391"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CCCC97A" w14:textId="77777777" w:rsidR="00901A3E" w:rsidRPr="00A11799" w:rsidRDefault="00901A3E" w:rsidP="006E3183">
            <w:pPr>
              <w:spacing w:before="0" w:after="0"/>
              <w:rPr>
                <w:rFonts w:ascii="Arial" w:hAnsi="Arial" w:cs="Arial"/>
                <w:b/>
                <w:bCs/>
              </w:rPr>
            </w:pPr>
            <w:r w:rsidRPr="00A11799">
              <w:rPr>
                <w:rFonts w:ascii="Arial" w:hAnsi="Arial" w:cs="Arial"/>
                <w:b/>
                <w:bCs/>
              </w:rPr>
              <w:lastRenderedPageBreak/>
              <w:t>2. Infrastructure limitations (charging network)</w:t>
            </w:r>
          </w:p>
        </w:tc>
        <w:tc>
          <w:tcPr>
            <w:tcW w:w="1381" w:type="dxa"/>
            <w:tcBorders>
              <w:top w:val="nil"/>
              <w:left w:val="nil"/>
              <w:bottom w:val="single" w:sz="6" w:space="0" w:color="000000"/>
              <w:right w:val="single" w:sz="6" w:space="0" w:color="000000"/>
            </w:tcBorders>
            <w:tcMar>
              <w:top w:w="0" w:type="dxa"/>
              <w:left w:w="100" w:type="dxa"/>
              <w:bottom w:w="0" w:type="dxa"/>
              <w:right w:w="100" w:type="dxa"/>
            </w:tcMar>
          </w:tcPr>
          <w:p w14:paraId="375A32ED" w14:textId="77777777" w:rsidR="00901A3E" w:rsidRPr="00A11799" w:rsidRDefault="00901A3E" w:rsidP="006E3183">
            <w:pPr>
              <w:rPr>
                <w:rFonts w:ascii="Arial" w:hAnsi="Arial" w:cs="Arial"/>
              </w:rPr>
            </w:pPr>
            <w:r w:rsidRPr="00A11799">
              <w:rPr>
                <w:rFonts w:ascii="Arial" w:hAnsi="Arial" w:cs="Arial"/>
              </w:rPr>
              <w:t xml:space="preserve">There are no proper EV charging stations in Brazil; the adoption speed can </w:t>
            </w:r>
            <w:proofErr w:type="gramStart"/>
            <w:r w:rsidRPr="00A11799">
              <w:rPr>
                <w:rFonts w:ascii="Arial" w:hAnsi="Arial" w:cs="Arial"/>
              </w:rPr>
              <w:t>be decelerated</w:t>
            </w:r>
            <w:proofErr w:type="gramEnd"/>
            <w:r w:rsidRPr="00A11799">
              <w:rPr>
                <w:rFonts w:ascii="Arial" w:hAnsi="Arial" w:cs="Arial"/>
              </w:rPr>
              <w:t xml:space="preserve"> due to the third-party infrastructure.</w:t>
            </w:r>
          </w:p>
        </w:tc>
        <w:tc>
          <w:tcPr>
            <w:tcW w:w="1441" w:type="dxa"/>
            <w:tcBorders>
              <w:top w:val="nil"/>
              <w:left w:val="nil"/>
              <w:bottom w:val="single" w:sz="6" w:space="0" w:color="000000"/>
              <w:right w:val="single" w:sz="6" w:space="0" w:color="000000"/>
            </w:tcBorders>
            <w:tcMar>
              <w:top w:w="0" w:type="dxa"/>
              <w:left w:w="100" w:type="dxa"/>
              <w:bottom w:w="0" w:type="dxa"/>
              <w:right w:w="100" w:type="dxa"/>
            </w:tcMar>
          </w:tcPr>
          <w:p w14:paraId="1A606D44" w14:textId="77777777" w:rsidR="00901A3E" w:rsidRPr="00A11799" w:rsidRDefault="00901A3E" w:rsidP="006E3183">
            <w:pPr>
              <w:rPr>
                <w:rFonts w:ascii="Arial" w:hAnsi="Arial" w:cs="Arial"/>
              </w:rPr>
            </w:pPr>
            <w:r w:rsidRPr="00A11799">
              <w:rPr>
                <w:rFonts w:ascii="Arial" w:hAnsi="Arial" w:cs="Arial"/>
              </w:rPr>
              <w:t xml:space="preserve">Decreased customer uptake, range </w:t>
            </w:r>
            <w:proofErr w:type="gramStart"/>
            <w:r w:rsidRPr="00A11799">
              <w:rPr>
                <w:rFonts w:ascii="Arial" w:hAnsi="Arial" w:cs="Arial"/>
              </w:rPr>
              <w:t>anxiety</w:t>
            </w:r>
            <w:proofErr w:type="gramEnd"/>
            <w:r w:rsidRPr="00A11799">
              <w:rPr>
                <w:rFonts w:ascii="Arial" w:hAnsi="Arial" w:cs="Arial"/>
              </w:rPr>
              <w:t xml:space="preserve"> and lack of customer satisfaction affecting brand perception.</w:t>
            </w:r>
          </w:p>
        </w:tc>
        <w:tc>
          <w:tcPr>
            <w:tcW w:w="781" w:type="dxa"/>
            <w:tcBorders>
              <w:top w:val="nil"/>
              <w:left w:val="nil"/>
              <w:bottom w:val="single" w:sz="6" w:space="0" w:color="000000"/>
              <w:right w:val="single" w:sz="6" w:space="0" w:color="000000"/>
            </w:tcBorders>
            <w:tcMar>
              <w:top w:w="0" w:type="dxa"/>
              <w:left w:w="100" w:type="dxa"/>
              <w:bottom w:w="0" w:type="dxa"/>
              <w:right w:w="100" w:type="dxa"/>
            </w:tcMar>
          </w:tcPr>
          <w:p w14:paraId="004C81E7" w14:textId="77777777" w:rsidR="00901A3E" w:rsidRPr="00A11799" w:rsidRDefault="00901A3E" w:rsidP="006E3183">
            <w:pPr>
              <w:spacing w:before="0" w:after="0"/>
              <w:rPr>
                <w:rFonts w:ascii="Arial" w:hAnsi="Arial" w:cs="Arial"/>
              </w:rPr>
            </w:pPr>
            <w:r w:rsidRPr="00A11799">
              <w:rPr>
                <w:rFonts w:ascii="Arial" w:hAnsi="Arial" w:cs="Arial"/>
              </w:rPr>
              <w:t>5</w:t>
            </w:r>
          </w:p>
        </w:tc>
        <w:tc>
          <w:tcPr>
            <w:tcW w:w="810" w:type="dxa"/>
            <w:tcBorders>
              <w:top w:val="nil"/>
              <w:left w:val="nil"/>
              <w:bottom w:val="single" w:sz="6" w:space="0" w:color="000000"/>
              <w:right w:val="single" w:sz="6" w:space="0" w:color="000000"/>
            </w:tcBorders>
            <w:tcMar>
              <w:top w:w="0" w:type="dxa"/>
              <w:left w:w="100" w:type="dxa"/>
              <w:bottom w:w="0" w:type="dxa"/>
              <w:right w:w="100" w:type="dxa"/>
            </w:tcMar>
          </w:tcPr>
          <w:p w14:paraId="1220373D" w14:textId="77777777" w:rsidR="00901A3E" w:rsidRPr="00A11799" w:rsidRDefault="00901A3E" w:rsidP="006E3183">
            <w:pPr>
              <w:spacing w:before="0" w:after="0"/>
              <w:rPr>
                <w:rFonts w:ascii="Arial" w:hAnsi="Arial" w:cs="Arial"/>
              </w:rPr>
            </w:pPr>
            <w:r w:rsidRPr="00A11799">
              <w:rPr>
                <w:rFonts w:ascii="Arial" w:hAnsi="Arial" w:cs="Arial"/>
              </w:rPr>
              <w:t>3</w:t>
            </w:r>
          </w:p>
        </w:tc>
        <w:tc>
          <w:tcPr>
            <w:tcW w:w="1134" w:type="dxa"/>
            <w:tcBorders>
              <w:top w:val="nil"/>
              <w:left w:val="nil"/>
              <w:bottom w:val="single" w:sz="6" w:space="0" w:color="000000"/>
              <w:right w:val="single" w:sz="6" w:space="0" w:color="000000"/>
            </w:tcBorders>
            <w:tcMar>
              <w:top w:w="0" w:type="dxa"/>
              <w:left w:w="100" w:type="dxa"/>
              <w:bottom w:w="0" w:type="dxa"/>
              <w:right w:w="100" w:type="dxa"/>
            </w:tcMar>
          </w:tcPr>
          <w:p w14:paraId="78F3DB1A" w14:textId="77777777" w:rsidR="00901A3E" w:rsidRPr="00A11799" w:rsidRDefault="00901A3E" w:rsidP="006E3183">
            <w:pPr>
              <w:spacing w:before="0" w:after="0"/>
              <w:rPr>
                <w:rFonts w:ascii="Arial" w:hAnsi="Arial" w:cs="Arial"/>
                <w:b/>
                <w:bCs/>
              </w:rPr>
            </w:pPr>
            <w:r w:rsidRPr="00A11799">
              <w:rPr>
                <w:rFonts w:ascii="Arial" w:hAnsi="Arial" w:cs="Arial"/>
                <w:b/>
                <w:bCs/>
              </w:rPr>
              <w:t>15</w:t>
            </w:r>
          </w:p>
        </w:tc>
        <w:tc>
          <w:tcPr>
            <w:tcW w:w="1681" w:type="dxa"/>
            <w:tcBorders>
              <w:top w:val="nil"/>
              <w:left w:val="nil"/>
              <w:bottom w:val="single" w:sz="6" w:space="0" w:color="000000"/>
              <w:right w:val="single" w:sz="6" w:space="0" w:color="000000"/>
            </w:tcBorders>
            <w:tcMar>
              <w:top w:w="0" w:type="dxa"/>
              <w:left w:w="100" w:type="dxa"/>
              <w:bottom w:w="0" w:type="dxa"/>
              <w:right w:w="100" w:type="dxa"/>
            </w:tcMar>
          </w:tcPr>
          <w:p w14:paraId="3E2968A4" w14:textId="77777777" w:rsidR="00901A3E" w:rsidRPr="00A11799" w:rsidRDefault="00901A3E" w:rsidP="006E3183">
            <w:pPr>
              <w:rPr>
                <w:rFonts w:ascii="Arial" w:hAnsi="Arial" w:cs="Arial"/>
              </w:rPr>
            </w:pPr>
            <w:r w:rsidRPr="00A11799">
              <w:rPr>
                <w:rFonts w:ascii="Arial" w:hAnsi="Arial" w:cs="Arial"/>
              </w:rPr>
              <w:t>Establish Supercharger hubs in shopping malls and energy companies joint-ventures; propose incentives to charging at home.</w:t>
            </w:r>
          </w:p>
        </w:tc>
        <w:tc>
          <w:tcPr>
            <w:tcW w:w="1246" w:type="dxa"/>
            <w:tcBorders>
              <w:top w:val="nil"/>
              <w:left w:val="nil"/>
              <w:bottom w:val="single" w:sz="6" w:space="0" w:color="000000"/>
              <w:right w:val="single" w:sz="6" w:space="0" w:color="000000"/>
            </w:tcBorders>
            <w:tcMar>
              <w:top w:w="0" w:type="dxa"/>
              <w:left w:w="100" w:type="dxa"/>
              <w:bottom w:w="0" w:type="dxa"/>
              <w:right w:w="100" w:type="dxa"/>
            </w:tcMar>
          </w:tcPr>
          <w:p w14:paraId="55A032B8" w14:textId="77777777" w:rsidR="00901A3E" w:rsidRPr="00A11799" w:rsidRDefault="00901A3E" w:rsidP="006E3183">
            <w:pPr>
              <w:spacing w:before="0" w:after="0"/>
              <w:rPr>
                <w:rFonts w:ascii="Arial" w:hAnsi="Arial" w:cs="Arial"/>
              </w:rPr>
            </w:pPr>
            <w:r w:rsidRPr="00A11799">
              <w:rPr>
                <w:rFonts w:ascii="Arial" w:hAnsi="Arial" w:cs="Arial"/>
              </w:rPr>
              <w:t>Infrastructure Development Lead, Strategic Partnerships Team</w:t>
            </w:r>
          </w:p>
        </w:tc>
      </w:tr>
      <w:tr w:rsidR="00901A3E" w:rsidRPr="00A11799" w14:paraId="6D9A9893" w14:textId="77777777" w:rsidTr="006E3183">
        <w:trPr>
          <w:trHeight w:val="2316"/>
        </w:trPr>
        <w:tc>
          <w:tcPr>
            <w:tcW w:w="1391"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7FC98D2" w14:textId="77777777" w:rsidR="00901A3E" w:rsidRPr="00A11799" w:rsidRDefault="00901A3E" w:rsidP="006E3183">
            <w:pPr>
              <w:spacing w:before="0" w:after="0"/>
              <w:rPr>
                <w:rFonts w:ascii="Arial" w:hAnsi="Arial" w:cs="Arial"/>
                <w:b/>
                <w:bCs/>
              </w:rPr>
            </w:pPr>
            <w:r w:rsidRPr="00A11799">
              <w:rPr>
                <w:rFonts w:ascii="Arial" w:hAnsi="Arial" w:cs="Arial"/>
                <w:b/>
                <w:bCs/>
              </w:rPr>
              <w:t>3. Currency fluctuation &amp; economic volatility</w:t>
            </w:r>
          </w:p>
        </w:tc>
        <w:tc>
          <w:tcPr>
            <w:tcW w:w="1381" w:type="dxa"/>
            <w:tcBorders>
              <w:top w:val="nil"/>
              <w:left w:val="nil"/>
              <w:bottom w:val="single" w:sz="6" w:space="0" w:color="000000"/>
              <w:right w:val="single" w:sz="6" w:space="0" w:color="000000"/>
            </w:tcBorders>
            <w:tcMar>
              <w:top w:w="0" w:type="dxa"/>
              <w:left w:w="100" w:type="dxa"/>
              <w:bottom w:w="0" w:type="dxa"/>
              <w:right w:w="100" w:type="dxa"/>
            </w:tcMar>
          </w:tcPr>
          <w:p w14:paraId="407F9777" w14:textId="77777777" w:rsidR="00901A3E" w:rsidRPr="00A11799" w:rsidRDefault="00901A3E" w:rsidP="006E3183">
            <w:pPr>
              <w:spacing w:before="0" w:after="0"/>
              <w:rPr>
                <w:rFonts w:ascii="Arial" w:hAnsi="Arial" w:cs="Arial"/>
              </w:rPr>
            </w:pPr>
            <w:r w:rsidRPr="00A11799">
              <w:rPr>
                <w:rFonts w:ascii="Arial" w:hAnsi="Arial" w:cs="Arial"/>
              </w:rPr>
              <w:t>Brazilian Real frequently depreciates, inflation has implications on the purchasing power of the consumers and the costs of imports.</w:t>
            </w:r>
          </w:p>
        </w:tc>
        <w:tc>
          <w:tcPr>
            <w:tcW w:w="1441" w:type="dxa"/>
            <w:tcBorders>
              <w:top w:val="nil"/>
              <w:left w:val="nil"/>
              <w:bottom w:val="single" w:sz="6" w:space="0" w:color="000000"/>
              <w:right w:val="single" w:sz="6" w:space="0" w:color="000000"/>
            </w:tcBorders>
            <w:tcMar>
              <w:top w:w="0" w:type="dxa"/>
              <w:left w:w="100" w:type="dxa"/>
              <w:bottom w:w="0" w:type="dxa"/>
              <w:right w:w="100" w:type="dxa"/>
            </w:tcMar>
          </w:tcPr>
          <w:p w14:paraId="79E28EA3" w14:textId="77777777" w:rsidR="00901A3E" w:rsidRPr="00A11799" w:rsidRDefault="00901A3E" w:rsidP="006E3183">
            <w:pPr>
              <w:rPr>
                <w:rFonts w:ascii="Arial" w:hAnsi="Arial" w:cs="Arial"/>
              </w:rPr>
            </w:pPr>
            <w:proofErr w:type="gramStart"/>
            <w:r w:rsidRPr="00A11799">
              <w:rPr>
                <w:rFonts w:ascii="Arial" w:hAnsi="Arial" w:cs="Arial"/>
              </w:rPr>
              <w:t>High prices</w:t>
            </w:r>
            <w:proofErr w:type="gramEnd"/>
            <w:r w:rsidRPr="00A11799">
              <w:rPr>
                <w:rFonts w:ascii="Arial" w:hAnsi="Arial" w:cs="Arial"/>
              </w:rPr>
              <w:t xml:space="preserve"> of imported parts, low prices of Tesla cars, pressure of the margin</w:t>
            </w:r>
          </w:p>
        </w:tc>
        <w:tc>
          <w:tcPr>
            <w:tcW w:w="781" w:type="dxa"/>
            <w:tcBorders>
              <w:top w:val="nil"/>
              <w:left w:val="nil"/>
              <w:bottom w:val="single" w:sz="6" w:space="0" w:color="000000"/>
              <w:right w:val="single" w:sz="6" w:space="0" w:color="000000"/>
            </w:tcBorders>
            <w:tcMar>
              <w:top w:w="0" w:type="dxa"/>
              <w:left w:w="100" w:type="dxa"/>
              <w:bottom w:w="0" w:type="dxa"/>
              <w:right w:w="100" w:type="dxa"/>
            </w:tcMar>
          </w:tcPr>
          <w:p w14:paraId="0386FE53" w14:textId="77777777" w:rsidR="00901A3E" w:rsidRPr="00A11799" w:rsidRDefault="00901A3E" w:rsidP="006E3183">
            <w:pPr>
              <w:spacing w:before="0" w:after="0"/>
              <w:rPr>
                <w:rFonts w:ascii="Arial" w:hAnsi="Arial" w:cs="Arial"/>
              </w:rPr>
            </w:pPr>
            <w:r w:rsidRPr="00A11799">
              <w:rPr>
                <w:rFonts w:ascii="Arial" w:hAnsi="Arial" w:cs="Arial"/>
              </w:rPr>
              <w:t>4</w:t>
            </w:r>
          </w:p>
        </w:tc>
        <w:tc>
          <w:tcPr>
            <w:tcW w:w="810" w:type="dxa"/>
            <w:tcBorders>
              <w:top w:val="nil"/>
              <w:left w:val="nil"/>
              <w:bottom w:val="single" w:sz="6" w:space="0" w:color="000000"/>
              <w:right w:val="single" w:sz="6" w:space="0" w:color="000000"/>
            </w:tcBorders>
            <w:tcMar>
              <w:top w:w="0" w:type="dxa"/>
              <w:left w:w="100" w:type="dxa"/>
              <w:bottom w:w="0" w:type="dxa"/>
              <w:right w:w="100" w:type="dxa"/>
            </w:tcMar>
          </w:tcPr>
          <w:p w14:paraId="6CD77A69" w14:textId="77777777" w:rsidR="00901A3E" w:rsidRPr="00A11799" w:rsidRDefault="00901A3E" w:rsidP="006E3183">
            <w:pPr>
              <w:spacing w:before="0" w:after="0"/>
              <w:rPr>
                <w:rFonts w:ascii="Arial" w:hAnsi="Arial" w:cs="Arial"/>
              </w:rPr>
            </w:pPr>
            <w:r w:rsidRPr="00A11799">
              <w:rPr>
                <w:rFonts w:ascii="Arial" w:hAnsi="Arial" w:cs="Arial"/>
              </w:rPr>
              <w:t>4</w:t>
            </w:r>
          </w:p>
        </w:tc>
        <w:tc>
          <w:tcPr>
            <w:tcW w:w="1134" w:type="dxa"/>
            <w:tcBorders>
              <w:top w:val="nil"/>
              <w:left w:val="nil"/>
              <w:bottom w:val="single" w:sz="6" w:space="0" w:color="000000"/>
              <w:right w:val="single" w:sz="6" w:space="0" w:color="000000"/>
            </w:tcBorders>
            <w:tcMar>
              <w:top w:w="0" w:type="dxa"/>
              <w:left w:w="100" w:type="dxa"/>
              <w:bottom w:w="0" w:type="dxa"/>
              <w:right w:w="100" w:type="dxa"/>
            </w:tcMar>
          </w:tcPr>
          <w:p w14:paraId="217FFA31" w14:textId="77777777" w:rsidR="00901A3E" w:rsidRPr="00A11799" w:rsidRDefault="00901A3E" w:rsidP="006E3183">
            <w:pPr>
              <w:spacing w:before="0" w:after="0"/>
              <w:rPr>
                <w:rFonts w:ascii="Arial" w:hAnsi="Arial" w:cs="Arial"/>
                <w:b/>
                <w:bCs/>
              </w:rPr>
            </w:pPr>
            <w:r w:rsidRPr="00A11799">
              <w:rPr>
                <w:rFonts w:ascii="Arial" w:hAnsi="Arial" w:cs="Arial"/>
                <w:b/>
                <w:bCs/>
              </w:rPr>
              <w:t>16</w:t>
            </w:r>
          </w:p>
        </w:tc>
        <w:tc>
          <w:tcPr>
            <w:tcW w:w="1681" w:type="dxa"/>
            <w:tcBorders>
              <w:top w:val="nil"/>
              <w:left w:val="nil"/>
              <w:bottom w:val="single" w:sz="6" w:space="0" w:color="000000"/>
              <w:right w:val="single" w:sz="6" w:space="0" w:color="000000"/>
            </w:tcBorders>
            <w:tcMar>
              <w:top w:w="0" w:type="dxa"/>
              <w:left w:w="100" w:type="dxa"/>
              <w:bottom w:w="0" w:type="dxa"/>
              <w:right w:w="100" w:type="dxa"/>
            </w:tcMar>
          </w:tcPr>
          <w:p w14:paraId="45AE00F1" w14:textId="77777777" w:rsidR="00901A3E" w:rsidRPr="00A11799" w:rsidRDefault="00901A3E" w:rsidP="006E3183">
            <w:pPr>
              <w:rPr>
                <w:rFonts w:ascii="Arial" w:hAnsi="Arial" w:cs="Arial"/>
              </w:rPr>
            </w:pPr>
            <w:r w:rsidRPr="00A11799">
              <w:rPr>
                <w:rFonts w:ascii="Arial" w:hAnsi="Arial" w:cs="Arial"/>
              </w:rPr>
              <w:t>Hedge the exchange rate risks; transition to slow local sourcing and assembly, strategy of flexible pricing</w:t>
            </w:r>
          </w:p>
        </w:tc>
        <w:tc>
          <w:tcPr>
            <w:tcW w:w="1246" w:type="dxa"/>
            <w:tcBorders>
              <w:top w:val="nil"/>
              <w:left w:val="nil"/>
              <w:bottom w:val="single" w:sz="6" w:space="0" w:color="000000"/>
              <w:right w:val="single" w:sz="6" w:space="0" w:color="000000"/>
            </w:tcBorders>
            <w:tcMar>
              <w:top w:w="0" w:type="dxa"/>
              <w:left w:w="100" w:type="dxa"/>
              <w:bottom w:w="0" w:type="dxa"/>
              <w:right w:w="100" w:type="dxa"/>
            </w:tcMar>
          </w:tcPr>
          <w:p w14:paraId="3F6700E8" w14:textId="77777777" w:rsidR="00901A3E" w:rsidRPr="00A11799" w:rsidRDefault="00901A3E" w:rsidP="006E3183">
            <w:pPr>
              <w:spacing w:before="0" w:after="0"/>
              <w:rPr>
                <w:rFonts w:ascii="Arial" w:hAnsi="Arial" w:cs="Arial"/>
              </w:rPr>
            </w:pPr>
            <w:r w:rsidRPr="00A11799">
              <w:rPr>
                <w:rFonts w:ascii="Arial" w:hAnsi="Arial" w:cs="Arial"/>
              </w:rPr>
              <w:t>Finance Director, Procurement Manager</w:t>
            </w:r>
          </w:p>
        </w:tc>
      </w:tr>
      <w:tr w:rsidR="00901A3E" w:rsidRPr="00A11799" w14:paraId="6C8BD6A1" w14:textId="77777777" w:rsidTr="006E3183">
        <w:trPr>
          <w:trHeight w:val="2826"/>
        </w:trPr>
        <w:tc>
          <w:tcPr>
            <w:tcW w:w="1391"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EDC2681" w14:textId="77777777" w:rsidR="00901A3E" w:rsidRPr="00A11799" w:rsidRDefault="00901A3E" w:rsidP="006E3183">
            <w:pPr>
              <w:spacing w:before="0" w:after="0"/>
              <w:rPr>
                <w:rFonts w:ascii="Arial" w:hAnsi="Arial" w:cs="Arial"/>
                <w:b/>
                <w:bCs/>
              </w:rPr>
            </w:pPr>
            <w:r w:rsidRPr="00A11799">
              <w:rPr>
                <w:rFonts w:ascii="Arial" w:hAnsi="Arial" w:cs="Arial"/>
                <w:b/>
                <w:bCs/>
              </w:rPr>
              <w:lastRenderedPageBreak/>
              <w:t xml:space="preserve">4. </w:t>
            </w:r>
            <w:proofErr w:type="gramStart"/>
            <w:r w:rsidRPr="00A11799">
              <w:rPr>
                <w:rFonts w:ascii="Arial" w:hAnsi="Arial" w:cs="Arial"/>
                <w:b/>
                <w:bCs/>
              </w:rPr>
              <w:t>Strong competition</w:t>
            </w:r>
            <w:proofErr w:type="gramEnd"/>
            <w:r w:rsidRPr="00A11799">
              <w:rPr>
                <w:rFonts w:ascii="Arial" w:hAnsi="Arial" w:cs="Arial"/>
                <w:b/>
                <w:bCs/>
              </w:rPr>
              <w:t xml:space="preserve"> from established automakers &amp; Chinese EV brands</w:t>
            </w:r>
          </w:p>
        </w:tc>
        <w:tc>
          <w:tcPr>
            <w:tcW w:w="1381" w:type="dxa"/>
            <w:tcBorders>
              <w:top w:val="nil"/>
              <w:left w:val="nil"/>
              <w:bottom w:val="single" w:sz="6" w:space="0" w:color="000000"/>
              <w:right w:val="single" w:sz="6" w:space="0" w:color="000000"/>
            </w:tcBorders>
            <w:tcMar>
              <w:top w:w="0" w:type="dxa"/>
              <w:left w:w="100" w:type="dxa"/>
              <w:bottom w:w="0" w:type="dxa"/>
              <w:right w:w="100" w:type="dxa"/>
            </w:tcMar>
          </w:tcPr>
          <w:p w14:paraId="3EBDFA4E" w14:textId="77777777" w:rsidR="00901A3E" w:rsidRPr="00A11799" w:rsidRDefault="00901A3E" w:rsidP="006E3183">
            <w:pPr>
              <w:rPr>
                <w:rFonts w:ascii="Arial" w:hAnsi="Arial" w:cs="Arial"/>
              </w:rPr>
            </w:pPr>
            <w:r w:rsidRPr="00A11799">
              <w:rPr>
                <w:rFonts w:ascii="Arial" w:hAnsi="Arial" w:cs="Arial"/>
              </w:rPr>
              <w:t>The cheaper models of the EVs and the local companies (VW, GM, Toyota) have their own dealers and networks</w:t>
            </w:r>
          </w:p>
        </w:tc>
        <w:tc>
          <w:tcPr>
            <w:tcW w:w="1441" w:type="dxa"/>
            <w:tcBorders>
              <w:top w:val="nil"/>
              <w:left w:val="nil"/>
              <w:bottom w:val="single" w:sz="6" w:space="0" w:color="000000"/>
              <w:right w:val="single" w:sz="6" w:space="0" w:color="000000"/>
            </w:tcBorders>
            <w:tcMar>
              <w:top w:w="0" w:type="dxa"/>
              <w:left w:w="100" w:type="dxa"/>
              <w:bottom w:w="0" w:type="dxa"/>
              <w:right w:w="100" w:type="dxa"/>
            </w:tcMar>
          </w:tcPr>
          <w:p w14:paraId="19385B34" w14:textId="77777777" w:rsidR="00901A3E" w:rsidRPr="00A11799" w:rsidRDefault="00901A3E" w:rsidP="006E3183">
            <w:pPr>
              <w:spacing w:before="0" w:after="0"/>
              <w:rPr>
                <w:rFonts w:ascii="Arial" w:hAnsi="Arial" w:cs="Arial"/>
              </w:rPr>
            </w:pPr>
            <w:r w:rsidRPr="00A11799">
              <w:rPr>
                <w:rFonts w:ascii="Arial" w:hAnsi="Arial" w:cs="Arial"/>
              </w:rPr>
              <w:t>Loss of market share and competition on price which lower profits.</w:t>
            </w:r>
          </w:p>
        </w:tc>
        <w:tc>
          <w:tcPr>
            <w:tcW w:w="781" w:type="dxa"/>
            <w:tcBorders>
              <w:top w:val="nil"/>
              <w:left w:val="nil"/>
              <w:bottom w:val="single" w:sz="6" w:space="0" w:color="000000"/>
              <w:right w:val="single" w:sz="6" w:space="0" w:color="000000"/>
            </w:tcBorders>
            <w:tcMar>
              <w:top w:w="0" w:type="dxa"/>
              <w:left w:w="100" w:type="dxa"/>
              <w:bottom w:w="0" w:type="dxa"/>
              <w:right w:w="100" w:type="dxa"/>
            </w:tcMar>
          </w:tcPr>
          <w:p w14:paraId="220F9DB4" w14:textId="77777777" w:rsidR="00901A3E" w:rsidRPr="00A11799" w:rsidRDefault="00901A3E" w:rsidP="006E3183">
            <w:pPr>
              <w:spacing w:before="0" w:after="0"/>
              <w:rPr>
                <w:rFonts w:ascii="Arial" w:hAnsi="Arial" w:cs="Arial"/>
              </w:rPr>
            </w:pPr>
            <w:r w:rsidRPr="00A11799">
              <w:rPr>
                <w:rFonts w:ascii="Arial" w:hAnsi="Arial" w:cs="Arial"/>
              </w:rPr>
              <w:t>4</w:t>
            </w:r>
          </w:p>
        </w:tc>
        <w:tc>
          <w:tcPr>
            <w:tcW w:w="810" w:type="dxa"/>
            <w:tcBorders>
              <w:top w:val="nil"/>
              <w:left w:val="nil"/>
              <w:bottom w:val="single" w:sz="6" w:space="0" w:color="000000"/>
              <w:right w:val="single" w:sz="6" w:space="0" w:color="000000"/>
            </w:tcBorders>
            <w:tcMar>
              <w:top w:w="0" w:type="dxa"/>
              <w:left w:w="100" w:type="dxa"/>
              <w:bottom w:w="0" w:type="dxa"/>
              <w:right w:w="100" w:type="dxa"/>
            </w:tcMar>
          </w:tcPr>
          <w:p w14:paraId="4C21C4A0" w14:textId="77777777" w:rsidR="00901A3E" w:rsidRPr="00A11799" w:rsidRDefault="00901A3E" w:rsidP="006E3183">
            <w:pPr>
              <w:spacing w:before="0" w:after="0"/>
              <w:rPr>
                <w:rFonts w:ascii="Arial" w:hAnsi="Arial" w:cs="Arial"/>
              </w:rPr>
            </w:pPr>
            <w:r w:rsidRPr="00A11799">
              <w:rPr>
                <w:rFonts w:ascii="Arial" w:hAnsi="Arial" w:cs="Arial"/>
              </w:rPr>
              <w:t>5</w:t>
            </w:r>
          </w:p>
        </w:tc>
        <w:tc>
          <w:tcPr>
            <w:tcW w:w="1134" w:type="dxa"/>
            <w:tcBorders>
              <w:top w:val="nil"/>
              <w:left w:val="nil"/>
              <w:bottom w:val="single" w:sz="6" w:space="0" w:color="000000"/>
              <w:right w:val="single" w:sz="6" w:space="0" w:color="000000"/>
            </w:tcBorders>
            <w:tcMar>
              <w:top w:w="0" w:type="dxa"/>
              <w:left w:w="100" w:type="dxa"/>
              <w:bottom w:w="0" w:type="dxa"/>
              <w:right w:w="100" w:type="dxa"/>
            </w:tcMar>
          </w:tcPr>
          <w:p w14:paraId="46811DD8" w14:textId="77777777" w:rsidR="00901A3E" w:rsidRPr="00A11799" w:rsidRDefault="00901A3E" w:rsidP="006E3183">
            <w:pPr>
              <w:spacing w:before="0" w:after="0"/>
              <w:rPr>
                <w:rFonts w:ascii="Arial" w:hAnsi="Arial" w:cs="Arial"/>
                <w:b/>
                <w:bCs/>
              </w:rPr>
            </w:pPr>
            <w:r w:rsidRPr="00A11799">
              <w:rPr>
                <w:rFonts w:ascii="Arial" w:hAnsi="Arial" w:cs="Arial"/>
                <w:b/>
                <w:bCs/>
              </w:rPr>
              <w:t>20</w:t>
            </w:r>
          </w:p>
        </w:tc>
        <w:tc>
          <w:tcPr>
            <w:tcW w:w="1681" w:type="dxa"/>
            <w:tcBorders>
              <w:top w:val="nil"/>
              <w:left w:val="nil"/>
              <w:bottom w:val="single" w:sz="6" w:space="0" w:color="000000"/>
              <w:right w:val="single" w:sz="6" w:space="0" w:color="000000"/>
            </w:tcBorders>
            <w:tcMar>
              <w:top w:w="0" w:type="dxa"/>
              <w:left w:w="100" w:type="dxa"/>
              <w:bottom w:w="0" w:type="dxa"/>
              <w:right w:w="100" w:type="dxa"/>
            </w:tcMar>
          </w:tcPr>
          <w:p w14:paraId="6262BAA3" w14:textId="77777777" w:rsidR="00901A3E" w:rsidRPr="00A11799" w:rsidRDefault="00901A3E" w:rsidP="006E3183">
            <w:pPr>
              <w:rPr>
                <w:rFonts w:ascii="Arial" w:hAnsi="Arial" w:cs="Arial"/>
              </w:rPr>
            </w:pPr>
            <w:r w:rsidRPr="00A11799">
              <w:rPr>
                <w:rFonts w:ascii="Arial" w:hAnsi="Arial" w:cs="Arial"/>
              </w:rPr>
              <w:t>Differentiation (Autopilot, battery range); introduce cheap variants of Model 3/Y; localisation to trim down costs</w:t>
            </w:r>
          </w:p>
        </w:tc>
        <w:tc>
          <w:tcPr>
            <w:tcW w:w="1246" w:type="dxa"/>
            <w:tcBorders>
              <w:top w:val="nil"/>
              <w:left w:val="nil"/>
              <w:bottom w:val="single" w:sz="6" w:space="0" w:color="000000"/>
              <w:right w:val="single" w:sz="6" w:space="0" w:color="000000"/>
            </w:tcBorders>
            <w:tcMar>
              <w:top w:w="0" w:type="dxa"/>
              <w:left w:w="100" w:type="dxa"/>
              <w:bottom w:w="0" w:type="dxa"/>
              <w:right w:w="100" w:type="dxa"/>
            </w:tcMar>
          </w:tcPr>
          <w:p w14:paraId="009EF0E3" w14:textId="77777777" w:rsidR="00901A3E" w:rsidRPr="00A11799" w:rsidRDefault="00901A3E" w:rsidP="006E3183">
            <w:pPr>
              <w:spacing w:before="0" w:after="0"/>
              <w:rPr>
                <w:rFonts w:ascii="Arial" w:hAnsi="Arial" w:cs="Arial"/>
              </w:rPr>
            </w:pPr>
            <w:r w:rsidRPr="00A11799">
              <w:rPr>
                <w:rFonts w:ascii="Arial" w:hAnsi="Arial" w:cs="Arial"/>
              </w:rPr>
              <w:t>Country Marketing Director, Product Strategy Team</w:t>
            </w:r>
          </w:p>
        </w:tc>
      </w:tr>
      <w:tr w:rsidR="00901A3E" w:rsidRPr="00A11799" w14:paraId="6C68DE9C" w14:textId="77777777" w:rsidTr="006E3183">
        <w:trPr>
          <w:trHeight w:val="2826"/>
        </w:trPr>
        <w:tc>
          <w:tcPr>
            <w:tcW w:w="1391"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BB5D819" w14:textId="77777777" w:rsidR="00901A3E" w:rsidRPr="00A11799" w:rsidRDefault="00901A3E" w:rsidP="006E3183">
            <w:pPr>
              <w:spacing w:before="0" w:after="0"/>
              <w:rPr>
                <w:rFonts w:ascii="Arial" w:hAnsi="Arial" w:cs="Arial"/>
                <w:b/>
                <w:bCs/>
              </w:rPr>
            </w:pPr>
            <w:r w:rsidRPr="00A11799">
              <w:rPr>
                <w:rFonts w:ascii="Arial" w:hAnsi="Arial" w:cs="Arial"/>
                <w:b/>
                <w:bCs/>
              </w:rPr>
              <w:t>5. Supply chain disruptions &amp; limited local EV components</w:t>
            </w:r>
          </w:p>
        </w:tc>
        <w:tc>
          <w:tcPr>
            <w:tcW w:w="1381" w:type="dxa"/>
            <w:tcBorders>
              <w:top w:val="nil"/>
              <w:left w:val="nil"/>
              <w:bottom w:val="single" w:sz="6" w:space="0" w:color="000000"/>
              <w:right w:val="single" w:sz="6" w:space="0" w:color="000000"/>
            </w:tcBorders>
            <w:tcMar>
              <w:top w:w="0" w:type="dxa"/>
              <w:left w:w="100" w:type="dxa"/>
              <w:bottom w:w="0" w:type="dxa"/>
              <w:right w:w="100" w:type="dxa"/>
            </w:tcMar>
          </w:tcPr>
          <w:p w14:paraId="1A3014F8" w14:textId="77777777" w:rsidR="00901A3E" w:rsidRPr="00A11799" w:rsidRDefault="00901A3E" w:rsidP="006E3183">
            <w:pPr>
              <w:rPr>
                <w:rFonts w:ascii="Arial" w:hAnsi="Arial" w:cs="Arial"/>
              </w:rPr>
            </w:pPr>
            <w:r w:rsidRPr="00A11799">
              <w:rPr>
                <w:rFonts w:ascii="Arial" w:hAnsi="Arial" w:cs="Arial"/>
              </w:rPr>
              <w:t>Brazil does not have massive battery production; the use of imports can lead to delays</w:t>
            </w:r>
          </w:p>
        </w:tc>
        <w:tc>
          <w:tcPr>
            <w:tcW w:w="1441" w:type="dxa"/>
            <w:tcBorders>
              <w:top w:val="nil"/>
              <w:left w:val="nil"/>
              <w:bottom w:val="single" w:sz="6" w:space="0" w:color="000000"/>
              <w:right w:val="single" w:sz="6" w:space="0" w:color="000000"/>
            </w:tcBorders>
            <w:tcMar>
              <w:top w:w="0" w:type="dxa"/>
              <w:left w:w="100" w:type="dxa"/>
              <w:bottom w:w="0" w:type="dxa"/>
              <w:right w:w="100" w:type="dxa"/>
            </w:tcMar>
          </w:tcPr>
          <w:p w14:paraId="41A1386C" w14:textId="77777777" w:rsidR="00901A3E" w:rsidRPr="00A11799" w:rsidRDefault="00901A3E" w:rsidP="006E3183">
            <w:pPr>
              <w:rPr>
                <w:rFonts w:ascii="Arial" w:hAnsi="Arial" w:cs="Arial"/>
              </w:rPr>
            </w:pPr>
            <w:r w:rsidRPr="00A11799">
              <w:rPr>
                <w:rFonts w:ascii="Arial" w:hAnsi="Arial" w:cs="Arial"/>
              </w:rPr>
              <w:t xml:space="preserve">Slowed down production, increased </w:t>
            </w:r>
            <w:proofErr w:type="gramStart"/>
            <w:r w:rsidRPr="00A11799">
              <w:rPr>
                <w:rFonts w:ascii="Arial" w:hAnsi="Arial" w:cs="Arial"/>
              </w:rPr>
              <w:t>logistics</w:t>
            </w:r>
            <w:proofErr w:type="gramEnd"/>
            <w:r w:rsidRPr="00A11799">
              <w:rPr>
                <w:rFonts w:ascii="Arial" w:hAnsi="Arial" w:cs="Arial"/>
              </w:rPr>
              <w:t>, and une predicted delivery times</w:t>
            </w:r>
          </w:p>
        </w:tc>
        <w:tc>
          <w:tcPr>
            <w:tcW w:w="781" w:type="dxa"/>
            <w:tcBorders>
              <w:top w:val="nil"/>
              <w:left w:val="nil"/>
              <w:bottom w:val="single" w:sz="6" w:space="0" w:color="000000"/>
              <w:right w:val="single" w:sz="6" w:space="0" w:color="000000"/>
            </w:tcBorders>
            <w:tcMar>
              <w:top w:w="0" w:type="dxa"/>
              <w:left w:w="100" w:type="dxa"/>
              <w:bottom w:w="0" w:type="dxa"/>
              <w:right w:w="100" w:type="dxa"/>
            </w:tcMar>
          </w:tcPr>
          <w:p w14:paraId="60FE6844" w14:textId="77777777" w:rsidR="00901A3E" w:rsidRPr="00A11799" w:rsidRDefault="00901A3E" w:rsidP="006E3183">
            <w:pPr>
              <w:spacing w:before="0" w:after="0"/>
              <w:rPr>
                <w:rFonts w:ascii="Arial" w:hAnsi="Arial" w:cs="Arial"/>
              </w:rPr>
            </w:pPr>
            <w:r w:rsidRPr="00A11799">
              <w:rPr>
                <w:rFonts w:ascii="Arial" w:hAnsi="Arial" w:cs="Arial"/>
              </w:rPr>
              <w:t>3</w:t>
            </w:r>
          </w:p>
        </w:tc>
        <w:tc>
          <w:tcPr>
            <w:tcW w:w="810" w:type="dxa"/>
            <w:tcBorders>
              <w:top w:val="nil"/>
              <w:left w:val="nil"/>
              <w:bottom w:val="single" w:sz="6" w:space="0" w:color="000000"/>
              <w:right w:val="single" w:sz="6" w:space="0" w:color="000000"/>
            </w:tcBorders>
            <w:tcMar>
              <w:top w:w="0" w:type="dxa"/>
              <w:left w:w="100" w:type="dxa"/>
              <w:bottom w:w="0" w:type="dxa"/>
              <w:right w:w="100" w:type="dxa"/>
            </w:tcMar>
          </w:tcPr>
          <w:p w14:paraId="1AF2DB29" w14:textId="77777777" w:rsidR="00901A3E" w:rsidRPr="00A11799" w:rsidRDefault="00901A3E" w:rsidP="006E3183">
            <w:pPr>
              <w:spacing w:before="0" w:after="0"/>
              <w:rPr>
                <w:rFonts w:ascii="Arial" w:hAnsi="Arial" w:cs="Arial"/>
              </w:rPr>
            </w:pPr>
            <w:r w:rsidRPr="00A11799">
              <w:rPr>
                <w:rFonts w:ascii="Arial" w:hAnsi="Arial" w:cs="Arial"/>
              </w:rPr>
              <w:t>3</w:t>
            </w:r>
          </w:p>
        </w:tc>
        <w:tc>
          <w:tcPr>
            <w:tcW w:w="1134" w:type="dxa"/>
            <w:tcBorders>
              <w:top w:val="nil"/>
              <w:left w:val="nil"/>
              <w:bottom w:val="single" w:sz="6" w:space="0" w:color="000000"/>
              <w:right w:val="single" w:sz="6" w:space="0" w:color="000000"/>
            </w:tcBorders>
            <w:tcMar>
              <w:top w:w="0" w:type="dxa"/>
              <w:left w:w="100" w:type="dxa"/>
              <w:bottom w:w="0" w:type="dxa"/>
              <w:right w:w="100" w:type="dxa"/>
            </w:tcMar>
          </w:tcPr>
          <w:p w14:paraId="71CE814B" w14:textId="77777777" w:rsidR="00901A3E" w:rsidRPr="00A11799" w:rsidRDefault="00901A3E" w:rsidP="006E3183">
            <w:pPr>
              <w:spacing w:before="0" w:after="0"/>
              <w:rPr>
                <w:rFonts w:ascii="Arial" w:hAnsi="Arial" w:cs="Arial"/>
                <w:b/>
                <w:bCs/>
              </w:rPr>
            </w:pPr>
            <w:r w:rsidRPr="00A11799">
              <w:rPr>
                <w:rFonts w:ascii="Arial" w:hAnsi="Arial" w:cs="Arial"/>
                <w:b/>
                <w:bCs/>
              </w:rPr>
              <w:t>9</w:t>
            </w:r>
          </w:p>
        </w:tc>
        <w:tc>
          <w:tcPr>
            <w:tcW w:w="1681" w:type="dxa"/>
            <w:tcBorders>
              <w:top w:val="nil"/>
              <w:left w:val="nil"/>
              <w:bottom w:val="single" w:sz="6" w:space="0" w:color="000000"/>
              <w:right w:val="single" w:sz="6" w:space="0" w:color="000000"/>
            </w:tcBorders>
            <w:tcMar>
              <w:top w:w="0" w:type="dxa"/>
              <w:left w:w="100" w:type="dxa"/>
              <w:bottom w:w="0" w:type="dxa"/>
              <w:right w:w="100" w:type="dxa"/>
            </w:tcMar>
          </w:tcPr>
          <w:p w14:paraId="1A430C70" w14:textId="77777777" w:rsidR="00901A3E" w:rsidRPr="00A11799" w:rsidRDefault="00901A3E" w:rsidP="006E3183">
            <w:pPr>
              <w:rPr>
                <w:rFonts w:ascii="Arial" w:hAnsi="Arial" w:cs="Arial"/>
              </w:rPr>
            </w:pPr>
            <w:r w:rsidRPr="00A11799">
              <w:rPr>
                <w:rFonts w:ascii="Arial" w:hAnsi="Arial" w:cs="Arial"/>
              </w:rPr>
              <w:t>Establish domestic supplier alliances; research Brazilian lithium; develop non-differentiated sourcing</w:t>
            </w:r>
          </w:p>
        </w:tc>
        <w:tc>
          <w:tcPr>
            <w:tcW w:w="1246" w:type="dxa"/>
            <w:tcBorders>
              <w:top w:val="nil"/>
              <w:left w:val="nil"/>
              <w:bottom w:val="single" w:sz="6" w:space="0" w:color="000000"/>
              <w:right w:val="single" w:sz="6" w:space="0" w:color="000000"/>
            </w:tcBorders>
            <w:tcMar>
              <w:top w:w="0" w:type="dxa"/>
              <w:left w:w="100" w:type="dxa"/>
              <w:bottom w:w="0" w:type="dxa"/>
              <w:right w:w="100" w:type="dxa"/>
            </w:tcMar>
          </w:tcPr>
          <w:p w14:paraId="1940F7A3" w14:textId="77777777" w:rsidR="00901A3E" w:rsidRPr="00A11799" w:rsidRDefault="00901A3E" w:rsidP="006E3183">
            <w:pPr>
              <w:spacing w:before="0" w:after="0"/>
              <w:rPr>
                <w:rFonts w:ascii="Arial" w:hAnsi="Arial" w:cs="Arial"/>
              </w:rPr>
            </w:pPr>
            <w:r w:rsidRPr="00A11799">
              <w:rPr>
                <w:rFonts w:ascii="Arial" w:hAnsi="Arial" w:cs="Arial"/>
              </w:rPr>
              <w:t>Supply Chain Director, Local Vendor Development Unit</w:t>
            </w:r>
          </w:p>
        </w:tc>
      </w:tr>
    </w:tbl>
    <w:p w14:paraId="0E3101EF" w14:textId="77777777" w:rsidR="00901A3E" w:rsidRPr="00A11799" w:rsidRDefault="00901A3E" w:rsidP="00901A3E">
      <w:pPr>
        <w:pStyle w:val="Caption"/>
        <w:rPr>
          <w:rFonts w:ascii="Arial" w:eastAsia="Arial" w:hAnsi="Arial" w:cs="Arial"/>
        </w:rPr>
      </w:pPr>
      <w:r w:rsidRPr="00A11799">
        <w:rPr>
          <w:rFonts w:ascii="Arial" w:hAnsi="Arial" w:cs="Arial"/>
        </w:rPr>
        <w:t xml:space="preserve">Table 3: </w:t>
      </w:r>
      <w:r w:rsidRPr="00A11799">
        <w:rPr>
          <w:rFonts w:ascii="Arial" w:eastAsia="Arial" w:hAnsi="Arial" w:cs="Arial"/>
        </w:rPr>
        <w:t>RISK REGISTER</w:t>
      </w:r>
    </w:p>
    <w:p w14:paraId="0923D9A9" w14:textId="77777777" w:rsidR="00901A3E" w:rsidRPr="00A11799" w:rsidRDefault="00901A3E" w:rsidP="00901A3E">
      <w:pPr>
        <w:pStyle w:val="Heading1"/>
        <w:rPr>
          <w:rFonts w:ascii="Arial" w:eastAsia="Arial" w:hAnsi="Arial" w:cs="Arial"/>
        </w:rPr>
      </w:pPr>
      <w:bookmarkStart w:id="29" w:name="_heading=h.slbuc4lc1xr5" w:colFirst="0" w:colLast="0"/>
      <w:bookmarkEnd w:id="29"/>
    </w:p>
    <w:p w14:paraId="3F61E5D6" w14:textId="77777777" w:rsidR="00901A3E" w:rsidRPr="00A11799" w:rsidRDefault="00901A3E" w:rsidP="00901A3E">
      <w:pPr>
        <w:rPr>
          <w:rFonts w:ascii="Arial" w:eastAsia="Arial" w:hAnsi="Arial" w:cs="Arial"/>
          <w:b/>
          <w:bCs/>
        </w:rPr>
      </w:pPr>
      <w:r w:rsidRPr="00A11799">
        <w:rPr>
          <w:rFonts w:ascii="Arial" w:hAnsi="Arial" w:cs="Arial"/>
        </w:rPr>
        <w:br w:type="page"/>
      </w:r>
    </w:p>
    <w:p w14:paraId="29BB1A7C" w14:textId="6A2F6419" w:rsidR="00901A3E" w:rsidRPr="00A11799" w:rsidRDefault="00901A3E" w:rsidP="00901A3E">
      <w:pPr>
        <w:pStyle w:val="Heading1"/>
        <w:rPr>
          <w:rFonts w:ascii="Arial" w:eastAsia="Arial" w:hAnsi="Arial" w:cs="Arial"/>
        </w:rPr>
      </w:pPr>
      <w:bookmarkStart w:id="30" w:name="_Toc217248207"/>
      <w:r w:rsidRPr="00A11799">
        <w:rPr>
          <w:rFonts w:ascii="Arial" w:eastAsia="Arial" w:hAnsi="Arial" w:cs="Arial"/>
        </w:rPr>
        <w:lastRenderedPageBreak/>
        <w:t>4. Balanced Scorecard and advanced Triple Bottom Line identifying KPIs and success metrics</w:t>
      </w:r>
      <w:r w:rsidR="000A2DDC">
        <w:rPr>
          <w:rFonts w:ascii="Arial" w:eastAsia="Arial" w:hAnsi="Arial" w:cs="Arial"/>
        </w:rPr>
        <w:t>:-</w:t>
      </w:r>
      <w:bookmarkEnd w:id="30"/>
    </w:p>
    <w:p w14:paraId="09F3D56D" w14:textId="35E913BC" w:rsidR="00901A3E" w:rsidRPr="00A11799" w:rsidRDefault="00901A3E" w:rsidP="00901A3E">
      <w:pPr>
        <w:pStyle w:val="Heading2"/>
        <w:rPr>
          <w:rFonts w:ascii="Arial" w:eastAsia="Arial" w:hAnsi="Arial" w:cs="Arial"/>
        </w:rPr>
      </w:pPr>
      <w:bookmarkStart w:id="31" w:name="_Toc217248208"/>
      <w:r w:rsidRPr="00A11799">
        <w:rPr>
          <w:rFonts w:ascii="Arial" w:eastAsia="Arial" w:hAnsi="Arial" w:cs="Arial"/>
        </w:rPr>
        <w:t>Balanced Scorecard framework</w:t>
      </w:r>
      <w:r w:rsidR="000A2DDC">
        <w:rPr>
          <w:rFonts w:ascii="Arial" w:eastAsia="Arial" w:hAnsi="Arial" w:cs="Arial"/>
        </w:rPr>
        <w:t>:-</w:t>
      </w:r>
      <w:bookmarkEnd w:id="31"/>
    </w:p>
    <w:tbl>
      <w:tblPr>
        <w:tblW w:w="9344" w:type="dxa"/>
        <w:tblLayout w:type="fixed"/>
        <w:tblLook w:val="0400" w:firstRow="0" w:lastRow="0" w:firstColumn="0" w:lastColumn="0" w:noHBand="0" w:noVBand="1"/>
      </w:tblPr>
      <w:tblGrid>
        <w:gridCol w:w="1373"/>
        <w:gridCol w:w="1755"/>
        <w:gridCol w:w="1523"/>
        <w:gridCol w:w="2196"/>
        <w:gridCol w:w="2497"/>
      </w:tblGrid>
      <w:tr w:rsidR="00901A3E" w:rsidRPr="00A11799" w14:paraId="75E496C7" w14:textId="77777777" w:rsidTr="006E3183">
        <w:trPr>
          <w:trHeight w:val="570"/>
        </w:trPr>
        <w:tc>
          <w:tcPr>
            <w:tcW w:w="137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A4F69EC" w14:textId="77777777" w:rsidR="00901A3E" w:rsidRPr="00A11799" w:rsidRDefault="00901A3E" w:rsidP="006E3183">
            <w:pPr>
              <w:rPr>
                <w:rFonts w:ascii="Arial" w:eastAsia="Arial" w:hAnsi="Arial" w:cs="Arial"/>
                <w:b/>
                <w:bCs/>
              </w:rPr>
            </w:pPr>
            <w:r w:rsidRPr="00A11799">
              <w:rPr>
                <w:rFonts w:ascii="Arial" w:eastAsia="Arial" w:hAnsi="Arial" w:cs="Arial"/>
                <w:b/>
                <w:bCs/>
              </w:rPr>
              <w:t>Perspective</w:t>
            </w:r>
          </w:p>
        </w:tc>
        <w:tc>
          <w:tcPr>
            <w:tcW w:w="175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39F6CD6" w14:textId="77777777" w:rsidR="00901A3E" w:rsidRPr="00A11799" w:rsidRDefault="00901A3E" w:rsidP="006E3183">
            <w:pPr>
              <w:rPr>
                <w:rFonts w:ascii="Arial" w:eastAsia="Arial" w:hAnsi="Arial" w:cs="Arial"/>
                <w:b/>
                <w:bCs/>
              </w:rPr>
            </w:pPr>
            <w:r w:rsidRPr="00A11799">
              <w:rPr>
                <w:rFonts w:ascii="Arial" w:eastAsia="Arial" w:hAnsi="Arial" w:cs="Arial"/>
                <w:b/>
                <w:bCs/>
              </w:rPr>
              <w:t>Strategic Objective</w:t>
            </w:r>
          </w:p>
        </w:tc>
        <w:tc>
          <w:tcPr>
            <w:tcW w:w="152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61F0903" w14:textId="77777777" w:rsidR="00901A3E" w:rsidRPr="00A11799" w:rsidRDefault="00901A3E" w:rsidP="006E3183">
            <w:pPr>
              <w:rPr>
                <w:rFonts w:ascii="Arial" w:eastAsia="Arial" w:hAnsi="Arial" w:cs="Arial"/>
                <w:b/>
                <w:bCs/>
              </w:rPr>
            </w:pPr>
            <w:r w:rsidRPr="00A11799">
              <w:rPr>
                <w:rFonts w:ascii="Arial" w:eastAsia="Arial" w:hAnsi="Arial" w:cs="Arial"/>
                <w:b/>
                <w:bCs/>
              </w:rPr>
              <w:t>Goals</w:t>
            </w:r>
          </w:p>
        </w:tc>
        <w:tc>
          <w:tcPr>
            <w:tcW w:w="219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FA98591" w14:textId="77777777" w:rsidR="00901A3E" w:rsidRPr="00A11799" w:rsidRDefault="00901A3E" w:rsidP="006E3183">
            <w:pPr>
              <w:rPr>
                <w:rFonts w:ascii="Arial" w:eastAsia="Arial" w:hAnsi="Arial" w:cs="Arial"/>
                <w:b/>
                <w:bCs/>
              </w:rPr>
            </w:pPr>
            <w:r w:rsidRPr="00A11799">
              <w:rPr>
                <w:rFonts w:ascii="Arial" w:eastAsia="Arial" w:hAnsi="Arial" w:cs="Arial"/>
                <w:b/>
                <w:bCs/>
              </w:rPr>
              <w:t>KPIs</w:t>
            </w:r>
          </w:p>
        </w:tc>
        <w:tc>
          <w:tcPr>
            <w:tcW w:w="249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575DE78" w14:textId="77777777" w:rsidR="00901A3E" w:rsidRPr="00A11799" w:rsidRDefault="00901A3E" w:rsidP="006E3183">
            <w:pPr>
              <w:rPr>
                <w:rFonts w:ascii="Arial" w:eastAsia="Arial" w:hAnsi="Arial" w:cs="Arial"/>
                <w:b/>
                <w:bCs/>
              </w:rPr>
            </w:pPr>
            <w:r w:rsidRPr="00A11799">
              <w:rPr>
                <w:rFonts w:ascii="Arial" w:eastAsia="Arial" w:hAnsi="Arial" w:cs="Arial"/>
                <w:b/>
                <w:bCs/>
              </w:rPr>
              <w:t>Targets</w:t>
            </w:r>
          </w:p>
        </w:tc>
      </w:tr>
      <w:tr w:rsidR="00901A3E" w:rsidRPr="00A11799" w14:paraId="6D0171BE" w14:textId="77777777" w:rsidTr="006E3183">
        <w:trPr>
          <w:trHeight w:val="1680"/>
        </w:trPr>
        <w:tc>
          <w:tcPr>
            <w:tcW w:w="137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D7953CA" w14:textId="77777777" w:rsidR="00901A3E" w:rsidRPr="00A11799" w:rsidRDefault="00901A3E" w:rsidP="006E3183">
            <w:pPr>
              <w:rPr>
                <w:rFonts w:ascii="Arial" w:eastAsia="Arial" w:hAnsi="Arial" w:cs="Arial"/>
                <w:b/>
                <w:bCs/>
                <w:i/>
                <w:iCs/>
              </w:rPr>
            </w:pPr>
            <w:r w:rsidRPr="00A11799">
              <w:rPr>
                <w:rFonts w:ascii="Arial" w:eastAsia="Arial" w:hAnsi="Arial" w:cs="Arial"/>
                <w:b/>
                <w:bCs/>
                <w:i/>
                <w:iCs/>
              </w:rPr>
              <w:t>Financial</w:t>
            </w:r>
          </w:p>
        </w:tc>
        <w:tc>
          <w:tcPr>
            <w:tcW w:w="175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2906432" w14:textId="77777777" w:rsidR="00901A3E" w:rsidRPr="00A11799" w:rsidRDefault="00901A3E" w:rsidP="006E3183">
            <w:pPr>
              <w:rPr>
                <w:rFonts w:ascii="Arial" w:eastAsia="Arial" w:hAnsi="Arial" w:cs="Arial"/>
              </w:rPr>
            </w:pPr>
            <w:r w:rsidRPr="00A11799">
              <w:rPr>
                <w:rFonts w:ascii="Arial" w:eastAsia="Arial" w:hAnsi="Arial" w:cs="Arial"/>
              </w:rPr>
              <w:t>Aim to achieve cost efficiency even with high tariffs and currency volatility.</w:t>
            </w:r>
          </w:p>
        </w:tc>
        <w:tc>
          <w:tcPr>
            <w:tcW w:w="152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86096A6" w14:textId="77777777" w:rsidR="00901A3E" w:rsidRPr="00A11799" w:rsidRDefault="00901A3E" w:rsidP="006E3183">
            <w:pPr>
              <w:rPr>
                <w:rFonts w:ascii="Arial" w:eastAsia="Arial" w:hAnsi="Arial" w:cs="Arial"/>
              </w:rPr>
            </w:pPr>
            <w:r w:rsidRPr="00A11799">
              <w:rPr>
                <w:rFonts w:ascii="Arial" w:eastAsia="Arial" w:hAnsi="Arial" w:cs="Arial"/>
              </w:rPr>
              <w:t>Minimise expenses on imports and create local manufacturing</w:t>
            </w:r>
          </w:p>
        </w:tc>
        <w:tc>
          <w:tcPr>
            <w:tcW w:w="219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C8038E5"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r w:rsidRPr="00A11799">
              <w:rPr>
                <w:rFonts w:ascii="Arial" w:eastAsia="Arial" w:hAnsi="Arial" w:cs="Arial"/>
              </w:rPr>
              <w:t>Reduction in import cost</w:t>
            </w:r>
          </w:p>
          <w:p w14:paraId="1E1373D3"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r w:rsidRPr="00A11799">
              <w:rPr>
                <w:rFonts w:ascii="Arial" w:eastAsia="Arial" w:hAnsi="Arial" w:cs="Arial"/>
              </w:rPr>
              <w:t>Local sourcing ratio</w:t>
            </w:r>
          </w:p>
        </w:tc>
        <w:tc>
          <w:tcPr>
            <w:tcW w:w="249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B4F15D4"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proofErr w:type="gramStart"/>
            <w:r w:rsidRPr="00A11799">
              <w:rPr>
                <w:rFonts w:ascii="Arial" w:eastAsia="Arial" w:hAnsi="Arial" w:cs="Arial"/>
              </w:rPr>
              <w:t>20%</w:t>
            </w:r>
            <w:proofErr w:type="gramEnd"/>
            <w:r w:rsidRPr="00A11799">
              <w:rPr>
                <w:rFonts w:ascii="Arial" w:eastAsia="Arial" w:hAnsi="Arial" w:cs="Arial"/>
              </w:rPr>
              <w:t xml:space="preserve"> cost reduction in 1 year </w:t>
            </w:r>
          </w:p>
          <w:p w14:paraId="54055E59"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proofErr w:type="gramStart"/>
            <w:r w:rsidRPr="00A11799">
              <w:rPr>
                <w:rFonts w:ascii="Arial" w:eastAsia="Arial" w:hAnsi="Arial" w:cs="Arial"/>
              </w:rPr>
              <w:t>40%</w:t>
            </w:r>
            <w:proofErr w:type="gramEnd"/>
            <w:r w:rsidRPr="00A11799">
              <w:rPr>
                <w:rFonts w:ascii="Arial" w:eastAsia="Arial" w:hAnsi="Arial" w:cs="Arial"/>
              </w:rPr>
              <w:t xml:space="preserve"> local sourcing by year 2</w:t>
            </w:r>
          </w:p>
        </w:tc>
      </w:tr>
      <w:tr w:rsidR="00901A3E" w:rsidRPr="00A11799" w14:paraId="29FD2EEA" w14:textId="77777777" w:rsidTr="006E3183">
        <w:trPr>
          <w:trHeight w:val="1680"/>
        </w:trPr>
        <w:tc>
          <w:tcPr>
            <w:tcW w:w="137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B757810" w14:textId="77777777" w:rsidR="00901A3E" w:rsidRPr="00A11799" w:rsidRDefault="00901A3E" w:rsidP="006E3183">
            <w:pPr>
              <w:rPr>
                <w:rFonts w:ascii="Arial" w:eastAsia="Arial" w:hAnsi="Arial" w:cs="Arial"/>
                <w:b/>
                <w:bCs/>
                <w:i/>
                <w:iCs/>
              </w:rPr>
            </w:pPr>
            <w:r w:rsidRPr="00A11799">
              <w:rPr>
                <w:rFonts w:ascii="Arial" w:eastAsia="Arial" w:hAnsi="Arial" w:cs="Arial"/>
                <w:b/>
                <w:bCs/>
                <w:i/>
                <w:iCs/>
              </w:rPr>
              <w:t>Customer</w:t>
            </w:r>
          </w:p>
        </w:tc>
        <w:tc>
          <w:tcPr>
            <w:tcW w:w="175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48BE956" w14:textId="77777777" w:rsidR="00901A3E" w:rsidRPr="00A11799" w:rsidRDefault="00901A3E" w:rsidP="006E3183">
            <w:pPr>
              <w:rPr>
                <w:rFonts w:ascii="Arial" w:eastAsia="Arial" w:hAnsi="Arial" w:cs="Arial"/>
              </w:rPr>
            </w:pPr>
            <w:r w:rsidRPr="00A11799">
              <w:rPr>
                <w:rFonts w:ascii="Arial" w:eastAsia="Arial" w:hAnsi="Arial" w:cs="Arial"/>
              </w:rPr>
              <w:t>EVs will be in demand due to an increase in the middle classes and urbanisation</w:t>
            </w:r>
          </w:p>
        </w:tc>
        <w:tc>
          <w:tcPr>
            <w:tcW w:w="152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68354E5" w14:textId="77777777" w:rsidR="00901A3E" w:rsidRPr="00A11799" w:rsidRDefault="00901A3E" w:rsidP="006E3183">
            <w:pPr>
              <w:rPr>
                <w:rFonts w:ascii="Arial" w:eastAsia="Arial" w:hAnsi="Arial" w:cs="Arial"/>
              </w:rPr>
            </w:pPr>
            <w:r w:rsidRPr="00A11799">
              <w:rPr>
                <w:rFonts w:ascii="Arial" w:eastAsia="Arial" w:hAnsi="Arial" w:cs="Arial"/>
              </w:rPr>
              <w:t>Increase access to EV, trust, and satisfaction</w:t>
            </w:r>
          </w:p>
        </w:tc>
        <w:tc>
          <w:tcPr>
            <w:tcW w:w="219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75CA811"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r w:rsidRPr="00A11799">
              <w:rPr>
                <w:rFonts w:ascii="Arial" w:eastAsia="Arial" w:hAnsi="Arial" w:cs="Arial"/>
              </w:rPr>
              <w:t>EV sales volume</w:t>
            </w:r>
          </w:p>
          <w:p w14:paraId="08A8439C"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r w:rsidRPr="00A11799">
              <w:rPr>
                <w:rFonts w:ascii="Arial" w:eastAsia="Arial" w:hAnsi="Arial" w:cs="Arial"/>
              </w:rPr>
              <w:t>Customer satisfaction index</w:t>
            </w:r>
          </w:p>
        </w:tc>
        <w:tc>
          <w:tcPr>
            <w:tcW w:w="249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A366A53"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r w:rsidRPr="00A11799">
              <w:rPr>
                <w:rFonts w:ascii="Arial" w:eastAsia="Arial" w:hAnsi="Arial" w:cs="Arial"/>
              </w:rPr>
              <w:t>15,000 units sold in first year</w:t>
            </w:r>
          </w:p>
          <w:p w14:paraId="5499C3E6"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proofErr w:type="gramStart"/>
            <w:r w:rsidRPr="00A11799">
              <w:rPr>
                <w:rFonts w:ascii="Arial" w:eastAsia="Arial" w:hAnsi="Arial" w:cs="Arial"/>
              </w:rPr>
              <w:t>85%</w:t>
            </w:r>
            <w:proofErr w:type="gramEnd"/>
            <w:r w:rsidRPr="00A11799">
              <w:rPr>
                <w:rFonts w:ascii="Arial" w:eastAsia="Arial" w:hAnsi="Arial" w:cs="Arial"/>
              </w:rPr>
              <w:t xml:space="preserve"> satisfaction score</w:t>
            </w:r>
          </w:p>
        </w:tc>
      </w:tr>
      <w:tr w:rsidR="00901A3E" w:rsidRPr="00A11799" w14:paraId="4CFF6D00" w14:textId="77777777" w:rsidTr="006E3183">
        <w:trPr>
          <w:trHeight w:val="615"/>
        </w:trPr>
        <w:tc>
          <w:tcPr>
            <w:tcW w:w="137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0FD911C" w14:textId="77777777" w:rsidR="00901A3E" w:rsidRPr="00A11799" w:rsidRDefault="00901A3E" w:rsidP="006E3183">
            <w:pPr>
              <w:rPr>
                <w:rFonts w:ascii="Arial" w:eastAsia="Arial" w:hAnsi="Arial" w:cs="Arial"/>
                <w:b/>
                <w:bCs/>
                <w:i/>
                <w:iCs/>
              </w:rPr>
            </w:pPr>
            <w:r w:rsidRPr="00A11799">
              <w:rPr>
                <w:rFonts w:ascii="Arial" w:eastAsia="Arial" w:hAnsi="Arial" w:cs="Arial"/>
                <w:b/>
                <w:bCs/>
                <w:i/>
                <w:iCs/>
              </w:rPr>
              <w:t>Internal Processes</w:t>
            </w:r>
          </w:p>
        </w:tc>
        <w:tc>
          <w:tcPr>
            <w:tcW w:w="175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AB4D1A9" w14:textId="77777777" w:rsidR="00901A3E" w:rsidRPr="00A11799" w:rsidRDefault="00901A3E" w:rsidP="006E3183">
            <w:pPr>
              <w:rPr>
                <w:rFonts w:ascii="Arial" w:eastAsia="Arial" w:hAnsi="Arial" w:cs="Arial"/>
              </w:rPr>
            </w:pPr>
            <w:r w:rsidRPr="00A11799">
              <w:rPr>
                <w:rFonts w:ascii="Arial" w:eastAsia="Arial" w:hAnsi="Arial" w:cs="Arial"/>
              </w:rPr>
              <w:t>Establish lean operations that conform to the infrastructure shortcomings in Brazil</w:t>
            </w:r>
          </w:p>
        </w:tc>
        <w:tc>
          <w:tcPr>
            <w:tcW w:w="152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5DC2F37" w14:textId="77777777" w:rsidR="00901A3E" w:rsidRPr="00A11799" w:rsidRDefault="00901A3E" w:rsidP="006E3183">
            <w:pPr>
              <w:rPr>
                <w:rFonts w:ascii="Arial" w:eastAsia="Arial" w:hAnsi="Arial" w:cs="Arial"/>
              </w:rPr>
            </w:pPr>
            <w:r w:rsidRPr="00A11799">
              <w:rPr>
                <w:rFonts w:ascii="Arial" w:eastAsia="Arial" w:hAnsi="Arial" w:cs="Arial"/>
              </w:rPr>
              <w:t xml:space="preserve">Install charging network, optimise supply chain, make sure to stay in compliance </w:t>
            </w:r>
            <w:r w:rsidRPr="00A11799">
              <w:rPr>
                <w:rFonts w:ascii="Arial" w:eastAsia="Arial" w:hAnsi="Arial" w:cs="Arial"/>
              </w:rPr>
              <w:lastRenderedPageBreak/>
              <w:t>with Rota 2030.</w:t>
            </w:r>
          </w:p>
        </w:tc>
        <w:tc>
          <w:tcPr>
            <w:tcW w:w="219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B0C1D42"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r w:rsidRPr="00A11799">
              <w:rPr>
                <w:rFonts w:ascii="Arial" w:eastAsia="Arial" w:hAnsi="Arial" w:cs="Arial"/>
              </w:rPr>
              <w:lastRenderedPageBreak/>
              <w:t>Number of Superchargers Production compliance rate</w:t>
            </w:r>
          </w:p>
        </w:tc>
        <w:tc>
          <w:tcPr>
            <w:tcW w:w="249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ACB435E"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r w:rsidRPr="00A11799">
              <w:rPr>
                <w:rFonts w:ascii="Arial" w:eastAsia="Arial" w:hAnsi="Arial" w:cs="Arial"/>
              </w:rPr>
              <w:t>250 Superchargers in 18 months</w:t>
            </w:r>
          </w:p>
          <w:p w14:paraId="42E4578C"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r w:rsidRPr="00A11799">
              <w:rPr>
                <w:rFonts w:ascii="Arial" w:eastAsia="Arial" w:hAnsi="Arial" w:cs="Arial"/>
              </w:rPr>
              <w:t>100% Rota 2030 compliance</w:t>
            </w:r>
          </w:p>
        </w:tc>
      </w:tr>
      <w:tr w:rsidR="00901A3E" w:rsidRPr="00A11799" w14:paraId="2CC66813" w14:textId="77777777" w:rsidTr="006E3183">
        <w:trPr>
          <w:trHeight w:val="1680"/>
        </w:trPr>
        <w:tc>
          <w:tcPr>
            <w:tcW w:w="137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E057C5A" w14:textId="77777777" w:rsidR="00901A3E" w:rsidRPr="00A11799" w:rsidRDefault="00901A3E" w:rsidP="006E3183">
            <w:pPr>
              <w:rPr>
                <w:rFonts w:ascii="Arial" w:eastAsia="Arial" w:hAnsi="Arial" w:cs="Arial"/>
                <w:b/>
                <w:bCs/>
                <w:i/>
                <w:iCs/>
              </w:rPr>
            </w:pPr>
            <w:r w:rsidRPr="00A11799">
              <w:rPr>
                <w:rFonts w:ascii="Arial" w:eastAsia="Arial" w:hAnsi="Arial" w:cs="Arial"/>
                <w:b/>
                <w:bCs/>
                <w:i/>
                <w:iCs/>
              </w:rPr>
              <w:t>Learning &amp; Growth</w:t>
            </w:r>
          </w:p>
        </w:tc>
        <w:tc>
          <w:tcPr>
            <w:tcW w:w="175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380835B" w14:textId="77777777" w:rsidR="00901A3E" w:rsidRPr="00A11799" w:rsidRDefault="00901A3E" w:rsidP="006E3183">
            <w:pPr>
              <w:rPr>
                <w:rFonts w:ascii="Arial" w:eastAsia="Arial" w:hAnsi="Arial" w:cs="Arial"/>
              </w:rPr>
            </w:pPr>
            <w:r w:rsidRPr="00A11799">
              <w:rPr>
                <w:rFonts w:ascii="Arial" w:eastAsia="Arial" w:hAnsi="Arial" w:cs="Arial"/>
              </w:rPr>
              <w:t>Develop local talent and innovation for long-term competitiveness.</w:t>
            </w:r>
          </w:p>
        </w:tc>
        <w:tc>
          <w:tcPr>
            <w:tcW w:w="152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43BFADF" w14:textId="77777777" w:rsidR="00901A3E" w:rsidRPr="00A11799" w:rsidRDefault="00901A3E" w:rsidP="006E3183">
            <w:pPr>
              <w:rPr>
                <w:rFonts w:ascii="Arial" w:eastAsia="Arial" w:hAnsi="Arial" w:cs="Arial"/>
              </w:rPr>
            </w:pPr>
            <w:r w:rsidRPr="00A11799">
              <w:rPr>
                <w:rFonts w:ascii="Arial" w:eastAsia="Arial" w:hAnsi="Arial" w:cs="Arial"/>
              </w:rPr>
              <w:t>Develop workforce capability and improve technological capability</w:t>
            </w:r>
          </w:p>
        </w:tc>
        <w:tc>
          <w:tcPr>
            <w:tcW w:w="219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C141B6B"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r w:rsidRPr="00A11799">
              <w:rPr>
                <w:rFonts w:ascii="Arial" w:eastAsia="Arial" w:hAnsi="Arial" w:cs="Arial"/>
              </w:rPr>
              <w:t xml:space="preserve">Employees who have </w:t>
            </w:r>
            <w:proofErr w:type="gramStart"/>
            <w:r w:rsidRPr="00A11799">
              <w:rPr>
                <w:rFonts w:ascii="Arial" w:eastAsia="Arial" w:hAnsi="Arial" w:cs="Arial"/>
              </w:rPr>
              <w:t>been trained</w:t>
            </w:r>
            <w:proofErr w:type="gramEnd"/>
            <w:r w:rsidRPr="00A11799">
              <w:rPr>
                <w:rFonts w:ascii="Arial" w:eastAsia="Arial" w:hAnsi="Arial" w:cs="Arial"/>
              </w:rPr>
              <w:t xml:space="preserve"> on EV systems</w:t>
            </w:r>
          </w:p>
          <w:p w14:paraId="5A6CD2FA"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r w:rsidRPr="00A11799">
              <w:rPr>
                <w:rFonts w:ascii="Arial" w:eastAsia="Arial" w:hAnsi="Arial" w:cs="Arial"/>
              </w:rPr>
              <w:t>R&amp;D collaborations</w:t>
            </w:r>
          </w:p>
        </w:tc>
        <w:tc>
          <w:tcPr>
            <w:tcW w:w="2497"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BE6AB72"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proofErr w:type="gramStart"/>
            <w:r w:rsidRPr="00A11799">
              <w:rPr>
                <w:rFonts w:ascii="Arial" w:eastAsia="Arial" w:hAnsi="Arial" w:cs="Arial"/>
              </w:rPr>
              <w:t>300</w:t>
            </w:r>
            <w:proofErr w:type="gramEnd"/>
            <w:r w:rsidRPr="00A11799">
              <w:rPr>
                <w:rFonts w:ascii="Arial" w:eastAsia="Arial" w:hAnsi="Arial" w:cs="Arial"/>
              </w:rPr>
              <w:t xml:space="preserve"> employees trained yearly</w:t>
            </w:r>
          </w:p>
          <w:p w14:paraId="7B4BFA18" w14:textId="77777777" w:rsidR="00901A3E" w:rsidRPr="00A11799" w:rsidRDefault="00901A3E" w:rsidP="006E3183">
            <w:pPr>
              <w:numPr>
                <w:ilvl w:val="0"/>
                <w:numId w:val="1"/>
              </w:numPr>
              <w:pBdr>
                <w:top w:val="nil"/>
                <w:left w:val="nil"/>
                <w:bottom w:val="nil"/>
                <w:right w:val="nil"/>
                <w:between w:val="nil"/>
              </w:pBdr>
              <w:spacing w:before="0" w:after="0"/>
              <w:rPr>
                <w:rFonts w:ascii="Arial" w:eastAsia="Arial" w:hAnsi="Arial" w:cs="Arial"/>
              </w:rPr>
            </w:pPr>
            <w:proofErr w:type="gramStart"/>
            <w:r w:rsidRPr="00A11799">
              <w:rPr>
                <w:rFonts w:ascii="Arial" w:eastAsia="Arial" w:hAnsi="Arial" w:cs="Arial"/>
              </w:rPr>
              <w:t>5</w:t>
            </w:r>
            <w:proofErr w:type="gramEnd"/>
            <w:r w:rsidRPr="00A11799">
              <w:rPr>
                <w:rFonts w:ascii="Arial" w:eastAsia="Arial" w:hAnsi="Arial" w:cs="Arial"/>
              </w:rPr>
              <w:t xml:space="preserve"> university/industry partnerships</w:t>
            </w:r>
          </w:p>
        </w:tc>
      </w:tr>
    </w:tbl>
    <w:p w14:paraId="52937665" w14:textId="4BD8549F" w:rsidR="00901A3E" w:rsidRDefault="00901A3E" w:rsidP="00901A3E">
      <w:pPr>
        <w:pBdr>
          <w:top w:val="nil"/>
          <w:left w:val="nil"/>
          <w:bottom w:val="nil"/>
          <w:right w:val="nil"/>
          <w:between w:val="nil"/>
        </w:pBdr>
        <w:jc w:val="center"/>
        <w:rPr>
          <w:rFonts w:ascii="Arial" w:eastAsia="Arial" w:hAnsi="Arial" w:cs="Arial"/>
          <w:b/>
          <w:bCs/>
        </w:rPr>
      </w:pPr>
      <w:r w:rsidRPr="00A11799">
        <w:rPr>
          <w:rFonts w:ascii="Arial" w:eastAsia="Arial" w:hAnsi="Arial" w:cs="Arial"/>
          <w:b/>
          <w:bCs/>
        </w:rPr>
        <w:t>Table 4: Balance Scorecard</w:t>
      </w:r>
    </w:p>
    <w:p w14:paraId="453325FD" w14:textId="77777777" w:rsidR="00C9671A" w:rsidRPr="00A11799" w:rsidRDefault="00C9671A" w:rsidP="00901A3E">
      <w:pPr>
        <w:pBdr>
          <w:top w:val="nil"/>
          <w:left w:val="nil"/>
          <w:bottom w:val="nil"/>
          <w:right w:val="nil"/>
          <w:between w:val="nil"/>
        </w:pBdr>
        <w:jc w:val="center"/>
        <w:rPr>
          <w:rFonts w:ascii="Arial" w:eastAsia="Arial" w:hAnsi="Arial" w:cs="Arial"/>
          <w:b/>
          <w:bCs/>
        </w:rPr>
      </w:pPr>
    </w:p>
    <w:p w14:paraId="7E31E431" w14:textId="564526A9" w:rsidR="00901A3E" w:rsidRPr="00A11799" w:rsidRDefault="00901A3E" w:rsidP="00901A3E">
      <w:pPr>
        <w:pStyle w:val="Heading2"/>
        <w:rPr>
          <w:rFonts w:ascii="Arial" w:eastAsia="Arial" w:hAnsi="Arial" w:cs="Arial"/>
        </w:rPr>
      </w:pPr>
      <w:bookmarkStart w:id="32" w:name="_Toc217248209"/>
      <w:r w:rsidRPr="00A11799">
        <w:rPr>
          <w:rFonts w:ascii="Arial" w:eastAsia="Arial" w:hAnsi="Arial" w:cs="Arial"/>
        </w:rPr>
        <w:t>Triple Bottom Line (TBL) Integration:-</w:t>
      </w:r>
      <w:bookmarkEnd w:id="32"/>
    </w:p>
    <w:p w14:paraId="5B0C3465" w14:textId="77777777" w:rsidR="00901A3E" w:rsidRPr="00A11799" w:rsidRDefault="00901A3E" w:rsidP="00901A3E">
      <w:pPr>
        <w:rPr>
          <w:rFonts w:ascii="Arial" w:eastAsia="Arial" w:hAnsi="Arial" w:cs="Arial"/>
        </w:rPr>
      </w:pPr>
      <w:r w:rsidRPr="00A11799">
        <w:rPr>
          <w:rFonts w:ascii="Arial" w:eastAsia="Arial" w:hAnsi="Arial" w:cs="Arial"/>
        </w:rPr>
        <w:t xml:space="preserve">Tesla is interested in Brazil and desires to have a clear system to know the effectiveness of this expansion. The system examines money, the environment, </w:t>
      </w:r>
      <w:proofErr w:type="gramStart"/>
      <w:r w:rsidRPr="00A11799">
        <w:rPr>
          <w:rFonts w:ascii="Arial" w:eastAsia="Arial" w:hAnsi="Arial" w:cs="Arial"/>
        </w:rPr>
        <w:t>people</w:t>
      </w:r>
      <w:proofErr w:type="gramEnd"/>
      <w:r w:rsidRPr="00A11799">
        <w:rPr>
          <w:rFonts w:ascii="Arial" w:eastAsia="Arial" w:hAnsi="Arial" w:cs="Arial"/>
        </w:rPr>
        <w:t xml:space="preserve"> and the management. It follows a TBL+ approach, providing the layer of governance and implementation, registered approximately 9537 units of passenger vehicles in 2023, as an increase of 114% from September 2022 (Schvartz </w:t>
      </w:r>
      <w:r w:rsidRPr="00A11799">
        <w:rPr>
          <w:rFonts w:ascii="Arial" w:eastAsia="Arial" w:hAnsi="Arial" w:cs="Arial"/>
          <w:i/>
          <w:iCs/>
        </w:rPr>
        <w:t>et al.</w:t>
      </w:r>
      <w:r w:rsidRPr="00A11799">
        <w:rPr>
          <w:rFonts w:ascii="Arial" w:eastAsia="Arial" w:hAnsi="Arial" w:cs="Arial"/>
        </w:rPr>
        <w:t xml:space="preserve">, 2024). This indicates that the population is interested in environmentally friendly travel. The use of renewable energy is another advantage of electric cars in Brazil, as it means that they produce a smaller overall impact on the environment. </w:t>
      </w:r>
    </w:p>
    <w:p w14:paraId="7E42E59F" w14:textId="77777777" w:rsidR="00901A3E" w:rsidRPr="00A11799" w:rsidRDefault="00901A3E" w:rsidP="00901A3E">
      <w:pPr>
        <w:jc w:val="center"/>
        <w:rPr>
          <w:rFonts w:ascii="Arial" w:eastAsia="Arial" w:hAnsi="Arial" w:cs="Arial"/>
        </w:rPr>
      </w:pPr>
      <w:r w:rsidRPr="00A11799">
        <w:rPr>
          <w:rFonts w:ascii="Arial" w:eastAsia="Arial" w:hAnsi="Arial" w:cs="Arial"/>
          <w:noProof/>
          <w:lang w:eastAsia="en-GB"/>
        </w:rPr>
        <w:lastRenderedPageBreak/>
        <w:drawing>
          <wp:inline distT="114300" distB="114300" distL="114300" distR="114300" wp14:anchorId="5B2E7F25" wp14:editId="21D086B6">
            <wp:extent cx="5238750" cy="2847975"/>
            <wp:effectExtent l="0" t="0" r="0" b="0"/>
            <wp:docPr id="201008867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238750" cy="2847975"/>
                    </a:xfrm>
                    <a:prstGeom prst="rect">
                      <a:avLst/>
                    </a:prstGeom>
                    <a:ln/>
                  </pic:spPr>
                </pic:pic>
              </a:graphicData>
            </a:graphic>
          </wp:inline>
        </w:drawing>
      </w:r>
    </w:p>
    <w:p w14:paraId="67700A48" w14:textId="77777777" w:rsidR="00901A3E" w:rsidRPr="00A11799" w:rsidRDefault="00901A3E" w:rsidP="00901A3E">
      <w:pPr>
        <w:pBdr>
          <w:top w:val="nil"/>
          <w:left w:val="nil"/>
          <w:bottom w:val="nil"/>
          <w:right w:val="nil"/>
          <w:between w:val="nil"/>
        </w:pBdr>
        <w:jc w:val="center"/>
        <w:rPr>
          <w:rFonts w:ascii="Arial" w:eastAsia="Arial" w:hAnsi="Arial" w:cs="Arial"/>
          <w:b/>
          <w:bCs/>
        </w:rPr>
      </w:pPr>
      <w:r w:rsidRPr="00A11799">
        <w:rPr>
          <w:rFonts w:ascii="Arial" w:eastAsia="Arial" w:hAnsi="Arial" w:cs="Arial"/>
          <w:b/>
          <w:bCs/>
        </w:rPr>
        <w:t>Figure 5: 2023 10 Best-selling models of EV</w:t>
      </w:r>
    </w:p>
    <w:p w14:paraId="5047605F" w14:textId="77777777" w:rsidR="00901A3E" w:rsidRPr="00A11799" w:rsidRDefault="00901A3E" w:rsidP="00901A3E">
      <w:pPr>
        <w:jc w:val="center"/>
        <w:rPr>
          <w:rFonts w:ascii="Arial" w:eastAsia="Arial" w:hAnsi="Arial" w:cs="Arial"/>
        </w:rPr>
      </w:pPr>
      <w:r w:rsidRPr="00A11799">
        <w:rPr>
          <w:rFonts w:ascii="Arial" w:eastAsia="Arial" w:hAnsi="Arial" w:cs="Arial"/>
        </w:rPr>
        <w:t xml:space="preserve">(Source: Schvartz </w:t>
      </w:r>
      <w:r w:rsidRPr="00A11799">
        <w:rPr>
          <w:rFonts w:ascii="Arial" w:eastAsia="Arial" w:hAnsi="Arial" w:cs="Arial"/>
          <w:i/>
          <w:iCs/>
        </w:rPr>
        <w:t>et al.</w:t>
      </w:r>
      <w:r w:rsidRPr="00A11799">
        <w:rPr>
          <w:rFonts w:ascii="Arial" w:eastAsia="Arial" w:hAnsi="Arial" w:cs="Arial"/>
        </w:rPr>
        <w:t>, 2024)</w:t>
      </w:r>
    </w:p>
    <w:p w14:paraId="5D48EBC9" w14:textId="77777777" w:rsidR="00901A3E" w:rsidRPr="00A11799" w:rsidRDefault="00901A3E" w:rsidP="00901A3E">
      <w:pPr>
        <w:rPr>
          <w:rFonts w:ascii="Arial" w:eastAsia="Arial" w:hAnsi="Arial" w:cs="Arial"/>
        </w:rPr>
      </w:pPr>
      <w:r w:rsidRPr="00A11799">
        <w:rPr>
          <w:rFonts w:ascii="Arial" w:eastAsia="Arial" w:hAnsi="Arial" w:cs="Arial"/>
        </w:rPr>
        <w:t xml:space="preserve">The financial component of the framework determines whether Tesla will be able to remain in business in Brazil. The company will need to determine whether it will be able to grow and realise profit within a reasonable period. It examines annual sales, market share of high-end EVs, annual revenue per vehicle with software services and the overall cost of owning the car compared to other vehicles. </w:t>
      </w:r>
      <w:proofErr w:type="gramStart"/>
      <w:r w:rsidRPr="00A11799">
        <w:rPr>
          <w:rFonts w:ascii="Arial" w:eastAsia="Arial" w:hAnsi="Arial" w:cs="Arial"/>
        </w:rPr>
        <w:t>Essentially, Tesla</w:t>
      </w:r>
      <w:proofErr w:type="gramEnd"/>
      <w:r w:rsidRPr="00A11799">
        <w:rPr>
          <w:rFonts w:ascii="Arial" w:eastAsia="Arial" w:hAnsi="Arial" w:cs="Arial"/>
        </w:rPr>
        <w:t xml:space="preserve"> might target 3-5% of all the Brazilian passenger car sales in five years, which could turn into </w:t>
      </w:r>
      <w:proofErr w:type="gramStart"/>
      <w:r w:rsidRPr="00A11799">
        <w:rPr>
          <w:rFonts w:ascii="Arial" w:eastAsia="Arial" w:hAnsi="Arial" w:cs="Arial"/>
        </w:rPr>
        <w:t>approximately 60,000</w:t>
      </w:r>
      <w:proofErr w:type="gramEnd"/>
      <w:r w:rsidRPr="00A11799">
        <w:rPr>
          <w:rFonts w:ascii="Arial" w:eastAsia="Arial" w:hAnsi="Arial" w:cs="Arial"/>
        </w:rPr>
        <w:t xml:space="preserve"> to 100,000 cars annually using price and output projections (Globalen LLC, 2024). </w:t>
      </w:r>
    </w:p>
    <w:p w14:paraId="518A5E9A" w14:textId="77777777" w:rsidR="00901A3E" w:rsidRPr="00A11799" w:rsidRDefault="00901A3E" w:rsidP="00901A3E">
      <w:pPr>
        <w:rPr>
          <w:rFonts w:ascii="Arial" w:eastAsia="Arial" w:hAnsi="Arial" w:cs="Arial"/>
        </w:rPr>
      </w:pPr>
      <w:r w:rsidRPr="00A11799">
        <w:rPr>
          <w:rFonts w:ascii="Arial" w:eastAsia="Arial" w:hAnsi="Arial" w:cs="Arial"/>
        </w:rPr>
        <w:t xml:space="preserve">Brazil already accesses </w:t>
      </w:r>
      <w:proofErr w:type="gramStart"/>
      <w:r w:rsidRPr="00A11799">
        <w:rPr>
          <w:rFonts w:ascii="Arial" w:eastAsia="Arial" w:hAnsi="Arial" w:cs="Arial"/>
        </w:rPr>
        <w:t>much</w:t>
      </w:r>
      <w:proofErr w:type="gramEnd"/>
      <w:r w:rsidRPr="00A11799">
        <w:rPr>
          <w:rFonts w:ascii="Arial" w:eastAsia="Arial" w:hAnsi="Arial" w:cs="Arial"/>
        </w:rPr>
        <w:t xml:space="preserve"> hydro, wind, and solar energy and Tesla electric cars can reduce CO2 more than gasoline cars (Yamamura </w:t>
      </w:r>
      <w:r w:rsidRPr="00A11799">
        <w:rPr>
          <w:rFonts w:ascii="Arial" w:eastAsia="Arial" w:hAnsi="Arial" w:cs="Arial"/>
          <w:i/>
          <w:iCs/>
        </w:rPr>
        <w:t>et al.</w:t>
      </w:r>
      <w:r w:rsidRPr="00A11799">
        <w:rPr>
          <w:rFonts w:ascii="Arial" w:eastAsia="Arial" w:hAnsi="Arial" w:cs="Arial"/>
        </w:rPr>
        <w:t xml:space="preserve">, 2022). Constructing additional charge stations is a prominent solution since an effective network will precondition the increase in the desire of people to purchase EVs and the decrease in concern about the lack of charge. </w:t>
      </w:r>
    </w:p>
    <w:p w14:paraId="445C18F4" w14:textId="77777777" w:rsidR="00901A3E" w:rsidRPr="00A11799" w:rsidRDefault="00901A3E" w:rsidP="00901A3E">
      <w:pPr>
        <w:jc w:val="center"/>
        <w:rPr>
          <w:rFonts w:ascii="Arial" w:eastAsia="Arial" w:hAnsi="Arial" w:cs="Arial"/>
        </w:rPr>
      </w:pPr>
      <w:r w:rsidRPr="00A11799">
        <w:rPr>
          <w:rFonts w:ascii="Arial" w:eastAsia="Arial" w:hAnsi="Arial" w:cs="Arial"/>
          <w:noProof/>
          <w:lang w:eastAsia="en-GB"/>
        </w:rPr>
        <w:lastRenderedPageBreak/>
        <w:drawing>
          <wp:inline distT="114300" distB="114300" distL="114300" distR="114300" wp14:anchorId="57CCA68B" wp14:editId="611E05B3">
            <wp:extent cx="3557588" cy="3557588"/>
            <wp:effectExtent l="0" t="0" r="0" b="0"/>
            <wp:docPr id="201008867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3557588" cy="3557588"/>
                    </a:xfrm>
                    <a:prstGeom prst="rect">
                      <a:avLst/>
                    </a:prstGeom>
                    <a:ln/>
                  </pic:spPr>
                </pic:pic>
              </a:graphicData>
            </a:graphic>
          </wp:inline>
        </w:drawing>
      </w:r>
    </w:p>
    <w:p w14:paraId="1C362EC5" w14:textId="77777777" w:rsidR="00901A3E" w:rsidRPr="00A11799" w:rsidRDefault="00901A3E" w:rsidP="00901A3E">
      <w:pPr>
        <w:pBdr>
          <w:top w:val="nil"/>
          <w:left w:val="nil"/>
          <w:bottom w:val="nil"/>
          <w:right w:val="nil"/>
          <w:between w:val="nil"/>
        </w:pBdr>
        <w:jc w:val="center"/>
        <w:rPr>
          <w:rFonts w:ascii="Arial" w:eastAsia="Arial" w:hAnsi="Arial" w:cs="Arial"/>
          <w:b/>
          <w:bCs/>
        </w:rPr>
      </w:pPr>
      <w:r w:rsidRPr="00A11799">
        <w:rPr>
          <w:rFonts w:ascii="Arial" w:eastAsia="Arial" w:hAnsi="Arial" w:cs="Arial"/>
          <w:b/>
          <w:bCs/>
        </w:rPr>
        <w:t>Figure 6: TBL Framework</w:t>
      </w:r>
    </w:p>
    <w:p w14:paraId="65AD0525" w14:textId="77777777" w:rsidR="00901A3E" w:rsidRPr="00A11799" w:rsidRDefault="00901A3E" w:rsidP="00901A3E">
      <w:pPr>
        <w:jc w:val="center"/>
        <w:rPr>
          <w:rFonts w:ascii="Arial" w:eastAsia="Arial" w:hAnsi="Arial" w:cs="Arial"/>
        </w:rPr>
      </w:pPr>
      <w:r w:rsidRPr="00A11799">
        <w:rPr>
          <w:rFonts w:ascii="Arial" w:eastAsia="Arial" w:hAnsi="Arial" w:cs="Arial"/>
        </w:rPr>
        <w:t>(Source: Dalibozhko and Krakovetskaya, 2018)</w:t>
      </w:r>
    </w:p>
    <w:p w14:paraId="39AB4484" w14:textId="77777777" w:rsidR="00901A3E" w:rsidRPr="00A11799" w:rsidRDefault="00901A3E" w:rsidP="00901A3E">
      <w:pPr>
        <w:rPr>
          <w:rFonts w:ascii="Arial" w:eastAsia="Arial" w:hAnsi="Arial" w:cs="Arial"/>
        </w:rPr>
      </w:pPr>
      <w:r w:rsidRPr="00A11799">
        <w:rPr>
          <w:rFonts w:ascii="Arial" w:eastAsia="Arial" w:hAnsi="Arial" w:cs="Arial"/>
        </w:rPr>
        <w:t xml:space="preserve">The TBL+ social pillar at Tesla considers the actions taken by the organisation to assist the workers, communities, and customers in Brazil. </w:t>
      </w:r>
      <w:proofErr w:type="gramStart"/>
      <w:r w:rsidRPr="00A11799">
        <w:rPr>
          <w:rFonts w:ascii="Arial" w:eastAsia="Arial" w:hAnsi="Arial" w:cs="Arial"/>
        </w:rPr>
        <w:t>In my opinion, there</w:t>
      </w:r>
      <w:proofErr w:type="gramEnd"/>
      <w:r w:rsidRPr="00A11799">
        <w:rPr>
          <w:rFonts w:ascii="Arial" w:eastAsia="Arial" w:hAnsi="Arial" w:cs="Arial"/>
        </w:rPr>
        <w:t xml:space="preserve"> is a need for creation of jobs during the sale of cars, servicing, and the construction of cars in Brazil. Considering these, both direct and indirect jobs must </w:t>
      </w:r>
      <w:proofErr w:type="gramStart"/>
      <w:r w:rsidRPr="00A11799">
        <w:rPr>
          <w:rFonts w:ascii="Arial" w:eastAsia="Arial" w:hAnsi="Arial" w:cs="Arial"/>
        </w:rPr>
        <w:t>be counted</w:t>
      </w:r>
      <w:proofErr w:type="gramEnd"/>
      <w:r w:rsidRPr="00A11799">
        <w:rPr>
          <w:rFonts w:ascii="Arial" w:eastAsia="Arial" w:hAnsi="Arial" w:cs="Arial"/>
        </w:rPr>
        <w:t>. Tesla needs to observe the rate at which it orders locally to determine the usefulness of Brazilian suppliers, and consider purchasing 30-60% of its parts locally (World Economic Forum, 2019). It is possible to consider Tesla as a socially responsible company, contributing to its local schools, technology, and sustainability initiatives. There are different sustainability initiatives, such as education in STEM and maintenance of electric vehicles (Irgin, 2023).</w:t>
      </w:r>
    </w:p>
    <w:p w14:paraId="7A706141" w14:textId="77777777" w:rsidR="00901A3E" w:rsidRPr="00A11799" w:rsidRDefault="00901A3E" w:rsidP="00901A3E">
      <w:pPr>
        <w:rPr>
          <w:rFonts w:ascii="Arial" w:eastAsia="Arial" w:hAnsi="Arial" w:cs="Arial"/>
        </w:rPr>
      </w:pPr>
      <w:r w:rsidRPr="00A11799">
        <w:rPr>
          <w:rFonts w:ascii="Arial" w:eastAsia="Arial" w:hAnsi="Arial" w:cs="Arial"/>
        </w:rPr>
        <w:t xml:space="preserve">The fourth pillar of the TBL model is the </w:t>
      </w:r>
      <w:r w:rsidRPr="00A11799">
        <w:rPr>
          <w:rFonts w:ascii="Arial" w:eastAsia="Arial" w:hAnsi="Arial" w:cs="Arial"/>
          <w:b/>
          <w:bCs/>
          <w:i/>
          <w:iCs/>
        </w:rPr>
        <w:t>governance and implementation part</w:t>
      </w:r>
      <w:r w:rsidRPr="00A11799">
        <w:rPr>
          <w:rFonts w:ascii="Arial" w:eastAsia="Arial" w:hAnsi="Arial" w:cs="Arial"/>
        </w:rPr>
        <w:t xml:space="preserve">, and it is compatible with the rules and culture of Brazil. This pillar continues monitoring whether Tesla possesses proper permits, negotiations with government officials, adherence to the schedule of the project, and adherence to the budget. The first step is </w:t>
      </w:r>
      <w:proofErr w:type="gramStart"/>
      <w:r w:rsidRPr="00A11799">
        <w:rPr>
          <w:rFonts w:ascii="Arial" w:eastAsia="Arial" w:hAnsi="Arial" w:cs="Arial"/>
        </w:rPr>
        <w:t>a very important</w:t>
      </w:r>
      <w:proofErr w:type="gramEnd"/>
      <w:r w:rsidRPr="00A11799">
        <w:rPr>
          <w:rFonts w:ascii="Arial" w:eastAsia="Arial" w:hAnsi="Arial" w:cs="Arial"/>
        </w:rPr>
        <w:t xml:space="preserve"> step in obtaining permits for stores, charging stations, and potential factories. As per my </w:t>
      </w:r>
      <w:r w:rsidRPr="00A11799">
        <w:rPr>
          <w:rFonts w:ascii="Arial" w:eastAsia="Arial" w:hAnsi="Arial" w:cs="Arial"/>
        </w:rPr>
        <w:lastRenderedPageBreak/>
        <w:t xml:space="preserve">understanding, the implementation success </w:t>
      </w:r>
      <w:proofErr w:type="gramStart"/>
      <w:r w:rsidRPr="00A11799">
        <w:rPr>
          <w:rFonts w:ascii="Arial" w:eastAsia="Arial" w:hAnsi="Arial" w:cs="Arial"/>
        </w:rPr>
        <w:t>is measured</w:t>
      </w:r>
      <w:proofErr w:type="gramEnd"/>
      <w:r w:rsidRPr="00A11799">
        <w:rPr>
          <w:rFonts w:ascii="Arial" w:eastAsia="Arial" w:hAnsi="Arial" w:cs="Arial"/>
        </w:rPr>
        <w:t xml:space="preserve"> by the adherence to the construction dates, new store opening, and infrastructural objectives of the plan. </w:t>
      </w:r>
    </w:p>
    <w:p w14:paraId="444FEAA2" w14:textId="0BC6A425" w:rsidR="00901A3E" w:rsidRPr="00A11799" w:rsidRDefault="00901A3E" w:rsidP="00901A3E">
      <w:pPr>
        <w:rPr>
          <w:rFonts w:ascii="Arial" w:eastAsia="Arial" w:hAnsi="Arial" w:cs="Arial"/>
          <w:b/>
          <w:bCs/>
        </w:rPr>
      </w:pPr>
      <w:r w:rsidRPr="00A11799">
        <w:rPr>
          <w:rFonts w:ascii="Arial" w:eastAsia="Arial" w:hAnsi="Arial" w:cs="Arial"/>
          <w:b/>
          <w:bCs/>
        </w:rPr>
        <w:t>Monitoring and Mechanisms of Governance</w:t>
      </w:r>
      <w:r w:rsidR="000A2DDC">
        <w:rPr>
          <w:rFonts w:ascii="Arial" w:eastAsia="Arial" w:hAnsi="Arial" w:cs="Arial"/>
          <w:b/>
          <w:bCs/>
        </w:rPr>
        <w:t>:-</w:t>
      </w:r>
    </w:p>
    <w:p w14:paraId="48E9119B" w14:textId="0EB21FD4" w:rsidR="00901A3E" w:rsidRDefault="00901A3E" w:rsidP="00901A3E">
      <w:pPr>
        <w:rPr>
          <w:rFonts w:ascii="Arial" w:eastAsia="Arial" w:hAnsi="Arial" w:cs="Arial"/>
        </w:rPr>
      </w:pPr>
      <w:proofErr w:type="gramStart"/>
      <w:r w:rsidRPr="00A11799">
        <w:rPr>
          <w:rFonts w:ascii="Arial" w:eastAsia="Arial" w:hAnsi="Arial" w:cs="Arial"/>
        </w:rPr>
        <w:t>In my opinion, Tesla</w:t>
      </w:r>
      <w:proofErr w:type="gramEnd"/>
      <w:r w:rsidRPr="00A11799">
        <w:rPr>
          <w:rFonts w:ascii="Arial" w:eastAsia="Arial" w:hAnsi="Arial" w:cs="Arial"/>
        </w:rPr>
        <w:t xml:space="preserve"> may wish to install Superchargers on high-traffic routes within </w:t>
      </w:r>
      <w:proofErr w:type="gramStart"/>
      <w:r w:rsidRPr="00A11799">
        <w:rPr>
          <w:rFonts w:ascii="Arial" w:eastAsia="Arial" w:hAnsi="Arial" w:cs="Arial"/>
        </w:rPr>
        <w:t>a short time</w:t>
      </w:r>
      <w:proofErr w:type="gramEnd"/>
      <w:r w:rsidRPr="00A11799">
        <w:rPr>
          <w:rFonts w:ascii="Arial" w:eastAsia="Arial" w:hAnsi="Arial" w:cs="Arial"/>
        </w:rPr>
        <w:t xml:space="preserve">, maintaining fewer than ten cars per charger. Reuse of batteries </w:t>
      </w:r>
      <w:proofErr w:type="gramStart"/>
      <w:r w:rsidRPr="00A11799">
        <w:rPr>
          <w:rFonts w:ascii="Arial" w:eastAsia="Arial" w:hAnsi="Arial" w:cs="Arial"/>
        </w:rPr>
        <w:t>is monitored</w:t>
      </w:r>
      <w:proofErr w:type="gramEnd"/>
      <w:r w:rsidRPr="00A11799">
        <w:rPr>
          <w:rFonts w:ascii="Arial" w:eastAsia="Arial" w:hAnsi="Arial" w:cs="Arial"/>
        </w:rPr>
        <w:t xml:space="preserve"> as the amount of material to recover when the batteries are at the end of their life, targeting a recovery of 80-95% (Kotak </w:t>
      </w:r>
      <w:r w:rsidRPr="00A11799">
        <w:rPr>
          <w:rFonts w:ascii="Arial" w:eastAsia="Arial" w:hAnsi="Arial" w:cs="Arial"/>
          <w:i/>
          <w:iCs/>
        </w:rPr>
        <w:t>et al.</w:t>
      </w:r>
      <w:r w:rsidRPr="00A11799">
        <w:rPr>
          <w:rFonts w:ascii="Arial" w:eastAsia="Arial" w:hAnsi="Arial" w:cs="Arial"/>
        </w:rPr>
        <w:t xml:space="preserve">, 2021). Quarterly charging station progress reports and annual comprehensive emissions review reports should </w:t>
      </w:r>
      <w:proofErr w:type="gramStart"/>
      <w:r w:rsidRPr="00A11799">
        <w:rPr>
          <w:rFonts w:ascii="Arial" w:eastAsia="Arial" w:hAnsi="Arial" w:cs="Arial"/>
        </w:rPr>
        <w:t>be provided</w:t>
      </w:r>
      <w:proofErr w:type="gramEnd"/>
      <w:r w:rsidRPr="00A11799">
        <w:rPr>
          <w:rFonts w:ascii="Arial" w:eastAsia="Arial" w:hAnsi="Arial" w:cs="Arial"/>
        </w:rPr>
        <w:t xml:space="preserve">, and reports on utility, </w:t>
      </w:r>
      <w:proofErr w:type="gramStart"/>
      <w:r w:rsidRPr="00A11799">
        <w:rPr>
          <w:rFonts w:ascii="Arial" w:eastAsia="Arial" w:hAnsi="Arial" w:cs="Arial"/>
        </w:rPr>
        <w:t>database</w:t>
      </w:r>
      <w:proofErr w:type="gramEnd"/>
      <w:r w:rsidRPr="00A11799">
        <w:rPr>
          <w:rFonts w:ascii="Arial" w:eastAsia="Arial" w:hAnsi="Arial" w:cs="Arial"/>
        </w:rPr>
        <w:t xml:space="preserve"> and station data. From the customer perspective, examining customer satisfaction and their Net Promoter Scores informs us about the performance of Tesla in the market, the quality of its services and the trust that a customer has in the brand. Measures of stakeholder activity reveal the effectiveness with which Tesla collaborates with the locals, suppliers, unions, and regulators (Tesla, 2020). Regular project reviews every month and quarterly governance checks make it all more understandable and hold accountability at </w:t>
      </w:r>
      <w:proofErr w:type="gramStart"/>
      <w:r w:rsidRPr="00A11799">
        <w:rPr>
          <w:rFonts w:ascii="Arial" w:eastAsia="Arial" w:hAnsi="Arial" w:cs="Arial"/>
        </w:rPr>
        <w:t>high levels</w:t>
      </w:r>
      <w:proofErr w:type="gramEnd"/>
      <w:r w:rsidRPr="00A11799">
        <w:rPr>
          <w:rFonts w:ascii="Arial" w:eastAsia="Arial" w:hAnsi="Arial" w:cs="Arial"/>
        </w:rPr>
        <w:t xml:space="preserve">. With the help of this multi-part approach, Tesla can incorporate all the indicators into a single integrated TBL+ scorecard to make this approach useful. The scorecard would assign the weight to each pillar, such as 35% to the economic outcomes, 30% to the environmental impacts, 25% to the social impact and 10% to how good the governance and implementation (Tesla, 2020). Every KPI would </w:t>
      </w:r>
      <w:proofErr w:type="gramStart"/>
      <w:r w:rsidRPr="00A11799">
        <w:rPr>
          <w:rFonts w:ascii="Arial" w:eastAsia="Arial" w:hAnsi="Arial" w:cs="Arial"/>
        </w:rPr>
        <w:t>be developed</w:t>
      </w:r>
      <w:proofErr w:type="gramEnd"/>
      <w:r w:rsidRPr="00A11799">
        <w:rPr>
          <w:rFonts w:ascii="Arial" w:eastAsia="Arial" w:hAnsi="Arial" w:cs="Arial"/>
        </w:rPr>
        <w:t xml:space="preserve"> into a zero to a hundred score on its goal and performance.</w:t>
      </w:r>
    </w:p>
    <w:p w14:paraId="627BCC46" w14:textId="77777777" w:rsidR="00424EA0" w:rsidRPr="00A11799" w:rsidRDefault="00424EA0" w:rsidP="00901A3E">
      <w:pPr>
        <w:rPr>
          <w:rFonts w:ascii="Arial" w:eastAsia="Arial" w:hAnsi="Arial" w:cs="Arial"/>
        </w:rPr>
      </w:pPr>
    </w:p>
    <w:p w14:paraId="30554F76" w14:textId="77777777" w:rsidR="00901A3E" w:rsidRPr="00A11799" w:rsidRDefault="00901A3E" w:rsidP="00901A3E">
      <w:pPr>
        <w:pStyle w:val="Heading1"/>
        <w:rPr>
          <w:rFonts w:ascii="Arial" w:eastAsia="Arial" w:hAnsi="Arial" w:cs="Arial"/>
        </w:rPr>
      </w:pPr>
      <w:bookmarkStart w:id="33" w:name="_Toc217248210"/>
      <w:r w:rsidRPr="00A11799">
        <w:rPr>
          <w:rFonts w:ascii="Arial" w:eastAsia="Arial" w:hAnsi="Arial" w:cs="Arial"/>
        </w:rPr>
        <w:t>Conclusion:-</w:t>
      </w:r>
      <w:bookmarkEnd w:id="33"/>
    </w:p>
    <w:p w14:paraId="53D627C6" w14:textId="77777777" w:rsidR="00901A3E" w:rsidRPr="00A11799" w:rsidRDefault="00901A3E" w:rsidP="00901A3E">
      <w:pPr>
        <w:rPr>
          <w:rFonts w:ascii="Arial" w:eastAsia="Arial" w:hAnsi="Arial" w:cs="Arial"/>
        </w:rPr>
      </w:pPr>
      <w:r w:rsidRPr="00A11799">
        <w:rPr>
          <w:rFonts w:ascii="Arial" w:eastAsia="Arial" w:hAnsi="Arial" w:cs="Arial"/>
        </w:rPr>
        <w:t xml:space="preserve">Customer bargaining power has </w:t>
      </w:r>
      <w:proofErr w:type="gramStart"/>
      <w:r w:rsidRPr="00A11799">
        <w:rPr>
          <w:rFonts w:ascii="Arial" w:eastAsia="Arial" w:hAnsi="Arial" w:cs="Arial"/>
        </w:rPr>
        <w:t>been increased</w:t>
      </w:r>
      <w:proofErr w:type="gramEnd"/>
      <w:r w:rsidRPr="00A11799">
        <w:rPr>
          <w:rFonts w:ascii="Arial" w:eastAsia="Arial" w:hAnsi="Arial" w:cs="Arial"/>
        </w:rPr>
        <w:t xml:space="preserve"> due to the emergence of digital comparison platforms. The car brands invest capital in online advertising. This network is correlated with the fact that Tesla has a wide range of ambitions to manufacture over </w:t>
      </w:r>
      <w:proofErr w:type="gramStart"/>
      <w:r w:rsidRPr="00A11799">
        <w:rPr>
          <w:rFonts w:ascii="Arial" w:eastAsia="Arial" w:hAnsi="Arial" w:cs="Arial"/>
        </w:rPr>
        <w:t>2</w:t>
      </w:r>
      <w:proofErr w:type="gramEnd"/>
      <w:r w:rsidRPr="00A11799">
        <w:rPr>
          <w:rFonts w:ascii="Arial" w:eastAsia="Arial" w:hAnsi="Arial" w:cs="Arial"/>
        </w:rPr>
        <w:t xml:space="preserve"> million electric vehicles each year. This proves that Tesla is the leader among all the world's manufacturers of electric vehicles. A joint venture (JV) is the most strategically appropriate entry mechanism for Tesla's development into Brazil. Thus, Tesla can gain a significant level of advantage from joint venture strategy in Brazil.</w:t>
      </w:r>
      <w:r w:rsidRPr="00A11799">
        <w:rPr>
          <w:rFonts w:ascii="Arial" w:hAnsi="Arial" w:cs="Arial"/>
        </w:rPr>
        <w:br w:type="page"/>
      </w:r>
    </w:p>
    <w:p w14:paraId="59C0C2D3" w14:textId="2B568D15" w:rsidR="00901A3E" w:rsidRPr="00A11799" w:rsidRDefault="00901A3E" w:rsidP="00901A3E">
      <w:pPr>
        <w:pStyle w:val="Heading1"/>
        <w:rPr>
          <w:rFonts w:ascii="Arial" w:eastAsia="Arial" w:hAnsi="Arial" w:cs="Arial"/>
        </w:rPr>
      </w:pPr>
      <w:bookmarkStart w:id="34" w:name="_Toc217248211"/>
      <w:r w:rsidRPr="00A11799">
        <w:rPr>
          <w:rFonts w:ascii="Arial" w:eastAsia="Arial" w:hAnsi="Arial" w:cs="Arial"/>
        </w:rPr>
        <w:lastRenderedPageBreak/>
        <w:t>References</w:t>
      </w:r>
      <w:r w:rsidR="00BF0F79">
        <w:rPr>
          <w:rFonts w:ascii="Arial" w:eastAsia="Arial" w:hAnsi="Arial" w:cs="Arial"/>
        </w:rPr>
        <w:t>:-</w:t>
      </w:r>
      <w:bookmarkEnd w:id="34"/>
    </w:p>
    <w:p w14:paraId="52FF0812" w14:textId="77777777" w:rsidR="00901A3E" w:rsidRPr="00A11799" w:rsidRDefault="00901A3E" w:rsidP="00901A3E">
      <w:pPr>
        <w:rPr>
          <w:rFonts w:ascii="Arial" w:eastAsia="Arial" w:hAnsi="Arial" w:cs="Arial"/>
        </w:rPr>
      </w:pPr>
      <w:r w:rsidRPr="00A11799">
        <w:rPr>
          <w:rFonts w:ascii="Arial" w:eastAsia="Arial" w:hAnsi="Arial" w:cs="Arial"/>
        </w:rPr>
        <w:t xml:space="preserve">Alexandre, C. (2025) </w:t>
      </w:r>
      <w:r w:rsidRPr="00A11799">
        <w:rPr>
          <w:rFonts w:ascii="Arial" w:eastAsia="Arial" w:hAnsi="Arial" w:cs="Arial"/>
          <w:i/>
          <w:iCs/>
        </w:rPr>
        <w:t>The Growth of Electric Vehicles in Brazil: A Sustainable Revolution - Climate Scorecard</w:t>
      </w:r>
      <w:r w:rsidRPr="00A11799">
        <w:rPr>
          <w:rFonts w:ascii="Arial" w:eastAsia="Arial" w:hAnsi="Arial" w:cs="Arial"/>
        </w:rPr>
        <w:t xml:space="preserve">, </w:t>
      </w:r>
      <w:r w:rsidRPr="00A11799">
        <w:rPr>
          <w:rFonts w:ascii="Arial" w:eastAsia="Arial" w:hAnsi="Arial" w:cs="Arial"/>
          <w:i/>
          <w:iCs/>
        </w:rPr>
        <w:t>Climate Scorecard</w:t>
      </w:r>
      <w:r w:rsidRPr="00A11799">
        <w:rPr>
          <w:rFonts w:ascii="Arial" w:eastAsia="Arial" w:hAnsi="Arial" w:cs="Arial"/>
        </w:rPr>
        <w:t>. Available at: https://www.climatescorecard.org/2025/03/the-growth-of-electric-vehicles-in-brazil-a-sustainable-revolution/ (Accessed: 25 November 2025).</w:t>
      </w:r>
    </w:p>
    <w:p w14:paraId="1CE57834" w14:textId="77777777" w:rsidR="00901A3E" w:rsidRPr="00A11799" w:rsidRDefault="00901A3E" w:rsidP="00901A3E">
      <w:pPr>
        <w:rPr>
          <w:rFonts w:ascii="Arial" w:eastAsia="Arial" w:hAnsi="Arial" w:cs="Arial"/>
        </w:rPr>
      </w:pPr>
      <w:r w:rsidRPr="00A11799">
        <w:rPr>
          <w:rFonts w:ascii="Arial" w:eastAsia="Arial" w:hAnsi="Arial" w:cs="Arial"/>
        </w:rPr>
        <w:t xml:space="preserve">Argus Media (2025) </w:t>
      </w:r>
      <w:r w:rsidRPr="00A11799">
        <w:rPr>
          <w:rFonts w:ascii="Arial" w:eastAsia="Arial" w:hAnsi="Arial" w:cs="Arial"/>
          <w:i/>
          <w:iCs/>
        </w:rPr>
        <w:t>Brazil’s EV sales hit record high in 2024</w:t>
      </w:r>
      <w:r w:rsidRPr="00A11799">
        <w:rPr>
          <w:rFonts w:ascii="Arial" w:eastAsia="Arial" w:hAnsi="Arial" w:cs="Arial"/>
        </w:rPr>
        <w:t xml:space="preserve">, </w:t>
      </w:r>
      <w:r w:rsidRPr="00A11799">
        <w:rPr>
          <w:rFonts w:ascii="Arial" w:eastAsia="Arial" w:hAnsi="Arial" w:cs="Arial"/>
          <w:i/>
          <w:iCs/>
        </w:rPr>
        <w:t>Argusmedia.com</w:t>
      </w:r>
      <w:r w:rsidRPr="00A11799">
        <w:rPr>
          <w:rFonts w:ascii="Arial" w:eastAsia="Arial" w:hAnsi="Arial" w:cs="Arial"/>
        </w:rPr>
        <w:t>. Argus Media. Available at: https://www.argusmedia.com/en/news-and-insights/latest-market-news/2644370-brazil-s-ev-sales-hit-record-high-in-2024 (Accessed: 25 November 2025).</w:t>
      </w:r>
    </w:p>
    <w:p w14:paraId="2A411851" w14:textId="77777777" w:rsidR="00901A3E" w:rsidRPr="00A11799" w:rsidRDefault="00901A3E" w:rsidP="00901A3E">
      <w:pPr>
        <w:rPr>
          <w:rFonts w:ascii="Arial" w:eastAsia="Arial" w:hAnsi="Arial" w:cs="Arial"/>
        </w:rPr>
      </w:pPr>
      <w:r w:rsidRPr="00A11799">
        <w:rPr>
          <w:rFonts w:ascii="Arial" w:eastAsia="Arial" w:hAnsi="Arial" w:cs="Arial"/>
        </w:rPr>
        <w:t xml:space="preserve">Dalibozhko, A. and Krakovetskaya, I. (2018) ‘Youth entrepreneurial projects for the sustainable development of global community: evidence from Enactus program’, </w:t>
      </w:r>
      <w:r w:rsidRPr="00A11799">
        <w:rPr>
          <w:rFonts w:ascii="Arial" w:eastAsia="Arial" w:hAnsi="Arial" w:cs="Arial"/>
          <w:i/>
          <w:iCs/>
        </w:rPr>
        <w:t>SHS Web of Conferences</w:t>
      </w:r>
      <w:r w:rsidRPr="00A11799">
        <w:rPr>
          <w:rFonts w:ascii="Arial" w:eastAsia="Arial" w:hAnsi="Arial" w:cs="Arial"/>
        </w:rPr>
        <w:t>, 57(1), p. 01009. Available at: http://dx.doi.org/10.1051/shsconf/20185701009.</w:t>
      </w:r>
    </w:p>
    <w:p w14:paraId="1E4EA276" w14:textId="77777777" w:rsidR="00901A3E" w:rsidRPr="00A11799" w:rsidRDefault="00901A3E" w:rsidP="00901A3E">
      <w:pPr>
        <w:rPr>
          <w:rFonts w:ascii="Arial" w:eastAsia="Arial" w:hAnsi="Arial" w:cs="Arial"/>
        </w:rPr>
      </w:pPr>
      <w:r w:rsidRPr="00A11799">
        <w:rPr>
          <w:rFonts w:ascii="Arial" w:eastAsia="Arial" w:hAnsi="Arial" w:cs="Arial"/>
        </w:rPr>
        <w:t xml:space="preserve">Dash, I. (2025) </w:t>
      </w:r>
      <w:r w:rsidRPr="00A11799">
        <w:rPr>
          <w:rFonts w:ascii="Arial" w:eastAsia="Arial" w:hAnsi="Arial" w:cs="Arial"/>
          <w:i/>
          <w:iCs/>
        </w:rPr>
        <w:t>Distributed Energy Storage System Market Size, Growth Analysis 2037</w:t>
      </w:r>
      <w:r w:rsidRPr="00A11799">
        <w:rPr>
          <w:rFonts w:ascii="Arial" w:eastAsia="Arial" w:hAnsi="Arial" w:cs="Arial"/>
        </w:rPr>
        <w:t xml:space="preserve">, </w:t>
      </w:r>
      <w:r w:rsidRPr="00A11799">
        <w:rPr>
          <w:rFonts w:ascii="Arial" w:eastAsia="Arial" w:hAnsi="Arial" w:cs="Arial"/>
          <w:i/>
          <w:iCs/>
        </w:rPr>
        <w:t>Research Nester</w:t>
      </w:r>
      <w:r w:rsidRPr="00A11799">
        <w:rPr>
          <w:rFonts w:ascii="Arial" w:eastAsia="Arial" w:hAnsi="Arial" w:cs="Arial"/>
        </w:rPr>
        <w:t>. Available at: https://www.researchnester.com/reports/distributed-energy-storage-system-market/3962 (Accessed: 25 November 2025).</w:t>
      </w:r>
    </w:p>
    <w:p w14:paraId="49BB43D6" w14:textId="77777777" w:rsidR="00901A3E" w:rsidRPr="00A11799" w:rsidRDefault="00901A3E" w:rsidP="00901A3E">
      <w:pPr>
        <w:rPr>
          <w:rFonts w:ascii="Arial" w:eastAsia="Arial" w:hAnsi="Arial" w:cs="Arial"/>
        </w:rPr>
      </w:pPr>
      <w:r w:rsidRPr="00A11799">
        <w:rPr>
          <w:rFonts w:ascii="Arial" w:eastAsia="Arial" w:hAnsi="Arial" w:cs="Arial"/>
        </w:rPr>
        <w:t xml:space="preserve">Diego, J. (2025) </w:t>
      </w:r>
      <w:r w:rsidRPr="00A11799">
        <w:rPr>
          <w:rFonts w:ascii="Arial" w:eastAsia="Arial" w:hAnsi="Arial" w:cs="Arial"/>
          <w:i/>
          <w:iCs/>
        </w:rPr>
        <w:t>Brazil EV Sales Report: Local EV Production Imminent as Sales Reach a New Record in May - CleanTechnica</w:t>
      </w:r>
      <w:r w:rsidRPr="00A11799">
        <w:rPr>
          <w:rFonts w:ascii="Arial" w:eastAsia="Arial" w:hAnsi="Arial" w:cs="Arial"/>
        </w:rPr>
        <w:t xml:space="preserve">, </w:t>
      </w:r>
      <w:r w:rsidRPr="00A11799">
        <w:rPr>
          <w:rFonts w:ascii="Arial" w:eastAsia="Arial" w:hAnsi="Arial" w:cs="Arial"/>
          <w:i/>
          <w:iCs/>
        </w:rPr>
        <w:t>CleanTechnica</w:t>
      </w:r>
      <w:r w:rsidRPr="00A11799">
        <w:rPr>
          <w:rFonts w:ascii="Arial" w:eastAsia="Arial" w:hAnsi="Arial" w:cs="Arial"/>
        </w:rPr>
        <w:t>. Available at: https://cleantechnica.com/2025/06/11/brazil-ev-sales-report-local-ev-production-imminent-as-sales-reach-a-new-record-in-may/ (Accessed: 25 November 2025).</w:t>
      </w:r>
    </w:p>
    <w:p w14:paraId="302640B6" w14:textId="77777777" w:rsidR="00901A3E" w:rsidRPr="00A11799" w:rsidRDefault="00901A3E" w:rsidP="00901A3E">
      <w:pPr>
        <w:rPr>
          <w:rFonts w:ascii="Arial" w:eastAsia="Arial" w:hAnsi="Arial" w:cs="Arial"/>
        </w:rPr>
      </w:pPr>
      <w:r w:rsidRPr="00A11799">
        <w:rPr>
          <w:rFonts w:ascii="Arial" w:eastAsia="Arial" w:hAnsi="Arial" w:cs="Arial"/>
        </w:rPr>
        <w:t xml:space="preserve">Edwards, J. (2010) </w:t>
      </w:r>
      <w:r w:rsidRPr="00A11799">
        <w:rPr>
          <w:rFonts w:ascii="Arial" w:eastAsia="Arial" w:hAnsi="Arial" w:cs="Arial"/>
          <w:i/>
          <w:iCs/>
        </w:rPr>
        <w:t>Focused Cost Leadership and Focused Differentiation – Mastering Strategic Management- 1st Canadian Edition</w:t>
      </w:r>
      <w:r w:rsidRPr="00A11799">
        <w:rPr>
          <w:rFonts w:ascii="Arial" w:eastAsia="Arial" w:hAnsi="Arial" w:cs="Arial"/>
        </w:rPr>
        <w:t xml:space="preserve">, </w:t>
      </w:r>
      <w:r w:rsidRPr="00A11799">
        <w:rPr>
          <w:rFonts w:ascii="Arial" w:eastAsia="Arial" w:hAnsi="Arial" w:cs="Arial"/>
          <w:i/>
          <w:iCs/>
        </w:rPr>
        <w:t>Opentextbc.ca</w:t>
      </w:r>
      <w:r w:rsidRPr="00A11799">
        <w:rPr>
          <w:rFonts w:ascii="Arial" w:eastAsia="Arial" w:hAnsi="Arial" w:cs="Arial"/>
        </w:rPr>
        <w:t>. Available at: https://opentextbc.ca/strategicmanagement/chapter/focused-cost-leadership-and-focused-differentiation/ (Accessed: 8 December 2025).</w:t>
      </w:r>
    </w:p>
    <w:p w14:paraId="468D4309" w14:textId="77777777" w:rsidR="00901A3E" w:rsidRPr="00A11799" w:rsidRDefault="00901A3E" w:rsidP="00901A3E">
      <w:pPr>
        <w:rPr>
          <w:rFonts w:ascii="Arial" w:eastAsia="Arial" w:hAnsi="Arial" w:cs="Arial"/>
        </w:rPr>
      </w:pPr>
      <w:r w:rsidRPr="00A11799">
        <w:rPr>
          <w:rFonts w:ascii="Arial" w:eastAsia="Arial" w:hAnsi="Arial" w:cs="Arial"/>
        </w:rPr>
        <w:t xml:space="preserve">Electrive (2025) </w:t>
      </w:r>
      <w:r w:rsidRPr="00A11799">
        <w:rPr>
          <w:rFonts w:ascii="Arial" w:eastAsia="Arial" w:hAnsi="Arial" w:cs="Arial"/>
          <w:i/>
          <w:iCs/>
        </w:rPr>
        <w:t>Brazil accelerates tariff hike on disassembled EV imports - electrive.com</w:t>
      </w:r>
      <w:r w:rsidRPr="00A11799">
        <w:rPr>
          <w:rFonts w:ascii="Arial" w:eastAsia="Arial" w:hAnsi="Arial" w:cs="Arial"/>
        </w:rPr>
        <w:t xml:space="preserve">, </w:t>
      </w:r>
      <w:r w:rsidRPr="00A11799">
        <w:rPr>
          <w:rFonts w:ascii="Arial" w:eastAsia="Arial" w:hAnsi="Arial" w:cs="Arial"/>
          <w:i/>
          <w:iCs/>
        </w:rPr>
        <w:t>electrive.com</w:t>
      </w:r>
      <w:r w:rsidRPr="00A11799">
        <w:rPr>
          <w:rFonts w:ascii="Arial" w:eastAsia="Arial" w:hAnsi="Arial" w:cs="Arial"/>
        </w:rPr>
        <w:t>. Available at: https://www.electrive.com/2025/08/01/brazil-accelerates-tariff-hike-on-disassembled-ev-imports/ (Accessed: 25 November 2025).</w:t>
      </w:r>
    </w:p>
    <w:p w14:paraId="34517D99" w14:textId="77777777" w:rsidR="00901A3E" w:rsidRPr="00A11799" w:rsidRDefault="00901A3E" w:rsidP="00901A3E">
      <w:pPr>
        <w:rPr>
          <w:rFonts w:ascii="Arial" w:eastAsia="Arial" w:hAnsi="Arial" w:cs="Arial"/>
        </w:rPr>
      </w:pPr>
      <w:r w:rsidRPr="00A11799">
        <w:rPr>
          <w:rFonts w:ascii="Arial" w:eastAsia="Arial" w:hAnsi="Arial" w:cs="Arial"/>
        </w:rPr>
        <w:t xml:space="preserve">EV Boosters (2024) </w:t>
      </w:r>
      <w:r w:rsidRPr="00A11799">
        <w:rPr>
          <w:rFonts w:ascii="Arial" w:eastAsia="Arial" w:hAnsi="Arial" w:cs="Arial"/>
          <w:i/>
          <w:iCs/>
        </w:rPr>
        <w:t>Tesla vs BYD: A battle of global production capacity</w:t>
      </w:r>
      <w:r w:rsidRPr="00A11799">
        <w:rPr>
          <w:rFonts w:ascii="Arial" w:eastAsia="Arial" w:hAnsi="Arial" w:cs="Arial"/>
        </w:rPr>
        <w:t xml:space="preserve">, </w:t>
      </w:r>
      <w:r w:rsidRPr="00A11799">
        <w:rPr>
          <w:rFonts w:ascii="Arial" w:eastAsia="Arial" w:hAnsi="Arial" w:cs="Arial"/>
          <w:i/>
          <w:iCs/>
        </w:rPr>
        <w:t>EVBoosters</w:t>
      </w:r>
      <w:r w:rsidRPr="00A11799">
        <w:rPr>
          <w:rFonts w:ascii="Arial" w:eastAsia="Arial" w:hAnsi="Arial" w:cs="Arial"/>
        </w:rPr>
        <w:t>. Available at: https://evboosters.com/ev-charging-news/tesla-vs-byd-a-battle-of-global-production-capacity/ (Accessed: 25 November 2025).</w:t>
      </w:r>
    </w:p>
    <w:p w14:paraId="354C1B71" w14:textId="77777777" w:rsidR="00901A3E" w:rsidRPr="00A11799" w:rsidRDefault="00901A3E" w:rsidP="00901A3E">
      <w:pPr>
        <w:rPr>
          <w:rFonts w:ascii="Arial" w:eastAsia="Arial" w:hAnsi="Arial" w:cs="Arial"/>
        </w:rPr>
      </w:pPr>
      <w:r w:rsidRPr="00A11799">
        <w:rPr>
          <w:rFonts w:ascii="Arial" w:eastAsia="Arial" w:hAnsi="Arial" w:cs="Arial"/>
        </w:rPr>
        <w:lastRenderedPageBreak/>
        <w:t xml:space="preserve">Frennesson, L. </w:t>
      </w:r>
      <w:r w:rsidRPr="00A11799">
        <w:rPr>
          <w:rFonts w:ascii="Arial" w:eastAsia="Arial" w:hAnsi="Arial" w:cs="Arial"/>
          <w:i/>
          <w:iCs/>
        </w:rPr>
        <w:t>et al.</w:t>
      </w:r>
      <w:r w:rsidRPr="00A11799">
        <w:rPr>
          <w:rFonts w:ascii="Arial" w:eastAsia="Arial" w:hAnsi="Arial" w:cs="Arial"/>
        </w:rPr>
        <w:t xml:space="preserve"> (2020) ‘Localisation of </w:t>
      </w:r>
      <w:proofErr w:type="gramStart"/>
      <w:r w:rsidRPr="00A11799">
        <w:rPr>
          <w:rFonts w:ascii="Arial" w:eastAsia="Arial" w:hAnsi="Arial" w:cs="Arial"/>
        </w:rPr>
        <w:t>logistics</w:t>
      </w:r>
      <w:proofErr w:type="gramEnd"/>
      <w:r w:rsidRPr="00A11799">
        <w:rPr>
          <w:rFonts w:ascii="Arial" w:eastAsia="Arial" w:hAnsi="Arial" w:cs="Arial"/>
        </w:rPr>
        <w:t xml:space="preserve"> preparedness in international humanitarian organisations’, </w:t>
      </w:r>
      <w:r w:rsidRPr="00A11799">
        <w:rPr>
          <w:rFonts w:ascii="Arial" w:eastAsia="Arial" w:hAnsi="Arial" w:cs="Arial"/>
          <w:i/>
          <w:iCs/>
        </w:rPr>
        <w:t>Journal of Humanitarian Logistics and Supply Chain Management</w:t>
      </w:r>
      <w:r w:rsidRPr="00A11799">
        <w:rPr>
          <w:rFonts w:ascii="Arial" w:eastAsia="Arial" w:hAnsi="Arial" w:cs="Arial"/>
        </w:rPr>
        <w:t>, 11(1). Available at: https://doi.org/10.1108/jhlscm-06-2020-0048.</w:t>
      </w:r>
    </w:p>
    <w:p w14:paraId="43C5951E" w14:textId="77777777" w:rsidR="00901A3E" w:rsidRPr="00A11799" w:rsidRDefault="00901A3E" w:rsidP="00901A3E">
      <w:pPr>
        <w:rPr>
          <w:rFonts w:ascii="Arial" w:eastAsia="Arial" w:hAnsi="Arial" w:cs="Arial"/>
        </w:rPr>
      </w:pPr>
      <w:r w:rsidRPr="00A11799">
        <w:rPr>
          <w:rFonts w:ascii="Arial" w:eastAsia="Arial" w:hAnsi="Arial" w:cs="Arial"/>
        </w:rPr>
        <w:t xml:space="preserve">Garraffo, F.M. and Siregar, S.L. (2021) ‘Coopetition among competitors in global industries: drivers that lead to coopetitive agreements’, </w:t>
      </w:r>
      <w:r w:rsidRPr="00A11799">
        <w:rPr>
          <w:rFonts w:ascii="Arial" w:eastAsia="Arial" w:hAnsi="Arial" w:cs="Arial"/>
          <w:i/>
          <w:iCs/>
        </w:rPr>
        <w:t>Competitiveness Review: An International Business Journal</w:t>
      </w:r>
      <w:r w:rsidRPr="00A11799">
        <w:rPr>
          <w:rFonts w:ascii="Arial" w:eastAsia="Arial" w:hAnsi="Arial" w:cs="Arial"/>
        </w:rPr>
        <w:t>, ahead-of-print(ahead-of-print), pp. 428–454. Available at: https://doi.org/10.1108/cr-04-2021-0055.</w:t>
      </w:r>
    </w:p>
    <w:p w14:paraId="0DF67C4A" w14:textId="77777777" w:rsidR="00901A3E" w:rsidRPr="00A11799" w:rsidRDefault="00901A3E" w:rsidP="00901A3E">
      <w:pPr>
        <w:rPr>
          <w:rFonts w:ascii="Arial" w:eastAsia="Arial" w:hAnsi="Arial" w:cs="Arial"/>
        </w:rPr>
      </w:pPr>
      <w:r w:rsidRPr="00A11799">
        <w:rPr>
          <w:rFonts w:ascii="Arial" w:eastAsia="Arial" w:hAnsi="Arial" w:cs="Arial"/>
        </w:rPr>
        <w:t xml:space="preserve">Globalen LLC (2024) </w:t>
      </w:r>
      <w:r w:rsidRPr="00A11799">
        <w:rPr>
          <w:rFonts w:ascii="Arial" w:eastAsia="Arial" w:hAnsi="Arial" w:cs="Arial"/>
          <w:i/>
          <w:iCs/>
        </w:rPr>
        <w:t>Brazil Passenger car sales - data, chart | TheGlobalEconomy.com</w:t>
      </w:r>
      <w:r w:rsidRPr="00A11799">
        <w:rPr>
          <w:rFonts w:ascii="Arial" w:eastAsia="Arial" w:hAnsi="Arial" w:cs="Arial"/>
        </w:rPr>
        <w:t xml:space="preserve">, </w:t>
      </w:r>
      <w:r w:rsidRPr="00A11799">
        <w:rPr>
          <w:rFonts w:ascii="Arial" w:eastAsia="Arial" w:hAnsi="Arial" w:cs="Arial"/>
          <w:i/>
          <w:iCs/>
        </w:rPr>
        <w:t>TheGlobalEconomy.com</w:t>
      </w:r>
      <w:r w:rsidRPr="00A11799">
        <w:rPr>
          <w:rFonts w:ascii="Arial" w:eastAsia="Arial" w:hAnsi="Arial" w:cs="Arial"/>
        </w:rPr>
        <w:t>. Available at: https://www.theglobaleconomy.com/Brazil/passenger_cars_sales/ (Accessed: 25 November 2025).</w:t>
      </w:r>
    </w:p>
    <w:p w14:paraId="440AD4EF" w14:textId="77777777" w:rsidR="00901A3E" w:rsidRPr="00A11799" w:rsidRDefault="00901A3E" w:rsidP="00901A3E">
      <w:pPr>
        <w:rPr>
          <w:rFonts w:ascii="Arial" w:eastAsia="Arial" w:hAnsi="Arial" w:cs="Arial"/>
        </w:rPr>
      </w:pPr>
      <w:r w:rsidRPr="00A11799">
        <w:rPr>
          <w:rFonts w:ascii="Arial" w:eastAsia="Arial" w:hAnsi="Arial" w:cs="Arial"/>
        </w:rPr>
        <w:t xml:space="preserve">Guardian (2025) </w:t>
      </w:r>
      <w:r w:rsidRPr="00A11799">
        <w:rPr>
          <w:rFonts w:ascii="Arial" w:eastAsia="Arial" w:hAnsi="Arial" w:cs="Arial"/>
          <w:i/>
          <w:iCs/>
        </w:rPr>
        <w:t xml:space="preserve">Tesla vehicle deliveries spike after </w:t>
      </w:r>
      <w:proofErr w:type="gramStart"/>
      <w:r w:rsidRPr="00A11799">
        <w:rPr>
          <w:rFonts w:ascii="Arial" w:eastAsia="Arial" w:hAnsi="Arial" w:cs="Arial"/>
          <w:i/>
          <w:iCs/>
        </w:rPr>
        <w:t>several</w:t>
      </w:r>
      <w:proofErr w:type="gramEnd"/>
      <w:r w:rsidRPr="00A11799">
        <w:rPr>
          <w:rFonts w:ascii="Arial" w:eastAsia="Arial" w:hAnsi="Arial" w:cs="Arial"/>
          <w:i/>
          <w:iCs/>
        </w:rPr>
        <w:t xml:space="preserve"> quarters of decline</w:t>
      </w:r>
      <w:r w:rsidRPr="00A11799">
        <w:rPr>
          <w:rFonts w:ascii="Arial" w:eastAsia="Arial" w:hAnsi="Arial" w:cs="Arial"/>
        </w:rPr>
        <w:t xml:space="preserve">, </w:t>
      </w:r>
      <w:r w:rsidRPr="00A11799">
        <w:rPr>
          <w:rFonts w:ascii="Arial" w:eastAsia="Arial" w:hAnsi="Arial" w:cs="Arial"/>
          <w:i/>
          <w:iCs/>
        </w:rPr>
        <w:t>the Guardian</w:t>
      </w:r>
      <w:r w:rsidRPr="00A11799">
        <w:rPr>
          <w:rFonts w:ascii="Arial" w:eastAsia="Arial" w:hAnsi="Arial" w:cs="Arial"/>
        </w:rPr>
        <w:t>. The Guardian. Available at: https://www.theguardian.com/technology/2025/oct/02/tesla-earnings-vehicle-deliveries (Accessed: 25 November 2025).</w:t>
      </w:r>
    </w:p>
    <w:p w14:paraId="6E97BB8C" w14:textId="77777777" w:rsidR="00901A3E" w:rsidRPr="00A11799" w:rsidRDefault="00901A3E" w:rsidP="00901A3E">
      <w:pPr>
        <w:rPr>
          <w:rFonts w:ascii="Arial" w:eastAsia="Arial" w:hAnsi="Arial" w:cs="Arial"/>
        </w:rPr>
      </w:pPr>
      <w:r w:rsidRPr="00A11799">
        <w:rPr>
          <w:rFonts w:ascii="Arial" w:eastAsia="Arial" w:hAnsi="Arial" w:cs="Arial"/>
        </w:rPr>
        <w:t xml:space="preserve">IEA (2023) </w:t>
      </w:r>
      <w:r w:rsidRPr="00A11799">
        <w:rPr>
          <w:rFonts w:ascii="Arial" w:eastAsia="Arial" w:hAnsi="Arial" w:cs="Arial"/>
          <w:i/>
          <w:iCs/>
        </w:rPr>
        <w:t>Brazil - Countries &amp; Regions</w:t>
      </w:r>
      <w:r w:rsidRPr="00A11799">
        <w:rPr>
          <w:rFonts w:ascii="Arial" w:eastAsia="Arial" w:hAnsi="Arial" w:cs="Arial"/>
        </w:rPr>
        <w:t xml:space="preserve">, </w:t>
      </w:r>
      <w:r w:rsidRPr="00A11799">
        <w:rPr>
          <w:rFonts w:ascii="Arial" w:eastAsia="Arial" w:hAnsi="Arial" w:cs="Arial"/>
          <w:i/>
          <w:iCs/>
        </w:rPr>
        <w:t>IEA</w:t>
      </w:r>
      <w:r w:rsidRPr="00A11799">
        <w:rPr>
          <w:rFonts w:ascii="Arial" w:eastAsia="Arial" w:hAnsi="Arial" w:cs="Arial"/>
        </w:rPr>
        <w:t>. International Energy Agency. Available at: https://www.iea.org/countries/brazil (Accessed: 25 November 2025).</w:t>
      </w:r>
    </w:p>
    <w:p w14:paraId="4E02EB2F" w14:textId="77777777" w:rsidR="00901A3E" w:rsidRPr="00A11799" w:rsidRDefault="00901A3E" w:rsidP="00901A3E">
      <w:pPr>
        <w:rPr>
          <w:rFonts w:ascii="Arial" w:eastAsia="Arial" w:hAnsi="Arial" w:cs="Arial"/>
        </w:rPr>
      </w:pPr>
      <w:r w:rsidRPr="00A11799">
        <w:rPr>
          <w:rFonts w:ascii="Arial" w:eastAsia="Arial" w:hAnsi="Arial" w:cs="Arial"/>
        </w:rPr>
        <w:t xml:space="preserve">Iliff, L. (2025) </w:t>
      </w:r>
      <w:r w:rsidRPr="00A11799">
        <w:rPr>
          <w:rFonts w:ascii="Arial" w:eastAsia="Arial" w:hAnsi="Arial" w:cs="Arial"/>
          <w:i/>
          <w:iCs/>
        </w:rPr>
        <w:t>Tesla delivers record 497,099 vehicles in Q3 as U.S. buyers rush to get expiring EV tax credit</w:t>
      </w:r>
      <w:r w:rsidRPr="00A11799">
        <w:rPr>
          <w:rFonts w:ascii="Arial" w:eastAsia="Arial" w:hAnsi="Arial" w:cs="Arial"/>
        </w:rPr>
        <w:t xml:space="preserve">, </w:t>
      </w:r>
      <w:r w:rsidRPr="00A11799">
        <w:rPr>
          <w:rFonts w:ascii="Arial" w:eastAsia="Arial" w:hAnsi="Arial" w:cs="Arial"/>
          <w:i/>
          <w:iCs/>
        </w:rPr>
        <w:t>Autonews.com</w:t>
      </w:r>
      <w:r w:rsidRPr="00A11799">
        <w:rPr>
          <w:rFonts w:ascii="Arial" w:eastAsia="Arial" w:hAnsi="Arial" w:cs="Arial"/>
        </w:rPr>
        <w:t>. Available at: https://www.autonews.com/tesla/an-tesla-q3-sales-strong-on-ev-credit-repeal-1002/ (Accessed: 27 November 2025).</w:t>
      </w:r>
    </w:p>
    <w:p w14:paraId="610557B1" w14:textId="77777777" w:rsidR="00901A3E" w:rsidRPr="00A11799" w:rsidRDefault="00901A3E" w:rsidP="00901A3E">
      <w:pPr>
        <w:rPr>
          <w:rFonts w:ascii="Arial" w:eastAsia="Arial" w:hAnsi="Arial" w:cs="Arial"/>
        </w:rPr>
      </w:pPr>
      <w:r w:rsidRPr="00A11799">
        <w:rPr>
          <w:rFonts w:ascii="Arial" w:eastAsia="Arial" w:hAnsi="Arial" w:cs="Arial"/>
        </w:rPr>
        <w:t xml:space="preserve">International Energy Agency (2023) </w:t>
      </w:r>
      <w:r w:rsidRPr="00A11799">
        <w:rPr>
          <w:rFonts w:ascii="Arial" w:eastAsia="Arial" w:hAnsi="Arial" w:cs="Arial"/>
          <w:i/>
          <w:iCs/>
        </w:rPr>
        <w:t>Global EV Outlook 2023 – Analysis</w:t>
      </w:r>
      <w:r w:rsidRPr="00A11799">
        <w:rPr>
          <w:rFonts w:ascii="Arial" w:eastAsia="Arial" w:hAnsi="Arial" w:cs="Arial"/>
        </w:rPr>
        <w:t xml:space="preserve">, </w:t>
      </w:r>
      <w:r w:rsidRPr="00A11799">
        <w:rPr>
          <w:rFonts w:ascii="Arial" w:eastAsia="Arial" w:hAnsi="Arial" w:cs="Arial"/>
          <w:i/>
          <w:iCs/>
        </w:rPr>
        <w:t>IEA</w:t>
      </w:r>
      <w:r w:rsidRPr="00A11799">
        <w:rPr>
          <w:rFonts w:ascii="Arial" w:eastAsia="Arial" w:hAnsi="Arial" w:cs="Arial"/>
        </w:rPr>
        <w:t>. Available at: https://www.iea.org/reports/global-ev-outlook-2023 (Accessed: 25 November 2025).</w:t>
      </w:r>
    </w:p>
    <w:p w14:paraId="2502178A" w14:textId="77777777" w:rsidR="00901A3E" w:rsidRPr="00A11799" w:rsidRDefault="00901A3E" w:rsidP="00901A3E">
      <w:pPr>
        <w:rPr>
          <w:rFonts w:ascii="Arial" w:eastAsia="Arial" w:hAnsi="Arial" w:cs="Arial"/>
        </w:rPr>
      </w:pPr>
      <w:r w:rsidRPr="00A11799">
        <w:rPr>
          <w:rFonts w:ascii="Arial" w:eastAsia="Arial" w:hAnsi="Arial" w:cs="Arial"/>
        </w:rPr>
        <w:t xml:space="preserve">James roberts (2025) </w:t>
      </w:r>
      <w:r w:rsidRPr="00A11799">
        <w:rPr>
          <w:rFonts w:ascii="Arial" w:eastAsia="Arial" w:hAnsi="Arial" w:cs="Arial"/>
          <w:i/>
          <w:iCs/>
        </w:rPr>
        <w:t>Powerful competition for Tesla in first quarter of 2025</w:t>
      </w:r>
      <w:r w:rsidRPr="00A11799">
        <w:rPr>
          <w:rFonts w:ascii="Arial" w:eastAsia="Arial" w:hAnsi="Arial" w:cs="Arial"/>
        </w:rPr>
        <w:t xml:space="preserve">, </w:t>
      </w:r>
      <w:r w:rsidRPr="00A11799">
        <w:rPr>
          <w:rFonts w:ascii="Arial" w:eastAsia="Arial" w:hAnsi="Arial" w:cs="Arial"/>
          <w:i/>
          <w:iCs/>
        </w:rPr>
        <w:t>Autovista24</w:t>
      </w:r>
      <w:r w:rsidRPr="00A11799">
        <w:rPr>
          <w:rFonts w:ascii="Arial" w:eastAsia="Arial" w:hAnsi="Arial" w:cs="Arial"/>
        </w:rPr>
        <w:t>. Available at: https://autovista24.autovistagroup.com/news/powerful-competition-for-tesla-in-first-quarter-of-2025/ (Accessed: 25 November 2025).</w:t>
      </w:r>
    </w:p>
    <w:p w14:paraId="5C4DD4BC" w14:textId="77777777" w:rsidR="00901A3E" w:rsidRPr="00A11799" w:rsidRDefault="00901A3E" w:rsidP="00901A3E">
      <w:pPr>
        <w:rPr>
          <w:rFonts w:ascii="Arial" w:eastAsia="Arial" w:hAnsi="Arial" w:cs="Arial"/>
        </w:rPr>
      </w:pPr>
      <w:r w:rsidRPr="00A11799">
        <w:rPr>
          <w:rFonts w:ascii="Arial" w:eastAsia="Arial" w:hAnsi="Arial" w:cs="Arial"/>
        </w:rPr>
        <w:t xml:space="preserve">Kalagate, S., Patil, A. and Kumbhar, V. (2024) </w:t>
      </w:r>
      <w:r w:rsidRPr="00A11799">
        <w:rPr>
          <w:rFonts w:ascii="Arial" w:eastAsia="Arial" w:hAnsi="Arial" w:cs="Arial"/>
          <w:i/>
          <w:iCs/>
        </w:rPr>
        <w:t>Brazil Automotive Market Growth and Industry Analysis</w:t>
      </w:r>
      <w:r w:rsidRPr="00A11799">
        <w:rPr>
          <w:rFonts w:ascii="Arial" w:eastAsia="Arial" w:hAnsi="Arial" w:cs="Arial"/>
        </w:rPr>
        <w:t xml:space="preserve">, </w:t>
      </w:r>
      <w:r w:rsidRPr="00A11799">
        <w:rPr>
          <w:rFonts w:ascii="Arial" w:eastAsia="Arial" w:hAnsi="Arial" w:cs="Arial"/>
          <w:i/>
          <w:iCs/>
        </w:rPr>
        <w:t>Introspective Market Research</w:t>
      </w:r>
      <w:r w:rsidRPr="00A11799">
        <w:rPr>
          <w:rFonts w:ascii="Arial" w:eastAsia="Arial" w:hAnsi="Arial" w:cs="Arial"/>
        </w:rPr>
        <w:t>. Available at: https://introspectivemarketresearch.com/reports/brazil-automotive-market/ (Accessed: 25 November 2025).</w:t>
      </w:r>
    </w:p>
    <w:p w14:paraId="30E714B4" w14:textId="77777777" w:rsidR="00901A3E" w:rsidRPr="00A11799" w:rsidRDefault="00901A3E" w:rsidP="00901A3E">
      <w:pPr>
        <w:rPr>
          <w:rFonts w:ascii="Arial" w:eastAsia="Arial" w:hAnsi="Arial" w:cs="Arial"/>
        </w:rPr>
      </w:pPr>
      <w:r w:rsidRPr="00A11799">
        <w:rPr>
          <w:rFonts w:ascii="Arial" w:eastAsia="Arial" w:hAnsi="Arial" w:cs="Arial"/>
        </w:rPr>
        <w:lastRenderedPageBreak/>
        <w:t xml:space="preserve">Klender, J. (2025) </w:t>
      </w:r>
      <w:r w:rsidRPr="00A11799">
        <w:rPr>
          <w:rFonts w:ascii="Arial" w:eastAsia="Arial" w:hAnsi="Arial" w:cs="Arial"/>
          <w:i/>
          <w:iCs/>
        </w:rPr>
        <w:t>Tesla Model Y Performance set for new market entrance in Q1</w:t>
      </w:r>
      <w:r w:rsidRPr="00A11799">
        <w:rPr>
          <w:rFonts w:ascii="Arial" w:eastAsia="Arial" w:hAnsi="Arial" w:cs="Arial"/>
        </w:rPr>
        <w:t xml:space="preserve">, </w:t>
      </w:r>
      <w:r w:rsidRPr="00A11799">
        <w:rPr>
          <w:rFonts w:ascii="Arial" w:eastAsia="Arial" w:hAnsi="Arial" w:cs="Arial"/>
          <w:i/>
          <w:iCs/>
        </w:rPr>
        <w:t>TESLARATI</w:t>
      </w:r>
      <w:r w:rsidRPr="00A11799">
        <w:rPr>
          <w:rFonts w:ascii="Arial" w:eastAsia="Arial" w:hAnsi="Arial" w:cs="Arial"/>
        </w:rPr>
        <w:t>. Available at: https://www.teslarati.com/tesla-model-y-performance-set-new-market-entrance-q1/ (Accessed: 25 November 2025).</w:t>
      </w:r>
    </w:p>
    <w:p w14:paraId="2C120027" w14:textId="77777777" w:rsidR="00901A3E" w:rsidRPr="00A11799" w:rsidRDefault="00901A3E" w:rsidP="00901A3E">
      <w:pPr>
        <w:rPr>
          <w:rFonts w:ascii="Arial" w:eastAsia="Arial" w:hAnsi="Arial" w:cs="Arial"/>
        </w:rPr>
      </w:pPr>
      <w:r w:rsidRPr="00A11799">
        <w:rPr>
          <w:rFonts w:ascii="Arial" w:eastAsia="Arial" w:hAnsi="Arial" w:cs="Arial"/>
        </w:rPr>
        <w:t xml:space="preserve">Kotak, Y., Marchante Fernández, C., Canals Casals, L., Kotak, B.S., Koch, D., Geisbauer, C., Trilla, L., Gómez-Núñez, A. and Schweiger, H.-G. (2021) ‘End of Electric Vehicle Batteries: Reuse vs. Recycle’, </w:t>
      </w:r>
      <w:r w:rsidRPr="00A11799">
        <w:rPr>
          <w:rFonts w:ascii="Arial" w:eastAsia="Arial" w:hAnsi="Arial" w:cs="Arial"/>
          <w:i/>
          <w:iCs/>
        </w:rPr>
        <w:t>Energies</w:t>
      </w:r>
      <w:r w:rsidRPr="00A11799">
        <w:rPr>
          <w:rFonts w:ascii="Arial" w:eastAsia="Arial" w:hAnsi="Arial" w:cs="Arial"/>
        </w:rPr>
        <w:t>, 14(8), p. 2217. Available at: https://doi.org/10.3390/en14082217.</w:t>
      </w:r>
    </w:p>
    <w:p w14:paraId="499CABF0" w14:textId="77777777" w:rsidR="00901A3E" w:rsidRPr="00A11799" w:rsidRDefault="00901A3E" w:rsidP="00901A3E">
      <w:pPr>
        <w:rPr>
          <w:rFonts w:ascii="Arial" w:eastAsia="Arial" w:hAnsi="Arial" w:cs="Arial"/>
        </w:rPr>
      </w:pPr>
      <w:r w:rsidRPr="00A11799">
        <w:rPr>
          <w:rFonts w:ascii="Arial" w:eastAsia="Arial" w:hAnsi="Arial" w:cs="Arial"/>
        </w:rPr>
        <w:t xml:space="preserve">Loviscek, V. (2021) ‘Triple Bottom Line toward a Holistic Framework for Sustainability: a Systematic Review’, </w:t>
      </w:r>
      <w:r w:rsidRPr="00A11799">
        <w:rPr>
          <w:rFonts w:ascii="Arial" w:eastAsia="Arial" w:hAnsi="Arial" w:cs="Arial"/>
          <w:i/>
          <w:iCs/>
        </w:rPr>
        <w:t>Revista De AdministraçãoContemporânea</w:t>
      </w:r>
      <w:r w:rsidRPr="00A11799">
        <w:rPr>
          <w:rFonts w:ascii="Arial" w:eastAsia="Arial" w:hAnsi="Arial" w:cs="Arial"/>
        </w:rPr>
        <w:t>, 25(3), pp. 1–11. Available at: https://doi.org/10.1590/1982-7849rac2021200017.en.</w:t>
      </w:r>
    </w:p>
    <w:p w14:paraId="1A7CF2E0" w14:textId="77777777" w:rsidR="00901A3E" w:rsidRPr="00A11799" w:rsidRDefault="00901A3E" w:rsidP="00901A3E">
      <w:pPr>
        <w:rPr>
          <w:rFonts w:ascii="Arial" w:eastAsia="Arial" w:hAnsi="Arial" w:cs="Arial"/>
        </w:rPr>
      </w:pPr>
      <w:r w:rsidRPr="00A11799">
        <w:rPr>
          <w:rFonts w:ascii="Arial" w:eastAsia="Arial" w:hAnsi="Arial" w:cs="Arial"/>
        </w:rPr>
        <w:t xml:space="preserve">Maximise Market Research (2025) </w:t>
      </w:r>
      <w:r w:rsidRPr="00A11799">
        <w:rPr>
          <w:rFonts w:ascii="Arial" w:eastAsia="Arial" w:hAnsi="Arial" w:cs="Arial"/>
          <w:i/>
          <w:iCs/>
        </w:rPr>
        <w:t>Brazil Electric Car Market: Industry Analysis and forecast 2027 - By Technology, Product, Battery, Battery Capacity, and End-User</w:t>
      </w:r>
      <w:r w:rsidRPr="00A11799">
        <w:rPr>
          <w:rFonts w:ascii="Arial" w:eastAsia="Arial" w:hAnsi="Arial" w:cs="Arial"/>
        </w:rPr>
        <w:t xml:space="preserve">, </w:t>
      </w:r>
      <w:r w:rsidRPr="00A11799">
        <w:rPr>
          <w:rFonts w:ascii="Arial" w:eastAsia="Arial" w:hAnsi="Arial" w:cs="Arial"/>
          <w:i/>
          <w:iCs/>
        </w:rPr>
        <w:t>MAXIMIZE MARKET RESEARCH</w:t>
      </w:r>
      <w:r w:rsidRPr="00A11799">
        <w:rPr>
          <w:rFonts w:ascii="Arial" w:eastAsia="Arial" w:hAnsi="Arial" w:cs="Arial"/>
        </w:rPr>
        <w:t>. Available at: https://www.maximizemarketresearch.com/market-report/brazil-electric-car-market/65376/ (Accessed: 25 November 2025).</w:t>
      </w:r>
    </w:p>
    <w:p w14:paraId="467E494D" w14:textId="77777777" w:rsidR="00901A3E" w:rsidRPr="00A11799" w:rsidRDefault="00901A3E" w:rsidP="00901A3E">
      <w:pPr>
        <w:rPr>
          <w:rFonts w:ascii="Arial" w:eastAsia="Arial" w:hAnsi="Arial" w:cs="Arial"/>
        </w:rPr>
      </w:pPr>
      <w:r w:rsidRPr="00A11799">
        <w:rPr>
          <w:rFonts w:ascii="Arial" w:eastAsia="Arial" w:hAnsi="Arial" w:cs="Arial"/>
        </w:rPr>
        <w:t xml:space="preserve">MERCOSUR (2015) </w:t>
      </w:r>
      <w:r w:rsidRPr="00A11799">
        <w:rPr>
          <w:rFonts w:ascii="Arial" w:eastAsia="Arial" w:hAnsi="Arial" w:cs="Arial"/>
          <w:i/>
          <w:iCs/>
        </w:rPr>
        <w:t>Sitio oficial del MERCOSUR</w:t>
      </w:r>
      <w:r w:rsidRPr="00A11799">
        <w:rPr>
          <w:rFonts w:ascii="Arial" w:eastAsia="Arial" w:hAnsi="Arial" w:cs="Arial"/>
        </w:rPr>
        <w:t xml:space="preserve">, </w:t>
      </w:r>
      <w:r w:rsidRPr="00A11799">
        <w:rPr>
          <w:rFonts w:ascii="Arial" w:eastAsia="Arial" w:hAnsi="Arial" w:cs="Arial"/>
          <w:i/>
          <w:iCs/>
        </w:rPr>
        <w:t>MERCOSUR</w:t>
      </w:r>
      <w:r w:rsidRPr="00A11799">
        <w:rPr>
          <w:rFonts w:ascii="Arial" w:eastAsia="Arial" w:hAnsi="Arial" w:cs="Arial"/>
        </w:rPr>
        <w:t>. Available at: https://www.mercosur.int/ (Accessed: 25 November 2025).</w:t>
      </w:r>
    </w:p>
    <w:p w14:paraId="75CEE536" w14:textId="77777777" w:rsidR="00901A3E" w:rsidRPr="00A11799" w:rsidRDefault="00901A3E" w:rsidP="00901A3E">
      <w:pPr>
        <w:rPr>
          <w:rFonts w:ascii="Arial" w:eastAsia="Arial" w:hAnsi="Arial" w:cs="Arial"/>
        </w:rPr>
      </w:pPr>
      <w:r w:rsidRPr="00A11799">
        <w:rPr>
          <w:rFonts w:ascii="Arial" w:eastAsia="Arial" w:hAnsi="Arial" w:cs="Arial"/>
        </w:rPr>
        <w:t xml:space="preserve">Modern Diplomacy (2025) </w:t>
      </w:r>
      <w:r w:rsidRPr="00A11799">
        <w:rPr>
          <w:rFonts w:ascii="Arial" w:eastAsia="Arial" w:hAnsi="Arial" w:cs="Arial"/>
          <w:i/>
          <w:iCs/>
        </w:rPr>
        <w:t>As South America Goes Electric, A Notable Brand is Absent: Tesla</w:t>
      </w:r>
      <w:r w:rsidRPr="00A11799">
        <w:rPr>
          <w:rFonts w:ascii="Arial" w:eastAsia="Arial" w:hAnsi="Arial" w:cs="Arial"/>
        </w:rPr>
        <w:t xml:space="preserve">, </w:t>
      </w:r>
      <w:r w:rsidRPr="00A11799">
        <w:rPr>
          <w:rFonts w:ascii="Arial" w:eastAsia="Arial" w:hAnsi="Arial" w:cs="Arial"/>
          <w:i/>
          <w:iCs/>
        </w:rPr>
        <w:t>Modern Diplomacy</w:t>
      </w:r>
      <w:r w:rsidRPr="00A11799">
        <w:rPr>
          <w:rFonts w:ascii="Arial" w:eastAsia="Arial" w:hAnsi="Arial" w:cs="Arial"/>
        </w:rPr>
        <w:t>. Available at: https://moderndiplomacy.eu/2025/11/17/as-south-america-goes-electric-a-notable-brand-is-absent-tesla/ (Accessed: 25 November 2025).</w:t>
      </w:r>
    </w:p>
    <w:p w14:paraId="1D3C4B72" w14:textId="77777777" w:rsidR="00901A3E" w:rsidRPr="00A11799" w:rsidRDefault="00901A3E" w:rsidP="00901A3E">
      <w:pPr>
        <w:rPr>
          <w:rFonts w:ascii="Arial" w:eastAsia="Arial" w:hAnsi="Arial" w:cs="Arial"/>
        </w:rPr>
      </w:pPr>
      <w:r w:rsidRPr="00A11799">
        <w:rPr>
          <w:rFonts w:ascii="Arial" w:eastAsia="Arial" w:hAnsi="Arial" w:cs="Arial"/>
        </w:rPr>
        <w:t xml:space="preserve">Mohan, M. (2024) </w:t>
      </w:r>
      <w:r w:rsidRPr="00A11799">
        <w:rPr>
          <w:rFonts w:ascii="Arial" w:eastAsia="Arial" w:hAnsi="Arial" w:cs="Arial"/>
          <w:i/>
          <w:iCs/>
        </w:rPr>
        <w:t>SWOT Analysis of Tesla</w:t>
      </w:r>
      <w:r w:rsidRPr="00A11799">
        <w:rPr>
          <w:rFonts w:ascii="Arial" w:eastAsia="Arial" w:hAnsi="Arial" w:cs="Arial"/>
        </w:rPr>
        <w:t xml:space="preserve">, </w:t>
      </w:r>
      <w:r w:rsidRPr="00A11799">
        <w:rPr>
          <w:rFonts w:ascii="Arial" w:eastAsia="Arial" w:hAnsi="Arial" w:cs="Arial"/>
          <w:i/>
          <w:iCs/>
        </w:rPr>
        <w:t>The Business Scroll</w:t>
      </w:r>
      <w:r w:rsidRPr="00A11799">
        <w:rPr>
          <w:rFonts w:ascii="Arial" w:eastAsia="Arial" w:hAnsi="Arial" w:cs="Arial"/>
        </w:rPr>
        <w:t>. Available at: https://www.thebusinessscroll.com/swot-analysis-of-tesla/ (Accessed: 8 December 2025).</w:t>
      </w:r>
    </w:p>
    <w:p w14:paraId="2D270D96" w14:textId="77777777" w:rsidR="00901A3E" w:rsidRPr="00A11799" w:rsidRDefault="00901A3E" w:rsidP="00901A3E">
      <w:pPr>
        <w:rPr>
          <w:rFonts w:ascii="Arial" w:eastAsia="Arial" w:hAnsi="Arial" w:cs="Arial"/>
        </w:rPr>
      </w:pPr>
      <w:r w:rsidRPr="00A11799">
        <w:rPr>
          <w:rFonts w:ascii="Arial" w:eastAsia="Arial" w:hAnsi="Arial" w:cs="Arial"/>
        </w:rPr>
        <w:t xml:space="preserve">Morgan, J.P. (2024) </w:t>
      </w:r>
      <w:r w:rsidRPr="00A11799">
        <w:rPr>
          <w:rFonts w:ascii="Arial" w:eastAsia="Arial" w:hAnsi="Arial" w:cs="Arial"/>
          <w:i/>
          <w:iCs/>
        </w:rPr>
        <w:t>What is the Electric Vehicle (EV) Boom? | J.P. Morgan</w:t>
      </w:r>
      <w:r w:rsidRPr="00A11799">
        <w:rPr>
          <w:rFonts w:ascii="Arial" w:eastAsia="Arial" w:hAnsi="Arial" w:cs="Arial"/>
        </w:rPr>
        <w:t xml:space="preserve">, </w:t>
      </w:r>
      <w:r w:rsidRPr="00A11799">
        <w:rPr>
          <w:rFonts w:ascii="Arial" w:eastAsia="Arial" w:hAnsi="Arial" w:cs="Arial"/>
          <w:i/>
          <w:iCs/>
        </w:rPr>
        <w:t>Jpmorgan.com</w:t>
      </w:r>
      <w:r w:rsidRPr="00A11799">
        <w:rPr>
          <w:rFonts w:ascii="Arial" w:eastAsia="Arial" w:hAnsi="Arial" w:cs="Arial"/>
        </w:rPr>
        <w:t>. J.P. Morgan. Available at: https://www.jpmorgan.com/insights/investing/investment-trends/what-is-the-electric-vehicle-boom (Accessed: 8 December 2025).</w:t>
      </w:r>
    </w:p>
    <w:p w14:paraId="4E40FDAC" w14:textId="77777777" w:rsidR="00901A3E" w:rsidRPr="00A11799" w:rsidRDefault="00901A3E" w:rsidP="00901A3E">
      <w:pPr>
        <w:rPr>
          <w:rFonts w:ascii="Arial" w:eastAsia="Arial" w:hAnsi="Arial" w:cs="Arial"/>
        </w:rPr>
      </w:pPr>
      <w:r w:rsidRPr="00A11799">
        <w:rPr>
          <w:rFonts w:ascii="Arial" w:eastAsia="Arial" w:hAnsi="Arial" w:cs="Arial"/>
        </w:rPr>
        <w:lastRenderedPageBreak/>
        <w:t xml:space="preserve">Moura, R. (2025) </w:t>
      </w:r>
      <w:r w:rsidRPr="00A11799">
        <w:rPr>
          <w:rFonts w:ascii="Arial" w:eastAsia="Arial" w:hAnsi="Arial" w:cs="Arial"/>
          <w:i/>
          <w:iCs/>
        </w:rPr>
        <w:t>CPG Click Petróleo e Gás</w:t>
      </w:r>
      <w:r w:rsidRPr="00A11799">
        <w:rPr>
          <w:rFonts w:ascii="Arial" w:eastAsia="Arial" w:hAnsi="Arial" w:cs="Arial"/>
        </w:rPr>
        <w:t xml:space="preserve">, </w:t>
      </w:r>
      <w:r w:rsidRPr="00A11799">
        <w:rPr>
          <w:rFonts w:ascii="Arial" w:eastAsia="Arial" w:hAnsi="Arial" w:cs="Arial"/>
          <w:i/>
          <w:iCs/>
        </w:rPr>
        <w:t>CPG Click Petróleo e Gás</w:t>
      </w:r>
      <w:r w:rsidRPr="00A11799">
        <w:rPr>
          <w:rFonts w:ascii="Arial" w:eastAsia="Arial" w:hAnsi="Arial" w:cs="Arial"/>
        </w:rPr>
        <w:t>. Available at: https://en.clickpetroleoegas.com.br/Electric-vehicles-will-be-the-majority-in-Brazil.-The-increase-in-the-network-of-charging-points-points-to-an-advanced-popularization-according-to-data-from-ABVE./ (Accessed: 25 November 2025).</w:t>
      </w:r>
    </w:p>
    <w:p w14:paraId="2E508295" w14:textId="77777777" w:rsidR="00901A3E" w:rsidRPr="00A11799" w:rsidRDefault="00901A3E" w:rsidP="00901A3E">
      <w:pPr>
        <w:rPr>
          <w:rFonts w:ascii="Arial" w:eastAsia="Arial" w:hAnsi="Arial" w:cs="Arial"/>
        </w:rPr>
      </w:pPr>
      <w:r w:rsidRPr="00A11799">
        <w:rPr>
          <w:rFonts w:ascii="Arial" w:eastAsia="Arial" w:hAnsi="Arial" w:cs="Arial"/>
        </w:rPr>
        <w:t xml:space="preserve">Partsvaniya, V.R. (2022) ‘The Import Substitution Trap in the Realities of the Automotive Industry’, </w:t>
      </w:r>
      <w:r w:rsidRPr="00A11799">
        <w:rPr>
          <w:rFonts w:ascii="Arial" w:eastAsia="Arial" w:hAnsi="Arial" w:cs="Arial"/>
          <w:i/>
          <w:iCs/>
        </w:rPr>
        <w:t>Studies on Russian Economic Development</w:t>
      </w:r>
      <w:r w:rsidRPr="00A11799">
        <w:rPr>
          <w:rFonts w:ascii="Arial" w:eastAsia="Arial" w:hAnsi="Arial" w:cs="Arial"/>
        </w:rPr>
        <w:t>, 33(2), pp. 203–210. Available at: https://doi.org/10.1134/s1075700722020095.</w:t>
      </w:r>
    </w:p>
    <w:p w14:paraId="61AE5276" w14:textId="77777777" w:rsidR="00901A3E" w:rsidRPr="00A11799" w:rsidRDefault="00901A3E" w:rsidP="00901A3E">
      <w:pPr>
        <w:rPr>
          <w:rFonts w:ascii="Arial" w:eastAsia="Arial" w:hAnsi="Arial" w:cs="Arial"/>
        </w:rPr>
      </w:pPr>
      <w:r w:rsidRPr="00A11799">
        <w:rPr>
          <w:rFonts w:ascii="Arial" w:eastAsia="Arial" w:hAnsi="Arial" w:cs="Arial"/>
        </w:rPr>
        <w:t xml:space="preserve">Peterdy, K. (2025) </w:t>
      </w:r>
      <w:r w:rsidRPr="00A11799">
        <w:rPr>
          <w:rFonts w:ascii="Arial" w:eastAsia="Arial" w:hAnsi="Arial" w:cs="Arial"/>
          <w:i/>
          <w:iCs/>
        </w:rPr>
        <w:t>Ansoff Matrix</w:t>
      </w:r>
      <w:r w:rsidRPr="00A11799">
        <w:rPr>
          <w:rFonts w:ascii="Arial" w:eastAsia="Arial" w:hAnsi="Arial" w:cs="Arial"/>
        </w:rPr>
        <w:t xml:space="preserve">, </w:t>
      </w:r>
      <w:r w:rsidRPr="00A11799">
        <w:rPr>
          <w:rFonts w:ascii="Arial" w:eastAsia="Arial" w:hAnsi="Arial" w:cs="Arial"/>
          <w:i/>
          <w:iCs/>
        </w:rPr>
        <w:t>Corporate Finance Institute</w:t>
      </w:r>
      <w:r w:rsidRPr="00A11799">
        <w:rPr>
          <w:rFonts w:ascii="Arial" w:eastAsia="Arial" w:hAnsi="Arial" w:cs="Arial"/>
        </w:rPr>
        <w:t>. Available at: https://corporatefinanceinstitute.com/resources/management/ansoff-matrix/ (Accessed: 25 November 2025).</w:t>
      </w:r>
    </w:p>
    <w:p w14:paraId="779E6BE1" w14:textId="77777777" w:rsidR="00901A3E" w:rsidRPr="00A11799" w:rsidRDefault="00901A3E" w:rsidP="00901A3E">
      <w:pPr>
        <w:rPr>
          <w:rFonts w:ascii="Arial" w:eastAsia="Arial" w:hAnsi="Arial" w:cs="Arial"/>
        </w:rPr>
      </w:pPr>
      <w:r w:rsidRPr="00A11799">
        <w:rPr>
          <w:rFonts w:ascii="Arial" w:eastAsia="Arial" w:hAnsi="Arial" w:cs="Arial"/>
        </w:rPr>
        <w:t xml:space="preserve">Reddy , S. (2025) </w:t>
      </w:r>
      <w:r w:rsidRPr="00A11799">
        <w:rPr>
          <w:rFonts w:ascii="Arial" w:eastAsia="Arial" w:hAnsi="Arial" w:cs="Arial"/>
          <w:i/>
          <w:iCs/>
        </w:rPr>
        <w:t>Tesla Q3 2025 Results: $28.1 Billion Revenue, $1.4 Billion Net Income, $3.99 Billion Free Cash Flow</w:t>
      </w:r>
      <w:r w:rsidRPr="00A11799">
        <w:rPr>
          <w:rFonts w:ascii="Arial" w:eastAsia="Arial" w:hAnsi="Arial" w:cs="Arial"/>
        </w:rPr>
        <w:t xml:space="preserve">, </w:t>
      </w:r>
      <w:r w:rsidRPr="00A11799">
        <w:rPr>
          <w:rFonts w:ascii="Arial" w:eastAsia="Arial" w:hAnsi="Arial" w:cs="Arial"/>
          <w:i/>
          <w:iCs/>
        </w:rPr>
        <w:t>Angelnews.in</w:t>
      </w:r>
      <w:r w:rsidRPr="00A11799">
        <w:rPr>
          <w:rFonts w:ascii="Arial" w:eastAsia="Arial" w:hAnsi="Arial" w:cs="Arial"/>
        </w:rPr>
        <w:t>. Available at: https://angelnews.in/global-markets/tesla-q3-2025-earnings-report (Accessed: 25 November 2025).</w:t>
      </w:r>
    </w:p>
    <w:p w14:paraId="139D8FFA" w14:textId="77777777" w:rsidR="00901A3E" w:rsidRPr="00A11799" w:rsidRDefault="00901A3E" w:rsidP="00901A3E">
      <w:pPr>
        <w:rPr>
          <w:rFonts w:ascii="Arial" w:eastAsia="Arial" w:hAnsi="Arial" w:cs="Arial"/>
        </w:rPr>
      </w:pPr>
      <w:r w:rsidRPr="00A11799">
        <w:rPr>
          <w:rFonts w:ascii="Arial" w:eastAsia="Arial" w:hAnsi="Arial" w:cs="Arial"/>
        </w:rPr>
        <w:t xml:space="preserve">Reuters (2025) ‘Brazil brings forward disassembled electric vehicles import tax hike’, </w:t>
      </w:r>
      <w:r w:rsidRPr="00A11799">
        <w:rPr>
          <w:rFonts w:ascii="Arial" w:eastAsia="Arial" w:hAnsi="Arial" w:cs="Arial"/>
          <w:i/>
          <w:iCs/>
        </w:rPr>
        <w:t>Reuters</w:t>
      </w:r>
      <w:r w:rsidRPr="00A11799">
        <w:rPr>
          <w:rFonts w:ascii="Arial" w:eastAsia="Arial" w:hAnsi="Arial" w:cs="Arial"/>
        </w:rPr>
        <w:t>, 30 July. Available at: https://www.reuters.com/world/americas/brazil-brings-forward-disassembled-electric-vehicles-import-tax-hike-2025-07-30/ (Accessed: 25 November 2025).</w:t>
      </w:r>
    </w:p>
    <w:p w14:paraId="1EA91967" w14:textId="77777777" w:rsidR="00901A3E" w:rsidRPr="00A11799" w:rsidRDefault="00901A3E" w:rsidP="00901A3E">
      <w:pPr>
        <w:rPr>
          <w:rFonts w:ascii="Arial" w:eastAsia="Arial" w:hAnsi="Arial" w:cs="Arial"/>
        </w:rPr>
      </w:pPr>
      <w:r w:rsidRPr="00A11799">
        <w:rPr>
          <w:rFonts w:ascii="Arial" w:eastAsia="Arial" w:hAnsi="Arial" w:cs="Arial"/>
        </w:rPr>
        <w:t xml:space="preserve">Reuters (2025) ‘Tesla raises price of most-expensive Cybertruck by $15,000 in US’, </w:t>
      </w:r>
      <w:r w:rsidRPr="00A11799">
        <w:rPr>
          <w:rFonts w:ascii="Arial" w:eastAsia="Arial" w:hAnsi="Arial" w:cs="Arial"/>
          <w:i/>
          <w:iCs/>
        </w:rPr>
        <w:t>Reuters</w:t>
      </w:r>
      <w:r w:rsidRPr="00A11799">
        <w:rPr>
          <w:rFonts w:ascii="Arial" w:eastAsia="Arial" w:hAnsi="Arial" w:cs="Arial"/>
        </w:rPr>
        <w:t>, 22 August. Available at: https://www.reuters.com/business/autos-transportation/tesla-raises-price-most-expensive-cybertruck-by-15000-us-2025-08-22/ (Accessed: 8 December 2025).</w:t>
      </w:r>
    </w:p>
    <w:p w14:paraId="58404501" w14:textId="77777777" w:rsidR="00901A3E" w:rsidRPr="00A11799" w:rsidRDefault="00901A3E" w:rsidP="00901A3E">
      <w:pPr>
        <w:rPr>
          <w:rFonts w:ascii="Arial" w:eastAsia="Arial" w:hAnsi="Arial" w:cs="Arial"/>
        </w:rPr>
      </w:pPr>
      <w:r w:rsidRPr="00A11799">
        <w:rPr>
          <w:rFonts w:ascii="Arial" w:eastAsia="Arial" w:hAnsi="Arial" w:cs="Arial"/>
        </w:rPr>
        <w:t xml:space="preserve">Roberts, G. (2024) </w:t>
      </w:r>
      <w:r w:rsidRPr="00A11799">
        <w:rPr>
          <w:rFonts w:ascii="Arial" w:eastAsia="Arial" w:hAnsi="Arial" w:cs="Arial"/>
          <w:i/>
          <w:iCs/>
        </w:rPr>
        <w:t>Brazil 2023: sales up, production stagnant</w:t>
      </w:r>
      <w:r w:rsidRPr="00A11799">
        <w:rPr>
          <w:rFonts w:ascii="Arial" w:eastAsia="Arial" w:hAnsi="Arial" w:cs="Arial"/>
        </w:rPr>
        <w:t xml:space="preserve">, </w:t>
      </w:r>
      <w:r w:rsidRPr="00A11799">
        <w:rPr>
          <w:rFonts w:ascii="Arial" w:eastAsia="Arial" w:hAnsi="Arial" w:cs="Arial"/>
          <w:i/>
          <w:iCs/>
        </w:rPr>
        <w:t>Just Auto</w:t>
      </w:r>
      <w:r w:rsidRPr="00A11799">
        <w:rPr>
          <w:rFonts w:ascii="Arial" w:eastAsia="Arial" w:hAnsi="Arial" w:cs="Arial"/>
        </w:rPr>
        <w:t>. Available at: https://www.just-auto.com/news/brazil-2023-sales-up-production-stagnant/ (Accessed: 25 November 2025).</w:t>
      </w:r>
    </w:p>
    <w:p w14:paraId="34A4273B" w14:textId="77777777" w:rsidR="00901A3E" w:rsidRPr="00A11799" w:rsidRDefault="00901A3E" w:rsidP="00901A3E">
      <w:pPr>
        <w:rPr>
          <w:rFonts w:ascii="Arial" w:eastAsia="Arial" w:hAnsi="Arial" w:cs="Arial"/>
        </w:rPr>
      </w:pPr>
      <w:r w:rsidRPr="00A11799">
        <w:rPr>
          <w:rFonts w:ascii="Arial" w:eastAsia="Arial" w:hAnsi="Arial" w:cs="Arial"/>
        </w:rPr>
        <w:t xml:space="preserve">Rosati, A. (2023) ‘Brazil Economic Growth Blows Past Forecasts in Win for Lula’, </w:t>
      </w:r>
      <w:r w:rsidRPr="00A11799">
        <w:rPr>
          <w:rFonts w:ascii="Arial" w:eastAsia="Arial" w:hAnsi="Arial" w:cs="Arial"/>
          <w:i/>
          <w:iCs/>
        </w:rPr>
        <w:t>Bloomberg.com</w:t>
      </w:r>
      <w:r w:rsidRPr="00A11799">
        <w:rPr>
          <w:rFonts w:ascii="Arial" w:eastAsia="Arial" w:hAnsi="Arial" w:cs="Arial"/>
        </w:rPr>
        <w:t>, 1 September. Available at: https://www.bloomberg.com/news/articles/2023-09-01/brazil-economy-grows-for-second-straight-quarter-in-win-for-lula (Accessed: 25 November 2025).</w:t>
      </w:r>
    </w:p>
    <w:p w14:paraId="1881E38B" w14:textId="77777777" w:rsidR="00901A3E" w:rsidRPr="00A11799" w:rsidRDefault="00901A3E" w:rsidP="00901A3E">
      <w:pPr>
        <w:rPr>
          <w:rFonts w:ascii="Arial" w:eastAsia="Arial" w:hAnsi="Arial" w:cs="Arial"/>
        </w:rPr>
      </w:pPr>
      <w:r w:rsidRPr="00A11799">
        <w:rPr>
          <w:rFonts w:ascii="Arial" w:eastAsia="Arial" w:hAnsi="Arial" w:cs="Arial"/>
        </w:rPr>
        <w:lastRenderedPageBreak/>
        <w:t xml:space="preserve">S&amp;P Global Mobility (2025) </w:t>
      </w:r>
      <w:r w:rsidRPr="00A11799">
        <w:rPr>
          <w:rFonts w:ascii="Arial" w:eastAsia="Arial" w:hAnsi="Arial" w:cs="Arial"/>
          <w:i/>
          <w:iCs/>
        </w:rPr>
        <w:t>Rota 2030 | S&amp;P Global</w:t>
      </w:r>
      <w:r w:rsidRPr="00A11799">
        <w:rPr>
          <w:rFonts w:ascii="Arial" w:eastAsia="Arial" w:hAnsi="Arial" w:cs="Arial"/>
        </w:rPr>
        <w:t xml:space="preserve">, </w:t>
      </w:r>
      <w:r w:rsidRPr="00A11799">
        <w:rPr>
          <w:rFonts w:ascii="Arial" w:eastAsia="Arial" w:hAnsi="Arial" w:cs="Arial"/>
          <w:i/>
          <w:iCs/>
        </w:rPr>
        <w:t>www.spglobal.com</w:t>
      </w:r>
      <w:r w:rsidRPr="00A11799">
        <w:rPr>
          <w:rFonts w:ascii="Arial" w:eastAsia="Arial" w:hAnsi="Arial" w:cs="Arial"/>
        </w:rPr>
        <w:t>. Available at: https://www.spglobal.com/mobility/en/info/1218/rota2030.html (Accessed: 25 November 2025).</w:t>
      </w:r>
    </w:p>
    <w:p w14:paraId="4A030E8E" w14:textId="77777777" w:rsidR="00901A3E" w:rsidRPr="00A11799" w:rsidRDefault="00901A3E" w:rsidP="00901A3E">
      <w:pPr>
        <w:rPr>
          <w:rFonts w:ascii="Arial" w:eastAsia="Arial" w:hAnsi="Arial" w:cs="Arial"/>
        </w:rPr>
      </w:pPr>
      <w:r w:rsidRPr="00A11799">
        <w:rPr>
          <w:rFonts w:ascii="Arial" w:eastAsia="Arial" w:hAnsi="Arial" w:cs="Arial"/>
        </w:rPr>
        <w:t xml:space="preserve">Schvartz, M.A., Salvia, A.L., Brandli, L.L., Filho, W.L. and Avila, L.V. (2024) ‘The Electric Vehicle Market in Brazil: A Systematic Literature Review of Factors Influencing Purchase Decisions’, </w:t>
      </w:r>
      <w:r w:rsidRPr="00A11799">
        <w:rPr>
          <w:rFonts w:ascii="Arial" w:eastAsia="Arial" w:hAnsi="Arial" w:cs="Arial"/>
          <w:i/>
          <w:iCs/>
        </w:rPr>
        <w:t>Sustainability</w:t>
      </w:r>
      <w:r w:rsidRPr="00A11799">
        <w:rPr>
          <w:rFonts w:ascii="Arial" w:eastAsia="Arial" w:hAnsi="Arial" w:cs="Arial"/>
        </w:rPr>
        <w:t>, 16(11), pp. 4594–4594. Available at: https://doi.org/10.3390/su16114594.</w:t>
      </w:r>
    </w:p>
    <w:p w14:paraId="72524D3A" w14:textId="77777777" w:rsidR="00901A3E" w:rsidRPr="00A11799" w:rsidRDefault="00901A3E" w:rsidP="00901A3E">
      <w:pPr>
        <w:rPr>
          <w:rFonts w:ascii="Arial" w:eastAsia="Arial" w:hAnsi="Arial" w:cs="Arial"/>
        </w:rPr>
      </w:pPr>
      <w:r w:rsidRPr="00A11799">
        <w:rPr>
          <w:rFonts w:ascii="Arial" w:eastAsia="Arial" w:hAnsi="Arial" w:cs="Arial"/>
        </w:rPr>
        <w:t xml:space="preserve">Shu, C., Liu, C., Gao, S. and Shanley, M. (2013) ‘The Knowledge Spillover Theory of Entrepreneurship in Alliances’, </w:t>
      </w:r>
      <w:r w:rsidRPr="00A11799">
        <w:rPr>
          <w:rFonts w:ascii="Arial" w:eastAsia="Arial" w:hAnsi="Arial" w:cs="Arial"/>
          <w:i/>
          <w:iCs/>
        </w:rPr>
        <w:t>Entrepreneurship Theory and Practice</w:t>
      </w:r>
      <w:r w:rsidRPr="00A11799">
        <w:rPr>
          <w:rFonts w:ascii="Arial" w:eastAsia="Arial" w:hAnsi="Arial" w:cs="Arial"/>
        </w:rPr>
        <w:t>, 38(4), pp. 913–940. Available at: https://doi.org/10.1111/etap.12024.</w:t>
      </w:r>
    </w:p>
    <w:p w14:paraId="5A699CA2" w14:textId="77777777" w:rsidR="00901A3E" w:rsidRPr="00A11799" w:rsidRDefault="00901A3E" w:rsidP="00901A3E">
      <w:pPr>
        <w:rPr>
          <w:rFonts w:ascii="Arial" w:eastAsia="Arial" w:hAnsi="Arial" w:cs="Arial"/>
        </w:rPr>
      </w:pPr>
      <w:r w:rsidRPr="00A11799">
        <w:rPr>
          <w:rFonts w:ascii="Arial" w:eastAsia="Arial" w:hAnsi="Arial" w:cs="Arial"/>
        </w:rPr>
        <w:t xml:space="preserve">Sriram, A. and Roy, A. (2025) ‘Tesla posts record deliveries, concerns mount over EV demand post-tax credits’, </w:t>
      </w:r>
      <w:r w:rsidRPr="00A11799">
        <w:rPr>
          <w:rFonts w:ascii="Arial" w:eastAsia="Arial" w:hAnsi="Arial" w:cs="Arial"/>
          <w:i/>
          <w:iCs/>
        </w:rPr>
        <w:t>Reuters</w:t>
      </w:r>
      <w:r w:rsidRPr="00A11799">
        <w:rPr>
          <w:rFonts w:ascii="Arial" w:eastAsia="Arial" w:hAnsi="Arial" w:cs="Arial"/>
        </w:rPr>
        <w:t>, 2 October. Available at: https://www.reuters.com/business/autos-transportation/teslas-quarterly-deliveries-beat-analysts-estimates-2025-10-02/ (Accessed: 27 November 2025).</w:t>
      </w:r>
    </w:p>
    <w:p w14:paraId="20AAE8B7" w14:textId="77777777" w:rsidR="00901A3E" w:rsidRPr="00A11799" w:rsidRDefault="00901A3E" w:rsidP="00901A3E">
      <w:pPr>
        <w:rPr>
          <w:rFonts w:ascii="Arial" w:eastAsia="Arial" w:hAnsi="Arial" w:cs="Arial"/>
        </w:rPr>
      </w:pPr>
      <w:proofErr w:type="gramStart"/>
      <w:r w:rsidRPr="00A11799">
        <w:rPr>
          <w:rFonts w:ascii="Arial" w:eastAsia="Arial" w:hAnsi="Arial" w:cs="Arial"/>
        </w:rPr>
        <w:t xml:space="preserve">Suba, R. (2020) </w:t>
      </w:r>
      <w:r w:rsidRPr="00A11799">
        <w:rPr>
          <w:rFonts w:ascii="Arial" w:eastAsia="Arial" w:hAnsi="Arial" w:cs="Arial"/>
          <w:i/>
          <w:iCs/>
        </w:rPr>
        <w:t>Tesla gets courted by Brazil</w:t>
      </w:r>
      <w:proofErr w:type="gramEnd"/>
      <w:r w:rsidRPr="00A11799">
        <w:rPr>
          <w:rFonts w:ascii="Arial" w:eastAsia="Arial" w:hAnsi="Arial" w:cs="Arial"/>
          <w:i/>
          <w:iCs/>
        </w:rPr>
        <w:t xml:space="preserve"> to establish a Gigafactory in the country</w:t>
      </w:r>
      <w:r w:rsidRPr="00A11799">
        <w:rPr>
          <w:rFonts w:ascii="Arial" w:eastAsia="Arial" w:hAnsi="Arial" w:cs="Arial"/>
        </w:rPr>
        <w:t xml:space="preserve">, </w:t>
      </w:r>
      <w:r w:rsidRPr="00A11799">
        <w:rPr>
          <w:rFonts w:ascii="Arial" w:eastAsia="Arial" w:hAnsi="Arial" w:cs="Arial"/>
          <w:i/>
          <w:iCs/>
        </w:rPr>
        <w:t>TESLARATI</w:t>
      </w:r>
      <w:r w:rsidRPr="00A11799">
        <w:rPr>
          <w:rFonts w:ascii="Arial" w:eastAsia="Arial" w:hAnsi="Arial" w:cs="Arial"/>
        </w:rPr>
        <w:t>. Available at: https://www.teslarati.com/tesla-gigafactory-brazil-government-incentive/ (Accessed: 25 November 2025).</w:t>
      </w:r>
    </w:p>
    <w:p w14:paraId="57AE839B" w14:textId="77777777" w:rsidR="00901A3E" w:rsidRPr="00A11799" w:rsidRDefault="00901A3E" w:rsidP="00901A3E">
      <w:pPr>
        <w:rPr>
          <w:rFonts w:ascii="Arial" w:eastAsia="Arial" w:hAnsi="Arial" w:cs="Arial"/>
        </w:rPr>
      </w:pPr>
      <w:r w:rsidRPr="00A11799">
        <w:rPr>
          <w:rFonts w:ascii="Arial" w:eastAsia="Arial" w:hAnsi="Arial" w:cs="Arial"/>
        </w:rPr>
        <w:t xml:space="preserve">Thurston, C.W. (2025) </w:t>
      </w:r>
      <w:r w:rsidRPr="00A11799">
        <w:rPr>
          <w:rFonts w:ascii="Arial" w:eastAsia="Arial" w:hAnsi="Arial" w:cs="Arial"/>
          <w:i/>
          <w:iCs/>
        </w:rPr>
        <w:t>Brazil Vehicle Sales Spike to 10-Year High</w:t>
      </w:r>
      <w:r w:rsidRPr="00A11799">
        <w:rPr>
          <w:rFonts w:ascii="Arial" w:eastAsia="Arial" w:hAnsi="Arial" w:cs="Arial"/>
        </w:rPr>
        <w:t xml:space="preserve">, </w:t>
      </w:r>
      <w:r w:rsidRPr="00A11799">
        <w:rPr>
          <w:rFonts w:ascii="Arial" w:eastAsia="Arial" w:hAnsi="Arial" w:cs="Arial"/>
          <w:i/>
          <w:iCs/>
        </w:rPr>
        <w:t>Texterity.com</w:t>
      </w:r>
      <w:r w:rsidRPr="00A11799">
        <w:rPr>
          <w:rFonts w:ascii="Arial" w:eastAsia="Arial" w:hAnsi="Arial" w:cs="Arial"/>
        </w:rPr>
        <w:t>. Available at: https://coatingsworld.texterity.com/coatingsworld/january_february_2025/MobilePagedArticle.action?articleId=2039783&amp;utm_source (Accessed: 25 November 2025).</w:t>
      </w:r>
    </w:p>
    <w:p w14:paraId="5CFBA3F4" w14:textId="77777777" w:rsidR="00901A3E" w:rsidRPr="00A11799" w:rsidRDefault="00901A3E" w:rsidP="00901A3E">
      <w:pPr>
        <w:rPr>
          <w:rFonts w:ascii="Arial" w:eastAsia="Arial" w:hAnsi="Arial" w:cs="Arial"/>
        </w:rPr>
      </w:pPr>
      <w:r w:rsidRPr="00A11799">
        <w:rPr>
          <w:rFonts w:ascii="Arial" w:eastAsia="Arial" w:hAnsi="Arial" w:cs="Arial"/>
        </w:rPr>
        <w:t xml:space="preserve">University Of Cambridge (2020) </w:t>
      </w:r>
      <w:r w:rsidRPr="00A11799">
        <w:rPr>
          <w:rFonts w:ascii="Arial" w:eastAsia="Arial" w:hAnsi="Arial" w:cs="Arial"/>
          <w:i/>
          <w:iCs/>
        </w:rPr>
        <w:t>Porter’s Generic Competitive Strategies (Ways of Competing)</w:t>
      </w:r>
      <w:r w:rsidRPr="00A11799">
        <w:rPr>
          <w:rFonts w:ascii="Arial" w:eastAsia="Arial" w:hAnsi="Arial" w:cs="Arial"/>
        </w:rPr>
        <w:t xml:space="preserve">, </w:t>
      </w:r>
      <w:r w:rsidRPr="00A11799">
        <w:rPr>
          <w:rFonts w:ascii="Arial" w:eastAsia="Arial" w:hAnsi="Arial" w:cs="Arial"/>
          <w:i/>
          <w:iCs/>
        </w:rPr>
        <w:t>University of Cambridge</w:t>
      </w:r>
      <w:r w:rsidRPr="00A11799">
        <w:rPr>
          <w:rFonts w:ascii="Arial" w:eastAsia="Arial" w:hAnsi="Arial" w:cs="Arial"/>
        </w:rPr>
        <w:t>. Available at: https://www.ifm.eng.cam.ac.uk/research/dstools/porters-generic-competitive-strategies/ (Accessed: 8 December 2025).</w:t>
      </w:r>
    </w:p>
    <w:p w14:paraId="3CCDAEE4" w14:textId="77777777" w:rsidR="00901A3E" w:rsidRPr="00A11799" w:rsidRDefault="00901A3E" w:rsidP="00901A3E">
      <w:pPr>
        <w:rPr>
          <w:rFonts w:ascii="Arial" w:eastAsia="Arial" w:hAnsi="Arial" w:cs="Arial"/>
        </w:rPr>
      </w:pPr>
      <w:r w:rsidRPr="00A11799">
        <w:rPr>
          <w:rFonts w:ascii="Arial" w:eastAsia="Arial" w:hAnsi="Arial" w:cs="Arial"/>
        </w:rPr>
        <w:t xml:space="preserve">Whittington, R., Regner, P., Angwin, D., Johnson, </w:t>
      </w:r>
      <w:proofErr w:type="gramStart"/>
      <w:r w:rsidRPr="00A11799">
        <w:rPr>
          <w:rFonts w:ascii="Arial" w:eastAsia="Arial" w:hAnsi="Arial" w:cs="Arial"/>
        </w:rPr>
        <w:t>G.</w:t>
      </w:r>
      <w:proofErr w:type="gramEnd"/>
      <w:r w:rsidRPr="00A11799">
        <w:rPr>
          <w:rFonts w:ascii="Arial" w:eastAsia="Arial" w:hAnsi="Arial" w:cs="Arial"/>
        </w:rPr>
        <w:t xml:space="preserve"> and Scholes, K. (2019) </w:t>
      </w:r>
      <w:r w:rsidRPr="00A11799">
        <w:rPr>
          <w:rFonts w:ascii="Arial" w:eastAsia="Arial" w:hAnsi="Arial" w:cs="Arial"/>
          <w:i/>
          <w:iCs/>
        </w:rPr>
        <w:t>Exploring Strategy</w:t>
      </w:r>
      <w:r w:rsidRPr="00A11799">
        <w:rPr>
          <w:rFonts w:ascii="Arial" w:eastAsia="Arial" w:hAnsi="Arial" w:cs="Arial"/>
        </w:rPr>
        <w:t>. 12th edn. Pearson.</w:t>
      </w:r>
    </w:p>
    <w:p w14:paraId="39BB4635" w14:textId="77777777" w:rsidR="00901A3E" w:rsidRPr="00A11799" w:rsidRDefault="00901A3E" w:rsidP="00901A3E">
      <w:pPr>
        <w:rPr>
          <w:rFonts w:ascii="Arial" w:eastAsia="Arial" w:hAnsi="Arial" w:cs="Arial"/>
        </w:rPr>
      </w:pPr>
      <w:r w:rsidRPr="00A11799">
        <w:rPr>
          <w:rFonts w:ascii="Arial" w:eastAsia="Arial" w:hAnsi="Arial" w:cs="Arial"/>
        </w:rPr>
        <w:t xml:space="preserve">World Bank Group (2025) </w:t>
      </w:r>
      <w:r w:rsidRPr="00A11799">
        <w:rPr>
          <w:rFonts w:ascii="Arial" w:eastAsia="Arial" w:hAnsi="Arial" w:cs="Arial"/>
          <w:i/>
          <w:iCs/>
        </w:rPr>
        <w:t>Competitiveness and Growth in Brazilian Cities Local Policies and Actions for Innovation Private Sector Development</w:t>
      </w:r>
      <w:r w:rsidRPr="00A11799">
        <w:rPr>
          <w:rFonts w:ascii="Arial" w:eastAsia="Arial" w:hAnsi="Arial" w:cs="Arial"/>
        </w:rPr>
        <w:t xml:space="preserve">. Available at: </w:t>
      </w:r>
      <w:r w:rsidRPr="00A11799">
        <w:rPr>
          <w:rFonts w:ascii="Arial" w:eastAsia="Arial" w:hAnsi="Arial" w:cs="Arial"/>
        </w:rPr>
        <w:lastRenderedPageBreak/>
        <w:t>https://documents1.worldbank.org/curated/en/912481468017977391/pdf/521040PUB0EPI1101Official0Use0Only1.pdf (Accessed: 8 December 2025).</w:t>
      </w:r>
    </w:p>
    <w:p w14:paraId="60812FE0" w14:textId="77777777" w:rsidR="00901A3E" w:rsidRPr="00A11799" w:rsidRDefault="00901A3E" w:rsidP="00901A3E">
      <w:pPr>
        <w:rPr>
          <w:rFonts w:ascii="Arial" w:eastAsia="Arial" w:hAnsi="Arial" w:cs="Arial"/>
        </w:rPr>
      </w:pPr>
      <w:r w:rsidRPr="00A11799">
        <w:rPr>
          <w:rFonts w:ascii="Arial" w:eastAsia="Arial" w:hAnsi="Arial" w:cs="Arial"/>
        </w:rPr>
        <w:t xml:space="preserve">World Economic Forum (2019) </w:t>
      </w:r>
      <w:r w:rsidRPr="00A11799">
        <w:rPr>
          <w:rFonts w:ascii="Arial" w:eastAsia="Arial" w:hAnsi="Arial" w:cs="Arial"/>
          <w:i/>
          <w:iCs/>
        </w:rPr>
        <w:t>A Vision for a Sustainable Battery Value Chain in 2030 Unlocking the Full Potential to Power Sustainable Development and Climate Change Mitigation</w:t>
      </w:r>
      <w:r w:rsidRPr="00A11799">
        <w:rPr>
          <w:rFonts w:ascii="Arial" w:eastAsia="Arial" w:hAnsi="Arial" w:cs="Arial"/>
        </w:rPr>
        <w:t xml:space="preserve">, </w:t>
      </w:r>
      <w:r w:rsidRPr="00A11799">
        <w:rPr>
          <w:rFonts w:ascii="Arial" w:eastAsia="Arial" w:hAnsi="Arial" w:cs="Arial"/>
          <w:i/>
          <w:iCs/>
        </w:rPr>
        <w:t>www3.weforum.org</w:t>
      </w:r>
      <w:r w:rsidRPr="00A11799">
        <w:rPr>
          <w:rFonts w:ascii="Arial" w:eastAsia="Arial" w:hAnsi="Arial" w:cs="Arial"/>
        </w:rPr>
        <w:t>, pp. 1–52. Available at: https://www3.weforum.org/docs/WEF_A_Vision_for_a_Sustainable_Battery_Value_Chain_in_2030_Report.pdf (Accessed: 25 November 2025).</w:t>
      </w:r>
    </w:p>
    <w:p w14:paraId="57168F4C" w14:textId="77777777" w:rsidR="00901A3E" w:rsidRPr="00A11799" w:rsidRDefault="00901A3E" w:rsidP="00901A3E">
      <w:pPr>
        <w:rPr>
          <w:rFonts w:ascii="Arial" w:eastAsia="Arial" w:hAnsi="Arial" w:cs="Arial"/>
        </w:rPr>
      </w:pPr>
      <w:r w:rsidRPr="00A11799">
        <w:rPr>
          <w:rFonts w:ascii="Arial" w:eastAsia="Arial" w:hAnsi="Arial" w:cs="Arial"/>
        </w:rPr>
        <w:t xml:space="preserve">Yamamura, C.L.K., Takiya, H., Machado, C.A.S., Santana, J.C.C., Quintanilha, J.A. and Berssaneti, F.T. (2022) ‘Electric Cars in Brazil: An Analysis of Core Green Technologies and the Transition Process’, </w:t>
      </w:r>
      <w:r w:rsidRPr="00A11799">
        <w:rPr>
          <w:rFonts w:ascii="Arial" w:eastAsia="Arial" w:hAnsi="Arial" w:cs="Arial"/>
          <w:i/>
          <w:iCs/>
        </w:rPr>
        <w:t>Sustainability</w:t>
      </w:r>
      <w:r w:rsidRPr="00A11799">
        <w:rPr>
          <w:rFonts w:ascii="Arial" w:eastAsia="Arial" w:hAnsi="Arial" w:cs="Arial"/>
        </w:rPr>
        <w:t xml:space="preserve">, 14(10), p. 6064. Available at: </w:t>
      </w:r>
      <w:hyperlink r:id="rId14">
        <w:r w:rsidRPr="00A11799">
          <w:rPr>
            <w:rFonts w:ascii="Arial" w:eastAsia="Arial" w:hAnsi="Arial" w:cs="Arial"/>
            <w:u w:val="single"/>
          </w:rPr>
          <w:t>https://doi.org/10.3390/su14106064</w:t>
        </w:r>
      </w:hyperlink>
      <w:r w:rsidRPr="00A11799">
        <w:rPr>
          <w:rFonts w:ascii="Arial" w:eastAsia="Arial" w:hAnsi="Arial" w:cs="Arial"/>
        </w:rPr>
        <w:t>.</w:t>
      </w:r>
    </w:p>
    <w:p w14:paraId="1784382B" w14:textId="77777777" w:rsidR="00901A3E" w:rsidRPr="00A11799" w:rsidRDefault="00901A3E" w:rsidP="00901A3E">
      <w:pPr>
        <w:rPr>
          <w:rFonts w:ascii="Arial" w:eastAsia="Arial" w:hAnsi="Arial" w:cs="Arial"/>
        </w:rPr>
      </w:pPr>
    </w:p>
    <w:p w14:paraId="466B9021" w14:textId="77777777" w:rsidR="00901A3E" w:rsidRPr="00A11799" w:rsidRDefault="00901A3E" w:rsidP="00901A3E">
      <w:pPr>
        <w:rPr>
          <w:rFonts w:ascii="Arial" w:eastAsia="Arial" w:hAnsi="Arial" w:cs="Arial"/>
        </w:rPr>
      </w:pPr>
    </w:p>
    <w:p w14:paraId="278518E8" w14:textId="77777777" w:rsidR="00901A3E" w:rsidRPr="00A11799" w:rsidRDefault="00901A3E" w:rsidP="00901A3E">
      <w:pPr>
        <w:rPr>
          <w:rFonts w:ascii="Arial" w:eastAsia="Arial" w:hAnsi="Arial" w:cs="Arial"/>
        </w:rPr>
      </w:pPr>
      <w:r w:rsidRPr="00A11799">
        <w:rPr>
          <w:rFonts w:ascii="Arial" w:hAnsi="Arial" w:cs="Arial"/>
        </w:rPr>
        <w:br w:type="page"/>
      </w:r>
    </w:p>
    <w:p w14:paraId="38194ABB" w14:textId="77777777" w:rsidR="00901A3E" w:rsidRPr="00901A3E" w:rsidRDefault="00901A3E" w:rsidP="00901A3E">
      <w:pPr>
        <w:pStyle w:val="Heading1"/>
        <w:rPr>
          <w:rFonts w:ascii="Arial" w:eastAsia="Arial" w:hAnsi="Arial" w:cs="Arial"/>
          <w:sz w:val="22"/>
          <w:szCs w:val="22"/>
        </w:rPr>
      </w:pPr>
      <w:bookmarkStart w:id="35" w:name="_Toc217248212"/>
      <w:r w:rsidRPr="00901A3E">
        <w:rPr>
          <w:rFonts w:ascii="Arial" w:eastAsia="Arial" w:hAnsi="Arial" w:cs="Arial"/>
          <w:sz w:val="22"/>
          <w:szCs w:val="22"/>
        </w:rPr>
        <w:lastRenderedPageBreak/>
        <w:t>Appendix: PESTLE Analysis</w:t>
      </w:r>
      <w:bookmarkEnd w:id="35"/>
    </w:p>
    <w:tbl>
      <w:tblPr>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36"/>
        <w:gridCol w:w="2312"/>
        <w:gridCol w:w="5102"/>
      </w:tblGrid>
      <w:tr w:rsidR="00901A3E" w:rsidRPr="00901A3E" w14:paraId="6A8A36EB" w14:textId="77777777" w:rsidTr="006E3183">
        <w:tc>
          <w:tcPr>
            <w:tcW w:w="1936" w:type="dxa"/>
          </w:tcPr>
          <w:p w14:paraId="3D54C897" w14:textId="77777777" w:rsidR="00901A3E" w:rsidRPr="00901A3E" w:rsidRDefault="00901A3E" w:rsidP="006E3183">
            <w:pPr>
              <w:spacing w:line="480" w:lineRule="auto"/>
              <w:rPr>
                <w:rFonts w:ascii="Arial" w:eastAsia="Arial" w:hAnsi="Arial" w:cs="Arial"/>
                <w:b/>
                <w:bCs/>
                <w:sz w:val="22"/>
                <w:szCs w:val="22"/>
              </w:rPr>
            </w:pPr>
            <w:r w:rsidRPr="00901A3E">
              <w:rPr>
                <w:rFonts w:ascii="Arial" w:eastAsia="Arial" w:hAnsi="Arial" w:cs="Arial"/>
                <w:b/>
                <w:bCs/>
                <w:sz w:val="22"/>
                <w:szCs w:val="22"/>
              </w:rPr>
              <w:t>Factors</w:t>
            </w:r>
          </w:p>
        </w:tc>
        <w:tc>
          <w:tcPr>
            <w:tcW w:w="2312" w:type="dxa"/>
          </w:tcPr>
          <w:p w14:paraId="78A02ED4" w14:textId="77777777" w:rsidR="00901A3E" w:rsidRPr="00901A3E" w:rsidRDefault="00901A3E" w:rsidP="006E3183">
            <w:pPr>
              <w:spacing w:line="480" w:lineRule="auto"/>
              <w:rPr>
                <w:rFonts w:ascii="Arial" w:eastAsia="Arial" w:hAnsi="Arial" w:cs="Arial"/>
                <w:b/>
                <w:bCs/>
                <w:sz w:val="22"/>
                <w:szCs w:val="22"/>
              </w:rPr>
            </w:pPr>
            <w:r w:rsidRPr="00901A3E">
              <w:rPr>
                <w:rFonts w:ascii="Arial" w:eastAsia="Arial" w:hAnsi="Arial" w:cs="Arial"/>
                <w:b/>
                <w:bCs/>
                <w:sz w:val="22"/>
                <w:szCs w:val="22"/>
              </w:rPr>
              <w:t>Alignment</w:t>
            </w:r>
          </w:p>
        </w:tc>
        <w:tc>
          <w:tcPr>
            <w:tcW w:w="5102" w:type="dxa"/>
          </w:tcPr>
          <w:p w14:paraId="34318363" w14:textId="77777777" w:rsidR="00901A3E" w:rsidRPr="00901A3E" w:rsidRDefault="00901A3E" w:rsidP="006E3183">
            <w:pPr>
              <w:spacing w:line="480" w:lineRule="auto"/>
              <w:rPr>
                <w:rFonts w:ascii="Arial" w:eastAsia="Arial" w:hAnsi="Arial" w:cs="Arial"/>
                <w:b/>
                <w:bCs/>
                <w:sz w:val="22"/>
                <w:szCs w:val="22"/>
              </w:rPr>
            </w:pPr>
            <w:r w:rsidRPr="00901A3E">
              <w:rPr>
                <w:rFonts w:ascii="Arial" w:eastAsia="Arial" w:hAnsi="Arial" w:cs="Arial"/>
                <w:b/>
                <w:bCs/>
                <w:sz w:val="22"/>
                <w:szCs w:val="22"/>
              </w:rPr>
              <w:t>Details</w:t>
            </w:r>
          </w:p>
        </w:tc>
      </w:tr>
      <w:tr w:rsidR="00901A3E" w:rsidRPr="00901A3E" w14:paraId="04B3618E" w14:textId="77777777" w:rsidTr="006E3183">
        <w:tc>
          <w:tcPr>
            <w:tcW w:w="1936" w:type="dxa"/>
          </w:tcPr>
          <w:p w14:paraId="5369B9ED"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Political</w:t>
            </w:r>
          </w:p>
        </w:tc>
        <w:tc>
          <w:tcPr>
            <w:tcW w:w="2312" w:type="dxa"/>
          </w:tcPr>
          <w:p w14:paraId="1A0E89CC"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Negative</w:t>
            </w:r>
          </w:p>
        </w:tc>
        <w:tc>
          <w:tcPr>
            <w:tcW w:w="5102" w:type="dxa"/>
          </w:tcPr>
          <w:p w14:paraId="3AC922A3"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Rota 2030</w:t>
            </w:r>
          </w:p>
          <w:p w14:paraId="5142A4A6"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Import tariffs and trade agreements</w:t>
            </w:r>
          </w:p>
        </w:tc>
      </w:tr>
      <w:tr w:rsidR="00901A3E" w:rsidRPr="00901A3E" w14:paraId="5A546BA0" w14:textId="77777777" w:rsidTr="006E3183">
        <w:tc>
          <w:tcPr>
            <w:tcW w:w="1936" w:type="dxa"/>
          </w:tcPr>
          <w:p w14:paraId="70B2319D"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Economic</w:t>
            </w:r>
          </w:p>
        </w:tc>
        <w:tc>
          <w:tcPr>
            <w:tcW w:w="2312" w:type="dxa"/>
          </w:tcPr>
          <w:p w14:paraId="7F265A9A"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Positive</w:t>
            </w:r>
          </w:p>
        </w:tc>
        <w:tc>
          <w:tcPr>
            <w:tcW w:w="5102" w:type="dxa"/>
          </w:tcPr>
          <w:p w14:paraId="7D6ECED6"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Cyclical nature</w:t>
            </w:r>
          </w:p>
          <w:p w14:paraId="1F01E28D"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GDP growth was 3.40% in 2023</w:t>
            </w:r>
          </w:p>
          <w:p w14:paraId="265D09F9"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Huge domestic market and an industrial base</w:t>
            </w:r>
          </w:p>
        </w:tc>
      </w:tr>
      <w:tr w:rsidR="00901A3E" w:rsidRPr="00901A3E" w14:paraId="6F755765" w14:textId="77777777" w:rsidTr="006E3183">
        <w:tc>
          <w:tcPr>
            <w:tcW w:w="1936" w:type="dxa"/>
          </w:tcPr>
          <w:p w14:paraId="73B1AE9E"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Social</w:t>
            </w:r>
          </w:p>
        </w:tc>
        <w:tc>
          <w:tcPr>
            <w:tcW w:w="2312" w:type="dxa"/>
          </w:tcPr>
          <w:p w14:paraId="0284C6E8" w14:textId="77777777" w:rsidR="00901A3E" w:rsidRPr="00901A3E" w:rsidRDefault="00901A3E" w:rsidP="006E3183">
            <w:pPr>
              <w:spacing w:line="480" w:lineRule="auto"/>
              <w:rPr>
                <w:rFonts w:ascii="Arial" w:eastAsia="Arial" w:hAnsi="Arial" w:cs="Arial"/>
                <w:b/>
                <w:bCs/>
                <w:sz w:val="22"/>
                <w:szCs w:val="22"/>
              </w:rPr>
            </w:pPr>
            <w:r w:rsidRPr="00901A3E">
              <w:rPr>
                <w:rFonts w:ascii="Arial" w:eastAsia="Arial" w:hAnsi="Arial" w:cs="Arial"/>
                <w:sz w:val="22"/>
                <w:szCs w:val="22"/>
              </w:rPr>
              <w:t>Positive</w:t>
            </w:r>
          </w:p>
        </w:tc>
        <w:tc>
          <w:tcPr>
            <w:tcW w:w="5102" w:type="dxa"/>
          </w:tcPr>
          <w:p w14:paraId="3ACF6E26"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 xml:space="preserve">Increasing middle-income population </w:t>
            </w:r>
          </w:p>
          <w:p w14:paraId="42C186AB"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 xml:space="preserve">Car market size </w:t>
            </w:r>
            <w:proofErr w:type="gramStart"/>
            <w:r w:rsidRPr="00901A3E">
              <w:rPr>
                <w:rFonts w:ascii="Arial" w:eastAsia="Arial" w:hAnsi="Arial" w:cs="Arial"/>
                <w:sz w:val="22"/>
                <w:szCs w:val="22"/>
              </w:rPr>
              <w:t>was valued</w:t>
            </w:r>
            <w:proofErr w:type="gramEnd"/>
            <w:r w:rsidRPr="00901A3E">
              <w:rPr>
                <w:rFonts w:ascii="Arial" w:eastAsia="Arial" w:hAnsi="Arial" w:cs="Arial"/>
                <w:sz w:val="22"/>
                <w:szCs w:val="22"/>
              </w:rPr>
              <w:t xml:space="preserve"> by USD 766 billion in 2023 </w:t>
            </w:r>
          </w:p>
          <w:p w14:paraId="155816F4"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Sustainable mobility and safety features</w:t>
            </w:r>
          </w:p>
        </w:tc>
      </w:tr>
      <w:tr w:rsidR="00901A3E" w:rsidRPr="00901A3E" w14:paraId="2DDBB7C8" w14:textId="77777777" w:rsidTr="006E3183">
        <w:tc>
          <w:tcPr>
            <w:tcW w:w="1936" w:type="dxa"/>
          </w:tcPr>
          <w:p w14:paraId="03A6A5D9"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Technological</w:t>
            </w:r>
          </w:p>
        </w:tc>
        <w:tc>
          <w:tcPr>
            <w:tcW w:w="2312" w:type="dxa"/>
          </w:tcPr>
          <w:p w14:paraId="2B351587"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Positive</w:t>
            </w:r>
          </w:p>
        </w:tc>
        <w:tc>
          <w:tcPr>
            <w:tcW w:w="5102" w:type="dxa"/>
          </w:tcPr>
          <w:p w14:paraId="2E87AF84"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 xml:space="preserve">Flex-fuel systems </w:t>
            </w:r>
          </w:p>
          <w:p w14:paraId="26651BC5"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 xml:space="preserve">Advanced driver-assistance systems </w:t>
            </w:r>
          </w:p>
          <w:p w14:paraId="0FE70C9E"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EV adoption</w:t>
            </w:r>
          </w:p>
        </w:tc>
      </w:tr>
      <w:tr w:rsidR="00901A3E" w:rsidRPr="00901A3E" w14:paraId="35948ABE" w14:textId="77777777" w:rsidTr="006E3183">
        <w:tc>
          <w:tcPr>
            <w:tcW w:w="1936" w:type="dxa"/>
          </w:tcPr>
          <w:p w14:paraId="612637D7"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Legal</w:t>
            </w:r>
          </w:p>
        </w:tc>
        <w:tc>
          <w:tcPr>
            <w:tcW w:w="2312" w:type="dxa"/>
          </w:tcPr>
          <w:p w14:paraId="12391830"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Negative</w:t>
            </w:r>
          </w:p>
        </w:tc>
        <w:tc>
          <w:tcPr>
            <w:tcW w:w="5102" w:type="dxa"/>
          </w:tcPr>
          <w:p w14:paraId="33619E30"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Use of hardcore energy and security measures</w:t>
            </w:r>
          </w:p>
          <w:p w14:paraId="42FE6C7B"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Labour regulations and taxing regulations</w:t>
            </w:r>
          </w:p>
        </w:tc>
      </w:tr>
      <w:tr w:rsidR="00901A3E" w:rsidRPr="00901A3E" w14:paraId="1B68BE72" w14:textId="77777777" w:rsidTr="006E3183">
        <w:tc>
          <w:tcPr>
            <w:tcW w:w="1936" w:type="dxa"/>
          </w:tcPr>
          <w:p w14:paraId="1E9B6F9F"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Environmental</w:t>
            </w:r>
          </w:p>
        </w:tc>
        <w:tc>
          <w:tcPr>
            <w:tcW w:w="2312" w:type="dxa"/>
          </w:tcPr>
          <w:p w14:paraId="4C15DD02"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Negative</w:t>
            </w:r>
          </w:p>
        </w:tc>
        <w:tc>
          <w:tcPr>
            <w:tcW w:w="5102" w:type="dxa"/>
          </w:tcPr>
          <w:p w14:paraId="7DCC830B"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Regulations on CO2 emissions</w:t>
            </w:r>
          </w:p>
          <w:p w14:paraId="29CC3DB9" w14:textId="77777777" w:rsidR="00901A3E" w:rsidRPr="00901A3E" w:rsidRDefault="00901A3E" w:rsidP="006E3183">
            <w:pPr>
              <w:spacing w:line="480" w:lineRule="auto"/>
              <w:rPr>
                <w:rFonts w:ascii="Arial" w:eastAsia="Arial" w:hAnsi="Arial" w:cs="Arial"/>
                <w:sz w:val="22"/>
                <w:szCs w:val="22"/>
              </w:rPr>
            </w:pPr>
            <w:r w:rsidRPr="00901A3E">
              <w:rPr>
                <w:rFonts w:ascii="Arial" w:eastAsia="Arial" w:hAnsi="Arial" w:cs="Arial"/>
                <w:sz w:val="22"/>
                <w:szCs w:val="22"/>
              </w:rPr>
              <w:t>Biofuels, ethanol engines</w:t>
            </w:r>
          </w:p>
        </w:tc>
      </w:tr>
    </w:tbl>
    <w:p w14:paraId="1C5EE5E5" w14:textId="77777777" w:rsidR="00901A3E" w:rsidRPr="00901A3E" w:rsidRDefault="00901A3E" w:rsidP="00901A3E">
      <w:pPr>
        <w:pBdr>
          <w:top w:val="nil"/>
          <w:left w:val="nil"/>
          <w:bottom w:val="nil"/>
          <w:right w:val="nil"/>
          <w:between w:val="nil"/>
        </w:pBdr>
        <w:jc w:val="center"/>
        <w:rPr>
          <w:rFonts w:ascii="Arial" w:eastAsia="Arial" w:hAnsi="Arial" w:cs="Arial"/>
          <w:b/>
          <w:bCs/>
          <w:sz w:val="22"/>
          <w:szCs w:val="22"/>
        </w:rPr>
      </w:pPr>
      <w:r w:rsidRPr="00901A3E">
        <w:rPr>
          <w:rFonts w:ascii="Arial" w:eastAsia="Arial" w:hAnsi="Arial" w:cs="Arial"/>
          <w:b/>
          <w:bCs/>
          <w:sz w:val="22"/>
          <w:szCs w:val="22"/>
        </w:rPr>
        <w:t>Table 5: PESTLE Analysis</w:t>
      </w:r>
    </w:p>
    <w:p w14:paraId="2019944E" w14:textId="1B56CFA4" w:rsidR="00CB2B65" w:rsidRPr="00901A3E" w:rsidRDefault="00901A3E" w:rsidP="00901A3E">
      <w:pPr>
        <w:jc w:val="center"/>
        <w:rPr>
          <w:rFonts w:ascii="Arial" w:eastAsia="Arial" w:hAnsi="Arial" w:cs="Arial"/>
          <w:sz w:val="22"/>
          <w:szCs w:val="22"/>
        </w:rPr>
      </w:pPr>
      <w:r w:rsidRPr="00901A3E">
        <w:rPr>
          <w:rFonts w:ascii="Arial" w:eastAsia="Arial" w:hAnsi="Arial" w:cs="Arial"/>
          <w:sz w:val="22"/>
          <w:szCs w:val="22"/>
        </w:rPr>
        <w:t>(Source: Self-Created)</w:t>
      </w:r>
    </w:p>
    <w:sectPr w:rsidR="00CB2B65" w:rsidRPr="00901A3E">
      <w:footerReference w:type="default" r:id="rId1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A8125" w14:textId="77777777" w:rsidR="00262D2A" w:rsidRDefault="00262D2A">
      <w:pPr>
        <w:spacing w:before="0" w:after="0" w:line="240" w:lineRule="auto"/>
      </w:pPr>
      <w:r>
        <w:separator/>
      </w:r>
    </w:p>
  </w:endnote>
  <w:endnote w:type="continuationSeparator" w:id="0">
    <w:p w14:paraId="4C65D30A" w14:textId="77777777" w:rsidR="00262D2A" w:rsidRDefault="00262D2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CD90BF" w14:textId="77777777" w:rsidR="00000000" w:rsidRDefault="00BF0F79">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p>
  <w:p w14:paraId="0436DEBC" w14:textId="77777777" w:rsidR="00000000" w:rsidRDefault="00000000">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1AAD0" w14:textId="77777777" w:rsidR="00262D2A" w:rsidRDefault="00262D2A">
      <w:pPr>
        <w:spacing w:before="0" w:after="0" w:line="240" w:lineRule="auto"/>
      </w:pPr>
      <w:r>
        <w:separator/>
      </w:r>
    </w:p>
  </w:footnote>
  <w:footnote w:type="continuationSeparator" w:id="0">
    <w:p w14:paraId="32B45C71" w14:textId="77777777" w:rsidR="00262D2A" w:rsidRDefault="00262D2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4B31A1"/>
    <w:multiLevelType w:val="multilevel"/>
    <w:tmpl w:val="35F8BE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87209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A3E"/>
    <w:rsid w:val="0007400E"/>
    <w:rsid w:val="000A2DDC"/>
    <w:rsid w:val="00122613"/>
    <w:rsid w:val="00204FE8"/>
    <w:rsid w:val="00262D2A"/>
    <w:rsid w:val="00424EA0"/>
    <w:rsid w:val="005436B7"/>
    <w:rsid w:val="006559D6"/>
    <w:rsid w:val="007D475B"/>
    <w:rsid w:val="00901A3E"/>
    <w:rsid w:val="009735C0"/>
    <w:rsid w:val="00A2734B"/>
    <w:rsid w:val="00A70440"/>
    <w:rsid w:val="00B21B44"/>
    <w:rsid w:val="00B81265"/>
    <w:rsid w:val="00BF0F79"/>
    <w:rsid w:val="00C9671A"/>
    <w:rsid w:val="00CA12D0"/>
    <w:rsid w:val="00CB2B65"/>
    <w:rsid w:val="00D9136D"/>
    <w:rsid w:val="00E30FBA"/>
    <w:rsid w:val="00EF7D9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66007"/>
  <w15:chartTrackingRefBased/>
  <w15:docId w15:val="{4E4A4A21-0CF3-41D7-8AB3-9675E35AB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1A3E"/>
    <w:pPr>
      <w:spacing w:before="120" w:after="120" w:line="360" w:lineRule="auto"/>
      <w:jc w:val="both"/>
    </w:pPr>
    <w:rPr>
      <w:rFonts w:ascii="Times New Roman" w:eastAsia="Times New Roman" w:hAnsi="Times New Roman" w:cs="Times New Roman"/>
      <w:sz w:val="24"/>
      <w:szCs w:val="24"/>
      <w:highlight w:val="white"/>
      <w:lang w:val="en-GB"/>
    </w:rPr>
  </w:style>
  <w:style w:type="paragraph" w:styleId="Heading1">
    <w:name w:val="heading 1"/>
    <w:basedOn w:val="Normal"/>
    <w:next w:val="Normal"/>
    <w:link w:val="Heading1Char"/>
    <w:uiPriority w:val="9"/>
    <w:qFormat/>
    <w:rsid w:val="00901A3E"/>
    <w:pPr>
      <w:keepNext/>
      <w:keepLines/>
      <w:outlineLvl w:val="0"/>
    </w:pPr>
    <w:rPr>
      <w:b/>
      <w:bCs/>
    </w:rPr>
  </w:style>
  <w:style w:type="paragraph" w:styleId="Heading2">
    <w:name w:val="heading 2"/>
    <w:basedOn w:val="Normal"/>
    <w:next w:val="Normal"/>
    <w:link w:val="Heading2Char"/>
    <w:uiPriority w:val="9"/>
    <w:unhideWhenUsed/>
    <w:qFormat/>
    <w:rsid w:val="00901A3E"/>
    <w:pPr>
      <w:keepNext/>
      <w:keepLines/>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A3E"/>
    <w:rPr>
      <w:rFonts w:ascii="Times New Roman" w:eastAsia="Times New Roman" w:hAnsi="Times New Roman" w:cs="Times New Roman"/>
      <w:b/>
      <w:bCs/>
      <w:sz w:val="24"/>
      <w:szCs w:val="24"/>
      <w:highlight w:val="white"/>
      <w:lang w:val="en-GB"/>
    </w:rPr>
  </w:style>
  <w:style w:type="character" w:customStyle="1" w:styleId="Heading2Char">
    <w:name w:val="Heading 2 Char"/>
    <w:basedOn w:val="DefaultParagraphFont"/>
    <w:link w:val="Heading2"/>
    <w:uiPriority w:val="9"/>
    <w:rsid w:val="00901A3E"/>
    <w:rPr>
      <w:rFonts w:ascii="Times New Roman" w:eastAsia="Times New Roman" w:hAnsi="Times New Roman" w:cs="Times New Roman"/>
      <w:b/>
      <w:bCs/>
      <w:sz w:val="24"/>
      <w:szCs w:val="24"/>
      <w:highlight w:val="white"/>
      <w:lang w:val="en-GB"/>
    </w:rPr>
  </w:style>
  <w:style w:type="paragraph" w:styleId="Caption">
    <w:name w:val="caption"/>
    <w:basedOn w:val="Normal"/>
    <w:next w:val="Normal"/>
    <w:uiPriority w:val="35"/>
    <w:unhideWhenUsed/>
    <w:qFormat/>
    <w:rsid w:val="00901A3E"/>
    <w:pPr>
      <w:jc w:val="center"/>
    </w:pPr>
    <w:rPr>
      <w:b/>
      <w:highlight w:val="none"/>
    </w:rPr>
  </w:style>
  <w:style w:type="paragraph" w:styleId="TOCHeading">
    <w:name w:val="TOC Heading"/>
    <w:basedOn w:val="Heading1"/>
    <w:next w:val="Normal"/>
    <w:uiPriority w:val="39"/>
    <w:unhideWhenUsed/>
    <w:qFormat/>
    <w:rsid w:val="00901A3E"/>
    <w:pPr>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highlight w:val="none"/>
      <w:lang w:val="en-US"/>
    </w:rPr>
  </w:style>
  <w:style w:type="paragraph" w:styleId="TOC1">
    <w:name w:val="toc 1"/>
    <w:basedOn w:val="Normal"/>
    <w:next w:val="Normal"/>
    <w:autoRedefine/>
    <w:uiPriority w:val="39"/>
    <w:unhideWhenUsed/>
    <w:rsid w:val="00901A3E"/>
    <w:pPr>
      <w:spacing w:after="0"/>
      <w:jc w:val="left"/>
    </w:pPr>
    <w:rPr>
      <w:rFonts w:asciiTheme="minorHAnsi" w:hAnsiTheme="minorHAnsi"/>
      <w:b/>
      <w:bCs/>
      <w:i/>
      <w:iCs/>
    </w:rPr>
  </w:style>
  <w:style w:type="paragraph" w:styleId="TOC2">
    <w:name w:val="toc 2"/>
    <w:basedOn w:val="Normal"/>
    <w:next w:val="Normal"/>
    <w:autoRedefine/>
    <w:uiPriority w:val="39"/>
    <w:unhideWhenUsed/>
    <w:rsid w:val="00901A3E"/>
    <w:pPr>
      <w:spacing w:after="0"/>
      <w:ind w:left="240"/>
      <w:jc w:val="left"/>
    </w:pPr>
    <w:rPr>
      <w:rFonts w:asciiTheme="minorHAnsi" w:hAnsiTheme="minorHAnsi"/>
      <w:b/>
      <w:bCs/>
      <w:sz w:val="22"/>
      <w:szCs w:val="22"/>
    </w:rPr>
  </w:style>
  <w:style w:type="character" w:styleId="Hyperlink">
    <w:name w:val="Hyperlink"/>
    <w:basedOn w:val="DefaultParagraphFont"/>
    <w:uiPriority w:val="99"/>
    <w:unhideWhenUsed/>
    <w:rsid w:val="00901A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90/su14106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34</Pages>
  <Words>7822</Words>
  <Characters>44588</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korat</dc:creator>
  <cp:keywords/>
  <dc:description/>
  <cp:lastModifiedBy>Hemangkumar Ratilal Radadiya</cp:lastModifiedBy>
  <cp:revision>14</cp:revision>
  <dcterms:created xsi:type="dcterms:W3CDTF">2025-12-11T14:40:00Z</dcterms:created>
  <dcterms:modified xsi:type="dcterms:W3CDTF">2025-12-22T09:52:00Z</dcterms:modified>
</cp:coreProperties>
</file>