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951" w:rsidRPr="00792951" w:rsidRDefault="00792951" w:rsidP="00792951">
      <w:pPr>
        <w:jc w:val="center"/>
        <w:rPr>
          <w:rFonts w:ascii="Arial" w:hAnsi="Arial" w:cs="Arial"/>
          <w:sz w:val="52"/>
          <w:szCs w:val="52"/>
        </w:rPr>
      </w:pPr>
      <w:r w:rsidRPr="00792951">
        <w:rPr>
          <w:rFonts w:ascii="Arial" w:hAnsi="Arial" w:cs="Arial"/>
          <w:sz w:val="52"/>
          <w:szCs w:val="52"/>
        </w:rPr>
        <w:t>Anna Chad Nixon</w:t>
      </w:r>
    </w:p>
    <w:p w:rsidR="00792951" w:rsidRPr="00792951" w:rsidRDefault="00792951" w:rsidP="00792951">
      <w:pPr>
        <w:jc w:val="center"/>
        <w:rPr>
          <w:rFonts w:ascii="Arial" w:hAnsi="Arial" w:cs="Arial"/>
          <w:sz w:val="52"/>
          <w:szCs w:val="52"/>
        </w:rPr>
      </w:pPr>
      <w:r w:rsidRPr="00792951">
        <w:rPr>
          <w:rFonts w:ascii="Arial" w:hAnsi="Arial" w:cs="Arial"/>
          <w:sz w:val="52"/>
          <w:szCs w:val="52"/>
        </w:rPr>
        <w:t>Student number 1910653</w:t>
      </w:r>
    </w:p>
    <w:p w:rsidR="00995CA0" w:rsidRPr="00792951" w:rsidRDefault="00792951" w:rsidP="00792951">
      <w:pPr>
        <w:jc w:val="center"/>
        <w:rPr>
          <w:rFonts w:ascii="Arial" w:hAnsi="Arial" w:cs="Arial"/>
          <w:sz w:val="52"/>
          <w:szCs w:val="52"/>
        </w:rPr>
      </w:pPr>
      <w:r w:rsidRPr="00792951">
        <w:rPr>
          <w:rFonts w:ascii="Arial" w:hAnsi="Arial" w:cs="Arial"/>
          <w:sz w:val="52"/>
          <w:szCs w:val="52"/>
        </w:rPr>
        <w:t>Assignment 1</w:t>
      </w:r>
    </w:p>
    <w:p w:rsidR="00792951" w:rsidRDefault="00792951" w:rsidP="00792951">
      <w:pPr>
        <w:jc w:val="center"/>
        <w:rPr>
          <w:rFonts w:ascii="Arial" w:hAnsi="Arial" w:cs="Arial"/>
          <w:sz w:val="52"/>
          <w:szCs w:val="52"/>
        </w:rPr>
      </w:pPr>
      <w:r>
        <w:rPr>
          <w:rFonts w:ascii="Arial" w:hAnsi="Arial" w:cs="Arial"/>
          <w:sz w:val="52"/>
          <w:szCs w:val="52"/>
        </w:rPr>
        <w:t>Cohort 02.2019</w:t>
      </w: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Default="00792951" w:rsidP="00792951">
      <w:pPr>
        <w:jc w:val="center"/>
        <w:rPr>
          <w:rFonts w:ascii="Arial" w:hAnsi="Arial" w:cs="Arial"/>
          <w:sz w:val="52"/>
          <w:szCs w:val="52"/>
        </w:rPr>
      </w:pPr>
    </w:p>
    <w:p w:rsidR="00792951" w:rsidRPr="003846CA" w:rsidRDefault="00792951" w:rsidP="004B5C15">
      <w:pPr>
        <w:overflowPunct w:val="0"/>
        <w:autoSpaceDE w:val="0"/>
        <w:autoSpaceDN w:val="0"/>
        <w:adjustRightInd w:val="0"/>
        <w:spacing w:before="240" w:after="0" w:line="360" w:lineRule="auto"/>
        <w:ind w:left="426"/>
        <w:jc w:val="both"/>
        <w:textAlignment w:val="baseline"/>
        <w:rPr>
          <w:rFonts w:ascii="Arial" w:eastAsia="Times New Roman" w:hAnsi="Arial" w:cs="Arial"/>
          <w:b/>
          <w:sz w:val="24"/>
          <w:szCs w:val="24"/>
          <w:lang w:eastAsia="en-GB"/>
        </w:rPr>
      </w:pPr>
      <w:r w:rsidRPr="00792951">
        <w:rPr>
          <w:rFonts w:ascii="Arial" w:eastAsia="Times New Roman" w:hAnsi="Arial" w:cs="Arial"/>
          <w:b/>
          <w:sz w:val="24"/>
          <w:szCs w:val="24"/>
          <w:lang w:eastAsia="en-GB"/>
        </w:rPr>
        <w:lastRenderedPageBreak/>
        <w:t>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This essay explores how serious and organised crime (SOC) and public protection (PP) issues interrelate. It examines the effectiveness of current PP practices in the investigation of PP incidents and how community intelligence can be effective in the management of offenders. It will also consider the impact of media coverage on PP strategy.</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 xml:space="preserve">SOC is damaging to both victims, and the economy. It can be carried out by a lone person, or in organised crime groups (OCGs) and even in larger national or international networks. According to the National Auditing Office (NAO 2019) the National Crime Agency (NCA) recognises six national priorities relating to tackling SOC: Child Sexual Exploitation (CSE) and abuse, Modern Slavery and Human Trafficking, organised immigration crime, sophisticated money laundering, firearms and cybercrime. These crimes are considered to be most harmful to our economy. </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 xml:space="preserve">OCGs are known to use violence, threats and intimidation to maintain dominance and control over their recruits. Vulnerable people that become involved with such groups are often also victims of other serious crimes at the hands of gang leaders. They are often reported as missing persons, as they may be held against their will, too intimidated to leave or contact their families. They may become targets of violence from rival gangs, and are at risk of developing serious mental health and substance abuse issues which places further pressure on PP agencies. </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 xml:space="preserve">In 2018, HM Government produced a PP strategy known as the ‘Serious and Organised Crime Strategy (SOCS).’ This strategy produced the framework known as the ‘4 P’s’: Pursue, Prepare, Protect and Prevent. This simplistic framework promotes a multi-agency approach in disrupting criminal networks and reducing </w:t>
      </w:r>
      <w:r w:rsidRPr="004B5C15">
        <w:rPr>
          <w:rFonts w:ascii="Arial" w:eastAsia="Times New Roman" w:hAnsi="Arial" w:cs="Arial"/>
          <w:sz w:val="24"/>
          <w:szCs w:val="24"/>
          <w:lang w:eastAsia="en-GB"/>
        </w:rPr>
        <w:lastRenderedPageBreak/>
        <w:t xml:space="preserve">their impact on society. It aims to support and build resilience among vulnerable targets of these criminals, preventing them becoming involved in organised crime. </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Crimes committed against the victims of sexual or dangerous offenders can have a very negative impact on their lives and understandably victims become concerned about their offenders being released back into the community after serving custodial sentences. They may also be concerned that there are others like their perpetrators ‘still out there’.</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PP arrangements must be implemented to protect these victims and others in our communities. There must be reassurance that offenders are being monitored and managed appropriately, preventing the continuation of offending behaviour. The College of Policing (2017) explains that the Criminal Justice Act 2003 introduced Multi Agency Public Protection Arrangements (MAPPA).</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MAPPA aim to protect the public from sexual, violent and dangerous offenders by facilitating a multi-agency approach in managing these offenders. These include criminal justice agencies such as HM Prison and Probation Service (HMPPS), and other bodies such as local authorities. MAPPA offenders are categorised depending on the nature of their offences. HMPPS (2012) explains that offenders under any of these MAPPA management categories are supervised under either level 1, level 2 or level 3. This will depend on the degree of agency participation that is required for managing that offender. For example, Level 1 requires the sharing of information but no multi-agency meetings. Level 2 requires Multi – Agency Public Protection (MAPP) meetings and senior members of the relevant agencies with the authority to allocate resources are also required at level 3 management.</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 xml:space="preserve">Despite MAPPA’s introduction, the number of serious and dangerous offenders has continued to rise. The Ministry of Justice (2020) revealed there are 85,709 MAPPA offenders in England and Wales, a rise of 3% since 2019 and significantly, a 75% rise since 2010. However, these rising figures could suggest that MAPPA is a successful PP strategy as it is successfully identifying and managing more dangerous offenders in our communities, thus providing a positive impact. </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lastRenderedPageBreak/>
        <w:t xml:space="preserve">Past practice has shown that is it clearly not possible or practical for a single agency to manage PP and that a synchronised multi-agency approach is more effective. It is suggested that sharing information between agencies results in offenders receiving the most appropriate management and makes PP operations more efficient. </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proofErr w:type="spellStart"/>
      <w:r w:rsidRPr="004B5C15">
        <w:rPr>
          <w:rFonts w:ascii="Arial" w:eastAsia="Times New Roman" w:hAnsi="Arial" w:cs="Arial"/>
          <w:sz w:val="24"/>
          <w:szCs w:val="24"/>
          <w:lang w:eastAsia="en-GB"/>
        </w:rPr>
        <w:t>Harfield</w:t>
      </w:r>
      <w:proofErr w:type="spellEnd"/>
      <w:r w:rsidRPr="004B5C15">
        <w:rPr>
          <w:rFonts w:ascii="Arial" w:eastAsia="Times New Roman" w:hAnsi="Arial" w:cs="Arial"/>
          <w:sz w:val="24"/>
          <w:szCs w:val="24"/>
          <w:lang w:eastAsia="en-GB"/>
        </w:rPr>
        <w:t xml:space="preserve"> (2014) states that to obtain information and intelligence and supress misinformation, police operations should involve relevant key members of the community. Therefore, it is essential that Neighbourhood Policing Teams (NPTs) in particular are up to date with details of offenders and potentially dangerous persons managed by MAPPA within their local communities.</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This highlights the importance of NPTs’ role in managing dangerous offenders in our communities. Compared to the reactive nature of response team operations, NPTs focus more on a proactive community-based approach. Their links and partnerships in the community and with other agencies, enables them to effectively gather and share information about dangerous offenders and their locations/activities. This information feeds into the cycle of intelligence, increasing and developing information that agencies hold, in turn supporting a more effective management of these offenders.</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 xml:space="preserve">Despite the benefits of MAPP strategies, historically there have been serious incidents where PP strategies have failed.  </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A significant case was that of CSE by OCGs in Rotherham. This case highlighted an epidemic of CSE cases from 1997 to 2013. It revealed that gangs of male perpetrators had sexually exploited over 1400 children. Alexis Jay’s (2014) inquiry into this case revealed multiple failings by the police, local authorities and senior social care managers who downplayed the size and severity of the problem. The police were shown to have treated many child victims with disdain, demonstrating an inability to take action in regard to the criminal abuse they endured. Jay’s inquiry showed that earlier reports highlighting the extent of the CSE had been ignored and damningly, the police given no precedence to them.</w:t>
      </w:r>
      <w:r w:rsidRPr="004B5C15">
        <w:rPr>
          <w:rFonts w:ascii="Arial" w:eastAsia="Times New Roman" w:hAnsi="Arial" w:cs="Arial"/>
          <w:sz w:val="24"/>
          <w:szCs w:val="24"/>
          <w:lang w:eastAsia="en-GB"/>
        </w:rPr>
        <w:br/>
      </w:r>
      <w:r w:rsidRPr="004B5C15">
        <w:rPr>
          <w:rFonts w:ascii="Arial" w:eastAsia="Times New Roman" w:hAnsi="Arial" w:cs="Arial"/>
          <w:sz w:val="24"/>
          <w:szCs w:val="24"/>
          <w:lang w:eastAsia="en-GB"/>
        </w:rPr>
        <w:br/>
        <w:t xml:space="preserve">The vulnerability of the victims in this case and the exposure of the failures of the </w:t>
      </w:r>
      <w:r w:rsidRPr="004B5C15">
        <w:rPr>
          <w:rFonts w:ascii="Arial" w:eastAsia="Times New Roman" w:hAnsi="Arial" w:cs="Arial"/>
          <w:sz w:val="24"/>
          <w:szCs w:val="24"/>
          <w:lang w:eastAsia="en-GB"/>
        </w:rPr>
        <w:lastRenderedPageBreak/>
        <w:t xml:space="preserve">services meant to protect them understandably attracted widespread media attention. This caused concern and mistrust for these services amongst the general public. </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However, the inquiry identified some improvements made by the council and police prior to the publication of the report. It showed police and other relevant services had received appropriate training and were provided with resources to better manage CSE.</w:t>
      </w:r>
    </w:p>
    <w:p w:rsidR="004B5C15" w:rsidRP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Therefore, it could be suggested that as a result of the media exposing these failings by PP services, recommendations for areas of improvement were identified. Arguably, had the media not exposed the failings, PP agencies may have continued to follow the same flawed processes. In the aforementioned case it could be considered that media exposure helped the police and children’s service regain some positive attention after having initially fallen into disrepute.</w:t>
      </w:r>
    </w:p>
    <w:p w:rsid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 xml:space="preserve">In conclusion, it is clear that PP strategies such as MAPPA and the SOCS are effective. However, this is on the premise that all agencies are aware of their responsibilities, communication is effective within agencies and interagency and that information is shared appropriately across all agencies. It is very evident that PP issues often arise from poor communication and lack of information sharing. If these areas are continually evaluated, this should significantly improve the effectiveness of public protection strategies in reducing PP issues.  </w:t>
      </w:r>
    </w:p>
    <w:p w:rsidR="004D4416" w:rsidRDefault="004D4416"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p>
    <w:p w:rsidR="004D4416" w:rsidRDefault="004D4416"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Word Count 1152</w:t>
      </w:r>
    </w:p>
    <w:p w:rsidR="00887CE7" w:rsidRDefault="00887CE7"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p>
    <w:p w:rsidR="00887CE7" w:rsidRDefault="00887CE7"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p>
    <w:p w:rsidR="00887CE7" w:rsidRDefault="00887CE7"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p>
    <w:p w:rsidR="00887CE7" w:rsidRDefault="00887CE7"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p>
    <w:p w:rsidR="004D4416" w:rsidRDefault="004D4416" w:rsidP="004D4416">
      <w:pPr>
        <w:overflowPunct w:val="0"/>
        <w:autoSpaceDE w:val="0"/>
        <w:autoSpaceDN w:val="0"/>
        <w:adjustRightInd w:val="0"/>
        <w:spacing w:before="240" w:line="360" w:lineRule="auto"/>
        <w:jc w:val="both"/>
        <w:textAlignment w:val="baseline"/>
        <w:rPr>
          <w:rFonts w:ascii="Arial" w:eastAsia="Times New Roman" w:hAnsi="Arial" w:cs="Arial"/>
          <w:sz w:val="24"/>
          <w:szCs w:val="24"/>
          <w:lang w:eastAsia="en-GB"/>
        </w:rPr>
      </w:pPr>
    </w:p>
    <w:p w:rsidR="00887CE7" w:rsidRPr="004D4416" w:rsidRDefault="00887CE7" w:rsidP="004D4416">
      <w:pPr>
        <w:overflowPunct w:val="0"/>
        <w:autoSpaceDE w:val="0"/>
        <w:autoSpaceDN w:val="0"/>
        <w:adjustRightInd w:val="0"/>
        <w:spacing w:before="240" w:line="360" w:lineRule="auto"/>
        <w:ind w:left="426"/>
        <w:jc w:val="both"/>
        <w:textAlignment w:val="baseline"/>
        <w:rPr>
          <w:rFonts w:ascii="Arial" w:eastAsia="Times New Roman" w:hAnsi="Arial" w:cs="Arial"/>
          <w:b/>
          <w:sz w:val="24"/>
          <w:szCs w:val="24"/>
          <w:lang w:eastAsia="en-GB"/>
        </w:rPr>
      </w:pPr>
      <w:r w:rsidRPr="004D4416">
        <w:rPr>
          <w:rFonts w:ascii="Arial" w:eastAsia="Times New Roman" w:hAnsi="Arial" w:cs="Arial"/>
          <w:b/>
          <w:sz w:val="24"/>
          <w:szCs w:val="24"/>
          <w:lang w:eastAsia="en-GB"/>
        </w:rPr>
        <w:lastRenderedPageBreak/>
        <w:t>Analyse the role of professional standards and independent bodies such as the IOPC or HMICFRS in holding the police accountable to the public and the impact of malpractice and corruption on policing using examples to support your argument.</w:t>
      </w:r>
    </w:p>
    <w:p w:rsidR="00887CE7" w:rsidRPr="00756BB4" w:rsidRDefault="00887CE7" w:rsidP="00887CE7">
      <w:pPr>
        <w:spacing w:line="360" w:lineRule="auto"/>
        <w:ind w:left="426"/>
        <w:jc w:val="both"/>
        <w:rPr>
          <w:rFonts w:ascii="Arial" w:hAnsi="Arial" w:cs="Arial"/>
          <w:sz w:val="24"/>
          <w:szCs w:val="24"/>
        </w:rPr>
      </w:pPr>
      <w:r w:rsidRPr="00756BB4">
        <w:rPr>
          <w:rFonts w:ascii="Arial" w:eastAsia="Times New Roman" w:hAnsi="Arial" w:cs="Arial"/>
          <w:sz w:val="24"/>
          <w:szCs w:val="24"/>
          <w:lang w:eastAsia="en-GB"/>
        </w:rPr>
        <w:t xml:space="preserve">As defined by </w:t>
      </w:r>
      <w:proofErr w:type="spellStart"/>
      <w:r w:rsidRPr="00756BB4">
        <w:rPr>
          <w:rFonts w:ascii="Arial" w:eastAsia="Times New Roman" w:hAnsi="Arial" w:cs="Arial"/>
          <w:sz w:val="24"/>
          <w:szCs w:val="24"/>
          <w:lang w:eastAsia="en-GB"/>
        </w:rPr>
        <w:t>Newburn</w:t>
      </w:r>
      <w:proofErr w:type="spellEnd"/>
      <w:r w:rsidRPr="00756BB4">
        <w:rPr>
          <w:rFonts w:ascii="Arial" w:eastAsia="Times New Roman" w:hAnsi="Arial" w:cs="Arial"/>
          <w:sz w:val="24"/>
          <w:szCs w:val="24"/>
          <w:lang w:eastAsia="en-GB"/>
        </w:rPr>
        <w:t xml:space="preserve"> (1999), police corruption can include behaviours such as</w:t>
      </w:r>
      <w:r w:rsidRPr="00756BB4">
        <w:rPr>
          <w:rFonts w:ascii="Arial" w:hAnsi="Arial" w:cs="Arial"/>
          <w:sz w:val="24"/>
          <w:szCs w:val="24"/>
        </w:rPr>
        <w:t xml:space="preserve">: “bribery; violence and brutality; fabrication and destruction of evidence; racism; and, favouritism or nepotism.” </w:t>
      </w:r>
      <w:r w:rsidRPr="00756BB4">
        <w:rPr>
          <w:rFonts w:ascii="Arial" w:eastAsia="Times New Roman" w:hAnsi="Arial" w:cs="Arial"/>
          <w:sz w:val="24"/>
          <w:szCs w:val="24"/>
          <w:lang w:eastAsia="en-GB"/>
        </w:rPr>
        <w:t xml:space="preserve">Police corruption and malpractice can have an incredibly damaging effect on the public’s trust and confidence in the police. </w:t>
      </w:r>
      <w:proofErr w:type="spellStart"/>
      <w:r w:rsidRPr="00756BB4">
        <w:rPr>
          <w:rFonts w:ascii="Arial" w:eastAsia="Times New Roman" w:hAnsi="Arial" w:cs="Arial"/>
          <w:sz w:val="24"/>
          <w:szCs w:val="24"/>
          <w:lang w:eastAsia="en-GB"/>
        </w:rPr>
        <w:t>McVean</w:t>
      </w:r>
      <w:proofErr w:type="spellEnd"/>
      <w:r w:rsidRPr="00756BB4">
        <w:rPr>
          <w:rFonts w:ascii="Arial" w:eastAsia="Times New Roman" w:hAnsi="Arial" w:cs="Arial"/>
          <w:sz w:val="24"/>
          <w:szCs w:val="24"/>
          <w:lang w:eastAsia="en-GB"/>
        </w:rPr>
        <w:t xml:space="preserve">, </w:t>
      </w:r>
      <w:proofErr w:type="spellStart"/>
      <w:r w:rsidRPr="00756BB4">
        <w:rPr>
          <w:rFonts w:ascii="Arial" w:eastAsia="Times New Roman" w:hAnsi="Arial" w:cs="Arial"/>
          <w:sz w:val="24"/>
          <w:szCs w:val="24"/>
          <w:lang w:eastAsia="en-GB"/>
        </w:rPr>
        <w:t>Spindler</w:t>
      </w:r>
      <w:proofErr w:type="spellEnd"/>
      <w:r w:rsidRPr="00756BB4">
        <w:rPr>
          <w:rFonts w:ascii="Arial" w:eastAsia="Times New Roman" w:hAnsi="Arial" w:cs="Arial"/>
          <w:sz w:val="24"/>
          <w:szCs w:val="24"/>
          <w:lang w:eastAsia="en-GB"/>
        </w:rPr>
        <w:t xml:space="preserve"> and </w:t>
      </w:r>
      <w:proofErr w:type="spellStart"/>
      <w:r w:rsidRPr="00756BB4">
        <w:rPr>
          <w:rFonts w:ascii="Arial" w:eastAsia="Times New Roman" w:hAnsi="Arial" w:cs="Arial"/>
          <w:sz w:val="24"/>
          <w:szCs w:val="24"/>
          <w:lang w:eastAsia="en-GB"/>
        </w:rPr>
        <w:t>Solf</w:t>
      </w:r>
      <w:proofErr w:type="spellEnd"/>
      <w:r w:rsidRPr="00756BB4">
        <w:rPr>
          <w:rFonts w:ascii="Arial" w:eastAsia="Times New Roman" w:hAnsi="Arial" w:cs="Arial"/>
          <w:sz w:val="24"/>
          <w:szCs w:val="24"/>
          <w:lang w:eastAsia="en-GB"/>
        </w:rPr>
        <w:t xml:space="preserve"> (2012), mention how a series of highly publicised events of injustice originating from police action (such as the Brixton Riots and the Miner’s Strike in the 1980s) highlight the effect that malpractice and corruption have on policing. These events caused public disorder, mistrust, community tensions and caused some members of the public to become uncooperative and display vigilante behaviour. </w:t>
      </w:r>
    </w:p>
    <w:p w:rsidR="00887CE7" w:rsidRPr="00756BB4" w:rsidRDefault="00887CE7" w:rsidP="00887CE7">
      <w:pPr>
        <w:overflowPunct w:val="0"/>
        <w:autoSpaceDE w:val="0"/>
        <w:autoSpaceDN w:val="0"/>
        <w:adjustRightInd w:val="0"/>
        <w:spacing w:line="360" w:lineRule="auto"/>
        <w:ind w:left="426"/>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 xml:space="preserve">Considering that one of the police’s main responsibilities is to protect the public, including some of the most vulnerable within our communities, it could be argued that it is more important than any other public service that police officers and personnel adhere to a strict code as conduct and standards of behaviour. </w:t>
      </w:r>
    </w:p>
    <w:p w:rsidR="00887CE7" w:rsidRPr="00756BB4" w:rsidRDefault="00887CE7" w:rsidP="00887CE7">
      <w:pPr>
        <w:overflowPunct w:val="0"/>
        <w:autoSpaceDE w:val="0"/>
        <w:autoSpaceDN w:val="0"/>
        <w:adjustRightInd w:val="0"/>
        <w:spacing w:line="360" w:lineRule="auto"/>
        <w:ind w:left="426"/>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 xml:space="preserve">For this reason, the Code of Ethics (College of Policing, 2014) was established. It details nine policing principles which set out the correct and ethical manner in which officers and police personnel should practice. It also outlines the standards of professional behaviour that must be demonstrated in order to meet the expectations of the police by the public and overseeing inspectorate bodies.  </w:t>
      </w:r>
    </w:p>
    <w:p w:rsidR="00887CE7" w:rsidRPr="00756BB4" w:rsidRDefault="00887CE7" w:rsidP="00887CE7">
      <w:pPr>
        <w:overflowPunct w:val="0"/>
        <w:autoSpaceDE w:val="0"/>
        <w:autoSpaceDN w:val="0"/>
        <w:adjustRightInd w:val="0"/>
        <w:spacing w:line="360" w:lineRule="auto"/>
        <w:ind w:left="426"/>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 xml:space="preserve">Accountability and integrity are two principles within the code of ethics that specifically relate to holding the police accountable to the public. Public trust and confidence in the police are secured through strong demonstrations of these two principles. As the Police Federation (2017) state, holding the police accountable to the public can be done by ensuring the police service focuses on the public by always acting in the public interest. </w:t>
      </w:r>
    </w:p>
    <w:p w:rsidR="00887CE7" w:rsidRPr="00756BB4"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 xml:space="preserve">According to HMICFRS (2019) the role of PSD within a police force, is to document, manage and explore both complaints about police officers and police personnel. They also document, investigate and resolve complaints and reports </w:t>
      </w:r>
      <w:r w:rsidRPr="00756BB4">
        <w:rPr>
          <w:rFonts w:ascii="Arial" w:eastAsia="Times New Roman" w:hAnsi="Arial" w:cs="Arial"/>
          <w:sz w:val="24"/>
          <w:szCs w:val="24"/>
          <w:lang w:eastAsia="en-GB"/>
        </w:rPr>
        <w:lastRenderedPageBreak/>
        <w:t>of misconduct and malpractice from within the force and from members of the public.</w:t>
      </w:r>
    </w:p>
    <w:p w:rsidR="00887CE7" w:rsidRPr="00756BB4"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PSDs and the IOPC and HMICFRS interrelate as they are all inspectorate and governing bodies of police conduct, allegations and malpractice. But, whereas PSD are an internal overseeing body within individual forces, the HMICFRS is an external inspectorate body that is completely independent of the police and government. The role of the HMICFRS is to encourage police and fire and rescue services to improve and develop through their inspections and auditing. They hold the services they inspect accountable to the public by publishing the information they gather from their inspections for the public to access. In theory this should promote services to make improvements knowing that this information is being exposed. (HMICFRS 2018).</w:t>
      </w:r>
    </w:p>
    <w:p w:rsidR="00887CE7" w:rsidRPr="00756BB4"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Similarly, like the HMICFRS the IOPC are also an external inspectorate body who are also independent from the police and the government. The IOPC (2019) state that their role is to supervise and monitor processes surrounding complaints against the police in England and Wales. They also investigate more severe matters of malpractice, corruption and complaints against the police where there is greater public interest, where the force concerned, and the police as a whole may come into disrepute. Just like the HMICFRS, the IOPC also publish their reports and details of their investigations. Through sharing learning and recommendations, it allows police to take advantage of the learning and recommendations made by the IOPC in order to ensure that practice and policies and procedures are continually being considered and improved. This also helps to develop public confidence by making the public aware that the police are being held accountable for the mistakes that they make and being encouraged to makes changes.</w:t>
      </w:r>
    </w:p>
    <w:p w:rsidR="00887CE7" w:rsidRPr="00756BB4"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 xml:space="preserve">As PSD are an internal department within the police the public may believe that any investigation or complaint may be biased and work in the favour of the police. Therefore, it is important for a completely independent body to oversee and hold the police accountable to the public in a fairer and more impartial way. Although they are an investigating body within police forces, they are still made up of officers </w:t>
      </w:r>
      <w:r w:rsidRPr="00756BB4">
        <w:rPr>
          <w:rFonts w:ascii="Arial" w:eastAsia="Times New Roman" w:hAnsi="Arial" w:cs="Arial"/>
          <w:sz w:val="24"/>
          <w:szCs w:val="24"/>
          <w:lang w:eastAsia="en-GB"/>
        </w:rPr>
        <w:lastRenderedPageBreak/>
        <w:t>so the public still need reassurance that any internal corruption or malpractice is investigated by a separate and impartial body.</w:t>
      </w:r>
    </w:p>
    <w:p w:rsidR="00887CE7" w:rsidRPr="00756BB4" w:rsidRDefault="00887CE7" w:rsidP="00887CE7">
      <w:pPr>
        <w:overflowPunct w:val="0"/>
        <w:autoSpaceDE w:val="0"/>
        <w:autoSpaceDN w:val="0"/>
        <w:adjustRightInd w:val="0"/>
        <w:spacing w:before="240" w:line="360" w:lineRule="auto"/>
        <w:ind w:left="425"/>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According to the Her Majesty’s Inspectorate Constabulary (HMIC) Police Integrity and Corruption (2014) report for South Wales Police revealed a few areas of recommendation. It outlined details of inspections carried out on police forces between 2011 and 2012. It details that in 2011 many forces showed a poor management with matters of poor police integrity. It was also found that some forces had issues with police comprehending the boundaries with other organisations including the media. Although inspections in 2012 showed that many forces had made improvements in managing the issues surrounding police integrity, it still outlined that further improvements were needed and needed to happen faster. It concluded that this would reassure the public that police integrity was being taken seriously, and in turn, ensuring they hold the police accountable to the public.</w:t>
      </w:r>
    </w:p>
    <w:p w:rsidR="00887CE7" w:rsidRPr="00756BB4"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For example, the Independent Police Complaints Commission (2012), revealed multiple case studies where police officers had abused their powers in order to commit acts of a sexual nature. One case identified how one police force carried out a covert investigation on one of their officers. The investigation exposed that the officer had abused his powers by carrying out unlawful searches on police computer systems in order to identify vulnerable females to exploit in an attempt to establish sexual relationships. The investigation highlighted that this officer had two prior misconduct rulings against him which were both associated with sexually inappropriate behaviour. Of greater concern was the fact that, this officer went on to apply for a role in public protection and these findings were not taken into consideration when he applied for this role. The outcome of the investigation resulted in the officer receiving a prison sentence after being convicted of multiple misconduct offences in public office.</w:t>
      </w:r>
    </w:p>
    <w:p w:rsidR="00887CE7" w:rsidRPr="00756BB4"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Findings from the inquiry made some recommendations, one of those being that the PSD should have held a record of any transgressions involving behaviour of a sexual nature, especially if these findings may be detrimental to an officer applying for other roles within a force.</w:t>
      </w:r>
    </w:p>
    <w:p w:rsidR="00887CE7" w:rsidRPr="00756BB4"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lastRenderedPageBreak/>
        <w:t>This case study acknowledges that this particular PSD did not carry out adequate or successful investigations into the original misconduct findings and failed to monitor this officer’s conduct thereafter. It could be argued that had this officer not applied for a role in public protection and the case referred to the IPCC, his behaviour may have never been reprimanded. This therefore reinforces the importance of external inspectorate bodies holding the police accountable to the public by being able to identify and publish such findings.</w:t>
      </w: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r w:rsidRPr="00756BB4">
        <w:rPr>
          <w:rFonts w:ascii="Arial" w:eastAsia="Times New Roman" w:hAnsi="Arial" w:cs="Arial"/>
          <w:sz w:val="24"/>
          <w:szCs w:val="24"/>
          <w:lang w:eastAsia="en-GB"/>
        </w:rPr>
        <w:t xml:space="preserve">To conclude, the cases mentioned throughout this essay highlight the importance of police forces needing external inspectorate bodies to prevent reoccurring incidents of corruption and malpractice. Evidently, many failings over the years have significantly impacted on holding the police accountable to the public. </w:t>
      </w:r>
    </w:p>
    <w:p w:rsidR="004D4416" w:rsidRDefault="004D4416"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4D4416" w:rsidRDefault="004D4416"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Word count 1166</w:t>
      </w: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887CE7" w:rsidRDefault="00887CE7" w:rsidP="00887CE7">
      <w:pPr>
        <w:overflowPunct w:val="0"/>
        <w:autoSpaceDE w:val="0"/>
        <w:autoSpaceDN w:val="0"/>
        <w:adjustRightInd w:val="0"/>
        <w:spacing w:line="360" w:lineRule="auto"/>
        <w:ind w:left="425"/>
        <w:jc w:val="both"/>
        <w:textAlignment w:val="baseline"/>
        <w:rPr>
          <w:rFonts w:ascii="Arial" w:eastAsia="Times New Roman" w:hAnsi="Arial" w:cs="Arial"/>
          <w:sz w:val="24"/>
          <w:szCs w:val="24"/>
          <w:lang w:eastAsia="en-GB"/>
        </w:rPr>
      </w:pPr>
    </w:p>
    <w:p w:rsidR="004D4416" w:rsidRDefault="004D4416" w:rsidP="004D4416">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p>
    <w:p w:rsidR="0006301F" w:rsidRPr="0006301F" w:rsidRDefault="0006301F" w:rsidP="004D4416">
      <w:pPr>
        <w:overflowPunct w:val="0"/>
        <w:autoSpaceDE w:val="0"/>
        <w:autoSpaceDN w:val="0"/>
        <w:adjustRightInd w:val="0"/>
        <w:spacing w:before="240" w:after="0" w:line="360" w:lineRule="auto"/>
        <w:ind w:left="426"/>
        <w:textAlignment w:val="baseline"/>
        <w:rPr>
          <w:rFonts w:ascii="Arial" w:eastAsia="Times New Roman" w:hAnsi="Arial" w:cs="Arial"/>
          <w:b/>
          <w:sz w:val="24"/>
          <w:szCs w:val="24"/>
          <w:lang w:eastAsia="en-GB"/>
        </w:rPr>
      </w:pPr>
      <w:r w:rsidRPr="0006301F">
        <w:rPr>
          <w:rFonts w:ascii="Arial" w:eastAsia="Times New Roman" w:hAnsi="Arial" w:cs="Arial"/>
          <w:b/>
          <w:sz w:val="24"/>
          <w:szCs w:val="24"/>
          <w:lang w:eastAsia="en-GB"/>
        </w:rPr>
        <w:lastRenderedPageBreak/>
        <w:t xml:space="preserve">Analyse the developing issues of youth gangs, and why people are drawn into becoming part of a gang culture. </w:t>
      </w:r>
    </w:p>
    <w:p w:rsidR="0006301F" w:rsidRPr="0006301F" w:rsidRDefault="0006301F" w:rsidP="0006301F">
      <w:pPr>
        <w:overflowPunct w:val="0"/>
        <w:autoSpaceDE w:val="0"/>
        <w:autoSpaceDN w:val="0"/>
        <w:adjustRightInd w:val="0"/>
        <w:spacing w:before="240" w:after="0" w:line="360" w:lineRule="auto"/>
        <w:ind w:left="426"/>
        <w:textAlignment w:val="baseline"/>
        <w:rPr>
          <w:rFonts w:ascii="Arial" w:eastAsia="Times New Roman" w:hAnsi="Arial" w:cs="Arial"/>
          <w:b/>
          <w:sz w:val="24"/>
          <w:szCs w:val="24"/>
          <w:lang w:eastAsia="en-GB"/>
        </w:rPr>
      </w:pPr>
      <w:r w:rsidRPr="0006301F">
        <w:rPr>
          <w:rFonts w:ascii="Arial" w:eastAsia="Times New Roman" w:hAnsi="Arial" w:cs="Arial"/>
          <w:b/>
          <w:sz w:val="24"/>
          <w:szCs w:val="24"/>
          <w:lang w:eastAsia="en-GB"/>
        </w:rPr>
        <w:t>Consider how gangs target vulnerable people, people at risk of harm and the theories of victimology.</w:t>
      </w:r>
    </w:p>
    <w:p w:rsidR="0006301F" w:rsidRPr="0006301F" w:rsidRDefault="0006301F" w:rsidP="0006301F">
      <w:pPr>
        <w:overflowPunct w:val="0"/>
        <w:autoSpaceDE w:val="0"/>
        <w:autoSpaceDN w:val="0"/>
        <w:adjustRightInd w:val="0"/>
        <w:spacing w:before="240" w:after="240" w:line="360" w:lineRule="auto"/>
        <w:ind w:left="426"/>
        <w:textAlignment w:val="baseline"/>
        <w:rPr>
          <w:rFonts w:ascii="Arial" w:eastAsia="Times New Roman" w:hAnsi="Arial" w:cs="Arial"/>
          <w:sz w:val="24"/>
          <w:szCs w:val="24"/>
          <w:lang w:eastAsia="en-GB"/>
        </w:rPr>
      </w:pPr>
      <w:r w:rsidRPr="0006301F">
        <w:rPr>
          <w:rFonts w:ascii="Arial" w:eastAsia="Times New Roman" w:hAnsi="Arial" w:cs="Arial"/>
          <w:sz w:val="24"/>
          <w:szCs w:val="24"/>
          <w:lang w:eastAsia="en-GB"/>
        </w:rPr>
        <w:t>This essay explores problems surrounding youth gangs and what may draw youths into becoming involved in a gang culture. It will outline the progressing issues in and around youth gangs and culture. It will present ideas surrounding how vulnerable and people at risk of harm are targeted and explore various theories of victimology and how they relate to these issues.</w:t>
      </w:r>
    </w:p>
    <w:p w:rsidR="0006301F" w:rsidRPr="0006301F" w:rsidRDefault="0006301F" w:rsidP="0006301F">
      <w:pPr>
        <w:overflowPunct w:val="0"/>
        <w:autoSpaceDE w:val="0"/>
        <w:autoSpaceDN w:val="0"/>
        <w:adjustRightInd w:val="0"/>
        <w:spacing w:before="240" w:after="240" w:line="360" w:lineRule="auto"/>
        <w:ind w:left="426"/>
        <w:textAlignment w:val="baseline"/>
        <w:rPr>
          <w:rFonts w:ascii="Arial" w:eastAsia="Times New Roman" w:hAnsi="Arial" w:cs="Arial"/>
          <w:sz w:val="24"/>
          <w:szCs w:val="24"/>
          <w:lang w:eastAsia="en-GB"/>
        </w:rPr>
      </w:pPr>
      <w:r w:rsidRPr="0006301F">
        <w:rPr>
          <w:rFonts w:ascii="Arial" w:eastAsia="Times New Roman" w:hAnsi="Arial" w:cs="Arial"/>
          <w:sz w:val="24"/>
          <w:szCs w:val="24"/>
          <w:lang w:eastAsia="en-GB"/>
        </w:rPr>
        <w:t xml:space="preserve">The Office for National Statistics (2018) revealed that 28,296 children between the ages of 10 and 15 who considered themselves to be a part of a ‘street gang.’ These figures relate to the year ending March 2016 to the year ending March 2018. However, this information only represents the children that took part in the survey suggesting there may be a much higher number of young people involved in gangs.  </w:t>
      </w:r>
    </w:p>
    <w:p w:rsidR="0006301F" w:rsidRPr="0006301F" w:rsidRDefault="0006301F" w:rsidP="0006301F">
      <w:pPr>
        <w:overflowPunct w:val="0"/>
        <w:autoSpaceDE w:val="0"/>
        <w:autoSpaceDN w:val="0"/>
        <w:adjustRightInd w:val="0"/>
        <w:spacing w:before="240" w:after="240" w:line="360" w:lineRule="auto"/>
        <w:ind w:left="426"/>
        <w:textAlignment w:val="baseline"/>
        <w:rPr>
          <w:rFonts w:ascii="Arial" w:eastAsia="Times New Roman" w:hAnsi="Arial" w:cs="Arial"/>
          <w:sz w:val="24"/>
          <w:szCs w:val="24"/>
          <w:lang w:eastAsia="en-GB"/>
        </w:rPr>
      </w:pPr>
      <w:proofErr w:type="spellStart"/>
      <w:r w:rsidRPr="0006301F">
        <w:rPr>
          <w:rFonts w:ascii="Arial" w:eastAsia="Times New Roman" w:hAnsi="Arial" w:cs="Arial"/>
          <w:sz w:val="24"/>
          <w:szCs w:val="24"/>
          <w:lang w:eastAsia="en-GB"/>
        </w:rPr>
        <w:t>Hallworth</w:t>
      </w:r>
      <w:proofErr w:type="spellEnd"/>
      <w:r w:rsidRPr="0006301F">
        <w:rPr>
          <w:rFonts w:ascii="Arial" w:eastAsia="Times New Roman" w:hAnsi="Arial" w:cs="Arial"/>
          <w:sz w:val="24"/>
          <w:szCs w:val="24"/>
          <w:lang w:eastAsia="en-GB"/>
        </w:rPr>
        <w:t xml:space="preserve"> and Young 2004, (as cited in Centre of Social Justice 2009, p41) define a gang as: </w:t>
      </w:r>
    </w:p>
    <w:p w:rsidR="0006301F" w:rsidRPr="0006301F" w:rsidRDefault="0006301F" w:rsidP="0006301F">
      <w:pPr>
        <w:overflowPunct w:val="0"/>
        <w:autoSpaceDE w:val="0"/>
        <w:autoSpaceDN w:val="0"/>
        <w:adjustRightInd w:val="0"/>
        <w:spacing w:before="240" w:after="240" w:line="360" w:lineRule="auto"/>
        <w:ind w:left="426"/>
        <w:textAlignment w:val="baseline"/>
        <w:rPr>
          <w:rFonts w:ascii="Arial" w:eastAsia="Times New Roman" w:hAnsi="Arial" w:cs="Arial"/>
          <w:sz w:val="24"/>
          <w:szCs w:val="24"/>
          <w:lang w:eastAsia="en-GB"/>
        </w:rPr>
      </w:pPr>
      <w:r w:rsidRPr="0006301F">
        <w:rPr>
          <w:rFonts w:ascii="Arial" w:eastAsia="Times New Roman" w:hAnsi="Arial" w:cs="Arial"/>
          <w:sz w:val="24"/>
          <w:szCs w:val="24"/>
          <w:lang w:eastAsia="en-GB"/>
        </w:rPr>
        <w:t>“A relatively durable, predominately street-based group of young people who see themselves (and are seen by others) as a discernible group for whom crime and violence is integral to the group’s identity.”</w:t>
      </w:r>
    </w:p>
    <w:p w:rsidR="0006301F" w:rsidRPr="0006301F" w:rsidRDefault="0006301F" w:rsidP="0006301F">
      <w:pPr>
        <w:overflowPunct w:val="0"/>
        <w:autoSpaceDE w:val="0"/>
        <w:autoSpaceDN w:val="0"/>
        <w:adjustRightInd w:val="0"/>
        <w:spacing w:before="240" w:after="240" w:line="360" w:lineRule="auto"/>
        <w:ind w:left="426"/>
        <w:textAlignment w:val="baseline"/>
        <w:rPr>
          <w:rFonts w:ascii="Arial" w:eastAsia="Times New Roman" w:hAnsi="Arial" w:cs="Arial"/>
          <w:sz w:val="24"/>
          <w:szCs w:val="24"/>
          <w:lang w:eastAsia="en-GB"/>
        </w:rPr>
      </w:pPr>
      <w:r w:rsidRPr="0006301F">
        <w:rPr>
          <w:rFonts w:ascii="Arial" w:eastAsia="Times New Roman" w:hAnsi="Arial" w:cs="Arial"/>
          <w:sz w:val="24"/>
          <w:szCs w:val="24"/>
          <w:lang w:eastAsia="en-GB"/>
        </w:rPr>
        <w:t xml:space="preserve">There are a multitude of reasons why children and youths may become part of a gang or become attracted to a gang culture. It is often suggested that those at the most risk of being exploited serious organised crime gangs are vulnerable young people. Though it is widely considered that all children are vulnerable but there are a multitude of problems or issues that could make a child even more susceptible to being drawn into gang culture. </w:t>
      </w:r>
    </w:p>
    <w:p w:rsidR="0006301F" w:rsidRPr="0006301F" w:rsidRDefault="0006301F" w:rsidP="0006301F">
      <w:pPr>
        <w:overflowPunct w:val="0"/>
        <w:autoSpaceDE w:val="0"/>
        <w:autoSpaceDN w:val="0"/>
        <w:adjustRightInd w:val="0"/>
        <w:spacing w:before="240" w:after="240" w:line="360" w:lineRule="auto"/>
        <w:ind w:left="426"/>
        <w:textAlignment w:val="baseline"/>
        <w:rPr>
          <w:rFonts w:ascii="Arial" w:eastAsia="Times New Roman" w:hAnsi="Arial" w:cs="Arial"/>
          <w:sz w:val="24"/>
          <w:szCs w:val="24"/>
          <w:lang w:eastAsia="en-GB"/>
        </w:rPr>
      </w:pPr>
      <w:r w:rsidRPr="0006301F">
        <w:rPr>
          <w:rFonts w:ascii="Arial" w:eastAsia="Times New Roman" w:hAnsi="Arial" w:cs="Arial"/>
          <w:sz w:val="24"/>
          <w:szCs w:val="24"/>
          <w:lang w:eastAsia="en-GB"/>
        </w:rPr>
        <w:t xml:space="preserve">The Children’s Commissioner (2019) published a report that revealed there are certain factors that can make children more vulnerable and more likely to succumb to gang culture. These included children who suffer abuse or neglect or </w:t>
      </w:r>
      <w:r w:rsidRPr="0006301F">
        <w:rPr>
          <w:rFonts w:ascii="Arial" w:eastAsia="Times New Roman" w:hAnsi="Arial" w:cs="Arial"/>
          <w:sz w:val="24"/>
          <w:szCs w:val="24"/>
          <w:lang w:eastAsia="en-GB"/>
        </w:rPr>
        <w:lastRenderedPageBreak/>
        <w:t>do not have their basic care needs met, children that have witnessed domestic violence, family breakdowns and substances misuse in their home or care environments, which in turn impacts on their social and emotional wellbeing. Poor school attendance often becomes an issue for these children as it can lead to behavioural issues and lead to school exclusions. Therefore, it could be considered that children experiencing a range of these factors are more at risk of being exploited by gangs, as they often scout out such vulnerabilities and weaknesses within potential victims.</w:t>
      </w:r>
    </w:p>
    <w:p w:rsidR="0006301F" w:rsidRPr="0006301F" w:rsidRDefault="0006301F" w:rsidP="0006301F">
      <w:pPr>
        <w:overflowPunct w:val="0"/>
        <w:autoSpaceDE w:val="0"/>
        <w:autoSpaceDN w:val="0"/>
        <w:adjustRightInd w:val="0"/>
        <w:spacing w:before="240" w:after="240" w:line="360" w:lineRule="auto"/>
        <w:ind w:left="426"/>
        <w:textAlignment w:val="baseline"/>
        <w:rPr>
          <w:rFonts w:ascii="Arial" w:eastAsia="Times New Roman" w:hAnsi="Arial" w:cs="Arial"/>
          <w:sz w:val="24"/>
          <w:szCs w:val="24"/>
          <w:lang w:eastAsia="en-GB"/>
        </w:rPr>
      </w:pPr>
      <w:r w:rsidRPr="0006301F">
        <w:rPr>
          <w:rFonts w:ascii="Arial" w:eastAsia="Times New Roman" w:hAnsi="Arial" w:cs="Arial"/>
          <w:sz w:val="24"/>
          <w:szCs w:val="24"/>
          <w:lang w:eastAsia="en-GB"/>
        </w:rPr>
        <w:t>Regan (2011) also supports this theory in that it rarely is only one of these aspects being the root cause and quite often these multiple factors working together that will steer children towards gang culture. Furthermore, he goes onto suggest that children who experience family breakdown and chaotic home lives may look for security from gang members or leaders as they do not receive it from their parents. This also links into his theory that the media creates ‘role models’ that youths may relate to and be inspired by. He gives the example of multiple people in the limelight such as sport and pop stars that have escaped from their lives of disadvantage and gone on to live wealthy lifestyles. Some of these stars lived similar childhoods to the youths that idolise them. Regan claims that the rapper ‘</w:t>
      </w:r>
      <w:proofErr w:type="spellStart"/>
      <w:r w:rsidRPr="0006301F">
        <w:rPr>
          <w:rFonts w:ascii="Arial" w:eastAsia="Times New Roman" w:hAnsi="Arial" w:cs="Arial"/>
          <w:sz w:val="24"/>
          <w:szCs w:val="24"/>
          <w:lang w:eastAsia="en-GB"/>
        </w:rPr>
        <w:t>Dizzie</w:t>
      </w:r>
      <w:proofErr w:type="spellEnd"/>
      <w:r w:rsidRPr="0006301F">
        <w:rPr>
          <w:rFonts w:ascii="Arial" w:eastAsia="Times New Roman" w:hAnsi="Arial" w:cs="Arial"/>
          <w:sz w:val="24"/>
          <w:szCs w:val="24"/>
          <w:lang w:eastAsia="en-GB"/>
        </w:rPr>
        <w:t xml:space="preserve"> Rascal’ is a prime example. He was raised in poverty by a single parent, was expelled from multiple schools and fell into a life of crime and violence yet managed to climb to fame and a wealthy lifestyle. This is often why youths can relate and it could potentially give them hope that they too could follow in celebrities’ footsteps and escape their lives of deprivation.</w:t>
      </w:r>
    </w:p>
    <w:p w:rsidR="0006301F" w:rsidRPr="0006301F" w:rsidRDefault="0006301F" w:rsidP="0006301F">
      <w:pPr>
        <w:overflowPunct w:val="0"/>
        <w:autoSpaceDE w:val="0"/>
        <w:autoSpaceDN w:val="0"/>
        <w:adjustRightInd w:val="0"/>
        <w:spacing w:before="240" w:after="240" w:line="360" w:lineRule="auto"/>
        <w:ind w:left="426"/>
        <w:textAlignment w:val="baseline"/>
        <w:rPr>
          <w:rFonts w:ascii="Arial" w:eastAsia="Times New Roman" w:hAnsi="Arial" w:cs="Arial"/>
          <w:sz w:val="24"/>
          <w:szCs w:val="24"/>
          <w:lang w:eastAsia="en-GB"/>
        </w:rPr>
      </w:pPr>
      <w:r w:rsidRPr="0006301F">
        <w:rPr>
          <w:rFonts w:ascii="Arial" w:eastAsia="Times New Roman" w:hAnsi="Arial" w:cs="Arial"/>
          <w:sz w:val="24"/>
          <w:szCs w:val="24"/>
          <w:lang w:eastAsia="en-GB"/>
        </w:rPr>
        <w:t>There are also various theories of victimology that could help us to understand how and why vulnerable persons and those at risk of harm may be drawn into becoming part of a gang. It may not always be a choice and could relate to serious organised crime groups exploiting the vulnerable and at risk.</w:t>
      </w:r>
    </w:p>
    <w:p w:rsidR="0006301F" w:rsidRPr="0006301F" w:rsidRDefault="0006301F" w:rsidP="0006301F">
      <w:pPr>
        <w:overflowPunct w:val="0"/>
        <w:autoSpaceDE w:val="0"/>
        <w:autoSpaceDN w:val="0"/>
        <w:adjustRightInd w:val="0"/>
        <w:spacing w:before="240" w:after="240" w:line="360" w:lineRule="auto"/>
        <w:ind w:left="426"/>
        <w:textAlignment w:val="baseline"/>
        <w:rPr>
          <w:rFonts w:ascii="Arial" w:eastAsia="Times New Roman" w:hAnsi="Arial" w:cs="Arial"/>
          <w:color w:val="000000"/>
          <w:sz w:val="24"/>
          <w:szCs w:val="24"/>
          <w:lang w:val="en" w:eastAsia="en-GB"/>
        </w:rPr>
      </w:pPr>
      <w:r w:rsidRPr="0006301F">
        <w:rPr>
          <w:rFonts w:ascii="Arial" w:eastAsia="Times New Roman" w:hAnsi="Arial" w:cs="Arial"/>
          <w:sz w:val="24"/>
          <w:szCs w:val="24"/>
          <w:lang w:eastAsia="en-GB"/>
        </w:rPr>
        <w:t>One theory that could relate to the ideas considered above is the ‘Lifestyle Exposure Theory.’ As explained by</w:t>
      </w:r>
      <w:r w:rsidRPr="0006301F">
        <w:rPr>
          <w:rFonts w:ascii="Arial" w:eastAsia="Times New Roman" w:hAnsi="Arial" w:cs="Arial"/>
          <w:color w:val="000000"/>
          <w:sz w:val="24"/>
          <w:szCs w:val="24"/>
          <w:lang w:val="en" w:eastAsia="en-GB"/>
        </w:rPr>
        <w:t xml:space="preserve"> Madero-Hernandez (2019), certain people may be at higher risk of exposure to </w:t>
      </w:r>
      <w:proofErr w:type="spellStart"/>
      <w:r w:rsidRPr="0006301F">
        <w:rPr>
          <w:rFonts w:ascii="Arial" w:eastAsia="Times New Roman" w:hAnsi="Arial" w:cs="Arial"/>
          <w:color w:val="000000"/>
          <w:sz w:val="24"/>
          <w:szCs w:val="24"/>
          <w:lang w:val="en" w:eastAsia="en-GB"/>
        </w:rPr>
        <w:t>victimisation</w:t>
      </w:r>
      <w:proofErr w:type="spellEnd"/>
      <w:r w:rsidRPr="0006301F">
        <w:rPr>
          <w:rFonts w:ascii="Arial" w:eastAsia="Times New Roman" w:hAnsi="Arial" w:cs="Arial"/>
          <w:color w:val="000000"/>
          <w:sz w:val="24"/>
          <w:szCs w:val="24"/>
          <w:lang w:val="en" w:eastAsia="en-GB"/>
        </w:rPr>
        <w:t xml:space="preserve"> due to the lifestyles they live. It suggests that different </w:t>
      </w:r>
      <w:proofErr w:type="spellStart"/>
      <w:r w:rsidRPr="0006301F">
        <w:rPr>
          <w:rFonts w:ascii="Arial" w:eastAsia="Times New Roman" w:hAnsi="Arial" w:cs="Arial"/>
          <w:color w:val="000000"/>
          <w:sz w:val="24"/>
          <w:szCs w:val="24"/>
          <w:lang w:val="en" w:eastAsia="en-GB"/>
        </w:rPr>
        <w:t>behaviours</w:t>
      </w:r>
      <w:proofErr w:type="spellEnd"/>
      <w:r w:rsidRPr="0006301F">
        <w:rPr>
          <w:rFonts w:ascii="Arial" w:eastAsia="Times New Roman" w:hAnsi="Arial" w:cs="Arial"/>
          <w:color w:val="000000"/>
          <w:sz w:val="24"/>
          <w:szCs w:val="24"/>
          <w:lang w:val="en" w:eastAsia="en-GB"/>
        </w:rPr>
        <w:t xml:space="preserve"> expose individuals to different circumstances, and such lifestyles can lead individuals to sometimes become more prone to </w:t>
      </w:r>
      <w:r w:rsidRPr="0006301F">
        <w:rPr>
          <w:rFonts w:ascii="Arial" w:eastAsia="Times New Roman" w:hAnsi="Arial" w:cs="Arial"/>
          <w:color w:val="000000"/>
          <w:sz w:val="24"/>
          <w:szCs w:val="24"/>
          <w:lang w:val="en" w:eastAsia="en-GB"/>
        </w:rPr>
        <w:lastRenderedPageBreak/>
        <w:t xml:space="preserve">exposure of criminal situations. For example, a youth living in a deprived, crime ridden community may be exposed to more risks relating to crime and poverty and therefore may be more likely to become a victim than a youth living in a more stable and affluent area. In summary, this theory suggests that violent offending and other types of antisocial activity are signs of a lifestyle that puts people at higher risk of violent </w:t>
      </w:r>
      <w:proofErr w:type="spellStart"/>
      <w:r w:rsidRPr="0006301F">
        <w:rPr>
          <w:rFonts w:ascii="Arial" w:eastAsia="Times New Roman" w:hAnsi="Arial" w:cs="Arial"/>
          <w:color w:val="000000"/>
          <w:sz w:val="24"/>
          <w:szCs w:val="24"/>
          <w:lang w:val="en" w:eastAsia="en-GB"/>
        </w:rPr>
        <w:t>victimisation</w:t>
      </w:r>
      <w:proofErr w:type="spellEnd"/>
      <w:r w:rsidRPr="0006301F">
        <w:rPr>
          <w:rFonts w:ascii="Arial" w:eastAsia="Times New Roman" w:hAnsi="Arial" w:cs="Arial"/>
          <w:color w:val="000000"/>
          <w:sz w:val="24"/>
          <w:szCs w:val="24"/>
          <w:lang w:val="en" w:eastAsia="en-GB"/>
        </w:rPr>
        <w:t>.</w:t>
      </w:r>
    </w:p>
    <w:p w:rsidR="0006301F" w:rsidRPr="0006301F" w:rsidRDefault="0006301F" w:rsidP="0006301F">
      <w:pPr>
        <w:overflowPunct w:val="0"/>
        <w:autoSpaceDE w:val="0"/>
        <w:autoSpaceDN w:val="0"/>
        <w:adjustRightInd w:val="0"/>
        <w:spacing w:before="240" w:after="240" w:line="360" w:lineRule="auto"/>
        <w:ind w:left="425"/>
        <w:textAlignment w:val="baseline"/>
        <w:rPr>
          <w:rFonts w:ascii="Arial" w:eastAsia="Times New Roman" w:hAnsi="Arial" w:cs="Arial"/>
          <w:sz w:val="24"/>
          <w:szCs w:val="24"/>
          <w:lang w:eastAsia="en-GB"/>
        </w:rPr>
      </w:pPr>
      <w:r w:rsidRPr="0006301F">
        <w:rPr>
          <w:rFonts w:ascii="Arial" w:eastAsia="Times New Roman" w:hAnsi="Arial" w:cs="Arial"/>
          <w:sz w:val="24"/>
          <w:szCs w:val="24"/>
          <w:lang w:eastAsia="en-GB"/>
        </w:rPr>
        <w:t>With the developing issue of gang culture also comes violence. A 2011 Government report stated that it is apparent that the probability of serious violence is increased by gang membership. In the same report, Iain Duncan Smith MP highlights the idea that youth violence and gangs are the outcome of social disintegration and disadvantage in the communities in which they exist, but they are also the main driving force of the social disintegration. A culture of violence and offending is built by these gangs which also inhibits those communities from making positive transformations. Consequently, the report identifies that youth and gang violence is not an issue that police can deal with alone, and it requires a holistic approach to provide early interventions and programmes through partnership working, to prevent the onset of this offending behaviour from the start. (HM Government, 2011).</w:t>
      </w:r>
    </w:p>
    <w:p w:rsidR="0006301F" w:rsidRPr="0006301F" w:rsidRDefault="0006301F" w:rsidP="0006301F">
      <w:pPr>
        <w:overflowPunct w:val="0"/>
        <w:autoSpaceDE w:val="0"/>
        <w:autoSpaceDN w:val="0"/>
        <w:adjustRightInd w:val="0"/>
        <w:spacing w:before="240" w:after="240" w:line="360" w:lineRule="auto"/>
        <w:ind w:left="425"/>
        <w:textAlignment w:val="baseline"/>
        <w:rPr>
          <w:rFonts w:ascii="Arial" w:eastAsia="Times New Roman" w:hAnsi="Arial" w:cs="Arial"/>
          <w:sz w:val="24"/>
          <w:szCs w:val="24"/>
          <w:lang w:eastAsia="en-GB"/>
        </w:rPr>
      </w:pPr>
      <w:r w:rsidRPr="0006301F">
        <w:rPr>
          <w:rFonts w:ascii="Arial" w:eastAsia="Times New Roman" w:hAnsi="Arial" w:cs="Arial"/>
          <w:sz w:val="24"/>
          <w:szCs w:val="24"/>
          <w:lang w:eastAsia="en-GB"/>
        </w:rPr>
        <w:t>In summary, evidence clearly shows that children are more likely to fall victim to gangs and gang culture due to the number of their personal vulnerabilities that are more often than not related to the disadvantages they face due to living in low socio-economic areas. This concept is also reinforced by the ‘Lifestyle Exposure Theory.’ Although this is some strong evidence to suggest some of the reasons why youths are drawn into gang culture, I believe that they only part of a much wider problem that will continue to cause community issues for years to come. Finally, it has outlined that managing these issues is not a role for law enforcement alone and that it requires a multi-agency approach of early intervention programmes in order to try and slow the onset of youth offending.</w:t>
      </w:r>
    </w:p>
    <w:p w:rsidR="00E677CD" w:rsidRDefault="00E677CD" w:rsidP="00E677CD">
      <w:pPr>
        <w:overflowPunct w:val="0"/>
        <w:autoSpaceDE w:val="0"/>
        <w:autoSpaceDN w:val="0"/>
        <w:adjustRightInd w:val="0"/>
        <w:spacing w:before="240" w:after="0" w:line="360" w:lineRule="auto"/>
        <w:ind w:left="425"/>
        <w:jc w:val="both"/>
        <w:textAlignment w:val="baseline"/>
        <w:rPr>
          <w:rFonts w:ascii="Arial" w:eastAsia="Times New Roman" w:hAnsi="Arial" w:cs="Arial"/>
          <w:color w:val="000000" w:themeColor="text1"/>
          <w:sz w:val="24"/>
          <w:szCs w:val="24"/>
          <w:lang w:eastAsia="en-GB"/>
        </w:rPr>
      </w:pPr>
    </w:p>
    <w:p w:rsidR="00887CE7" w:rsidRDefault="00E677CD" w:rsidP="00E677CD">
      <w:pPr>
        <w:overflowPunct w:val="0"/>
        <w:autoSpaceDE w:val="0"/>
        <w:autoSpaceDN w:val="0"/>
        <w:adjustRightInd w:val="0"/>
        <w:spacing w:before="240" w:after="0" w:line="360" w:lineRule="auto"/>
        <w:ind w:left="425"/>
        <w:jc w:val="both"/>
        <w:textAlignment w:val="baseline"/>
        <w:rPr>
          <w:rFonts w:ascii="Arial" w:eastAsia="Times New Roman" w:hAnsi="Arial" w:cs="Arial"/>
          <w:color w:val="000000" w:themeColor="text1"/>
          <w:sz w:val="24"/>
          <w:szCs w:val="24"/>
          <w:lang w:eastAsia="en-GB"/>
        </w:rPr>
      </w:pPr>
      <w:r w:rsidRPr="00E677CD">
        <w:rPr>
          <w:rFonts w:ascii="Arial" w:eastAsia="Times New Roman" w:hAnsi="Arial" w:cs="Arial"/>
          <w:color w:val="000000" w:themeColor="text1"/>
          <w:sz w:val="24"/>
          <w:szCs w:val="24"/>
          <w:lang w:eastAsia="en-GB"/>
        </w:rPr>
        <w:t>Word count 1051</w:t>
      </w:r>
    </w:p>
    <w:p w:rsidR="00E677CD" w:rsidRDefault="00E677CD" w:rsidP="00E677CD">
      <w:pPr>
        <w:overflowPunct w:val="0"/>
        <w:autoSpaceDE w:val="0"/>
        <w:autoSpaceDN w:val="0"/>
        <w:adjustRightInd w:val="0"/>
        <w:spacing w:before="240" w:after="0" w:line="360" w:lineRule="auto"/>
        <w:ind w:left="425"/>
        <w:jc w:val="both"/>
        <w:textAlignment w:val="baseline"/>
        <w:rPr>
          <w:rFonts w:ascii="Arial" w:eastAsia="Times New Roman" w:hAnsi="Arial" w:cs="Arial"/>
          <w:color w:val="000000" w:themeColor="text1"/>
          <w:sz w:val="24"/>
          <w:szCs w:val="24"/>
          <w:lang w:eastAsia="en-GB"/>
        </w:rPr>
      </w:pPr>
    </w:p>
    <w:p w:rsidR="00E677CD" w:rsidRPr="00E677CD" w:rsidRDefault="00E677CD" w:rsidP="00E677CD">
      <w:pPr>
        <w:overflowPunct w:val="0"/>
        <w:autoSpaceDE w:val="0"/>
        <w:autoSpaceDN w:val="0"/>
        <w:adjustRightInd w:val="0"/>
        <w:spacing w:before="240" w:after="0" w:line="360" w:lineRule="auto"/>
        <w:ind w:left="360"/>
        <w:textAlignment w:val="baseline"/>
        <w:rPr>
          <w:rFonts w:ascii="Arial" w:eastAsia="Times New Roman" w:hAnsi="Arial" w:cs="Arial"/>
          <w:b/>
          <w:sz w:val="24"/>
          <w:szCs w:val="24"/>
          <w:lang w:eastAsia="en-GB"/>
        </w:rPr>
      </w:pPr>
      <w:r w:rsidRPr="00716161">
        <w:rPr>
          <w:rFonts w:ascii="Arial" w:eastAsia="Times New Roman" w:hAnsi="Arial" w:cs="Arial"/>
          <w:b/>
          <w:sz w:val="24"/>
          <w:szCs w:val="24"/>
          <w:lang w:eastAsia="en-GB"/>
        </w:rPr>
        <w:lastRenderedPageBreak/>
        <w:t>Critically evaluate the impact upon policing of differing values, ethics and norms within diverse communities and the importance of effective communication when working within these communities.</w:t>
      </w: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sidRPr="005B6335">
        <w:rPr>
          <w:rFonts w:ascii="Arial" w:eastAsia="Times New Roman" w:hAnsi="Arial" w:cs="Arial"/>
          <w:sz w:val="24"/>
          <w:szCs w:val="24"/>
          <w:lang w:eastAsia="en-GB"/>
        </w:rPr>
        <w:t>The communities that police serve can be very diverse and full of varying beliefs, cultures, religions, norms, and values. This could result in different expectations from members of a community.</w:t>
      </w: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w:t>
      </w:r>
      <w:r w:rsidRPr="005B6335">
        <w:rPr>
          <w:rFonts w:ascii="Arial" w:eastAsia="Times New Roman" w:hAnsi="Arial" w:cs="Arial"/>
          <w:sz w:val="24"/>
          <w:szCs w:val="24"/>
          <w:lang w:eastAsia="en-GB"/>
        </w:rPr>
        <w:t xml:space="preserve">hen policing these communities, it is important for police to take into consideration how their behaviours, actions and attitudes can impact on varying aspects. </w:t>
      </w:r>
      <w:r>
        <w:rPr>
          <w:rFonts w:ascii="Arial" w:eastAsia="Times New Roman" w:hAnsi="Arial" w:cs="Arial"/>
          <w:sz w:val="24"/>
          <w:szCs w:val="24"/>
          <w:lang w:eastAsia="en-GB"/>
        </w:rPr>
        <w:t>A</w:t>
      </w:r>
      <w:r w:rsidRPr="005B6335">
        <w:rPr>
          <w:rFonts w:ascii="Arial" w:eastAsia="Times New Roman" w:hAnsi="Arial" w:cs="Arial"/>
          <w:sz w:val="24"/>
          <w:szCs w:val="24"/>
          <w:lang w:eastAsia="en-GB"/>
        </w:rPr>
        <w:t>n awareness and understanding of this can help build strong relationships with the community and enable them to police in an ethical manner.</w:t>
      </w: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w:t>
      </w:r>
      <w:r w:rsidRPr="005B6335">
        <w:rPr>
          <w:rFonts w:ascii="Arial" w:eastAsia="Times New Roman" w:hAnsi="Arial" w:cs="Arial"/>
          <w:sz w:val="24"/>
          <w:szCs w:val="24"/>
          <w:lang w:eastAsia="en-GB"/>
        </w:rPr>
        <w:t>ublic confidence in the police has always been a significant factor in policing communities as encourages and helps maintain community engagement.</w:t>
      </w:r>
      <w:r w:rsidRPr="005B6335">
        <w:rPr>
          <w:rFonts w:ascii="Arial" w:hAnsi="Arial" w:cs="Arial"/>
          <w:sz w:val="24"/>
          <w:szCs w:val="24"/>
        </w:rPr>
        <w:t xml:space="preserve"> Policing by consent is a theory that originates from the </w:t>
      </w:r>
      <w:proofErr w:type="spellStart"/>
      <w:r w:rsidRPr="005B6335">
        <w:rPr>
          <w:rFonts w:ascii="Arial" w:hAnsi="Arial" w:cs="Arial"/>
          <w:sz w:val="24"/>
          <w:szCs w:val="24"/>
        </w:rPr>
        <w:t>Peelian</w:t>
      </w:r>
      <w:proofErr w:type="spellEnd"/>
      <w:r w:rsidRPr="005B6335">
        <w:rPr>
          <w:rFonts w:ascii="Arial" w:hAnsi="Arial" w:cs="Arial"/>
          <w:sz w:val="24"/>
          <w:szCs w:val="24"/>
        </w:rPr>
        <w:t xml:space="preserve"> principles. </w:t>
      </w:r>
      <w:r w:rsidRPr="005B6335">
        <w:rPr>
          <w:rFonts w:ascii="Arial" w:eastAsia="Times New Roman" w:hAnsi="Arial" w:cs="Arial"/>
          <w:sz w:val="24"/>
          <w:szCs w:val="24"/>
          <w:lang w:eastAsia="en-GB"/>
        </w:rPr>
        <w:t xml:space="preserve">As highlighted by </w:t>
      </w:r>
      <w:proofErr w:type="spellStart"/>
      <w:r w:rsidRPr="005B6335">
        <w:rPr>
          <w:rFonts w:ascii="Arial" w:eastAsia="Times New Roman" w:hAnsi="Arial" w:cs="Arial"/>
          <w:sz w:val="24"/>
          <w:szCs w:val="24"/>
          <w:lang w:eastAsia="en-GB"/>
        </w:rPr>
        <w:t>Unmesh</w:t>
      </w:r>
      <w:proofErr w:type="spellEnd"/>
      <w:r w:rsidRPr="005B6335">
        <w:rPr>
          <w:rFonts w:ascii="Arial" w:eastAsia="Times New Roman" w:hAnsi="Arial" w:cs="Arial"/>
          <w:sz w:val="24"/>
          <w:szCs w:val="24"/>
          <w:lang w:eastAsia="en-GB"/>
        </w:rPr>
        <w:t xml:space="preserve"> Desai AM (2020), ‘policing by consent’ is the deep rooted concept for successful policing.</w:t>
      </w:r>
      <w:r w:rsidRPr="005B6335">
        <w:rPr>
          <w:rFonts w:ascii="Arial" w:hAnsi="Arial" w:cs="Arial"/>
          <w:sz w:val="24"/>
          <w:szCs w:val="24"/>
        </w:rPr>
        <w:t xml:space="preserve"> It suggests that without the public's trust, confidence and support in the police</w:t>
      </w:r>
      <w:r>
        <w:rPr>
          <w:rFonts w:ascii="Arial" w:hAnsi="Arial" w:cs="Arial"/>
          <w:sz w:val="24"/>
          <w:szCs w:val="24"/>
        </w:rPr>
        <w:t xml:space="preserve"> -</w:t>
      </w:r>
      <w:r w:rsidRPr="005B6335">
        <w:rPr>
          <w:rFonts w:ascii="Arial" w:hAnsi="Arial" w:cs="Arial"/>
          <w:sz w:val="24"/>
          <w:szCs w:val="24"/>
        </w:rPr>
        <w:t xml:space="preserve"> the police wi</w:t>
      </w:r>
      <w:r>
        <w:rPr>
          <w:rFonts w:ascii="Arial" w:hAnsi="Arial" w:cs="Arial"/>
          <w:sz w:val="24"/>
          <w:szCs w:val="24"/>
        </w:rPr>
        <w:t>ll</w:t>
      </w:r>
      <w:r w:rsidRPr="005B6335">
        <w:rPr>
          <w:rFonts w:ascii="Arial" w:hAnsi="Arial" w:cs="Arial"/>
          <w:sz w:val="24"/>
          <w:szCs w:val="24"/>
        </w:rPr>
        <w:t xml:space="preserve"> be unable to carry out their duties</w:t>
      </w:r>
      <w:r>
        <w:rPr>
          <w:rFonts w:ascii="Arial" w:hAnsi="Arial" w:cs="Arial"/>
          <w:sz w:val="24"/>
          <w:szCs w:val="24"/>
        </w:rPr>
        <w:t xml:space="preserve"> -</w:t>
      </w:r>
      <w:r w:rsidRPr="005B6335">
        <w:rPr>
          <w:rFonts w:ascii="Arial" w:hAnsi="Arial" w:cs="Arial"/>
          <w:sz w:val="24"/>
          <w:szCs w:val="24"/>
        </w:rPr>
        <w:t xml:space="preserve"> in line with this concept. </w:t>
      </w:r>
      <w:r w:rsidRPr="005B6335">
        <w:rPr>
          <w:rFonts w:ascii="Arial" w:eastAsia="Times New Roman" w:hAnsi="Arial" w:cs="Arial"/>
          <w:sz w:val="24"/>
          <w:szCs w:val="24"/>
          <w:lang w:eastAsia="en-GB"/>
        </w:rPr>
        <w:t xml:space="preserve">If the police are unable to satisfy the needs and expectations of the communities they </w:t>
      </w:r>
      <w:r>
        <w:rPr>
          <w:rFonts w:ascii="Arial" w:eastAsia="Times New Roman" w:hAnsi="Arial" w:cs="Arial"/>
          <w:sz w:val="24"/>
          <w:szCs w:val="24"/>
          <w:lang w:eastAsia="en-GB"/>
        </w:rPr>
        <w:t>work amongst</w:t>
      </w:r>
      <w:r w:rsidRPr="005B6335">
        <w:rPr>
          <w:rFonts w:ascii="Arial" w:eastAsia="Times New Roman" w:hAnsi="Arial" w:cs="Arial"/>
          <w:sz w:val="24"/>
          <w:szCs w:val="24"/>
          <w:lang w:eastAsia="en-GB"/>
        </w:rPr>
        <w:t>, then public trust and confidence in the police will be compromised. Therefore, as emphasised by the Police Federation (2017)</w:t>
      </w:r>
      <w:r>
        <w:rPr>
          <w:rFonts w:ascii="Arial" w:eastAsia="Times New Roman" w:hAnsi="Arial" w:cs="Arial"/>
          <w:sz w:val="24"/>
          <w:szCs w:val="24"/>
          <w:lang w:eastAsia="en-GB"/>
        </w:rPr>
        <w:t>,</w:t>
      </w:r>
      <w:r w:rsidRPr="005B6335">
        <w:rPr>
          <w:rFonts w:ascii="Arial" w:eastAsia="Times New Roman" w:hAnsi="Arial" w:cs="Arial"/>
          <w:sz w:val="24"/>
          <w:szCs w:val="24"/>
          <w:lang w:eastAsia="en-GB"/>
        </w:rPr>
        <w:t xml:space="preserve"> it is important that the police adhere to the ‘Code of Ethics’</w:t>
      </w:r>
      <w:r>
        <w:rPr>
          <w:rFonts w:ascii="Arial" w:eastAsia="Times New Roman" w:hAnsi="Arial" w:cs="Arial"/>
          <w:sz w:val="24"/>
          <w:szCs w:val="24"/>
          <w:lang w:eastAsia="en-GB"/>
        </w:rPr>
        <w:t>,</w:t>
      </w:r>
      <w:r w:rsidRPr="005B6335">
        <w:rPr>
          <w:rFonts w:ascii="Arial" w:eastAsia="Times New Roman" w:hAnsi="Arial" w:cs="Arial"/>
          <w:sz w:val="24"/>
          <w:szCs w:val="24"/>
          <w:lang w:eastAsia="en-GB"/>
        </w:rPr>
        <w:t xml:space="preserve"> which outlines the principles and standards of behaviour that can be expected </w:t>
      </w:r>
      <w:r>
        <w:rPr>
          <w:rFonts w:ascii="Arial" w:eastAsia="Times New Roman" w:hAnsi="Arial" w:cs="Arial"/>
          <w:sz w:val="24"/>
          <w:szCs w:val="24"/>
          <w:lang w:eastAsia="en-GB"/>
        </w:rPr>
        <w:t xml:space="preserve">by </w:t>
      </w:r>
      <w:r w:rsidRPr="005B6335">
        <w:rPr>
          <w:rFonts w:ascii="Arial" w:eastAsia="Times New Roman" w:hAnsi="Arial" w:cs="Arial"/>
          <w:sz w:val="24"/>
          <w:szCs w:val="24"/>
          <w:lang w:eastAsia="en-GB"/>
        </w:rPr>
        <w:t>the communities they serve.</w:t>
      </w: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sidRPr="005B6335">
        <w:rPr>
          <w:rFonts w:ascii="Arial" w:eastAsia="Times New Roman" w:hAnsi="Arial" w:cs="Arial"/>
          <w:sz w:val="24"/>
          <w:szCs w:val="24"/>
          <w:lang w:eastAsia="en-GB"/>
        </w:rPr>
        <w:t xml:space="preserve">The Code of </w:t>
      </w:r>
      <w:r>
        <w:rPr>
          <w:rFonts w:ascii="Arial" w:eastAsia="Times New Roman" w:hAnsi="Arial" w:cs="Arial"/>
          <w:sz w:val="24"/>
          <w:szCs w:val="24"/>
          <w:lang w:eastAsia="en-GB"/>
        </w:rPr>
        <w:t>E</w:t>
      </w:r>
      <w:r w:rsidRPr="005B6335">
        <w:rPr>
          <w:rFonts w:ascii="Arial" w:eastAsia="Times New Roman" w:hAnsi="Arial" w:cs="Arial"/>
          <w:sz w:val="24"/>
          <w:szCs w:val="24"/>
          <w:lang w:eastAsia="en-GB"/>
        </w:rPr>
        <w:t xml:space="preserve">thics is at the heart of policing. Considering and respecting varying moral values, beliefs and standards within diverse communities is essential to policing in order to maintain public confidence. This is why it is important for officers to remember that the Code of Ethics sits in the heart of all policing. </w:t>
      </w: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sidRPr="005B6335">
        <w:rPr>
          <w:rFonts w:ascii="Arial" w:eastAsia="Times New Roman" w:hAnsi="Arial" w:cs="Arial"/>
          <w:sz w:val="24"/>
          <w:szCs w:val="24"/>
          <w:lang w:eastAsia="en-GB"/>
        </w:rPr>
        <w:t>As identified by Bryant and Bryant (2019), police need to be able to communicate effectively with the communities they serve</w:t>
      </w:r>
      <w:r>
        <w:rPr>
          <w:rFonts w:ascii="Arial" w:eastAsia="Times New Roman" w:hAnsi="Arial" w:cs="Arial"/>
          <w:sz w:val="24"/>
          <w:szCs w:val="24"/>
          <w:lang w:eastAsia="en-GB"/>
        </w:rPr>
        <w:t>,</w:t>
      </w:r>
      <w:r w:rsidRPr="005B6335">
        <w:rPr>
          <w:rFonts w:ascii="Arial" w:eastAsia="Times New Roman" w:hAnsi="Arial" w:cs="Arial"/>
          <w:sz w:val="24"/>
          <w:szCs w:val="24"/>
          <w:lang w:eastAsia="en-GB"/>
        </w:rPr>
        <w:t xml:space="preserve"> in order to understand their differing needs and expectations. </w:t>
      </w:r>
      <w:r>
        <w:rPr>
          <w:rFonts w:ascii="Arial" w:eastAsia="Times New Roman" w:hAnsi="Arial" w:cs="Arial"/>
          <w:sz w:val="24"/>
          <w:szCs w:val="24"/>
          <w:lang w:eastAsia="en-GB"/>
        </w:rPr>
        <w:t>T</w:t>
      </w:r>
      <w:r w:rsidRPr="005B6335">
        <w:rPr>
          <w:rFonts w:ascii="Arial" w:eastAsia="Times New Roman" w:hAnsi="Arial" w:cs="Arial"/>
          <w:sz w:val="24"/>
          <w:szCs w:val="24"/>
          <w:lang w:eastAsia="en-GB"/>
        </w:rPr>
        <w:t xml:space="preserve">his can sometimes become a challenge for police due to how diverse our communities have become and the many languages that may be used by the members within them. This can often be a cause of multiple </w:t>
      </w:r>
      <w:r w:rsidRPr="005B6335">
        <w:rPr>
          <w:rFonts w:ascii="Arial" w:eastAsia="Times New Roman" w:hAnsi="Arial" w:cs="Arial"/>
          <w:sz w:val="24"/>
          <w:szCs w:val="24"/>
          <w:lang w:eastAsia="en-GB"/>
        </w:rPr>
        <w:lastRenderedPageBreak/>
        <w:t xml:space="preserve">barriers to communication and can lead to misunderstandings, misinterpretations and negative experiences between police and communities. </w:t>
      </w:r>
      <w:r w:rsidRPr="005B6335">
        <w:rPr>
          <w:rFonts w:ascii="Arial" w:hAnsi="Arial" w:cs="Arial"/>
          <w:sz w:val="24"/>
          <w:szCs w:val="24"/>
          <w:lang w:val="en"/>
        </w:rPr>
        <w:t xml:space="preserve"> </w:t>
      </w: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sidRPr="005B6335">
        <w:rPr>
          <w:rFonts w:ascii="Arial" w:eastAsia="Times New Roman" w:hAnsi="Arial" w:cs="Arial"/>
          <w:sz w:val="24"/>
          <w:szCs w:val="24"/>
          <w:lang w:eastAsia="en-GB"/>
        </w:rPr>
        <w:t>Consequently, it is essential for police to overcome and find ways around barriers of communication in order for them to gain a better understanding of what the communities needs are and even better understand their beliefs and values.</w:t>
      </w: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sidRPr="005B6335">
        <w:rPr>
          <w:rFonts w:ascii="Arial" w:eastAsia="Times New Roman" w:hAnsi="Arial" w:cs="Arial"/>
          <w:sz w:val="24"/>
          <w:szCs w:val="24"/>
          <w:lang w:eastAsia="en-GB"/>
        </w:rPr>
        <w:t xml:space="preserve">However, according to Professor Albert </w:t>
      </w:r>
      <w:proofErr w:type="spellStart"/>
      <w:r w:rsidRPr="005B6335">
        <w:rPr>
          <w:rFonts w:ascii="Arial" w:eastAsia="Times New Roman" w:hAnsi="Arial" w:cs="Arial"/>
          <w:sz w:val="24"/>
          <w:szCs w:val="24"/>
          <w:lang w:eastAsia="en-GB"/>
        </w:rPr>
        <w:t>Mehribian</w:t>
      </w:r>
      <w:proofErr w:type="spellEnd"/>
      <w:r w:rsidRPr="005B6335">
        <w:rPr>
          <w:rFonts w:ascii="Arial" w:eastAsia="Times New Roman" w:hAnsi="Arial" w:cs="Arial"/>
          <w:sz w:val="24"/>
          <w:szCs w:val="24"/>
          <w:lang w:eastAsia="en-GB"/>
        </w:rPr>
        <w:t xml:space="preserve"> (1968), more than half our communication is based on body language alone</w:t>
      </w:r>
      <w:r>
        <w:rPr>
          <w:rFonts w:ascii="Arial" w:eastAsia="Times New Roman" w:hAnsi="Arial" w:cs="Arial"/>
          <w:sz w:val="24"/>
          <w:szCs w:val="24"/>
          <w:lang w:eastAsia="en-GB"/>
        </w:rPr>
        <w:t>,</w:t>
      </w:r>
      <w:r w:rsidRPr="005B6335">
        <w:rPr>
          <w:rFonts w:ascii="Arial" w:eastAsia="Times New Roman" w:hAnsi="Arial" w:cs="Arial"/>
          <w:sz w:val="24"/>
          <w:szCs w:val="24"/>
          <w:lang w:eastAsia="en-GB"/>
        </w:rPr>
        <w:t xml:space="preserve"> and not the words or the way in which the words are spoken. His study in 1967 concluded that only </w:t>
      </w:r>
      <w:r>
        <w:rPr>
          <w:rFonts w:ascii="Arial" w:eastAsia="Times New Roman" w:hAnsi="Arial" w:cs="Arial"/>
          <w:sz w:val="24"/>
          <w:szCs w:val="24"/>
          <w:lang w:eastAsia="en-GB"/>
        </w:rPr>
        <w:t xml:space="preserve">7% </w:t>
      </w:r>
      <w:r w:rsidRPr="005B6335">
        <w:rPr>
          <w:rFonts w:ascii="Arial" w:eastAsia="Times New Roman" w:hAnsi="Arial" w:cs="Arial"/>
          <w:sz w:val="24"/>
          <w:szCs w:val="24"/>
          <w:lang w:eastAsia="en-GB"/>
        </w:rPr>
        <w:t>of communication was based on the actual words spoken</w:t>
      </w:r>
      <w:r>
        <w:rPr>
          <w:rFonts w:ascii="Arial" w:eastAsia="Times New Roman" w:hAnsi="Arial" w:cs="Arial"/>
          <w:sz w:val="24"/>
          <w:szCs w:val="24"/>
          <w:lang w:eastAsia="en-GB"/>
        </w:rPr>
        <w:t>; 38%</w:t>
      </w:r>
      <w:r w:rsidRPr="005B6335">
        <w:rPr>
          <w:rFonts w:ascii="Arial" w:eastAsia="Times New Roman" w:hAnsi="Arial" w:cs="Arial"/>
          <w:sz w:val="24"/>
          <w:szCs w:val="24"/>
          <w:lang w:eastAsia="en-GB"/>
        </w:rPr>
        <w:t xml:space="preserve"> is based on the tone in which words are spoken</w:t>
      </w:r>
      <w:r>
        <w:rPr>
          <w:rFonts w:ascii="Arial" w:eastAsia="Times New Roman" w:hAnsi="Arial" w:cs="Arial"/>
          <w:sz w:val="24"/>
          <w:szCs w:val="24"/>
          <w:lang w:eastAsia="en-GB"/>
        </w:rPr>
        <w:t>;</w:t>
      </w:r>
      <w:r w:rsidRPr="005B6335">
        <w:rPr>
          <w:rFonts w:ascii="Arial" w:eastAsia="Times New Roman" w:hAnsi="Arial" w:cs="Arial"/>
          <w:sz w:val="24"/>
          <w:szCs w:val="24"/>
          <w:lang w:eastAsia="en-GB"/>
        </w:rPr>
        <w:t xml:space="preserve"> </w:t>
      </w:r>
      <w:r>
        <w:rPr>
          <w:rFonts w:ascii="Arial" w:eastAsia="Times New Roman" w:hAnsi="Arial" w:cs="Arial"/>
          <w:sz w:val="24"/>
          <w:szCs w:val="24"/>
          <w:lang w:eastAsia="en-GB"/>
        </w:rPr>
        <w:t>55%</w:t>
      </w:r>
      <w:r w:rsidRPr="005B6335">
        <w:rPr>
          <w:rFonts w:ascii="Arial" w:eastAsia="Times New Roman" w:hAnsi="Arial" w:cs="Arial"/>
          <w:sz w:val="24"/>
          <w:szCs w:val="24"/>
          <w:lang w:eastAsia="en-GB"/>
        </w:rPr>
        <w:t xml:space="preserve"> is based on facial expressions. If this theory is to be correct then it could suggest that people who do not speak English may actually be able to understand more than we realise</w:t>
      </w:r>
      <w:r>
        <w:rPr>
          <w:rFonts w:ascii="Arial" w:eastAsia="Times New Roman" w:hAnsi="Arial" w:cs="Arial"/>
          <w:sz w:val="24"/>
          <w:szCs w:val="24"/>
          <w:lang w:eastAsia="en-GB"/>
        </w:rPr>
        <w:t xml:space="preserve"> via non-verbal conveyance,</w:t>
      </w:r>
      <w:r w:rsidRPr="005B6335">
        <w:rPr>
          <w:rFonts w:ascii="Arial" w:eastAsia="Times New Roman" w:hAnsi="Arial" w:cs="Arial"/>
          <w:sz w:val="24"/>
          <w:szCs w:val="24"/>
          <w:lang w:eastAsia="en-GB"/>
        </w:rPr>
        <w:t xml:space="preserve"> even though we are not speaking the same language as them.</w:t>
      </w:r>
      <w:r>
        <w:rPr>
          <w:rFonts w:ascii="Arial" w:eastAsia="Times New Roman" w:hAnsi="Arial" w:cs="Arial"/>
          <w:sz w:val="24"/>
          <w:szCs w:val="24"/>
          <w:lang w:eastAsia="en-GB"/>
        </w:rPr>
        <w:t xml:space="preserve"> A person’s intention - whether it is welcoming, invites trust or aggression, can be demonstrated without words - and is interpreted by the receiver depending on internal values, beliefs and previous experiences. </w:t>
      </w: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w:t>
      </w:r>
      <w:r w:rsidRPr="005B6335">
        <w:rPr>
          <w:rFonts w:ascii="Arial" w:eastAsia="Times New Roman" w:hAnsi="Arial" w:cs="Arial"/>
          <w:sz w:val="24"/>
          <w:szCs w:val="24"/>
          <w:lang w:eastAsia="en-GB"/>
        </w:rPr>
        <w:t>ome cultures may find certain body language rude or offensive</w:t>
      </w:r>
      <w:r>
        <w:rPr>
          <w:rFonts w:ascii="Arial" w:eastAsia="Times New Roman" w:hAnsi="Arial" w:cs="Arial"/>
          <w:sz w:val="24"/>
          <w:szCs w:val="24"/>
          <w:lang w:eastAsia="en-GB"/>
        </w:rPr>
        <w:t>,</w:t>
      </w:r>
      <w:r w:rsidRPr="005B6335">
        <w:rPr>
          <w:rFonts w:ascii="Arial" w:eastAsia="Times New Roman" w:hAnsi="Arial" w:cs="Arial"/>
          <w:sz w:val="24"/>
          <w:szCs w:val="24"/>
          <w:lang w:eastAsia="en-GB"/>
        </w:rPr>
        <w:t xml:space="preserve"> and it may be even more important for officers to consider their body language when engaging with </w:t>
      </w:r>
      <w:r>
        <w:rPr>
          <w:rFonts w:ascii="Arial" w:eastAsia="Times New Roman" w:hAnsi="Arial" w:cs="Arial"/>
          <w:sz w:val="24"/>
          <w:szCs w:val="24"/>
          <w:lang w:eastAsia="en-GB"/>
        </w:rPr>
        <w:t>individuals</w:t>
      </w:r>
      <w:r w:rsidRPr="005B6335">
        <w:rPr>
          <w:rFonts w:ascii="Arial" w:eastAsia="Times New Roman" w:hAnsi="Arial" w:cs="Arial"/>
          <w:sz w:val="24"/>
          <w:szCs w:val="24"/>
          <w:lang w:eastAsia="en-GB"/>
        </w:rPr>
        <w:t xml:space="preserve">. For example, as stated by Willington (2012), </w:t>
      </w:r>
      <w:r>
        <w:rPr>
          <w:rFonts w:ascii="Arial" w:eastAsia="Times New Roman" w:hAnsi="Arial" w:cs="Arial"/>
          <w:sz w:val="24"/>
          <w:szCs w:val="24"/>
          <w:lang w:eastAsia="en-GB"/>
        </w:rPr>
        <w:t>W</w:t>
      </w:r>
      <w:r w:rsidRPr="005B6335">
        <w:rPr>
          <w:rFonts w:ascii="Arial" w:eastAsia="Times New Roman" w:hAnsi="Arial" w:cs="Arial"/>
          <w:sz w:val="24"/>
          <w:szCs w:val="24"/>
          <w:lang w:eastAsia="en-GB"/>
        </w:rPr>
        <w:t xml:space="preserve">estern culture </w:t>
      </w:r>
      <w:r>
        <w:rPr>
          <w:rFonts w:ascii="Arial" w:eastAsia="Times New Roman" w:hAnsi="Arial" w:cs="Arial"/>
          <w:sz w:val="24"/>
          <w:szCs w:val="24"/>
          <w:lang w:eastAsia="en-GB"/>
        </w:rPr>
        <w:t xml:space="preserve">encourages </w:t>
      </w:r>
      <w:r w:rsidRPr="005B6335">
        <w:rPr>
          <w:rFonts w:ascii="Arial" w:eastAsia="Times New Roman" w:hAnsi="Arial" w:cs="Arial"/>
          <w:sz w:val="24"/>
          <w:szCs w:val="24"/>
          <w:lang w:eastAsia="en-GB"/>
        </w:rPr>
        <w:t>eye contact with those that we are speaking to</w:t>
      </w:r>
      <w:r>
        <w:rPr>
          <w:rFonts w:ascii="Arial" w:eastAsia="Times New Roman" w:hAnsi="Arial" w:cs="Arial"/>
          <w:sz w:val="24"/>
          <w:szCs w:val="24"/>
          <w:lang w:eastAsia="en-GB"/>
        </w:rPr>
        <w:t>,</w:t>
      </w:r>
      <w:r w:rsidRPr="005B6335">
        <w:rPr>
          <w:rFonts w:ascii="Arial" w:eastAsia="Times New Roman" w:hAnsi="Arial" w:cs="Arial"/>
          <w:sz w:val="24"/>
          <w:szCs w:val="24"/>
          <w:lang w:eastAsia="en-GB"/>
        </w:rPr>
        <w:t xml:space="preserve"> in order to show them that we are paying attention and intending to engage with them. However, some Asian, Middle Eastern and Hispanic cultures perceive eye contact to be a sign of disrespect or intimidation.</w:t>
      </w:r>
      <w:r>
        <w:rPr>
          <w:rFonts w:ascii="Arial" w:eastAsia="Times New Roman" w:hAnsi="Arial" w:cs="Arial"/>
          <w:sz w:val="24"/>
          <w:szCs w:val="24"/>
          <w:lang w:eastAsia="en-GB"/>
        </w:rPr>
        <w:t xml:space="preserve"> </w:t>
      </w:r>
      <w:r w:rsidRPr="005B6335">
        <w:rPr>
          <w:rFonts w:ascii="Arial" w:eastAsia="Times New Roman" w:hAnsi="Arial" w:cs="Arial"/>
          <w:sz w:val="24"/>
          <w:szCs w:val="24"/>
          <w:lang w:eastAsia="en-GB"/>
        </w:rPr>
        <w:t>Thi</w:t>
      </w:r>
      <w:r>
        <w:rPr>
          <w:rFonts w:ascii="Arial" w:eastAsia="Times New Roman" w:hAnsi="Arial" w:cs="Arial"/>
          <w:sz w:val="24"/>
          <w:szCs w:val="24"/>
          <w:lang w:eastAsia="en-GB"/>
        </w:rPr>
        <w:t>s</w:t>
      </w:r>
      <w:r w:rsidRPr="005B6335">
        <w:rPr>
          <w:rFonts w:ascii="Arial" w:eastAsia="Times New Roman" w:hAnsi="Arial" w:cs="Arial"/>
          <w:sz w:val="24"/>
          <w:szCs w:val="24"/>
          <w:lang w:eastAsia="en-GB"/>
        </w:rPr>
        <w:t xml:space="preserve"> highlights the importance of </w:t>
      </w:r>
      <w:r>
        <w:rPr>
          <w:rFonts w:ascii="Arial" w:eastAsia="Times New Roman" w:hAnsi="Arial" w:cs="Arial"/>
          <w:sz w:val="24"/>
          <w:szCs w:val="24"/>
          <w:lang w:eastAsia="en-GB"/>
        </w:rPr>
        <w:t xml:space="preserve">awareness and </w:t>
      </w:r>
      <w:r w:rsidRPr="005B6335">
        <w:rPr>
          <w:rFonts w:ascii="Arial" w:eastAsia="Times New Roman" w:hAnsi="Arial" w:cs="Arial"/>
          <w:sz w:val="24"/>
          <w:szCs w:val="24"/>
          <w:lang w:eastAsia="en-GB"/>
        </w:rPr>
        <w:t>consider</w:t>
      </w:r>
      <w:r>
        <w:rPr>
          <w:rFonts w:ascii="Arial" w:eastAsia="Times New Roman" w:hAnsi="Arial" w:cs="Arial"/>
          <w:sz w:val="24"/>
          <w:szCs w:val="24"/>
          <w:lang w:eastAsia="en-GB"/>
        </w:rPr>
        <w:t>ation of</w:t>
      </w:r>
      <w:r w:rsidRPr="005B6335">
        <w:rPr>
          <w:rFonts w:ascii="Arial" w:eastAsia="Times New Roman" w:hAnsi="Arial" w:cs="Arial"/>
          <w:sz w:val="24"/>
          <w:szCs w:val="24"/>
          <w:lang w:eastAsia="en-GB"/>
        </w:rPr>
        <w:t xml:space="preserve"> our body language when </w:t>
      </w:r>
      <w:r>
        <w:rPr>
          <w:rFonts w:ascii="Arial" w:eastAsia="Times New Roman" w:hAnsi="Arial" w:cs="Arial"/>
          <w:sz w:val="24"/>
          <w:szCs w:val="24"/>
          <w:lang w:eastAsia="en-GB"/>
        </w:rPr>
        <w:t>communicating and interacting in any situation, as it may inadvertently be perceived differently than intended.</w:t>
      </w: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sidRPr="005B6335">
        <w:rPr>
          <w:rFonts w:ascii="Arial" w:eastAsia="Times New Roman" w:hAnsi="Arial" w:cs="Arial"/>
          <w:sz w:val="24"/>
          <w:szCs w:val="24"/>
          <w:lang w:eastAsia="en-GB"/>
        </w:rPr>
        <w:t xml:space="preserve">Coon (2016) highlighted that serious implications may arise for police if multi-cultural issues are not addressed appropriately within communities. This in turn can </w:t>
      </w:r>
      <w:r>
        <w:rPr>
          <w:rFonts w:ascii="Arial" w:eastAsia="Times New Roman" w:hAnsi="Arial" w:cs="Arial"/>
          <w:sz w:val="24"/>
          <w:szCs w:val="24"/>
          <w:lang w:eastAsia="en-GB"/>
        </w:rPr>
        <w:t>promote disengagement and distrust</w:t>
      </w:r>
      <w:r w:rsidRPr="005B6335">
        <w:rPr>
          <w:rFonts w:ascii="Arial" w:eastAsia="Times New Roman" w:hAnsi="Arial" w:cs="Arial"/>
          <w:sz w:val="24"/>
          <w:szCs w:val="24"/>
          <w:lang w:eastAsia="en-GB"/>
        </w:rPr>
        <w:t xml:space="preserve"> </w:t>
      </w:r>
      <w:r>
        <w:rPr>
          <w:rFonts w:ascii="Arial" w:eastAsia="Times New Roman" w:hAnsi="Arial" w:cs="Arial"/>
          <w:sz w:val="24"/>
          <w:szCs w:val="24"/>
          <w:lang w:eastAsia="en-GB"/>
        </w:rPr>
        <w:t>from certain groups,</w:t>
      </w:r>
      <w:r w:rsidRPr="005B6335">
        <w:rPr>
          <w:rFonts w:ascii="Arial" w:eastAsia="Times New Roman" w:hAnsi="Arial" w:cs="Arial"/>
          <w:sz w:val="24"/>
          <w:szCs w:val="24"/>
          <w:lang w:eastAsia="en-GB"/>
        </w:rPr>
        <w:t xml:space="preserve"> as they</w:t>
      </w:r>
      <w:r>
        <w:rPr>
          <w:rFonts w:ascii="Arial" w:eastAsia="Times New Roman" w:hAnsi="Arial" w:cs="Arial"/>
          <w:sz w:val="24"/>
          <w:szCs w:val="24"/>
          <w:lang w:eastAsia="en-GB"/>
        </w:rPr>
        <w:t xml:space="preserve"> may</w:t>
      </w:r>
      <w:r w:rsidRPr="005B6335">
        <w:rPr>
          <w:rFonts w:ascii="Arial" w:eastAsia="Times New Roman" w:hAnsi="Arial" w:cs="Arial"/>
          <w:sz w:val="24"/>
          <w:szCs w:val="24"/>
          <w:lang w:eastAsia="en-GB"/>
        </w:rPr>
        <w:t xml:space="preserve"> feel that police lack sensitiv</w:t>
      </w:r>
      <w:r>
        <w:rPr>
          <w:rFonts w:ascii="Arial" w:eastAsia="Times New Roman" w:hAnsi="Arial" w:cs="Arial"/>
          <w:sz w:val="24"/>
          <w:szCs w:val="24"/>
          <w:lang w:eastAsia="en-GB"/>
        </w:rPr>
        <w:t>ity</w:t>
      </w:r>
      <w:r w:rsidRPr="005B6335">
        <w:rPr>
          <w:rFonts w:ascii="Arial" w:eastAsia="Times New Roman" w:hAnsi="Arial" w:cs="Arial"/>
          <w:sz w:val="24"/>
          <w:szCs w:val="24"/>
          <w:lang w:eastAsia="en-GB"/>
        </w:rPr>
        <w:t xml:space="preserve"> towards </w:t>
      </w:r>
      <w:r>
        <w:rPr>
          <w:rFonts w:ascii="Arial" w:eastAsia="Times New Roman" w:hAnsi="Arial" w:cs="Arial"/>
          <w:sz w:val="24"/>
          <w:szCs w:val="24"/>
          <w:lang w:eastAsia="en-GB"/>
        </w:rPr>
        <w:t>them</w:t>
      </w:r>
      <w:r w:rsidRPr="005B6335">
        <w:rPr>
          <w:rFonts w:ascii="Arial" w:eastAsia="Times New Roman" w:hAnsi="Arial" w:cs="Arial"/>
          <w:sz w:val="24"/>
          <w:szCs w:val="24"/>
          <w:lang w:eastAsia="en-GB"/>
        </w:rPr>
        <w:t xml:space="preserve">. With a lack of community engagement it can become </w:t>
      </w:r>
      <w:r>
        <w:rPr>
          <w:rFonts w:ascii="Arial" w:eastAsia="Times New Roman" w:hAnsi="Arial" w:cs="Arial"/>
          <w:sz w:val="24"/>
          <w:szCs w:val="24"/>
          <w:lang w:eastAsia="en-GB"/>
        </w:rPr>
        <w:t>challenging</w:t>
      </w:r>
      <w:r w:rsidRPr="005B6335">
        <w:rPr>
          <w:rFonts w:ascii="Arial" w:eastAsia="Times New Roman" w:hAnsi="Arial" w:cs="Arial"/>
          <w:sz w:val="24"/>
          <w:szCs w:val="24"/>
          <w:lang w:eastAsia="en-GB"/>
        </w:rPr>
        <w:t xml:space="preserve"> for police to serve and protect the communities in with they work. This can result in crime going unreported</w:t>
      </w:r>
      <w:r>
        <w:rPr>
          <w:rFonts w:ascii="Arial" w:eastAsia="Times New Roman" w:hAnsi="Arial" w:cs="Arial"/>
          <w:sz w:val="24"/>
          <w:szCs w:val="24"/>
          <w:lang w:eastAsia="en-GB"/>
        </w:rPr>
        <w:t xml:space="preserve">, </w:t>
      </w:r>
      <w:r w:rsidRPr="005B6335">
        <w:rPr>
          <w:rFonts w:ascii="Arial" w:eastAsia="Times New Roman" w:hAnsi="Arial" w:cs="Arial"/>
          <w:sz w:val="24"/>
          <w:szCs w:val="24"/>
          <w:lang w:eastAsia="en-GB"/>
        </w:rPr>
        <w:t xml:space="preserve">citizens being unwilling to </w:t>
      </w:r>
      <w:r w:rsidRPr="005B6335">
        <w:rPr>
          <w:rFonts w:ascii="Arial" w:eastAsia="Times New Roman" w:hAnsi="Arial" w:cs="Arial"/>
          <w:sz w:val="24"/>
          <w:szCs w:val="24"/>
          <w:lang w:eastAsia="en-GB"/>
        </w:rPr>
        <w:lastRenderedPageBreak/>
        <w:t xml:space="preserve">provide any kind of information to </w:t>
      </w:r>
      <w:r>
        <w:rPr>
          <w:rFonts w:ascii="Arial" w:eastAsia="Times New Roman" w:hAnsi="Arial" w:cs="Arial"/>
          <w:sz w:val="24"/>
          <w:szCs w:val="24"/>
          <w:lang w:eastAsia="en-GB"/>
        </w:rPr>
        <w:t xml:space="preserve">aid </w:t>
      </w:r>
      <w:r w:rsidRPr="005B6335">
        <w:rPr>
          <w:rFonts w:ascii="Arial" w:eastAsia="Times New Roman" w:hAnsi="Arial" w:cs="Arial"/>
          <w:sz w:val="24"/>
          <w:szCs w:val="24"/>
          <w:lang w:eastAsia="en-GB"/>
        </w:rPr>
        <w:t xml:space="preserve">the </w:t>
      </w:r>
      <w:r>
        <w:rPr>
          <w:rFonts w:ascii="Arial" w:eastAsia="Times New Roman" w:hAnsi="Arial" w:cs="Arial"/>
          <w:sz w:val="24"/>
          <w:szCs w:val="24"/>
          <w:lang w:eastAsia="en-GB"/>
        </w:rPr>
        <w:t>Police, at worst even violence directed towards Police</w:t>
      </w:r>
      <w:r w:rsidRPr="005B6335">
        <w:rPr>
          <w:rFonts w:ascii="Arial" w:eastAsia="Times New Roman" w:hAnsi="Arial" w:cs="Arial"/>
          <w:sz w:val="24"/>
          <w:szCs w:val="24"/>
          <w:lang w:eastAsia="en-GB"/>
        </w:rPr>
        <w:t xml:space="preserve">. Coon also discusses the importance of police receiving appropriate training </w:t>
      </w:r>
      <w:r>
        <w:rPr>
          <w:rFonts w:ascii="Arial" w:eastAsia="Times New Roman" w:hAnsi="Arial" w:cs="Arial"/>
          <w:sz w:val="24"/>
          <w:szCs w:val="24"/>
          <w:lang w:eastAsia="en-GB"/>
        </w:rPr>
        <w:t xml:space="preserve">in </w:t>
      </w:r>
      <w:r w:rsidRPr="005B6335">
        <w:rPr>
          <w:rFonts w:ascii="Arial" w:eastAsia="Times New Roman" w:hAnsi="Arial" w:cs="Arial"/>
          <w:sz w:val="24"/>
          <w:szCs w:val="24"/>
          <w:lang w:eastAsia="en-GB"/>
        </w:rPr>
        <w:t>awareness</w:t>
      </w:r>
      <w:r>
        <w:rPr>
          <w:rFonts w:ascii="Arial" w:eastAsia="Times New Roman" w:hAnsi="Arial" w:cs="Arial"/>
          <w:sz w:val="24"/>
          <w:szCs w:val="24"/>
          <w:lang w:eastAsia="en-GB"/>
        </w:rPr>
        <w:t xml:space="preserve"> of local cultural diversity, and how to demonstrate understanding and respect. </w:t>
      </w: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sidRPr="005B6335">
        <w:rPr>
          <w:rFonts w:ascii="Arial" w:eastAsia="Times New Roman" w:hAnsi="Arial" w:cs="Arial"/>
          <w:sz w:val="24"/>
          <w:szCs w:val="24"/>
          <w:lang w:eastAsia="en-GB"/>
        </w:rPr>
        <w:t xml:space="preserve">This idea is also supported by Cox. </w:t>
      </w:r>
      <w:r>
        <w:rPr>
          <w:rFonts w:ascii="Arial" w:eastAsia="Times New Roman" w:hAnsi="Arial" w:cs="Arial"/>
          <w:i/>
          <w:iCs/>
          <w:sz w:val="24"/>
          <w:szCs w:val="24"/>
          <w:lang w:eastAsia="en-GB"/>
        </w:rPr>
        <w:t>et al</w:t>
      </w:r>
      <w:r w:rsidRPr="005B6335">
        <w:rPr>
          <w:rFonts w:ascii="Arial" w:eastAsia="Times New Roman" w:hAnsi="Arial" w:cs="Arial"/>
          <w:sz w:val="24"/>
          <w:szCs w:val="24"/>
          <w:lang w:eastAsia="en-GB"/>
        </w:rPr>
        <w:t xml:space="preserve"> (2019) who state that officers who receive cultural awareness training become more familiar with varying people and customs, which encourages them to consider and value other cultural customs and beliefs to the ones they may be used to. Having a better knowledge will help reduce </w:t>
      </w:r>
      <w:r>
        <w:rPr>
          <w:rFonts w:ascii="Arial" w:eastAsia="Times New Roman" w:hAnsi="Arial" w:cs="Arial"/>
          <w:sz w:val="24"/>
          <w:szCs w:val="24"/>
          <w:lang w:eastAsia="en-GB"/>
        </w:rPr>
        <w:t xml:space="preserve">conscious and unconscious </w:t>
      </w:r>
      <w:r w:rsidRPr="005B6335">
        <w:rPr>
          <w:rFonts w:ascii="Arial" w:eastAsia="Times New Roman" w:hAnsi="Arial" w:cs="Arial"/>
          <w:sz w:val="24"/>
          <w:szCs w:val="24"/>
          <w:lang w:eastAsia="en-GB"/>
        </w:rPr>
        <w:t>bias and prejudice</w:t>
      </w:r>
      <w:r>
        <w:rPr>
          <w:rFonts w:ascii="Arial" w:eastAsia="Times New Roman" w:hAnsi="Arial" w:cs="Arial"/>
          <w:sz w:val="24"/>
          <w:szCs w:val="24"/>
          <w:lang w:eastAsia="en-GB"/>
        </w:rPr>
        <w:t xml:space="preserve">, </w:t>
      </w:r>
      <w:r w:rsidRPr="005B6335">
        <w:rPr>
          <w:rFonts w:ascii="Arial" w:eastAsia="Times New Roman" w:hAnsi="Arial" w:cs="Arial"/>
          <w:sz w:val="24"/>
          <w:szCs w:val="24"/>
          <w:lang w:eastAsia="en-GB"/>
        </w:rPr>
        <w:t xml:space="preserve">and </w:t>
      </w:r>
      <w:r>
        <w:rPr>
          <w:rFonts w:ascii="Arial" w:eastAsia="Times New Roman" w:hAnsi="Arial" w:cs="Arial"/>
          <w:sz w:val="24"/>
          <w:szCs w:val="24"/>
          <w:lang w:eastAsia="en-GB"/>
        </w:rPr>
        <w:t>allow</w:t>
      </w:r>
      <w:r w:rsidRPr="005B6335">
        <w:rPr>
          <w:rFonts w:ascii="Arial" w:eastAsia="Times New Roman" w:hAnsi="Arial" w:cs="Arial"/>
          <w:sz w:val="24"/>
          <w:szCs w:val="24"/>
          <w:lang w:eastAsia="en-GB"/>
        </w:rPr>
        <w:t xml:space="preserve"> better understanding</w:t>
      </w:r>
      <w:r>
        <w:rPr>
          <w:rFonts w:ascii="Arial" w:eastAsia="Times New Roman" w:hAnsi="Arial" w:cs="Arial"/>
          <w:sz w:val="24"/>
          <w:szCs w:val="24"/>
          <w:lang w:eastAsia="en-GB"/>
        </w:rPr>
        <w:t xml:space="preserve"> of</w:t>
      </w:r>
      <w:r w:rsidRPr="005B6335">
        <w:rPr>
          <w:rFonts w:ascii="Arial" w:eastAsia="Times New Roman" w:hAnsi="Arial" w:cs="Arial"/>
          <w:sz w:val="24"/>
          <w:szCs w:val="24"/>
          <w:lang w:eastAsia="en-GB"/>
        </w:rPr>
        <w:t xml:space="preserve"> the outlooks of people with </w:t>
      </w:r>
      <w:r>
        <w:rPr>
          <w:rFonts w:ascii="Arial" w:eastAsia="Times New Roman" w:hAnsi="Arial" w:cs="Arial"/>
          <w:sz w:val="24"/>
          <w:szCs w:val="24"/>
          <w:lang w:eastAsia="en-GB"/>
        </w:rPr>
        <w:t xml:space="preserve">from </w:t>
      </w:r>
      <w:r w:rsidRPr="005B6335">
        <w:rPr>
          <w:rFonts w:ascii="Arial" w:eastAsia="Times New Roman" w:hAnsi="Arial" w:cs="Arial"/>
          <w:sz w:val="24"/>
          <w:szCs w:val="24"/>
          <w:lang w:eastAsia="en-GB"/>
        </w:rPr>
        <w:t xml:space="preserve">backgrounds. This in turn </w:t>
      </w:r>
      <w:r>
        <w:rPr>
          <w:rFonts w:ascii="Arial" w:eastAsia="Times New Roman" w:hAnsi="Arial" w:cs="Arial"/>
          <w:sz w:val="24"/>
          <w:szCs w:val="24"/>
          <w:lang w:eastAsia="en-GB"/>
        </w:rPr>
        <w:t>should improve mutual relationships and potentially foster trust and empathy between Police and communities.</w:t>
      </w:r>
    </w:p>
    <w:p w:rsidR="00E677CD"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sidRPr="005B6335">
        <w:rPr>
          <w:rFonts w:ascii="Arial" w:eastAsia="Times New Roman" w:hAnsi="Arial" w:cs="Arial"/>
          <w:sz w:val="24"/>
          <w:szCs w:val="24"/>
          <w:lang w:eastAsia="en-GB"/>
        </w:rPr>
        <w:t xml:space="preserve">In summary, it is clear that the communities in which police serve can present many issues. </w:t>
      </w:r>
      <w:r>
        <w:rPr>
          <w:rFonts w:ascii="Arial" w:eastAsia="Times New Roman" w:hAnsi="Arial" w:cs="Arial"/>
          <w:sz w:val="24"/>
          <w:szCs w:val="24"/>
          <w:lang w:eastAsia="en-GB"/>
        </w:rPr>
        <w:t>In order to represent a fair and trusted service to all members of communities, the individual officer and the Police as an organisation, must understand and demonstrate awareness and respect of the cultural differences between them. Although verbal (spoken word) communication is vital and translation/language services should be easy to access and utilised where appropriate, non-verbal communication is also very important. Poor communication in any form may damage relationships between public and Police, exacerbate mistrust and misinformed beliefs, and compromise the ability to serve communities well. The importance of communication and cultural diversity training has been shown, and it is therefore a valued element of Police training.</w:t>
      </w:r>
    </w:p>
    <w:p w:rsidR="004D4416" w:rsidRDefault="004D4416"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p>
    <w:p w:rsidR="00E677CD" w:rsidRPr="005B6335" w:rsidRDefault="00E677CD" w:rsidP="00E677CD">
      <w:pPr>
        <w:overflowPunct w:val="0"/>
        <w:autoSpaceDE w:val="0"/>
        <w:autoSpaceDN w:val="0"/>
        <w:adjustRightInd w:val="0"/>
        <w:spacing w:before="240" w:line="36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Word count: 970</w:t>
      </w:r>
    </w:p>
    <w:p w:rsidR="00E677CD" w:rsidRPr="00E677CD" w:rsidRDefault="00E677CD" w:rsidP="00E677CD">
      <w:pPr>
        <w:overflowPunct w:val="0"/>
        <w:autoSpaceDE w:val="0"/>
        <w:autoSpaceDN w:val="0"/>
        <w:adjustRightInd w:val="0"/>
        <w:spacing w:before="240" w:after="0" w:line="360" w:lineRule="auto"/>
        <w:ind w:left="425"/>
        <w:jc w:val="both"/>
        <w:textAlignment w:val="baseline"/>
        <w:rPr>
          <w:rFonts w:ascii="Arial" w:eastAsia="Times New Roman" w:hAnsi="Arial" w:cs="Arial"/>
          <w:color w:val="000000" w:themeColor="text1"/>
          <w:sz w:val="24"/>
          <w:szCs w:val="24"/>
          <w:lang w:eastAsia="en-GB"/>
        </w:rPr>
      </w:pPr>
    </w:p>
    <w:p w:rsidR="004B5C15" w:rsidRDefault="004B5C15" w:rsidP="004B5C15">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p>
    <w:p w:rsidR="00E677CD" w:rsidRDefault="00E677CD" w:rsidP="0006301F">
      <w:pPr>
        <w:overflowPunct w:val="0"/>
        <w:autoSpaceDE w:val="0"/>
        <w:autoSpaceDN w:val="0"/>
        <w:adjustRightInd w:val="0"/>
        <w:spacing w:before="240" w:after="0" w:line="360" w:lineRule="auto"/>
        <w:ind w:left="425"/>
        <w:jc w:val="both"/>
        <w:textAlignment w:val="baseline"/>
        <w:rPr>
          <w:rFonts w:ascii="Arial" w:eastAsia="Times New Roman" w:hAnsi="Arial" w:cs="Arial"/>
          <w:sz w:val="24"/>
          <w:szCs w:val="24"/>
          <w:lang w:eastAsia="en-GB"/>
        </w:rPr>
      </w:pPr>
    </w:p>
    <w:p w:rsidR="004D4416" w:rsidRDefault="004D4416" w:rsidP="004D4416">
      <w:pPr>
        <w:overflowPunct w:val="0"/>
        <w:autoSpaceDE w:val="0"/>
        <w:autoSpaceDN w:val="0"/>
        <w:adjustRightInd w:val="0"/>
        <w:spacing w:before="240" w:line="360" w:lineRule="auto"/>
        <w:jc w:val="both"/>
        <w:textAlignment w:val="baseline"/>
        <w:rPr>
          <w:rFonts w:ascii="Arial" w:eastAsia="Times New Roman" w:hAnsi="Arial" w:cs="Arial"/>
          <w:sz w:val="24"/>
          <w:szCs w:val="24"/>
          <w:lang w:eastAsia="en-GB"/>
        </w:rPr>
      </w:pPr>
    </w:p>
    <w:p w:rsidR="004D4416" w:rsidRPr="004D4416" w:rsidRDefault="004B5C15" w:rsidP="004D4416">
      <w:pPr>
        <w:overflowPunct w:val="0"/>
        <w:autoSpaceDE w:val="0"/>
        <w:autoSpaceDN w:val="0"/>
        <w:adjustRightInd w:val="0"/>
        <w:spacing w:before="240" w:line="360" w:lineRule="auto"/>
        <w:ind w:left="360"/>
        <w:jc w:val="both"/>
        <w:textAlignment w:val="baseline"/>
        <w:rPr>
          <w:rFonts w:ascii="Arial" w:eastAsia="Times New Roman" w:hAnsi="Arial" w:cs="Arial"/>
          <w:b/>
          <w:sz w:val="24"/>
          <w:szCs w:val="24"/>
          <w:lang w:eastAsia="en-GB"/>
        </w:rPr>
      </w:pPr>
      <w:r w:rsidRPr="004D4416">
        <w:rPr>
          <w:rFonts w:ascii="Arial" w:eastAsia="Times New Roman" w:hAnsi="Arial" w:cs="Arial"/>
          <w:b/>
          <w:sz w:val="24"/>
          <w:szCs w:val="24"/>
          <w:lang w:eastAsia="en-GB"/>
        </w:rPr>
        <w:lastRenderedPageBreak/>
        <w:t>Bibliography</w:t>
      </w:r>
      <w:bookmarkStart w:id="0" w:name="_GoBack"/>
      <w:bookmarkEnd w:id="0"/>
    </w:p>
    <w:p w:rsidR="004D4416" w:rsidRPr="00E677CD"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E677CD">
        <w:rPr>
          <w:rFonts w:ascii="Arial" w:eastAsia="Times New Roman" w:hAnsi="Arial" w:cs="Arial"/>
          <w:color w:val="000000"/>
          <w:sz w:val="24"/>
          <w:szCs w:val="24"/>
          <w:lang w:val="en" w:eastAsia="en-GB"/>
        </w:rPr>
        <w:t xml:space="preserve">Bryant, R. and Bryant, S. (2019). </w:t>
      </w:r>
      <w:r w:rsidRPr="00E677CD">
        <w:rPr>
          <w:rFonts w:ascii="Arial" w:eastAsia="Times New Roman" w:hAnsi="Arial" w:cs="Arial"/>
          <w:i/>
          <w:iCs/>
          <w:color w:val="000000"/>
          <w:sz w:val="24"/>
          <w:szCs w:val="24"/>
          <w:lang w:val="en" w:eastAsia="en-GB"/>
        </w:rPr>
        <w:t>Blackstone’s handbook for policing students 2020</w:t>
      </w:r>
      <w:r w:rsidRPr="00E677CD">
        <w:rPr>
          <w:rFonts w:ascii="Arial" w:eastAsia="Times New Roman" w:hAnsi="Arial" w:cs="Arial"/>
          <w:color w:val="000000"/>
          <w:sz w:val="24"/>
          <w:szCs w:val="24"/>
          <w:lang w:val="en" w:eastAsia="en-GB"/>
        </w:rPr>
        <w:t>. 14th ed. Oxford: Oxford University Press.</w:t>
      </w:r>
    </w:p>
    <w:p w:rsidR="004D4416" w:rsidRPr="0006301F" w:rsidRDefault="004D4416" w:rsidP="004D4416">
      <w:pPr>
        <w:overflowPunct w:val="0"/>
        <w:autoSpaceDE w:val="0"/>
        <w:autoSpaceDN w:val="0"/>
        <w:adjustRightInd w:val="0"/>
        <w:spacing w:before="240" w:line="360" w:lineRule="auto"/>
        <w:ind w:left="426"/>
        <w:textAlignment w:val="baseline"/>
        <w:rPr>
          <w:rFonts w:ascii="Arial" w:eastAsia="Times New Roman" w:hAnsi="Arial" w:cs="Arial"/>
          <w:sz w:val="24"/>
          <w:szCs w:val="24"/>
          <w:lang w:eastAsia="en-GB"/>
        </w:rPr>
      </w:pPr>
      <w:r w:rsidRPr="0006301F">
        <w:rPr>
          <w:rFonts w:ascii="Arial" w:eastAsia="Times New Roman" w:hAnsi="Arial" w:cs="Arial"/>
          <w:sz w:val="24"/>
          <w:szCs w:val="24"/>
          <w:lang w:eastAsia="en-GB"/>
        </w:rPr>
        <w:t xml:space="preserve">Centre for Social Justice. 2009. </w:t>
      </w:r>
      <w:r w:rsidRPr="0006301F">
        <w:rPr>
          <w:rFonts w:ascii="Arial" w:eastAsia="Times New Roman" w:hAnsi="Arial" w:cs="Arial"/>
          <w:i/>
          <w:sz w:val="24"/>
          <w:szCs w:val="24"/>
          <w:lang w:eastAsia="en-GB"/>
        </w:rPr>
        <w:t xml:space="preserve">Dying to Belong p41. </w:t>
      </w:r>
      <w:r w:rsidRPr="0006301F">
        <w:rPr>
          <w:rFonts w:ascii="Arial" w:eastAsia="Times New Roman" w:hAnsi="Arial" w:cs="Arial"/>
          <w:sz w:val="24"/>
          <w:szCs w:val="24"/>
          <w:lang w:eastAsia="en-GB"/>
        </w:rPr>
        <w:t xml:space="preserve">(Online) Centre for Social Justice. Available at: </w:t>
      </w:r>
      <w:hyperlink r:id="rId6" w:history="1">
        <w:r w:rsidRPr="0006301F">
          <w:rPr>
            <w:rFonts w:ascii="Arial" w:eastAsia="Times New Roman" w:hAnsi="Arial" w:cs="Arial"/>
            <w:color w:val="0563C1" w:themeColor="hyperlink"/>
            <w:sz w:val="24"/>
            <w:szCs w:val="24"/>
            <w:u w:val="single"/>
            <w:lang w:eastAsia="en-GB"/>
          </w:rPr>
          <w:t>https://www.centreforsocialjustice.org.uk/wp-content/uploads/2009/02/DyingtoBelongFullReport.pdf</w:t>
        </w:r>
      </w:hyperlink>
      <w:r w:rsidRPr="0006301F">
        <w:rPr>
          <w:rFonts w:ascii="Arial" w:eastAsia="Times New Roman" w:hAnsi="Arial" w:cs="Arial"/>
          <w:sz w:val="24"/>
          <w:szCs w:val="24"/>
          <w:lang w:eastAsia="en-GB"/>
        </w:rPr>
        <w:t>. Accessed: January 30</w:t>
      </w:r>
      <w:r w:rsidRPr="0006301F">
        <w:rPr>
          <w:rFonts w:ascii="Arial" w:eastAsia="Times New Roman" w:hAnsi="Arial" w:cs="Arial"/>
          <w:sz w:val="24"/>
          <w:szCs w:val="24"/>
          <w:vertAlign w:val="superscript"/>
          <w:lang w:eastAsia="en-GB"/>
        </w:rPr>
        <w:t>th</w:t>
      </w:r>
      <w:r w:rsidRPr="0006301F">
        <w:rPr>
          <w:rFonts w:ascii="Arial" w:eastAsia="Times New Roman" w:hAnsi="Arial" w:cs="Arial"/>
          <w:sz w:val="24"/>
          <w:szCs w:val="24"/>
          <w:lang w:eastAsia="en-GB"/>
        </w:rPr>
        <w:t xml:space="preserve"> 2021 </w:t>
      </w:r>
    </w:p>
    <w:p w:rsidR="004D4416" w:rsidRPr="0006301F" w:rsidRDefault="004D4416" w:rsidP="004D4416">
      <w:pPr>
        <w:shd w:val="clear" w:color="auto" w:fill="FFFFFF"/>
        <w:spacing w:after="240" w:line="360" w:lineRule="auto"/>
        <w:ind w:left="425"/>
        <w:rPr>
          <w:rFonts w:ascii="Arial" w:eastAsia="Times New Roman" w:hAnsi="Arial" w:cs="Arial"/>
          <w:color w:val="000000"/>
          <w:sz w:val="24"/>
          <w:szCs w:val="24"/>
          <w:lang w:val="en" w:eastAsia="en-GB"/>
        </w:rPr>
      </w:pPr>
      <w:r w:rsidRPr="0006301F">
        <w:rPr>
          <w:rFonts w:ascii="Arial" w:eastAsia="Times New Roman" w:hAnsi="Arial" w:cs="Arial"/>
          <w:color w:val="000000"/>
          <w:sz w:val="24"/>
          <w:szCs w:val="24"/>
          <w:lang w:val="en" w:eastAsia="en-GB"/>
        </w:rPr>
        <w:t xml:space="preserve">‌Children's Commissioner (2019). </w:t>
      </w:r>
      <w:r w:rsidRPr="0006301F">
        <w:rPr>
          <w:rFonts w:ascii="Arial" w:eastAsia="Times New Roman" w:hAnsi="Arial" w:cs="Arial"/>
          <w:i/>
          <w:iCs/>
          <w:color w:val="000000"/>
          <w:sz w:val="24"/>
          <w:szCs w:val="24"/>
          <w:lang w:val="en" w:eastAsia="en-GB"/>
        </w:rPr>
        <w:t>Keeping kids safe: Improving safeguarding responses to gang violence and criminal exploitation</w:t>
      </w:r>
      <w:r w:rsidRPr="0006301F">
        <w:rPr>
          <w:rFonts w:ascii="Arial" w:eastAsia="Times New Roman" w:hAnsi="Arial" w:cs="Arial"/>
          <w:color w:val="000000"/>
          <w:sz w:val="24"/>
          <w:szCs w:val="24"/>
          <w:lang w:val="en" w:eastAsia="en-GB"/>
        </w:rPr>
        <w:t xml:space="preserve">. [online] </w:t>
      </w:r>
      <w:r w:rsidRPr="0006301F">
        <w:rPr>
          <w:rFonts w:ascii="Arial" w:eastAsia="Times New Roman" w:hAnsi="Arial" w:cs="Arial"/>
          <w:i/>
          <w:iCs/>
          <w:color w:val="000000"/>
          <w:sz w:val="24"/>
          <w:szCs w:val="24"/>
          <w:lang w:val="en" w:eastAsia="en-GB"/>
        </w:rPr>
        <w:t>Children’s Commissioner for England</w:t>
      </w:r>
      <w:r w:rsidRPr="0006301F">
        <w:rPr>
          <w:rFonts w:ascii="Arial" w:eastAsia="Times New Roman" w:hAnsi="Arial" w:cs="Arial"/>
          <w:color w:val="000000"/>
          <w:sz w:val="24"/>
          <w:szCs w:val="24"/>
          <w:lang w:val="en" w:eastAsia="en-GB"/>
        </w:rPr>
        <w:t>. Available at: https://www.childrenscommissioner.gov.uk/wp-content/uploads/2019/02/CCO-Gangs.pdf [Accessed 14 Feb. 2021].</w:t>
      </w:r>
    </w:p>
    <w:p w:rsidR="004D4416" w:rsidRDefault="004D4416" w:rsidP="004D4416">
      <w:pPr>
        <w:autoSpaceDE w:val="0"/>
        <w:autoSpaceDN w:val="0"/>
        <w:adjustRightInd w:val="0"/>
        <w:spacing w:before="100" w:after="0" w:line="360" w:lineRule="auto"/>
        <w:ind w:left="425"/>
        <w:rPr>
          <w:rFonts w:ascii="Arial" w:hAnsi="Arial" w:cs="Arial"/>
          <w:sz w:val="24"/>
          <w:szCs w:val="24"/>
        </w:rPr>
      </w:pPr>
      <w:r w:rsidRPr="003846CA">
        <w:rPr>
          <w:rFonts w:ascii="Arial" w:hAnsi="Arial" w:cs="Arial"/>
          <w:sz w:val="24"/>
          <w:szCs w:val="24"/>
        </w:rPr>
        <w:t xml:space="preserve">College of Policing. (2017). </w:t>
      </w:r>
      <w:r w:rsidRPr="003846CA">
        <w:rPr>
          <w:rFonts w:ascii="Arial" w:hAnsi="Arial" w:cs="Arial"/>
          <w:i/>
          <w:iCs/>
          <w:sz w:val="24"/>
          <w:szCs w:val="24"/>
        </w:rPr>
        <w:t>Multi-agency public protection arrangements (MAPPA).</w:t>
      </w:r>
      <w:r w:rsidRPr="003846CA">
        <w:rPr>
          <w:rFonts w:ascii="Arial" w:hAnsi="Arial" w:cs="Arial"/>
          <w:sz w:val="24"/>
          <w:szCs w:val="24"/>
        </w:rPr>
        <w:t xml:space="preserve"> Available: https://www.app.college.police.uk/app-content/major-investigation-and-public-protection/managing-sexual-offenders-and-violent-offenders/mappa/. Last accessed 26th November 2020.</w:t>
      </w:r>
    </w:p>
    <w:p w:rsidR="004D4416" w:rsidRDefault="004D4416" w:rsidP="004D4416">
      <w:pPr>
        <w:autoSpaceDE w:val="0"/>
        <w:autoSpaceDN w:val="0"/>
        <w:adjustRightInd w:val="0"/>
        <w:spacing w:before="100" w:after="0" w:line="360" w:lineRule="auto"/>
        <w:ind w:left="425"/>
        <w:rPr>
          <w:rFonts w:ascii="Arial" w:hAnsi="Arial" w:cs="Arial"/>
          <w:sz w:val="24"/>
          <w:szCs w:val="24"/>
        </w:rPr>
      </w:pPr>
    </w:p>
    <w:p w:rsidR="004D4416" w:rsidRPr="00756BB4" w:rsidRDefault="004D4416" w:rsidP="004D4416">
      <w:pPr>
        <w:overflowPunct w:val="0"/>
        <w:autoSpaceDE w:val="0"/>
        <w:autoSpaceDN w:val="0"/>
        <w:adjustRightInd w:val="0"/>
        <w:spacing w:line="360" w:lineRule="auto"/>
        <w:ind w:left="425"/>
        <w:textAlignment w:val="baseline"/>
        <w:rPr>
          <w:rFonts w:ascii="Arial" w:eastAsia="Times New Roman" w:hAnsi="Arial" w:cs="Arial"/>
          <w:sz w:val="24"/>
          <w:szCs w:val="24"/>
          <w:lang w:eastAsia="en-GB"/>
        </w:rPr>
      </w:pPr>
      <w:r w:rsidRPr="00D15B49">
        <w:rPr>
          <w:rFonts w:ascii="Arial" w:eastAsia="Times New Roman" w:hAnsi="Arial" w:cs="Arial"/>
          <w:sz w:val="24"/>
          <w:szCs w:val="24"/>
          <w:lang w:eastAsia="en-GB"/>
        </w:rPr>
        <w:t xml:space="preserve">College of Policing. 2014. </w:t>
      </w:r>
      <w:r w:rsidRPr="00D15B49">
        <w:rPr>
          <w:rFonts w:ascii="Arial" w:eastAsia="Times New Roman" w:hAnsi="Arial" w:cs="Arial"/>
          <w:i/>
          <w:sz w:val="24"/>
          <w:szCs w:val="24"/>
          <w:lang w:eastAsia="en-GB"/>
        </w:rPr>
        <w:t xml:space="preserve">The Code of Ethics. </w:t>
      </w:r>
      <w:r w:rsidRPr="00D15B49">
        <w:rPr>
          <w:rFonts w:ascii="Arial" w:eastAsia="Times New Roman" w:hAnsi="Arial" w:cs="Arial"/>
          <w:sz w:val="24"/>
          <w:szCs w:val="24"/>
          <w:lang w:eastAsia="en-GB"/>
        </w:rPr>
        <w:t xml:space="preserve">Available at: </w:t>
      </w:r>
      <w:hyperlink r:id="rId7" w:history="1">
        <w:r w:rsidRPr="00756BB4">
          <w:rPr>
            <w:rFonts w:ascii="Arial" w:eastAsia="Times New Roman" w:hAnsi="Arial" w:cs="Arial"/>
            <w:color w:val="0563C1" w:themeColor="hyperlink"/>
            <w:sz w:val="24"/>
            <w:szCs w:val="24"/>
            <w:u w:val="single"/>
            <w:lang w:eastAsia="en-GB"/>
          </w:rPr>
          <w:t>https://www.college.police.uk/What-we-do/Ethics/Documents/Code_of_Ethics.pdf</w:t>
        </w:r>
      </w:hyperlink>
      <w:r w:rsidRPr="00D15B49">
        <w:rPr>
          <w:rFonts w:ascii="Arial" w:eastAsia="Times New Roman" w:hAnsi="Arial" w:cs="Arial"/>
          <w:sz w:val="24"/>
          <w:szCs w:val="24"/>
          <w:lang w:eastAsia="en-GB"/>
        </w:rPr>
        <w:t>. (Accessed 28</w:t>
      </w:r>
      <w:r w:rsidRPr="00D15B49">
        <w:rPr>
          <w:rFonts w:ascii="Arial" w:eastAsia="Times New Roman" w:hAnsi="Arial" w:cs="Arial"/>
          <w:sz w:val="24"/>
          <w:szCs w:val="24"/>
          <w:vertAlign w:val="superscript"/>
          <w:lang w:eastAsia="en-GB"/>
        </w:rPr>
        <w:t>th</w:t>
      </w:r>
      <w:r w:rsidRPr="00D15B49">
        <w:rPr>
          <w:rFonts w:ascii="Arial" w:eastAsia="Times New Roman" w:hAnsi="Arial" w:cs="Arial"/>
          <w:sz w:val="24"/>
          <w:szCs w:val="24"/>
          <w:lang w:eastAsia="en-GB"/>
        </w:rPr>
        <w:t xml:space="preserve"> January 2021)</w:t>
      </w:r>
    </w:p>
    <w:p w:rsidR="004D4416" w:rsidRPr="00E677CD"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E677CD">
        <w:rPr>
          <w:rFonts w:ascii="Arial" w:eastAsia="Times New Roman" w:hAnsi="Arial" w:cs="Arial"/>
          <w:color w:val="000000"/>
          <w:sz w:val="24"/>
          <w:szCs w:val="24"/>
          <w:lang w:val="en" w:eastAsia="en-GB"/>
        </w:rPr>
        <w:t xml:space="preserve">Coon, J.K. (2016). Police officers’ attitudes toward diversity issues. </w:t>
      </w:r>
      <w:r w:rsidRPr="00E677CD">
        <w:rPr>
          <w:rFonts w:ascii="Arial" w:eastAsia="Times New Roman" w:hAnsi="Arial" w:cs="Arial"/>
          <w:i/>
          <w:iCs/>
          <w:color w:val="000000"/>
          <w:sz w:val="24"/>
          <w:szCs w:val="24"/>
          <w:lang w:val="en" w:eastAsia="en-GB"/>
        </w:rPr>
        <w:t>International Journal of Police Science &amp; Management</w:t>
      </w:r>
      <w:r w:rsidRPr="00E677CD">
        <w:rPr>
          <w:rFonts w:ascii="Arial" w:eastAsia="Times New Roman" w:hAnsi="Arial" w:cs="Arial"/>
          <w:color w:val="000000"/>
          <w:sz w:val="24"/>
          <w:szCs w:val="24"/>
          <w:lang w:val="en" w:eastAsia="en-GB"/>
        </w:rPr>
        <w:t>, 18(2), pp.115–125.</w:t>
      </w:r>
    </w:p>
    <w:p w:rsidR="004D4416" w:rsidRPr="00E677CD"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E677CD">
        <w:rPr>
          <w:rFonts w:ascii="Arial" w:eastAsia="Times New Roman" w:hAnsi="Arial" w:cs="Arial"/>
          <w:color w:val="000000"/>
          <w:sz w:val="24"/>
          <w:szCs w:val="24"/>
          <w:lang w:val="en" w:eastAsia="en-GB"/>
        </w:rPr>
        <w:t xml:space="preserve">‌Cox, </w:t>
      </w:r>
      <w:proofErr w:type="spellStart"/>
      <w:r w:rsidRPr="00E677CD">
        <w:rPr>
          <w:rFonts w:ascii="Arial" w:eastAsia="Times New Roman" w:hAnsi="Arial" w:cs="Arial"/>
          <w:color w:val="000000"/>
          <w:sz w:val="24"/>
          <w:szCs w:val="24"/>
          <w:lang w:val="en" w:eastAsia="en-GB"/>
        </w:rPr>
        <w:t>Steven.M</w:t>
      </w:r>
      <w:proofErr w:type="spellEnd"/>
      <w:r w:rsidRPr="00E677CD">
        <w:rPr>
          <w:rFonts w:ascii="Arial" w:eastAsia="Times New Roman" w:hAnsi="Arial" w:cs="Arial"/>
          <w:color w:val="000000"/>
          <w:sz w:val="24"/>
          <w:szCs w:val="24"/>
          <w:lang w:val="en" w:eastAsia="en-GB"/>
        </w:rPr>
        <w:t xml:space="preserve">., Massey, D., </w:t>
      </w:r>
      <w:proofErr w:type="spellStart"/>
      <w:r w:rsidRPr="00E677CD">
        <w:rPr>
          <w:rFonts w:ascii="Arial" w:eastAsia="Times New Roman" w:hAnsi="Arial" w:cs="Arial"/>
          <w:color w:val="000000"/>
          <w:sz w:val="24"/>
          <w:szCs w:val="24"/>
          <w:lang w:val="en" w:eastAsia="en-GB"/>
        </w:rPr>
        <w:t>Koski</w:t>
      </w:r>
      <w:proofErr w:type="spellEnd"/>
      <w:r w:rsidRPr="00E677CD">
        <w:rPr>
          <w:rFonts w:ascii="Arial" w:eastAsia="Times New Roman" w:hAnsi="Arial" w:cs="Arial"/>
          <w:color w:val="000000"/>
          <w:sz w:val="24"/>
          <w:szCs w:val="24"/>
          <w:lang w:val="en" w:eastAsia="en-GB"/>
        </w:rPr>
        <w:t xml:space="preserve">, </w:t>
      </w:r>
      <w:proofErr w:type="spellStart"/>
      <w:r w:rsidRPr="00E677CD">
        <w:rPr>
          <w:rFonts w:ascii="Arial" w:eastAsia="Times New Roman" w:hAnsi="Arial" w:cs="Arial"/>
          <w:color w:val="000000"/>
          <w:sz w:val="24"/>
          <w:szCs w:val="24"/>
          <w:lang w:val="en" w:eastAsia="en-GB"/>
        </w:rPr>
        <w:t>Connie.M</w:t>
      </w:r>
      <w:proofErr w:type="spellEnd"/>
      <w:r w:rsidRPr="00E677CD">
        <w:rPr>
          <w:rFonts w:ascii="Arial" w:eastAsia="Times New Roman" w:hAnsi="Arial" w:cs="Arial"/>
          <w:color w:val="000000"/>
          <w:sz w:val="24"/>
          <w:szCs w:val="24"/>
          <w:lang w:val="en" w:eastAsia="en-GB"/>
        </w:rPr>
        <w:t xml:space="preserve">. and Fitch, </w:t>
      </w:r>
      <w:proofErr w:type="spellStart"/>
      <w:r w:rsidRPr="00E677CD">
        <w:rPr>
          <w:rFonts w:ascii="Arial" w:eastAsia="Times New Roman" w:hAnsi="Arial" w:cs="Arial"/>
          <w:color w:val="000000"/>
          <w:sz w:val="24"/>
          <w:szCs w:val="24"/>
          <w:lang w:val="en" w:eastAsia="en-GB"/>
        </w:rPr>
        <w:t>Brian.D</w:t>
      </w:r>
      <w:proofErr w:type="spellEnd"/>
      <w:r w:rsidRPr="00E677CD">
        <w:rPr>
          <w:rFonts w:ascii="Arial" w:eastAsia="Times New Roman" w:hAnsi="Arial" w:cs="Arial"/>
          <w:color w:val="000000"/>
          <w:sz w:val="24"/>
          <w:szCs w:val="24"/>
          <w:lang w:val="en" w:eastAsia="en-GB"/>
        </w:rPr>
        <w:t xml:space="preserve">. (2019). </w:t>
      </w:r>
      <w:r w:rsidRPr="00E677CD">
        <w:rPr>
          <w:rFonts w:ascii="Arial" w:eastAsia="Times New Roman" w:hAnsi="Arial" w:cs="Arial"/>
          <w:i/>
          <w:iCs/>
          <w:color w:val="000000"/>
          <w:sz w:val="24"/>
          <w:szCs w:val="24"/>
          <w:lang w:val="en" w:eastAsia="en-GB"/>
        </w:rPr>
        <w:t xml:space="preserve">Introduction to policing + interactive </w:t>
      </w:r>
      <w:proofErr w:type="spellStart"/>
      <w:r w:rsidRPr="00E677CD">
        <w:rPr>
          <w:rFonts w:ascii="Arial" w:eastAsia="Times New Roman" w:hAnsi="Arial" w:cs="Arial"/>
          <w:i/>
          <w:iCs/>
          <w:color w:val="000000"/>
          <w:sz w:val="24"/>
          <w:szCs w:val="24"/>
          <w:lang w:val="en" w:eastAsia="en-GB"/>
        </w:rPr>
        <w:t>ebook</w:t>
      </w:r>
      <w:proofErr w:type="spellEnd"/>
      <w:r w:rsidRPr="00E677CD">
        <w:rPr>
          <w:rFonts w:ascii="Arial" w:eastAsia="Times New Roman" w:hAnsi="Arial" w:cs="Arial"/>
          <w:i/>
          <w:iCs/>
          <w:color w:val="000000"/>
          <w:sz w:val="24"/>
          <w:szCs w:val="24"/>
          <w:lang w:val="en" w:eastAsia="en-GB"/>
        </w:rPr>
        <w:t>.</w:t>
      </w:r>
      <w:r w:rsidRPr="00E677CD">
        <w:rPr>
          <w:rFonts w:ascii="Arial" w:eastAsia="Times New Roman" w:hAnsi="Arial" w:cs="Arial"/>
          <w:color w:val="000000"/>
          <w:sz w:val="24"/>
          <w:szCs w:val="24"/>
          <w:lang w:val="en" w:eastAsia="en-GB"/>
        </w:rPr>
        <w:t xml:space="preserve"> [online] New York: Sage Publications. Available at: https://www.sagepub.com/sites/default/files/upm-binaries/97658_Chapter_12_Policing_in_a_Diverse_Society.pdf [Accessed 15 Feb. 2021].</w:t>
      </w:r>
    </w:p>
    <w:p w:rsidR="004D4416" w:rsidRPr="0006301F" w:rsidRDefault="004D4416" w:rsidP="004D4416">
      <w:pPr>
        <w:shd w:val="clear" w:color="auto" w:fill="FFFFFF"/>
        <w:spacing w:after="240" w:line="360" w:lineRule="auto"/>
        <w:ind w:left="425"/>
        <w:rPr>
          <w:rFonts w:ascii="Arial" w:eastAsia="Times New Roman" w:hAnsi="Arial" w:cs="Arial"/>
          <w:color w:val="000000"/>
          <w:sz w:val="24"/>
          <w:szCs w:val="24"/>
          <w:lang w:val="en" w:eastAsia="en-GB"/>
        </w:rPr>
      </w:pPr>
      <w:r w:rsidRPr="0006301F">
        <w:rPr>
          <w:rFonts w:ascii="Arial" w:eastAsia="Times New Roman" w:hAnsi="Arial" w:cs="Arial"/>
          <w:color w:val="000000"/>
          <w:sz w:val="24"/>
          <w:szCs w:val="24"/>
          <w:lang w:val="en" w:eastAsia="en-GB"/>
        </w:rPr>
        <w:t xml:space="preserve">H M </w:t>
      </w:r>
      <w:r w:rsidRPr="0006301F">
        <w:rPr>
          <w:rFonts w:ascii="Arial" w:eastAsia="Times New Roman" w:hAnsi="Arial" w:cs="Arial"/>
          <w:color w:val="000000"/>
          <w:sz w:val="24"/>
          <w:szCs w:val="24"/>
          <w:lang w:val="en" w:eastAsia="en-GB"/>
        </w:rPr>
        <w:t>Government</w:t>
      </w:r>
      <w:r w:rsidRPr="0006301F">
        <w:rPr>
          <w:rFonts w:ascii="Arial" w:eastAsia="Times New Roman" w:hAnsi="Arial" w:cs="Arial"/>
          <w:color w:val="000000"/>
          <w:sz w:val="24"/>
          <w:szCs w:val="24"/>
          <w:lang w:val="en" w:eastAsia="en-GB"/>
        </w:rPr>
        <w:t xml:space="preserve"> (2011). </w:t>
      </w:r>
      <w:r w:rsidRPr="0006301F">
        <w:rPr>
          <w:rFonts w:ascii="Arial" w:eastAsia="Times New Roman" w:hAnsi="Arial" w:cs="Arial"/>
          <w:i/>
          <w:iCs/>
          <w:color w:val="000000"/>
          <w:sz w:val="24"/>
          <w:szCs w:val="24"/>
          <w:lang w:val="en" w:eastAsia="en-GB"/>
        </w:rPr>
        <w:t>Ending Gang and Youth Violence: A Cross - Government Report</w:t>
      </w:r>
      <w:r w:rsidRPr="0006301F">
        <w:rPr>
          <w:rFonts w:ascii="Arial" w:eastAsia="Times New Roman" w:hAnsi="Arial" w:cs="Arial"/>
          <w:color w:val="000000"/>
          <w:sz w:val="24"/>
          <w:szCs w:val="24"/>
          <w:lang w:val="en" w:eastAsia="en-GB"/>
        </w:rPr>
        <w:t xml:space="preserve">. [online] Available at: </w:t>
      </w:r>
      <w:r w:rsidRPr="0006301F">
        <w:rPr>
          <w:rFonts w:ascii="Arial" w:eastAsia="Times New Roman" w:hAnsi="Arial" w:cs="Arial"/>
          <w:color w:val="000000"/>
          <w:sz w:val="24"/>
          <w:szCs w:val="24"/>
          <w:lang w:val="en" w:eastAsia="en-GB"/>
        </w:rPr>
        <w:lastRenderedPageBreak/>
        <w:t>https://assets.publishing.service.gov.uk/government/uploads/system/uploads/attachment_data/file/97861/gang-violence-summary.pdf [Accessed 14 Feb. 2021].</w:t>
      </w:r>
    </w:p>
    <w:p w:rsidR="004D4416" w:rsidRPr="003846CA" w:rsidRDefault="004D4416" w:rsidP="004D4416">
      <w:pPr>
        <w:overflowPunct w:val="0"/>
        <w:autoSpaceDE w:val="0"/>
        <w:autoSpaceDN w:val="0"/>
        <w:adjustRightInd w:val="0"/>
        <w:spacing w:before="240" w:after="0" w:line="360" w:lineRule="auto"/>
        <w:ind w:left="425"/>
        <w:textAlignment w:val="baseline"/>
        <w:rPr>
          <w:rFonts w:ascii="Arial" w:eastAsia="Times New Roman" w:hAnsi="Arial" w:cs="Arial"/>
          <w:color w:val="000000"/>
          <w:sz w:val="24"/>
          <w:szCs w:val="24"/>
          <w:lang w:val="en" w:eastAsia="en-GB"/>
        </w:rPr>
      </w:pPr>
      <w:proofErr w:type="spellStart"/>
      <w:r w:rsidRPr="003846CA">
        <w:rPr>
          <w:rFonts w:ascii="Arial" w:eastAsia="Times New Roman" w:hAnsi="Arial" w:cs="Arial"/>
          <w:sz w:val="24"/>
          <w:szCs w:val="24"/>
          <w:lang w:eastAsia="en-GB"/>
        </w:rPr>
        <w:t>Harfield</w:t>
      </w:r>
      <w:proofErr w:type="spellEnd"/>
      <w:r w:rsidRPr="003846CA">
        <w:rPr>
          <w:rFonts w:ascii="Arial" w:eastAsia="Times New Roman" w:hAnsi="Arial" w:cs="Arial"/>
          <w:sz w:val="24"/>
          <w:szCs w:val="24"/>
          <w:lang w:eastAsia="en-GB"/>
        </w:rPr>
        <w:t xml:space="preserve">, C. (2013). </w:t>
      </w:r>
      <w:r w:rsidRPr="003846CA">
        <w:rPr>
          <w:rFonts w:ascii="Arial" w:eastAsia="Times New Roman" w:hAnsi="Arial" w:cs="Arial"/>
          <w:i/>
          <w:iCs/>
          <w:color w:val="000000"/>
          <w:sz w:val="24"/>
          <w:szCs w:val="24"/>
          <w:lang w:val="en" w:eastAsia="en-GB"/>
        </w:rPr>
        <w:t>Blackstone’s police operational handbook : practice and procedure</w:t>
      </w:r>
      <w:r w:rsidRPr="003846CA">
        <w:rPr>
          <w:rFonts w:ascii="Arial" w:eastAsia="Times New Roman" w:hAnsi="Arial" w:cs="Arial"/>
          <w:color w:val="000000"/>
          <w:sz w:val="24"/>
          <w:szCs w:val="24"/>
          <w:lang w:val="en" w:eastAsia="en-GB"/>
        </w:rPr>
        <w:t>. 2</w:t>
      </w:r>
      <w:r w:rsidRPr="003846CA">
        <w:rPr>
          <w:rFonts w:ascii="Arial" w:eastAsia="Times New Roman" w:hAnsi="Arial" w:cs="Arial"/>
          <w:color w:val="000000"/>
          <w:sz w:val="24"/>
          <w:szCs w:val="24"/>
          <w:vertAlign w:val="superscript"/>
          <w:lang w:val="en" w:eastAsia="en-GB"/>
        </w:rPr>
        <w:t>nd</w:t>
      </w:r>
      <w:r w:rsidRPr="003846CA">
        <w:rPr>
          <w:rFonts w:ascii="Arial" w:eastAsia="Times New Roman" w:hAnsi="Arial" w:cs="Arial"/>
          <w:color w:val="000000"/>
          <w:sz w:val="24"/>
          <w:szCs w:val="24"/>
          <w:lang w:val="en" w:eastAsia="en-GB"/>
        </w:rPr>
        <w:t xml:space="preserve"> Edition. Oxford, United Kingdom. Oxford University Press. Available at:</w:t>
      </w:r>
      <w:r w:rsidRPr="003846CA">
        <w:rPr>
          <w:rFonts w:ascii="Arial" w:hAnsi="Arial" w:cs="Arial"/>
        </w:rPr>
        <w:t xml:space="preserve"> </w:t>
      </w:r>
      <w:hyperlink r:id="rId8" w:history="1">
        <w:r w:rsidRPr="003846CA">
          <w:rPr>
            <w:rFonts w:ascii="Arial" w:eastAsia="Times New Roman" w:hAnsi="Arial" w:cs="Arial"/>
            <w:color w:val="0563C1" w:themeColor="hyperlink"/>
            <w:sz w:val="24"/>
            <w:szCs w:val="24"/>
            <w:u w:val="single"/>
            <w:lang w:val="en" w:eastAsia="en-GB"/>
          </w:rPr>
          <w:t>https://web-a-ebscohost-com.ezproxy.uwtsd.ac.uk/ehost/ebookviewer/ebook/bmxlYmtfXzIxMjYzMjFfX0FO0?sid=34d34ca5-0139-4e00-ad58-73d26c525193@sdc-v-sessmgr02&amp;vid=0&amp;format=EB&amp;lpid=lp_355&amp;rid=0</w:t>
        </w:r>
      </w:hyperlink>
      <w:r w:rsidRPr="003846CA">
        <w:rPr>
          <w:rFonts w:ascii="Arial" w:eastAsia="Times New Roman" w:hAnsi="Arial" w:cs="Arial"/>
          <w:color w:val="000000"/>
          <w:sz w:val="24"/>
          <w:szCs w:val="24"/>
          <w:lang w:val="en" w:eastAsia="en-GB"/>
        </w:rPr>
        <w:t>. Accessed on: 7</w:t>
      </w:r>
      <w:r w:rsidRPr="003846CA">
        <w:rPr>
          <w:rFonts w:ascii="Arial" w:eastAsia="Times New Roman" w:hAnsi="Arial" w:cs="Arial"/>
          <w:color w:val="000000"/>
          <w:sz w:val="24"/>
          <w:szCs w:val="24"/>
          <w:vertAlign w:val="superscript"/>
          <w:lang w:val="en" w:eastAsia="en-GB"/>
        </w:rPr>
        <w:t>th</w:t>
      </w:r>
      <w:r w:rsidRPr="003846CA">
        <w:rPr>
          <w:rFonts w:ascii="Arial" w:eastAsia="Times New Roman" w:hAnsi="Arial" w:cs="Arial"/>
          <w:color w:val="000000"/>
          <w:sz w:val="24"/>
          <w:szCs w:val="24"/>
          <w:lang w:val="en" w:eastAsia="en-GB"/>
        </w:rPr>
        <w:t xml:space="preserve"> February 2021</w:t>
      </w:r>
    </w:p>
    <w:p w:rsidR="004D4416" w:rsidRDefault="004D4416" w:rsidP="004D4416">
      <w:pPr>
        <w:shd w:val="clear" w:color="auto" w:fill="FFFFFF"/>
        <w:spacing w:after="240" w:line="360" w:lineRule="auto"/>
        <w:ind w:left="425"/>
        <w:rPr>
          <w:rFonts w:ascii="Times New Roman" w:eastAsia="Times New Roman" w:hAnsi="Times New Roman" w:cs="Times New Roman"/>
          <w:color w:val="000000"/>
          <w:sz w:val="24"/>
          <w:szCs w:val="24"/>
          <w:lang w:val="en" w:eastAsia="en-GB"/>
        </w:rPr>
      </w:pPr>
      <w:r w:rsidRPr="004B5C15">
        <w:rPr>
          <w:rFonts w:ascii="Arial" w:eastAsia="Times New Roman" w:hAnsi="Arial" w:cs="Arial"/>
          <w:color w:val="000000"/>
          <w:sz w:val="24"/>
          <w:szCs w:val="24"/>
          <w:lang w:val="en" w:eastAsia="en-GB"/>
        </w:rPr>
        <w:t xml:space="preserve">HM Government (2018). </w:t>
      </w:r>
      <w:r w:rsidRPr="004B5C15">
        <w:rPr>
          <w:rFonts w:ascii="Arial" w:eastAsia="Times New Roman" w:hAnsi="Arial" w:cs="Arial"/>
          <w:i/>
          <w:iCs/>
          <w:color w:val="000000"/>
          <w:sz w:val="24"/>
          <w:szCs w:val="24"/>
          <w:lang w:val="en" w:eastAsia="en-GB"/>
        </w:rPr>
        <w:t xml:space="preserve">Serious and </w:t>
      </w:r>
      <w:proofErr w:type="spellStart"/>
      <w:r>
        <w:rPr>
          <w:rFonts w:ascii="Arial" w:eastAsia="Times New Roman" w:hAnsi="Arial" w:cs="Arial"/>
          <w:i/>
          <w:iCs/>
          <w:color w:val="000000"/>
          <w:sz w:val="24"/>
          <w:szCs w:val="24"/>
          <w:lang w:val="en" w:eastAsia="en-GB"/>
        </w:rPr>
        <w:t>Organis</w:t>
      </w:r>
      <w:r w:rsidRPr="004B5C15">
        <w:rPr>
          <w:rFonts w:ascii="Arial" w:eastAsia="Times New Roman" w:hAnsi="Arial" w:cs="Arial"/>
          <w:i/>
          <w:iCs/>
          <w:color w:val="000000"/>
          <w:sz w:val="24"/>
          <w:szCs w:val="24"/>
          <w:lang w:val="en" w:eastAsia="en-GB"/>
        </w:rPr>
        <w:t>ed</w:t>
      </w:r>
      <w:proofErr w:type="spellEnd"/>
      <w:r w:rsidRPr="004B5C15">
        <w:rPr>
          <w:rFonts w:ascii="Arial" w:eastAsia="Times New Roman" w:hAnsi="Arial" w:cs="Arial"/>
          <w:i/>
          <w:iCs/>
          <w:color w:val="000000"/>
          <w:sz w:val="24"/>
          <w:szCs w:val="24"/>
          <w:lang w:val="en" w:eastAsia="en-GB"/>
        </w:rPr>
        <w:t xml:space="preserve"> Crime Strategy</w:t>
      </w:r>
      <w:r w:rsidRPr="004B5C15">
        <w:rPr>
          <w:rFonts w:ascii="Arial" w:eastAsia="Times New Roman" w:hAnsi="Arial" w:cs="Arial"/>
          <w:color w:val="000000"/>
          <w:sz w:val="24"/>
          <w:szCs w:val="24"/>
          <w:lang w:val="en" w:eastAsia="en-GB"/>
        </w:rPr>
        <w:t>. [online] Available at: https://assets.publishing.service.gov.uk/government/uploads/system/uploads/attachment_data/file/752850/SOC-2018-web.pdf [Accessed 15 Feb. 2021].</w:t>
      </w:r>
    </w:p>
    <w:p w:rsidR="004D4416" w:rsidRPr="004B5C15" w:rsidRDefault="004D4416" w:rsidP="004D4416">
      <w:pPr>
        <w:overflowPunct w:val="0"/>
        <w:autoSpaceDE w:val="0"/>
        <w:autoSpaceDN w:val="0"/>
        <w:adjustRightInd w:val="0"/>
        <w:spacing w:before="240" w:line="360" w:lineRule="auto"/>
        <w:ind w:left="425"/>
        <w:textAlignment w:val="baseline"/>
        <w:rPr>
          <w:rFonts w:ascii="Arial" w:hAnsi="Arial" w:cs="Arial"/>
          <w:sz w:val="24"/>
          <w:szCs w:val="24"/>
        </w:rPr>
      </w:pPr>
      <w:r w:rsidRPr="004B5C15">
        <w:rPr>
          <w:rFonts w:ascii="Arial" w:hAnsi="Arial" w:cs="Arial"/>
          <w:sz w:val="24"/>
          <w:szCs w:val="24"/>
        </w:rPr>
        <w:t xml:space="preserve">HM Prison &amp; Probation Service. (2012). </w:t>
      </w:r>
      <w:r w:rsidRPr="004B5C15">
        <w:rPr>
          <w:rFonts w:ascii="Arial" w:hAnsi="Arial" w:cs="Arial"/>
          <w:i/>
          <w:iCs/>
          <w:sz w:val="24"/>
          <w:szCs w:val="24"/>
        </w:rPr>
        <w:t>MAPPA Guidance.</w:t>
      </w:r>
      <w:r w:rsidRPr="004B5C15">
        <w:rPr>
          <w:rFonts w:ascii="Arial" w:hAnsi="Arial" w:cs="Arial"/>
          <w:sz w:val="24"/>
          <w:szCs w:val="24"/>
        </w:rPr>
        <w:t xml:space="preserve"> Available: https://www.gov.uk/government/publications/multi-agency-public-protection-arrangements-mappa-guidance. Last accessed 6th February 2021.</w:t>
      </w:r>
    </w:p>
    <w:p w:rsidR="004D4416" w:rsidRPr="00756BB4"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756BB4">
        <w:rPr>
          <w:rFonts w:ascii="Arial" w:eastAsia="Times New Roman" w:hAnsi="Arial" w:cs="Arial"/>
          <w:color w:val="000000"/>
          <w:sz w:val="24"/>
          <w:szCs w:val="24"/>
          <w:lang w:val="en" w:eastAsia="en-GB"/>
        </w:rPr>
        <w:t xml:space="preserve">HMIC (2014). </w:t>
      </w:r>
      <w:r w:rsidRPr="00756BB4">
        <w:rPr>
          <w:rFonts w:ascii="Arial" w:eastAsia="Times New Roman" w:hAnsi="Arial" w:cs="Arial"/>
          <w:i/>
          <w:iCs/>
          <w:color w:val="000000"/>
          <w:sz w:val="24"/>
          <w:szCs w:val="24"/>
          <w:lang w:val="en" w:eastAsia="en-GB"/>
        </w:rPr>
        <w:t>Police Integrity and Corruption South Wales Police</w:t>
      </w:r>
      <w:r w:rsidRPr="00756BB4">
        <w:rPr>
          <w:rFonts w:ascii="Arial" w:eastAsia="Times New Roman" w:hAnsi="Arial" w:cs="Arial"/>
          <w:color w:val="000000"/>
          <w:sz w:val="24"/>
          <w:szCs w:val="24"/>
          <w:lang w:val="en" w:eastAsia="en-GB"/>
        </w:rPr>
        <w:t>. [online] . Available at: https://www.justiceinspectorates.gov.uk/hmicfrs/wp-content/uploads/south-wales-crime-and-integrity.pdf [Accessed 15 Feb. 2021].</w:t>
      </w:r>
    </w:p>
    <w:p w:rsidR="004D4416" w:rsidRPr="00756BB4"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756BB4">
        <w:rPr>
          <w:rFonts w:ascii="Arial" w:eastAsia="Times New Roman" w:hAnsi="Arial" w:cs="Arial"/>
          <w:color w:val="000000"/>
          <w:sz w:val="24"/>
          <w:szCs w:val="24"/>
          <w:lang w:val="en" w:eastAsia="en-GB"/>
        </w:rPr>
        <w:t xml:space="preserve">HMICFRS (2018). </w:t>
      </w:r>
      <w:r w:rsidRPr="00756BB4">
        <w:rPr>
          <w:rFonts w:ascii="Arial" w:eastAsia="Times New Roman" w:hAnsi="Arial" w:cs="Arial"/>
          <w:i/>
          <w:iCs/>
          <w:color w:val="000000"/>
          <w:sz w:val="24"/>
          <w:szCs w:val="24"/>
          <w:lang w:val="en" w:eastAsia="en-GB"/>
        </w:rPr>
        <w:t>What we do - HMICFRS</w:t>
      </w:r>
      <w:r w:rsidRPr="00756BB4">
        <w:rPr>
          <w:rFonts w:ascii="Arial" w:eastAsia="Times New Roman" w:hAnsi="Arial" w:cs="Arial"/>
          <w:color w:val="000000"/>
          <w:sz w:val="24"/>
          <w:szCs w:val="24"/>
          <w:lang w:val="en" w:eastAsia="en-GB"/>
        </w:rPr>
        <w:t>. [online] Available at: https://www.justiceinspectorates.gov.uk/hmicfrs/about-us/what-we-do/ [Accessed 13 Feb. 2021].</w:t>
      </w:r>
    </w:p>
    <w:p w:rsidR="004D4416" w:rsidRPr="00756BB4" w:rsidRDefault="004D4416" w:rsidP="004D4416">
      <w:pPr>
        <w:overflowPunct w:val="0"/>
        <w:autoSpaceDE w:val="0"/>
        <w:autoSpaceDN w:val="0"/>
        <w:adjustRightInd w:val="0"/>
        <w:spacing w:before="240" w:line="360" w:lineRule="auto"/>
        <w:ind w:left="425"/>
        <w:textAlignment w:val="baseline"/>
        <w:rPr>
          <w:rFonts w:ascii="Arial" w:hAnsi="Arial" w:cs="Arial"/>
          <w:sz w:val="24"/>
          <w:szCs w:val="24"/>
        </w:rPr>
      </w:pPr>
      <w:r w:rsidRPr="00D15B49">
        <w:rPr>
          <w:rFonts w:ascii="Arial" w:hAnsi="Arial" w:cs="Arial"/>
          <w:sz w:val="24"/>
          <w:szCs w:val="24"/>
        </w:rPr>
        <w:t xml:space="preserve">HMICFRS. (April 2019). </w:t>
      </w:r>
      <w:r w:rsidRPr="00D15B49">
        <w:rPr>
          <w:rFonts w:ascii="Arial" w:hAnsi="Arial" w:cs="Arial"/>
          <w:i/>
          <w:iCs/>
          <w:sz w:val="24"/>
          <w:szCs w:val="24"/>
        </w:rPr>
        <w:t>Professional Standards Department.</w:t>
      </w:r>
      <w:r w:rsidRPr="00D15B49">
        <w:rPr>
          <w:rFonts w:ascii="Arial" w:hAnsi="Arial" w:cs="Arial"/>
          <w:sz w:val="24"/>
          <w:szCs w:val="24"/>
        </w:rPr>
        <w:t xml:space="preserve"> Available: https://www.justiceinspectorates.gov.uk/hmicfrs/glossary/professional-standards-department/. Last accessed 27th January 2021.</w:t>
      </w:r>
    </w:p>
    <w:p w:rsidR="004D4416" w:rsidRPr="00756BB4"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756BB4">
        <w:rPr>
          <w:rFonts w:ascii="Arial" w:eastAsia="Times New Roman" w:hAnsi="Arial" w:cs="Arial"/>
          <w:color w:val="000000"/>
          <w:sz w:val="24"/>
          <w:szCs w:val="24"/>
          <w:lang w:val="en" w:eastAsia="en-GB"/>
        </w:rPr>
        <w:t xml:space="preserve">Independent Office for Police Conduct (2019). </w:t>
      </w:r>
      <w:r w:rsidRPr="00756BB4">
        <w:rPr>
          <w:rFonts w:ascii="Arial" w:eastAsia="Times New Roman" w:hAnsi="Arial" w:cs="Arial"/>
          <w:i/>
          <w:iCs/>
          <w:color w:val="000000"/>
          <w:sz w:val="24"/>
          <w:szCs w:val="24"/>
          <w:lang w:val="en" w:eastAsia="en-GB"/>
        </w:rPr>
        <w:t>Who we are</w:t>
      </w:r>
      <w:r w:rsidRPr="00756BB4">
        <w:rPr>
          <w:rFonts w:ascii="Arial" w:eastAsia="Times New Roman" w:hAnsi="Arial" w:cs="Arial"/>
          <w:color w:val="000000"/>
          <w:sz w:val="24"/>
          <w:szCs w:val="24"/>
          <w:lang w:val="en" w:eastAsia="en-GB"/>
        </w:rPr>
        <w:t>. [online] . Available at: https://www.policeconduct.gov.uk/who-we-are [Accessed 15 Feb. 2021].</w:t>
      </w:r>
    </w:p>
    <w:p w:rsidR="004D4416" w:rsidRPr="00756BB4"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756BB4">
        <w:rPr>
          <w:rFonts w:ascii="Arial" w:eastAsia="Times New Roman" w:hAnsi="Arial" w:cs="Arial"/>
          <w:color w:val="000000"/>
          <w:sz w:val="24"/>
          <w:szCs w:val="24"/>
          <w:lang w:val="en" w:eastAsia="en-GB"/>
        </w:rPr>
        <w:t xml:space="preserve">IPCC (2012). </w:t>
      </w:r>
      <w:r w:rsidRPr="00756BB4">
        <w:rPr>
          <w:rFonts w:ascii="Arial" w:eastAsia="Times New Roman" w:hAnsi="Arial" w:cs="Arial"/>
          <w:i/>
          <w:iCs/>
          <w:color w:val="000000"/>
          <w:sz w:val="24"/>
          <w:szCs w:val="24"/>
          <w:lang w:val="en" w:eastAsia="en-GB"/>
        </w:rPr>
        <w:t>The Abuse of Police Powers to Perpetrate Sexual Violence</w:t>
      </w:r>
      <w:r w:rsidRPr="00756BB4">
        <w:rPr>
          <w:rFonts w:ascii="Arial" w:eastAsia="Times New Roman" w:hAnsi="Arial" w:cs="Arial"/>
          <w:color w:val="000000"/>
          <w:sz w:val="24"/>
          <w:szCs w:val="24"/>
          <w:lang w:val="en" w:eastAsia="en-GB"/>
        </w:rPr>
        <w:t>. [online] . Available at: https://www.policeconduct.gov.uk/sites/default/files/Documents/research-</w:t>
      </w:r>
      <w:r w:rsidRPr="00756BB4">
        <w:rPr>
          <w:rFonts w:ascii="Arial" w:eastAsia="Times New Roman" w:hAnsi="Arial" w:cs="Arial"/>
          <w:color w:val="000000"/>
          <w:sz w:val="24"/>
          <w:szCs w:val="24"/>
          <w:lang w:val="en" w:eastAsia="en-GB"/>
        </w:rPr>
        <w:lastRenderedPageBreak/>
        <w:t>learning/abuse_of_police_powers_to_perpetrate_sexual_violence.pdf [Accessed 15 Feb. 2021].</w:t>
      </w:r>
    </w:p>
    <w:p w:rsidR="004D4416" w:rsidRDefault="004D4416" w:rsidP="004D4416">
      <w:pPr>
        <w:overflowPunct w:val="0"/>
        <w:autoSpaceDE w:val="0"/>
        <w:autoSpaceDN w:val="0"/>
        <w:adjustRightInd w:val="0"/>
        <w:spacing w:after="0" w:line="360" w:lineRule="auto"/>
        <w:ind w:left="425"/>
        <w:textAlignment w:val="baseline"/>
        <w:rPr>
          <w:rFonts w:ascii="Arial" w:hAnsi="Arial" w:cs="Arial"/>
          <w:color w:val="000000"/>
          <w:sz w:val="24"/>
          <w:szCs w:val="24"/>
          <w:lang w:val="en"/>
        </w:rPr>
      </w:pPr>
      <w:r w:rsidRPr="003846CA">
        <w:rPr>
          <w:rFonts w:ascii="Arial" w:hAnsi="Arial" w:cs="Arial"/>
          <w:color w:val="000000"/>
          <w:sz w:val="24"/>
          <w:szCs w:val="24"/>
          <w:lang w:val="en"/>
        </w:rPr>
        <w:t xml:space="preserve">Jay, A. 2014. </w:t>
      </w:r>
      <w:r w:rsidRPr="003846CA">
        <w:rPr>
          <w:rFonts w:ascii="Arial" w:hAnsi="Arial" w:cs="Arial"/>
          <w:i/>
          <w:iCs/>
          <w:color w:val="000000"/>
          <w:sz w:val="24"/>
          <w:szCs w:val="24"/>
          <w:lang w:val="en"/>
        </w:rPr>
        <w:t xml:space="preserve">Independent Inquiry into Child Sexual Exploitation in </w:t>
      </w:r>
      <w:proofErr w:type="spellStart"/>
      <w:r w:rsidRPr="003846CA">
        <w:rPr>
          <w:rFonts w:ascii="Arial" w:hAnsi="Arial" w:cs="Arial"/>
          <w:i/>
          <w:iCs/>
          <w:color w:val="000000"/>
          <w:sz w:val="24"/>
          <w:szCs w:val="24"/>
          <w:lang w:val="en"/>
        </w:rPr>
        <w:t>Rotherham</w:t>
      </w:r>
      <w:proofErr w:type="spellEnd"/>
      <w:r w:rsidRPr="003846CA">
        <w:rPr>
          <w:rFonts w:ascii="Arial" w:hAnsi="Arial" w:cs="Arial"/>
          <w:i/>
          <w:iCs/>
          <w:color w:val="000000"/>
          <w:sz w:val="24"/>
          <w:szCs w:val="24"/>
          <w:lang w:val="en"/>
        </w:rPr>
        <w:t xml:space="preserve"> 1997 - 2013</w:t>
      </w:r>
      <w:r w:rsidRPr="003846CA">
        <w:rPr>
          <w:rFonts w:ascii="Arial" w:hAnsi="Arial" w:cs="Arial"/>
          <w:color w:val="000000"/>
          <w:sz w:val="24"/>
          <w:szCs w:val="24"/>
          <w:lang w:val="en"/>
        </w:rPr>
        <w:t>. [online] Available at: &lt;https://www.rotherham.gov.uk/downloads/file/279/independent-inquiry-into-child-sexual-exploitation-in-rotherham&gt; [Accessed 7 February 2021].</w:t>
      </w:r>
    </w:p>
    <w:p w:rsidR="004D4416" w:rsidRPr="00E677CD"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E677CD">
        <w:rPr>
          <w:rFonts w:ascii="Arial" w:eastAsia="Times New Roman" w:hAnsi="Arial" w:cs="Arial"/>
          <w:color w:val="000000"/>
          <w:sz w:val="24"/>
          <w:szCs w:val="24"/>
          <w:lang w:val="en" w:eastAsia="en-GB"/>
        </w:rPr>
        <w:t xml:space="preserve">London Assembly </w:t>
      </w:r>
      <w:proofErr w:type="spellStart"/>
      <w:r w:rsidRPr="00E677CD">
        <w:rPr>
          <w:rFonts w:ascii="Arial" w:eastAsia="Times New Roman" w:hAnsi="Arial" w:cs="Arial"/>
          <w:color w:val="000000"/>
          <w:sz w:val="24"/>
          <w:szCs w:val="24"/>
          <w:lang w:val="en" w:eastAsia="en-GB"/>
        </w:rPr>
        <w:t>Labour</w:t>
      </w:r>
      <w:proofErr w:type="spellEnd"/>
      <w:r w:rsidRPr="00E677CD">
        <w:rPr>
          <w:rFonts w:ascii="Arial" w:eastAsia="Times New Roman" w:hAnsi="Arial" w:cs="Arial"/>
          <w:color w:val="000000"/>
          <w:sz w:val="24"/>
          <w:szCs w:val="24"/>
          <w:lang w:val="en" w:eastAsia="en-GB"/>
        </w:rPr>
        <w:t xml:space="preserve"> and Desai, U. (2020). </w:t>
      </w:r>
      <w:r w:rsidRPr="00E677CD">
        <w:rPr>
          <w:rFonts w:ascii="Arial" w:eastAsia="Times New Roman" w:hAnsi="Arial" w:cs="Arial"/>
          <w:i/>
          <w:iCs/>
          <w:color w:val="000000"/>
          <w:sz w:val="24"/>
          <w:szCs w:val="24"/>
          <w:lang w:val="en" w:eastAsia="en-GB"/>
        </w:rPr>
        <w:t>Policing with Consent</w:t>
      </w:r>
      <w:r w:rsidRPr="00E677CD">
        <w:rPr>
          <w:rFonts w:ascii="Arial" w:eastAsia="Times New Roman" w:hAnsi="Arial" w:cs="Arial"/>
          <w:color w:val="000000"/>
          <w:sz w:val="24"/>
          <w:szCs w:val="24"/>
          <w:lang w:val="en" w:eastAsia="en-GB"/>
        </w:rPr>
        <w:t>. [online] . Available at: https://www.london.gov.uk/sites/default/files/policing_with_consent.pdf [Accessed 12 Feb. 2021].</w:t>
      </w:r>
    </w:p>
    <w:p w:rsidR="004D4416" w:rsidRPr="00756BB4" w:rsidRDefault="004D4416" w:rsidP="004D4416">
      <w:pPr>
        <w:shd w:val="clear" w:color="auto" w:fill="FFFFFF"/>
        <w:spacing w:line="360" w:lineRule="auto"/>
        <w:ind w:left="425"/>
        <w:rPr>
          <w:rFonts w:ascii="Arial" w:eastAsia="Times New Roman" w:hAnsi="Arial" w:cs="Arial"/>
          <w:color w:val="000000"/>
          <w:sz w:val="24"/>
          <w:szCs w:val="24"/>
          <w:lang w:val="en" w:eastAsia="en-GB"/>
        </w:rPr>
      </w:pPr>
      <w:proofErr w:type="spellStart"/>
      <w:r w:rsidRPr="00756BB4">
        <w:rPr>
          <w:rFonts w:ascii="Arial" w:eastAsia="Times New Roman" w:hAnsi="Arial" w:cs="Arial"/>
          <w:color w:val="000000"/>
          <w:sz w:val="24"/>
          <w:szCs w:val="24"/>
          <w:lang w:val="en" w:eastAsia="en-GB"/>
        </w:rPr>
        <w:t>Macvean</w:t>
      </w:r>
      <w:proofErr w:type="spellEnd"/>
      <w:r w:rsidRPr="00756BB4">
        <w:rPr>
          <w:rFonts w:ascii="Arial" w:eastAsia="Times New Roman" w:hAnsi="Arial" w:cs="Arial"/>
          <w:color w:val="000000"/>
          <w:sz w:val="24"/>
          <w:szCs w:val="24"/>
          <w:lang w:val="en" w:eastAsia="en-GB"/>
        </w:rPr>
        <w:t xml:space="preserve">, A., </w:t>
      </w:r>
      <w:proofErr w:type="spellStart"/>
      <w:r w:rsidRPr="00756BB4">
        <w:rPr>
          <w:rFonts w:ascii="Arial" w:eastAsia="Times New Roman" w:hAnsi="Arial" w:cs="Arial"/>
          <w:color w:val="000000"/>
          <w:sz w:val="24"/>
          <w:szCs w:val="24"/>
          <w:lang w:val="en" w:eastAsia="en-GB"/>
        </w:rPr>
        <w:t>Spindler</w:t>
      </w:r>
      <w:proofErr w:type="spellEnd"/>
      <w:r w:rsidRPr="00756BB4">
        <w:rPr>
          <w:rFonts w:ascii="Arial" w:eastAsia="Times New Roman" w:hAnsi="Arial" w:cs="Arial"/>
          <w:color w:val="000000"/>
          <w:sz w:val="24"/>
          <w:szCs w:val="24"/>
          <w:lang w:val="en" w:eastAsia="en-GB"/>
        </w:rPr>
        <w:t xml:space="preserve">, P. and </w:t>
      </w:r>
      <w:proofErr w:type="spellStart"/>
      <w:r w:rsidRPr="00756BB4">
        <w:rPr>
          <w:rFonts w:ascii="Arial" w:eastAsia="Times New Roman" w:hAnsi="Arial" w:cs="Arial"/>
          <w:color w:val="000000"/>
          <w:sz w:val="24"/>
          <w:szCs w:val="24"/>
          <w:lang w:val="en" w:eastAsia="en-GB"/>
        </w:rPr>
        <w:t>Solf</w:t>
      </w:r>
      <w:proofErr w:type="spellEnd"/>
      <w:r w:rsidRPr="00756BB4">
        <w:rPr>
          <w:rFonts w:ascii="Arial" w:eastAsia="Times New Roman" w:hAnsi="Arial" w:cs="Arial"/>
          <w:color w:val="000000"/>
          <w:sz w:val="24"/>
          <w:szCs w:val="24"/>
          <w:lang w:val="en" w:eastAsia="en-GB"/>
        </w:rPr>
        <w:t xml:space="preserve">, C. (2012). </w:t>
      </w:r>
      <w:r w:rsidRPr="00756BB4">
        <w:rPr>
          <w:rFonts w:ascii="Arial" w:eastAsia="Times New Roman" w:hAnsi="Arial" w:cs="Arial"/>
          <w:i/>
          <w:iCs/>
          <w:color w:val="000000"/>
          <w:sz w:val="24"/>
          <w:szCs w:val="24"/>
          <w:lang w:val="en" w:eastAsia="en-GB"/>
        </w:rPr>
        <w:t>Handbook of policing, ethics and professional standards</w:t>
      </w:r>
      <w:r w:rsidRPr="00756BB4">
        <w:rPr>
          <w:rFonts w:ascii="Arial" w:eastAsia="Times New Roman" w:hAnsi="Arial" w:cs="Arial"/>
          <w:color w:val="000000"/>
          <w:sz w:val="24"/>
          <w:szCs w:val="24"/>
          <w:lang w:val="en" w:eastAsia="en-GB"/>
        </w:rPr>
        <w:t>. London: Routledge.</w:t>
      </w:r>
    </w:p>
    <w:p w:rsidR="004D4416" w:rsidRPr="0006301F" w:rsidRDefault="004D4416" w:rsidP="004D4416">
      <w:pPr>
        <w:shd w:val="clear" w:color="auto" w:fill="FFFFFF"/>
        <w:spacing w:after="240" w:line="360" w:lineRule="auto"/>
        <w:ind w:left="425"/>
        <w:rPr>
          <w:rFonts w:ascii="Arial" w:eastAsia="Times New Roman" w:hAnsi="Arial" w:cs="Arial"/>
          <w:color w:val="000000"/>
          <w:sz w:val="24"/>
          <w:szCs w:val="24"/>
          <w:lang w:val="en" w:eastAsia="en-GB"/>
        </w:rPr>
      </w:pPr>
      <w:r w:rsidRPr="0006301F">
        <w:rPr>
          <w:rFonts w:ascii="Arial" w:eastAsia="Times New Roman" w:hAnsi="Arial" w:cs="Arial"/>
          <w:color w:val="000000"/>
          <w:sz w:val="24"/>
          <w:szCs w:val="24"/>
          <w:lang w:val="en" w:eastAsia="en-GB"/>
        </w:rPr>
        <w:t xml:space="preserve">Madero-Hernandez, A. (2019). Lifestyle Exposure Theory of Victimization. </w:t>
      </w:r>
      <w:r w:rsidRPr="0006301F">
        <w:rPr>
          <w:rFonts w:ascii="Arial" w:eastAsia="Times New Roman" w:hAnsi="Arial" w:cs="Arial"/>
          <w:i/>
          <w:iCs/>
          <w:color w:val="000000"/>
          <w:sz w:val="24"/>
          <w:szCs w:val="24"/>
          <w:lang w:val="en" w:eastAsia="en-GB"/>
        </w:rPr>
        <w:t>The Encyclopedia of Women and Crime</w:t>
      </w:r>
      <w:r w:rsidRPr="0006301F">
        <w:rPr>
          <w:rFonts w:ascii="Arial" w:eastAsia="Times New Roman" w:hAnsi="Arial" w:cs="Arial"/>
          <w:color w:val="000000"/>
          <w:sz w:val="24"/>
          <w:szCs w:val="24"/>
          <w:lang w:val="en" w:eastAsia="en-GB"/>
        </w:rPr>
        <w:t>, [online] pp.1–3. Available at: https://onlinelibrary.wiley.com/doi/abs/10.1002/9781118929803.ewac0334 [Accessed 14 Feb. 2021].</w:t>
      </w:r>
    </w:p>
    <w:p w:rsidR="004D4416" w:rsidRPr="00E677CD" w:rsidRDefault="004D4416" w:rsidP="004D4416">
      <w:pPr>
        <w:shd w:val="clear" w:color="auto" w:fill="FFFFFF"/>
        <w:spacing w:line="360" w:lineRule="auto"/>
        <w:ind w:left="425"/>
        <w:rPr>
          <w:rFonts w:ascii="Arial" w:eastAsia="Times New Roman" w:hAnsi="Arial" w:cs="Arial"/>
          <w:color w:val="000000"/>
          <w:sz w:val="24"/>
          <w:szCs w:val="24"/>
          <w:lang w:val="en" w:eastAsia="en-GB"/>
        </w:rPr>
      </w:pPr>
      <w:proofErr w:type="spellStart"/>
      <w:r w:rsidRPr="00E677CD">
        <w:rPr>
          <w:rFonts w:ascii="Arial" w:eastAsia="Times New Roman" w:hAnsi="Arial" w:cs="Arial"/>
          <w:sz w:val="24"/>
          <w:szCs w:val="24"/>
          <w:lang w:eastAsia="en-GB"/>
        </w:rPr>
        <w:t>Mehrabian</w:t>
      </w:r>
      <w:proofErr w:type="spellEnd"/>
      <w:r w:rsidRPr="00E677CD">
        <w:rPr>
          <w:rFonts w:ascii="Arial" w:eastAsia="Times New Roman" w:hAnsi="Arial" w:cs="Arial"/>
          <w:sz w:val="24"/>
          <w:szCs w:val="24"/>
          <w:lang w:eastAsia="en-GB"/>
        </w:rPr>
        <w:t xml:space="preserve">, A. (1968). Communication without words. In: Mortensen, C.D. eds. </w:t>
      </w:r>
      <w:r w:rsidRPr="00E677CD">
        <w:rPr>
          <w:rFonts w:ascii="Arial" w:eastAsia="Times New Roman" w:hAnsi="Arial" w:cs="Arial"/>
          <w:i/>
          <w:sz w:val="24"/>
          <w:szCs w:val="24"/>
          <w:lang w:eastAsia="en-GB"/>
        </w:rPr>
        <w:t xml:space="preserve">Communication Theory. </w:t>
      </w:r>
      <w:r w:rsidRPr="00E677CD">
        <w:rPr>
          <w:rFonts w:ascii="Arial" w:eastAsia="Times New Roman" w:hAnsi="Arial" w:cs="Arial"/>
          <w:sz w:val="24"/>
          <w:szCs w:val="24"/>
          <w:lang w:eastAsia="en-GB"/>
        </w:rPr>
        <w:t>2</w:t>
      </w:r>
      <w:r w:rsidRPr="00E677CD">
        <w:rPr>
          <w:rFonts w:ascii="Arial" w:eastAsia="Times New Roman" w:hAnsi="Arial" w:cs="Arial"/>
          <w:sz w:val="24"/>
          <w:szCs w:val="24"/>
          <w:vertAlign w:val="superscript"/>
          <w:lang w:eastAsia="en-GB"/>
        </w:rPr>
        <w:t>nd</w:t>
      </w:r>
      <w:r w:rsidRPr="00E677CD">
        <w:rPr>
          <w:rFonts w:ascii="Arial" w:eastAsia="Times New Roman" w:hAnsi="Arial" w:cs="Arial"/>
          <w:sz w:val="24"/>
          <w:szCs w:val="24"/>
          <w:lang w:eastAsia="en-GB"/>
        </w:rPr>
        <w:t xml:space="preserve"> Ed. London: Routledge, </w:t>
      </w:r>
    </w:p>
    <w:p w:rsidR="004D4416" w:rsidRPr="003846CA" w:rsidRDefault="004D4416" w:rsidP="004D4416">
      <w:pPr>
        <w:overflowPunct w:val="0"/>
        <w:autoSpaceDE w:val="0"/>
        <w:autoSpaceDN w:val="0"/>
        <w:adjustRightInd w:val="0"/>
        <w:spacing w:before="240" w:after="0" w:line="360" w:lineRule="auto"/>
        <w:ind w:left="426"/>
        <w:textAlignment w:val="baseline"/>
        <w:rPr>
          <w:rFonts w:ascii="Arial" w:eastAsia="Times New Roman" w:hAnsi="Arial" w:cs="Arial"/>
          <w:sz w:val="24"/>
          <w:szCs w:val="24"/>
          <w:lang w:eastAsia="en-GB"/>
        </w:rPr>
      </w:pPr>
      <w:r w:rsidRPr="003846CA">
        <w:rPr>
          <w:rFonts w:ascii="Arial" w:hAnsi="Arial" w:cs="Arial"/>
          <w:color w:val="000000"/>
          <w:sz w:val="24"/>
          <w:szCs w:val="24"/>
          <w:lang w:val="en"/>
        </w:rPr>
        <w:t xml:space="preserve">Ministry of Justice, 2020. </w:t>
      </w:r>
      <w:r w:rsidRPr="003846CA">
        <w:rPr>
          <w:rFonts w:ascii="Arial" w:hAnsi="Arial" w:cs="Arial"/>
          <w:i/>
          <w:iCs/>
          <w:color w:val="000000"/>
          <w:sz w:val="24"/>
          <w:szCs w:val="24"/>
          <w:lang w:val="en"/>
        </w:rPr>
        <w:t>Multi-Agency Public Protection Arrangements - Annual Report 2019/20</w:t>
      </w:r>
      <w:r w:rsidRPr="003846CA">
        <w:rPr>
          <w:rFonts w:ascii="Arial" w:hAnsi="Arial" w:cs="Arial"/>
          <w:color w:val="000000"/>
          <w:sz w:val="24"/>
          <w:szCs w:val="24"/>
          <w:lang w:val="en"/>
        </w:rPr>
        <w:t>. [online] Available at: https://assets.publishing.service.gov.uk/government/uploads/system/uploads/attachment_data/file/930302/MAPPA_Annual_Report_2019-20.pdf [Accessed 5 February 2021].</w:t>
      </w:r>
    </w:p>
    <w:p w:rsidR="004D4416" w:rsidRPr="004B5C15" w:rsidRDefault="004D4416" w:rsidP="004D4416">
      <w:pPr>
        <w:overflowPunct w:val="0"/>
        <w:autoSpaceDE w:val="0"/>
        <w:autoSpaceDN w:val="0"/>
        <w:adjustRightInd w:val="0"/>
        <w:spacing w:before="240" w:after="0" w:line="360" w:lineRule="auto"/>
        <w:ind w:left="425"/>
        <w:textAlignment w:val="baseline"/>
        <w:rPr>
          <w:rFonts w:ascii="Arial" w:eastAsia="Times New Roman" w:hAnsi="Arial" w:cs="Arial"/>
          <w:sz w:val="24"/>
          <w:szCs w:val="24"/>
          <w:lang w:eastAsia="en-GB"/>
        </w:rPr>
      </w:pPr>
      <w:r w:rsidRPr="004B5C15">
        <w:rPr>
          <w:rFonts w:ascii="Arial" w:eastAsia="Times New Roman" w:hAnsi="Arial" w:cs="Arial"/>
          <w:sz w:val="24"/>
          <w:szCs w:val="24"/>
          <w:lang w:eastAsia="en-GB"/>
        </w:rPr>
        <w:t xml:space="preserve">National Audit Office. 2019. </w:t>
      </w:r>
      <w:r w:rsidRPr="004B5C15">
        <w:rPr>
          <w:rFonts w:ascii="Arial" w:eastAsia="Times New Roman" w:hAnsi="Arial" w:cs="Arial"/>
          <w:i/>
          <w:sz w:val="24"/>
          <w:szCs w:val="24"/>
          <w:lang w:eastAsia="en-GB"/>
        </w:rPr>
        <w:t>Tackling serious and organised crime.</w:t>
      </w:r>
      <w:r w:rsidRPr="004B5C15">
        <w:rPr>
          <w:rFonts w:ascii="Arial" w:eastAsia="Times New Roman" w:hAnsi="Arial" w:cs="Arial"/>
          <w:sz w:val="24"/>
          <w:szCs w:val="24"/>
          <w:lang w:eastAsia="en-GB"/>
        </w:rPr>
        <w:t xml:space="preserve"> Available at: </w:t>
      </w:r>
      <w:hyperlink r:id="rId9" w:history="1">
        <w:r w:rsidRPr="004B5C15">
          <w:rPr>
            <w:rFonts w:ascii="Arial" w:eastAsia="Times New Roman" w:hAnsi="Arial" w:cs="Arial"/>
            <w:color w:val="0563C1" w:themeColor="hyperlink"/>
            <w:sz w:val="24"/>
            <w:szCs w:val="24"/>
            <w:u w:val="single"/>
            <w:lang w:eastAsia="en-GB"/>
          </w:rPr>
          <w:t>https://www.nao.org.uk/wp-content/uploads/2019/03/Tackling-serious-and-organised-crime.pdf</w:t>
        </w:r>
      </w:hyperlink>
      <w:r w:rsidRPr="004B5C15">
        <w:rPr>
          <w:rFonts w:ascii="Arial" w:eastAsia="Times New Roman" w:hAnsi="Arial" w:cs="Arial"/>
          <w:sz w:val="24"/>
          <w:szCs w:val="24"/>
          <w:lang w:eastAsia="en-GB"/>
        </w:rPr>
        <w:t>. (Accessed on 6</w:t>
      </w:r>
      <w:r w:rsidRPr="004B5C15">
        <w:rPr>
          <w:rFonts w:ascii="Arial" w:eastAsia="Times New Roman" w:hAnsi="Arial" w:cs="Arial"/>
          <w:sz w:val="24"/>
          <w:szCs w:val="24"/>
          <w:vertAlign w:val="superscript"/>
          <w:lang w:eastAsia="en-GB"/>
        </w:rPr>
        <w:t>th</w:t>
      </w:r>
      <w:r w:rsidRPr="004B5C15">
        <w:rPr>
          <w:rFonts w:ascii="Arial" w:eastAsia="Times New Roman" w:hAnsi="Arial" w:cs="Arial"/>
          <w:sz w:val="24"/>
          <w:szCs w:val="24"/>
          <w:lang w:eastAsia="en-GB"/>
        </w:rPr>
        <w:t xml:space="preserve"> January 2021)</w:t>
      </w:r>
    </w:p>
    <w:p w:rsidR="004D4416" w:rsidRPr="00756BB4" w:rsidRDefault="004D4416" w:rsidP="004D4416">
      <w:pPr>
        <w:overflowPunct w:val="0"/>
        <w:autoSpaceDE w:val="0"/>
        <w:autoSpaceDN w:val="0"/>
        <w:adjustRightInd w:val="0"/>
        <w:spacing w:line="360" w:lineRule="auto"/>
        <w:ind w:left="425"/>
        <w:textAlignment w:val="baseline"/>
        <w:rPr>
          <w:rFonts w:ascii="Arial" w:hAnsi="Arial" w:cs="Arial"/>
          <w:iCs/>
          <w:sz w:val="24"/>
          <w:szCs w:val="24"/>
        </w:rPr>
      </w:pPr>
      <w:proofErr w:type="spellStart"/>
      <w:r>
        <w:rPr>
          <w:rFonts w:ascii="Arial" w:hAnsi="Arial" w:cs="Arial"/>
          <w:sz w:val="24"/>
          <w:szCs w:val="24"/>
        </w:rPr>
        <w:t>Newbur</w:t>
      </w:r>
      <w:r w:rsidRPr="00756BB4">
        <w:rPr>
          <w:rFonts w:ascii="Arial" w:hAnsi="Arial" w:cs="Arial"/>
          <w:sz w:val="24"/>
          <w:szCs w:val="24"/>
        </w:rPr>
        <w:t>n</w:t>
      </w:r>
      <w:proofErr w:type="spellEnd"/>
      <w:r w:rsidRPr="00756BB4">
        <w:rPr>
          <w:rFonts w:ascii="Arial" w:hAnsi="Arial" w:cs="Arial"/>
          <w:sz w:val="24"/>
          <w:szCs w:val="24"/>
        </w:rPr>
        <w:t xml:space="preserve">, T. 1999. </w:t>
      </w:r>
      <w:r w:rsidRPr="00756BB4">
        <w:rPr>
          <w:rFonts w:ascii="Arial" w:hAnsi="Arial" w:cs="Arial"/>
          <w:i/>
          <w:sz w:val="24"/>
          <w:szCs w:val="24"/>
        </w:rPr>
        <w:t xml:space="preserve">Understanding and preventing police corruption: lessons from the literature. </w:t>
      </w:r>
      <w:r w:rsidRPr="00756BB4">
        <w:rPr>
          <w:rFonts w:ascii="Arial" w:hAnsi="Arial" w:cs="Arial"/>
          <w:sz w:val="24"/>
          <w:szCs w:val="24"/>
        </w:rPr>
        <w:t xml:space="preserve">London: </w:t>
      </w:r>
      <w:r w:rsidRPr="00756BB4">
        <w:rPr>
          <w:rFonts w:ascii="Arial" w:hAnsi="Arial" w:cs="Arial"/>
          <w:iCs/>
          <w:sz w:val="24"/>
          <w:szCs w:val="24"/>
        </w:rPr>
        <w:t xml:space="preserve">Home Office Policing and Reducing Crime Unit Research, Development and Statistics Directorate. Available at: </w:t>
      </w:r>
      <w:hyperlink r:id="rId10" w:history="1">
        <w:r w:rsidRPr="00756BB4">
          <w:rPr>
            <w:rStyle w:val="Hyperlink"/>
            <w:rFonts w:ascii="Arial" w:hAnsi="Arial" w:cs="Arial"/>
            <w:iCs/>
            <w:sz w:val="24"/>
            <w:szCs w:val="24"/>
          </w:rPr>
          <w:t>https://citeseerx.ist.psu.edu/viewdoc/download?doi=10.1.1.431.1012&amp;rep=rep1&amp;type=pdf</w:t>
        </w:r>
      </w:hyperlink>
      <w:r w:rsidRPr="00756BB4">
        <w:rPr>
          <w:rFonts w:ascii="Arial" w:hAnsi="Arial" w:cs="Arial"/>
          <w:iCs/>
          <w:sz w:val="24"/>
          <w:szCs w:val="24"/>
        </w:rPr>
        <w:t>. Accessed on: 13</w:t>
      </w:r>
      <w:r w:rsidRPr="00756BB4">
        <w:rPr>
          <w:rFonts w:ascii="Arial" w:hAnsi="Arial" w:cs="Arial"/>
          <w:iCs/>
          <w:sz w:val="24"/>
          <w:szCs w:val="24"/>
          <w:vertAlign w:val="superscript"/>
        </w:rPr>
        <w:t>th</w:t>
      </w:r>
      <w:r w:rsidRPr="00756BB4">
        <w:rPr>
          <w:rFonts w:ascii="Arial" w:hAnsi="Arial" w:cs="Arial"/>
          <w:iCs/>
          <w:sz w:val="24"/>
          <w:szCs w:val="24"/>
        </w:rPr>
        <w:t xml:space="preserve"> February 2021</w:t>
      </w:r>
    </w:p>
    <w:p w:rsidR="004D4416" w:rsidRPr="0006301F" w:rsidRDefault="004D4416" w:rsidP="004D4416">
      <w:pPr>
        <w:shd w:val="clear" w:color="auto" w:fill="FFFFFF"/>
        <w:spacing w:after="240" w:line="360" w:lineRule="auto"/>
        <w:ind w:left="425"/>
        <w:rPr>
          <w:rFonts w:ascii="Arial" w:eastAsia="Times New Roman" w:hAnsi="Arial" w:cs="Arial"/>
          <w:color w:val="000000"/>
          <w:sz w:val="24"/>
          <w:szCs w:val="24"/>
          <w:lang w:val="en" w:eastAsia="en-GB"/>
        </w:rPr>
      </w:pPr>
      <w:r w:rsidRPr="0006301F">
        <w:rPr>
          <w:rFonts w:ascii="Arial" w:eastAsia="Times New Roman" w:hAnsi="Arial" w:cs="Arial"/>
          <w:color w:val="000000"/>
          <w:sz w:val="24"/>
          <w:szCs w:val="24"/>
          <w:lang w:val="en" w:eastAsia="en-GB"/>
        </w:rPr>
        <w:lastRenderedPageBreak/>
        <w:t xml:space="preserve">ONS (2016). </w:t>
      </w:r>
      <w:r w:rsidRPr="0006301F">
        <w:rPr>
          <w:rFonts w:ascii="Arial" w:eastAsia="Times New Roman" w:hAnsi="Arial" w:cs="Arial"/>
          <w:i/>
          <w:iCs/>
          <w:color w:val="000000"/>
          <w:sz w:val="24"/>
          <w:szCs w:val="24"/>
          <w:lang w:val="en" w:eastAsia="en-GB"/>
        </w:rPr>
        <w:t>Crime Survey for England and Wales (CSEW) estimates of gang membership and knife carrying among 10 to 15 year old children, England and Wales: years ending March 2016 and March 2018 - Office for National Statistics</w:t>
      </w:r>
      <w:r w:rsidRPr="0006301F">
        <w:rPr>
          <w:rFonts w:ascii="Arial" w:eastAsia="Times New Roman" w:hAnsi="Arial" w:cs="Arial"/>
          <w:color w:val="000000"/>
          <w:sz w:val="24"/>
          <w:szCs w:val="24"/>
          <w:lang w:val="en" w:eastAsia="en-GB"/>
        </w:rPr>
        <w:t>. [online] . Available at: https://www.ons.gov.uk/peoplepopulationandcommunity/crimeandjustice/adhocs/009653crimesurveyforenglandandwalescsewestimatesofgangmembershipandknifecarryingamong10to15yearoldchildrenenglandandwalesyearsendingmarch2016andmarch2018 [Accessed 15 Feb. 2021].</w:t>
      </w:r>
    </w:p>
    <w:p w:rsidR="004D4416" w:rsidRPr="00E677CD"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E677CD">
        <w:rPr>
          <w:rFonts w:ascii="Arial" w:eastAsia="Times New Roman" w:hAnsi="Arial" w:cs="Arial"/>
          <w:color w:val="000000"/>
          <w:sz w:val="24"/>
          <w:szCs w:val="24"/>
          <w:lang w:val="en" w:eastAsia="en-GB"/>
        </w:rPr>
        <w:t xml:space="preserve">Police Federation (2017). </w:t>
      </w:r>
      <w:r w:rsidRPr="00E677CD">
        <w:rPr>
          <w:rFonts w:ascii="Arial" w:eastAsia="Times New Roman" w:hAnsi="Arial" w:cs="Arial"/>
          <w:i/>
          <w:color w:val="000000"/>
          <w:sz w:val="24"/>
          <w:szCs w:val="24"/>
          <w:lang w:val="en" w:eastAsia="en-GB"/>
        </w:rPr>
        <w:t>Ethics, integrity and professional standards</w:t>
      </w:r>
      <w:r w:rsidRPr="00E677CD">
        <w:rPr>
          <w:rFonts w:ascii="Arial" w:eastAsia="Times New Roman" w:hAnsi="Arial" w:cs="Arial"/>
          <w:color w:val="000000"/>
          <w:sz w:val="24"/>
          <w:szCs w:val="24"/>
          <w:lang w:val="en" w:eastAsia="en-GB"/>
        </w:rPr>
        <w:t xml:space="preserve">. [online] </w:t>
      </w:r>
      <w:r w:rsidRPr="00E677CD">
        <w:rPr>
          <w:rFonts w:ascii="Arial" w:eastAsia="Times New Roman" w:hAnsi="Arial" w:cs="Arial"/>
          <w:i/>
          <w:iCs/>
          <w:color w:val="000000"/>
          <w:sz w:val="24"/>
          <w:szCs w:val="24"/>
          <w:lang w:val="en" w:eastAsia="en-GB"/>
        </w:rPr>
        <w:t>Police Federation</w:t>
      </w:r>
      <w:r w:rsidRPr="00E677CD">
        <w:rPr>
          <w:rFonts w:ascii="Arial" w:eastAsia="Times New Roman" w:hAnsi="Arial" w:cs="Arial"/>
          <w:color w:val="000000"/>
          <w:sz w:val="24"/>
          <w:szCs w:val="24"/>
          <w:lang w:val="en" w:eastAsia="en-GB"/>
        </w:rPr>
        <w:t xml:space="preserve">. Available at: </w:t>
      </w:r>
      <w:r w:rsidRPr="00E677CD">
        <w:rPr>
          <w:rFonts w:ascii="Arial" w:hAnsi="Arial" w:cs="Arial"/>
          <w:sz w:val="24"/>
          <w:szCs w:val="24"/>
        </w:rPr>
        <w:t xml:space="preserve"> </w:t>
      </w:r>
      <w:r w:rsidRPr="00E677CD">
        <w:rPr>
          <w:rFonts w:ascii="Arial" w:eastAsia="Times New Roman" w:hAnsi="Arial" w:cs="Arial"/>
          <w:color w:val="000000"/>
          <w:sz w:val="24"/>
          <w:szCs w:val="24"/>
          <w:lang w:val="en" w:eastAsia="en-GB"/>
        </w:rPr>
        <w:t>https://www.polfed.org/media/13800/ethics-integrity-and-professional-standards-june-2017-v3.pdf [Accessed 13 Feb. 2021].</w:t>
      </w:r>
    </w:p>
    <w:p w:rsidR="004D4416"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756BB4">
        <w:rPr>
          <w:rFonts w:ascii="Arial" w:eastAsia="Times New Roman" w:hAnsi="Arial" w:cs="Arial"/>
          <w:color w:val="000000"/>
          <w:sz w:val="24"/>
          <w:szCs w:val="24"/>
          <w:lang w:val="en" w:eastAsia="en-GB"/>
        </w:rPr>
        <w:t xml:space="preserve">Police Federation (2017). </w:t>
      </w:r>
      <w:r w:rsidRPr="00756BB4">
        <w:rPr>
          <w:rFonts w:ascii="Arial" w:eastAsia="Times New Roman" w:hAnsi="Arial" w:cs="Arial"/>
          <w:i/>
          <w:iCs/>
          <w:color w:val="000000"/>
          <w:sz w:val="24"/>
          <w:szCs w:val="24"/>
          <w:lang w:val="en" w:eastAsia="en-GB"/>
        </w:rPr>
        <w:t>Police Accountability</w:t>
      </w:r>
      <w:r w:rsidRPr="00756BB4">
        <w:rPr>
          <w:rFonts w:ascii="Arial" w:eastAsia="Times New Roman" w:hAnsi="Arial" w:cs="Arial"/>
          <w:color w:val="000000"/>
          <w:sz w:val="24"/>
          <w:szCs w:val="24"/>
          <w:lang w:val="en" w:eastAsia="en-GB"/>
        </w:rPr>
        <w:t xml:space="preserve">. [online] </w:t>
      </w:r>
      <w:r w:rsidRPr="00756BB4">
        <w:rPr>
          <w:rFonts w:ascii="Arial" w:eastAsia="Times New Roman" w:hAnsi="Arial" w:cs="Arial"/>
          <w:i/>
          <w:iCs/>
          <w:color w:val="000000"/>
          <w:sz w:val="24"/>
          <w:szCs w:val="24"/>
          <w:lang w:val="en" w:eastAsia="en-GB"/>
        </w:rPr>
        <w:t>Police Federation</w:t>
      </w:r>
      <w:r w:rsidRPr="00756BB4">
        <w:rPr>
          <w:rFonts w:ascii="Arial" w:eastAsia="Times New Roman" w:hAnsi="Arial" w:cs="Arial"/>
          <w:color w:val="000000"/>
          <w:sz w:val="24"/>
          <w:szCs w:val="24"/>
          <w:lang w:val="en" w:eastAsia="en-GB"/>
        </w:rPr>
        <w:t>. Available at: https://www.polfed.org/media/13798/police-accountability-september-2017-v3.pdf [Accessed 13 Feb. 2021].</w:t>
      </w:r>
    </w:p>
    <w:p w:rsidR="004D4416" w:rsidRDefault="004D4416" w:rsidP="004D4416">
      <w:pPr>
        <w:shd w:val="clear" w:color="auto" w:fill="FFFFFF"/>
        <w:spacing w:after="240" w:line="360" w:lineRule="auto"/>
        <w:ind w:left="425"/>
        <w:rPr>
          <w:rFonts w:ascii="Arial" w:eastAsia="Times New Roman" w:hAnsi="Arial" w:cs="Arial"/>
          <w:color w:val="000000"/>
          <w:sz w:val="24"/>
          <w:szCs w:val="24"/>
          <w:lang w:val="en" w:eastAsia="en-GB"/>
        </w:rPr>
      </w:pPr>
      <w:r w:rsidRPr="0006301F">
        <w:rPr>
          <w:rFonts w:ascii="Arial" w:eastAsia="Times New Roman" w:hAnsi="Arial" w:cs="Arial"/>
          <w:color w:val="000000"/>
          <w:sz w:val="24"/>
          <w:szCs w:val="24"/>
          <w:lang w:val="en" w:eastAsia="en-GB"/>
        </w:rPr>
        <w:t xml:space="preserve">Regan, P. (2011). </w:t>
      </w:r>
      <w:r w:rsidRPr="0006301F">
        <w:rPr>
          <w:rFonts w:ascii="Arial" w:eastAsia="Times New Roman" w:hAnsi="Arial" w:cs="Arial"/>
          <w:i/>
          <w:iCs/>
          <w:color w:val="000000"/>
          <w:sz w:val="24"/>
          <w:szCs w:val="24"/>
          <w:lang w:val="en" w:eastAsia="en-GB"/>
        </w:rPr>
        <w:t>Fighting chance: tackling Britain’s gang culture</w:t>
      </w:r>
      <w:r w:rsidRPr="0006301F">
        <w:rPr>
          <w:rFonts w:ascii="Arial" w:eastAsia="Times New Roman" w:hAnsi="Arial" w:cs="Arial"/>
          <w:color w:val="000000"/>
          <w:sz w:val="24"/>
          <w:szCs w:val="24"/>
          <w:lang w:val="en" w:eastAsia="en-GB"/>
        </w:rPr>
        <w:t>. [online] London: Hodder &amp; Stoughton. Available at: https://www.google.co.uk/books/edition/_/3QnZxU-rHycC?hl=en&amp;sa=X&amp;ved=2ahUKEwjtj4ue5enuAhUYGFkFHUgkCZwQre8FMBF6BAgNEAU#spf=1613320007720 [Accessed 14 Feb. 2021].</w:t>
      </w:r>
    </w:p>
    <w:p w:rsidR="004D4416" w:rsidRPr="00E677CD" w:rsidRDefault="004D4416" w:rsidP="004D4416">
      <w:pPr>
        <w:shd w:val="clear" w:color="auto" w:fill="FFFFFF"/>
        <w:spacing w:line="360" w:lineRule="auto"/>
        <w:ind w:left="425"/>
        <w:rPr>
          <w:rFonts w:ascii="Arial" w:eastAsia="Times New Roman" w:hAnsi="Arial" w:cs="Arial"/>
          <w:color w:val="000000"/>
          <w:sz w:val="24"/>
          <w:szCs w:val="24"/>
          <w:lang w:val="en" w:eastAsia="en-GB"/>
        </w:rPr>
      </w:pPr>
      <w:r w:rsidRPr="00E677CD">
        <w:rPr>
          <w:rFonts w:ascii="Arial" w:eastAsia="Times New Roman" w:hAnsi="Arial" w:cs="Arial"/>
          <w:color w:val="000000"/>
          <w:sz w:val="24"/>
          <w:szCs w:val="24"/>
          <w:lang w:val="en" w:eastAsia="en-GB"/>
        </w:rPr>
        <w:t xml:space="preserve">Willingham, E. (2012). </w:t>
      </w:r>
      <w:r w:rsidRPr="00E677CD">
        <w:rPr>
          <w:rFonts w:ascii="Arial" w:eastAsia="Times New Roman" w:hAnsi="Arial" w:cs="Arial"/>
          <w:i/>
          <w:iCs/>
          <w:color w:val="000000"/>
          <w:sz w:val="24"/>
          <w:szCs w:val="24"/>
          <w:lang w:val="en" w:eastAsia="en-GB"/>
        </w:rPr>
        <w:t>Low Eye Contact Is Not Just An Autism Thing</w:t>
      </w:r>
      <w:r w:rsidRPr="00E677CD">
        <w:rPr>
          <w:rFonts w:ascii="Arial" w:eastAsia="Times New Roman" w:hAnsi="Arial" w:cs="Arial"/>
          <w:color w:val="000000"/>
          <w:sz w:val="24"/>
          <w:szCs w:val="24"/>
          <w:lang w:val="en" w:eastAsia="en-GB"/>
        </w:rPr>
        <w:t xml:space="preserve">. [online] Forbes. Available at: </w:t>
      </w:r>
      <w:hyperlink r:id="rId11" w:history="1">
        <w:r w:rsidRPr="00E677CD">
          <w:rPr>
            <w:rFonts w:ascii="Arial" w:eastAsia="Times New Roman" w:hAnsi="Arial" w:cs="Arial"/>
            <w:color w:val="0563C1" w:themeColor="hyperlink"/>
            <w:sz w:val="24"/>
            <w:szCs w:val="24"/>
            <w:u w:val="single"/>
            <w:lang w:val="en" w:eastAsia="en-GB"/>
          </w:rPr>
          <w:t>https://www.forbes.com/sites/emilywillingham/2012/10/16/low-eye-contact-is-not-just-an-autism-thing/</w:t>
        </w:r>
      </w:hyperlink>
      <w:r w:rsidRPr="00E677CD">
        <w:rPr>
          <w:rFonts w:ascii="Arial" w:eastAsia="Times New Roman" w:hAnsi="Arial" w:cs="Arial"/>
          <w:color w:val="000000"/>
          <w:sz w:val="24"/>
          <w:szCs w:val="24"/>
          <w:lang w:val="en" w:eastAsia="en-GB"/>
        </w:rPr>
        <w:t>. Accessed: 10</w:t>
      </w:r>
      <w:r w:rsidRPr="00E677CD">
        <w:rPr>
          <w:rFonts w:ascii="Arial" w:eastAsia="Times New Roman" w:hAnsi="Arial" w:cs="Arial"/>
          <w:color w:val="000000"/>
          <w:sz w:val="24"/>
          <w:szCs w:val="24"/>
          <w:vertAlign w:val="superscript"/>
          <w:lang w:val="en" w:eastAsia="en-GB"/>
        </w:rPr>
        <w:t>th</w:t>
      </w:r>
      <w:r w:rsidRPr="00E677CD">
        <w:rPr>
          <w:rFonts w:ascii="Arial" w:eastAsia="Times New Roman" w:hAnsi="Arial" w:cs="Arial"/>
          <w:color w:val="000000"/>
          <w:sz w:val="24"/>
          <w:szCs w:val="24"/>
          <w:lang w:val="en" w:eastAsia="en-GB"/>
        </w:rPr>
        <w:t xml:space="preserve"> February 2021</w:t>
      </w:r>
    </w:p>
    <w:p w:rsidR="00E677CD" w:rsidRPr="0006301F" w:rsidRDefault="00E677CD" w:rsidP="0006301F">
      <w:pPr>
        <w:shd w:val="clear" w:color="auto" w:fill="FFFFFF"/>
        <w:spacing w:after="240" w:line="360" w:lineRule="auto"/>
        <w:ind w:left="425"/>
        <w:rPr>
          <w:rFonts w:ascii="Arial" w:eastAsia="Times New Roman" w:hAnsi="Arial" w:cs="Arial"/>
          <w:color w:val="000000"/>
          <w:sz w:val="24"/>
          <w:szCs w:val="24"/>
          <w:lang w:val="en" w:eastAsia="en-GB"/>
        </w:rPr>
      </w:pPr>
    </w:p>
    <w:p w:rsidR="0006301F" w:rsidRPr="00756BB4" w:rsidRDefault="0006301F" w:rsidP="00887CE7">
      <w:pPr>
        <w:shd w:val="clear" w:color="auto" w:fill="FFFFFF"/>
        <w:spacing w:line="360" w:lineRule="auto"/>
        <w:ind w:left="425"/>
        <w:jc w:val="both"/>
        <w:rPr>
          <w:rFonts w:ascii="Arial" w:eastAsia="Times New Roman" w:hAnsi="Arial" w:cs="Arial"/>
          <w:color w:val="000000"/>
          <w:sz w:val="24"/>
          <w:szCs w:val="24"/>
          <w:lang w:val="en" w:eastAsia="en-GB"/>
        </w:rPr>
      </w:pPr>
    </w:p>
    <w:p w:rsidR="00887CE7" w:rsidRPr="003846CA" w:rsidRDefault="00887CE7" w:rsidP="003846CA">
      <w:pPr>
        <w:overflowPunct w:val="0"/>
        <w:autoSpaceDE w:val="0"/>
        <w:autoSpaceDN w:val="0"/>
        <w:adjustRightInd w:val="0"/>
        <w:spacing w:after="0" w:line="360" w:lineRule="auto"/>
        <w:ind w:left="425"/>
        <w:textAlignment w:val="baseline"/>
        <w:rPr>
          <w:rFonts w:ascii="Arial" w:hAnsi="Arial" w:cs="Arial"/>
          <w:color w:val="000000"/>
          <w:sz w:val="24"/>
          <w:szCs w:val="24"/>
          <w:lang w:val="en"/>
        </w:rPr>
      </w:pPr>
    </w:p>
    <w:p w:rsidR="003846CA" w:rsidRPr="003846CA" w:rsidRDefault="003846CA" w:rsidP="003846CA">
      <w:pPr>
        <w:autoSpaceDE w:val="0"/>
        <w:autoSpaceDN w:val="0"/>
        <w:adjustRightInd w:val="0"/>
        <w:spacing w:before="100" w:after="0" w:line="360" w:lineRule="auto"/>
        <w:ind w:left="425"/>
        <w:jc w:val="both"/>
        <w:rPr>
          <w:rFonts w:ascii="Arial" w:hAnsi="Arial" w:cs="Arial"/>
          <w:sz w:val="24"/>
          <w:szCs w:val="24"/>
        </w:rPr>
      </w:pPr>
    </w:p>
    <w:p w:rsidR="003846CA" w:rsidRPr="00792951" w:rsidRDefault="003846CA" w:rsidP="003846CA">
      <w:pPr>
        <w:shd w:val="clear" w:color="auto" w:fill="FFFFFF"/>
        <w:spacing w:after="240" w:line="360" w:lineRule="auto"/>
        <w:ind w:left="425"/>
        <w:rPr>
          <w:rFonts w:ascii="Arial" w:eastAsia="Times New Roman" w:hAnsi="Arial" w:cs="Arial"/>
          <w:sz w:val="24"/>
          <w:szCs w:val="24"/>
          <w:lang w:eastAsia="en-GB"/>
        </w:rPr>
      </w:pPr>
    </w:p>
    <w:p w:rsidR="00792951" w:rsidRPr="00792951" w:rsidRDefault="00792951" w:rsidP="00792951">
      <w:pPr>
        <w:jc w:val="center"/>
        <w:rPr>
          <w:rFonts w:ascii="Arial" w:hAnsi="Arial" w:cs="Arial"/>
          <w:sz w:val="24"/>
          <w:szCs w:val="24"/>
        </w:rPr>
      </w:pPr>
    </w:p>
    <w:sectPr w:rsidR="00792951" w:rsidRPr="00792951" w:rsidSect="004D4416">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416" w:rsidRDefault="004D4416" w:rsidP="004D4416">
      <w:pPr>
        <w:spacing w:after="0" w:line="240" w:lineRule="auto"/>
      </w:pPr>
      <w:r>
        <w:separator/>
      </w:r>
    </w:p>
  </w:endnote>
  <w:endnote w:type="continuationSeparator" w:id="0">
    <w:p w:rsidR="004D4416" w:rsidRDefault="004D4416" w:rsidP="004D4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416" w:rsidRDefault="004D4416" w:rsidP="004D4416">
    <w:pPr>
      <w:pStyle w:val="Footer"/>
      <w:rPr>
        <w:color w:val="000000"/>
        <w:sz w:val="17"/>
      </w:rPr>
    </w:pPr>
    <w:bookmarkStart w:id="3" w:name="TITUS1FooterEvenPages"/>
    <w:r w:rsidRPr="004D4416">
      <w:rPr>
        <w:color w:val="000000"/>
        <w:sz w:val="17"/>
      </w:rPr>
      <w:t> </w:t>
    </w:r>
  </w:p>
  <w:bookmarkEnd w:id="3"/>
  <w:p w:rsidR="004D4416" w:rsidRDefault="004D44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416" w:rsidRDefault="004D4416" w:rsidP="004D4416">
    <w:pPr>
      <w:pStyle w:val="Footer"/>
      <w:rPr>
        <w:color w:val="000000"/>
        <w:sz w:val="17"/>
      </w:rPr>
    </w:pPr>
    <w:bookmarkStart w:id="4" w:name="TITUS1FooterPrimary"/>
    <w:r w:rsidRPr="004D4416">
      <w:rPr>
        <w:color w:val="000000"/>
        <w:sz w:val="17"/>
      </w:rPr>
      <w:t> </w:t>
    </w:r>
  </w:p>
  <w:bookmarkEnd w:id="4"/>
  <w:p w:rsidR="004D4416" w:rsidRDefault="004D44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416" w:rsidRDefault="004D4416" w:rsidP="004D4416">
    <w:pPr>
      <w:pStyle w:val="Footer"/>
      <w:rPr>
        <w:color w:val="000000"/>
        <w:sz w:val="17"/>
      </w:rPr>
    </w:pPr>
    <w:bookmarkStart w:id="6" w:name="TITUS1FooterFirstPage"/>
    <w:r w:rsidRPr="004D4416">
      <w:rPr>
        <w:color w:val="000000"/>
        <w:sz w:val="17"/>
      </w:rPr>
      <w:t> </w:t>
    </w:r>
  </w:p>
  <w:bookmarkEnd w:id="6"/>
  <w:p w:rsidR="004D4416" w:rsidRDefault="004D4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416" w:rsidRDefault="004D4416" w:rsidP="004D4416">
      <w:pPr>
        <w:spacing w:after="0" w:line="240" w:lineRule="auto"/>
      </w:pPr>
      <w:r>
        <w:separator/>
      </w:r>
    </w:p>
  </w:footnote>
  <w:footnote w:type="continuationSeparator" w:id="0">
    <w:p w:rsidR="004D4416" w:rsidRDefault="004D4416" w:rsidP="004D4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416" w:rsidRDefault="004D4416" w:rsidP="004D4416">
    <w:pPr>
      <w:pStyle w:val="Header"/>
      <w:rPr>
        <w:color w:val="000000"/>
        <w:sz w:val="17"/>
      </w:rPr>
    </w:pPr>
    <w:bookmarkStart w:id="1" w:name="TITUS1HeaderEvenPages"/>
    <w:r w:rsidRPr="004D4416">
      <w:rPr>
        <w:color w:val="000000"/>
        <w:sz w:val="17"/>
      </w:rPr>
      <w:t> </w:t>
    </w:r>
  </w:p>
  <w:bookmarkEnd w:id="1"/>
  <w:p w:rsidR="004D4416" w:rsidRDefault="004D44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416" w:rsidRDefault="004D4416" w:rsidP="004D4416">
    <w:pPr>
      <w:pStyle w:val="Header"/>
      <w:rPr>
        <w:color w:val="000000"/>
        <w:sz w:val="17"/>
      </w:rPr>
    </w:pPr>
    <w:bookmarkStart w:id="2" w:name="TITUS1HeaderPrimary"/>
    <w:r w:rsidRPr="004D4416">
      <w:rPr>
        <w:color w:val="000000"/>
        <w:sz w:val="17"/>
      </w:rPr>
      <w:t> </w:t>
    </w:r>
  </w:p>
  <w:bookmarkEnd w:id="2"/>
  <w:p w:rsidR="004D4416" w:rsidRDefault="004D44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416" w:rsidRDefault="004D4416" w:rsidP="004D4416">
    <w:pPr>
      <w:pStyle w:val="Header"/>
      <w:rPr>
        <w:color w:val="000000"/>
        <w:sz w:val="17"/>
      </w:rPr>
    </w:pPr>
    <w:bookmarkStart w:id="5" w:name="TITUS1HeaderFirstPage"/>
    <w:r w:rsidRPr="004D4416">
      <w:rPr>
        <w:color w:val="000000"/>
        <w:sz w:val="17"/>
      </w:rPr>
      <w:t> </w:t>
    </w:r>
  </w:p>
  <w:bookmarkEnd w:id="5"/>
  <w:p w:rsidR="004D4416" w:rsidRDefault="004D44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951"/>
    <w:rsid w:val="0006301F"/>
    <w:rsid w:val="000B1853"/>
    <w:rsid w:val="003846CA"/>
    <w:rsid w:val="004B5C15"/>
    <w:rsid w:val="004D4416"/>
    <w:rsid w:val="00721F09"/>
    <w:rsid w:val="00792951"/>
    <w:rsid w:val="00887CE7"/>
    <w:rsid w:val="00995CA0"/>
    <w:rsid w:val="00E67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A08236"/>
  <w15:chartTrackingRefBased/>
  <w15:docId w15:val="{3FBBF938-CC2F-4EAD-9689-37096BF4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7CE7"/>
    <w:rPr>
      <w:color w:val="0563C1" w:themeColor="hyperlink"/>
      <w:u w:val="single"/>
    </w:rPr>
  </w:style>
  <w:style w:type="paragraph" w:styleId="Header">
    <w:name w:val="header"/>
    <w:basedOn w:val="Normal"/>
    <w:link w:val="HeaderChar"/>
    <w:uiPriority w:val="99"/>
    <w:unhideWhenUsed/>
    <w:rsid w:val="004D4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416"/>
  </w:style>
  <w:style w:type="paragraph" w:styleId="Footer">
    <w:name w:val="footer"/>
    <w:basedOn w:val="Normal"/>
    <w:link w:val="FooterChar"/>
    <w:uiPriority w:val="99"/>
    <w:unhideWhenUsed/>
    <w:rsid w:val="004D4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2173599">
      <w:bodyDiv w:val="1"/>
      <w:marLeft w:val="0"/>
      <w:marRight w:val="0"/>
      <w:marTop w:val="0"/>
      <w:marBottom w:val="0"/>
      <w:divBdr>
        <w:top w:val="none" w:sz="0" w:space="0" w:color="auto"/>
        <w:left w:val="none" w:sz="0" w:space="0" w:color="auto"/>
        <w:bottom w:val="none" w:sz="0" w:space="0" w:color="auto"/>
        <w:right w:val="none" w:sz="0" w:space="0" w:color="auto"/>
      </w:divBdr>
      <w:divsChild>
        <w:div w:id="1592543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ebookviewer/ebook/bmxlYmtfXzIxMjYzMjFfX0FO0?sid=34d34ca5-0139-4e00-ad58-73d26c525193@sdc-v-sessmgr02&amp;vid=0&amp;format=EB&amp;lpid=lp_355&amp;rid=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llege.police.uk/What-we-do/Ethics/Documents/Code_of_Ethics.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centreforsocialjustice.org.uk/wp-content/uploads/2009/02/DyingtoBelongFullReport.pdf" TargetMode="External"/><Relationship Id="rId11" Type="http://schemas.openxmlformats.org/officeDocument/2006/relationships/hyperlink" Target="https://www.forbes.com/sites/emilywillingham/2012/10/16/low-eye-contact-is-not-just-an-autism-thing/"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citeseerx.ist.psu.edu/viewdoc/download?doi=10.1.1.431.1012&amp;rep=rep1&amp;type=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nao.org.uk/wp-content/uploads/2019/03/Tackling-serious-and-organised-crime.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19</Pages>
  <Words>5440</Words>
  <Characters>31013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Nixon,Anna Chad swp6557</dc:creator>
  <cp:keywords/>
  <dc:description/>
  <cp:lastModifiedBy>Nixon,Anna Chad swp6557</cp:lastModifiedBy>
  <cp:revision>1</cp:revision>
  <dcterms:created xsi:type="dcterms:W3CDTF">2021-02-15T20:54:00Z</dcterms:created>
  <dcterms:modified xsi:type="dcterms:W3CDTF">2021-02-15T23:14:00Z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910f5e6c-c6cb-46b5-83f4-45936914ed15</vt:lpwstr>
  </property>
  <property fmtid="{D5CDD505-2E9C-101B-9397-08002B2CF9AE}" pid="3" name="Classification">
    <vt:lpwstr>OFFICIAL</vt:lpwstr>
  </property>
  <property fmtid="{D5CDD505-2E9C-101B-9397-08002B2CF9AE}" pid="4" name="Visibility">
    <vt:lpwstr>NOT VISIBLE</vt:lpwstr>
  </property>
</Properties>
</file>