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6EE161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D48D6">
        <w:rPr>
          <w:rFonts w:asciiTheme="minorBidi" w:hAnsiTheme="minorBidi"/>
          <w:sz w:val="28"/>
          <w:szCs w:val="28"/>
        </w:rPr>
        <w:t>Pearl Kamuntu Ainomugisha.</w:t>
      </w:r>
    </w:p>
    <w:p w14:paraId="485B6F49" w14:textId="274A464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D48D6">
        <w:rPr>
          <w:rFonts w:asciiTheme="minorBidi" w:hAnsiTheme="minorBidi"/>
          <w:sz w:val="28"/>
          <w:szCs w:val="28"/>
        </w:rPr>
        <w:t>2434894</w:t>
      </w:r>
    </w:p>
    <w:p w14:paraId="3C1E7A20" w14:textId="1A25AEE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D48D6">
        <w:rPr>
          <w:rFonts w:asciiTheme="minorBidi" w:hAnsiTheme="minorBidi"/>
          <w:sz w:val="28"/>
          <w:szCs w:val="28"/>
        </w:rPr>
        <w:t>LCHS4001</w:t>
      </w:r>
    </w:p>
    <w:p w14:paraId="4EEB2DA3" w14:textId="79A2CFD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D48D6">
        <w:rPr>
          <w:rFonts w:asciiTheme="minorBidi" w:hAnsiTheme="minorBidi"/>
          <w:sz w:val="28"/>
          <w:szCs w:val="28"/>
        </w:rPr>
        <w:t>Academic and Employability Skills.</w:t>
      </w:r>
    </w:p>
    <w:p w14:paraId="112342CB" w14:textId="6BE32B0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D48D6">
        <w:rPr>
          <w:rFonts w:asciiTheme="minorBidi" w:hAnsiTheme="minorBidi"/>
          <w:sz w:val="28"/>
          <w:szCs w:val="28"/>
        </w:rPr>
        <w:t xml:space="preserve">Ogochukwu </w:t>
      </w:r>
      <w:proofErr w:type="spellStart"/>
      <w:r w:rsidR="008D48D6">
        <w:rPr>
          <w:rFonts w:asciiTheme="minorBidi" w:hAnsiTheme="minorBidi"/>
          <w:sz w:val="28"/>
          <w:szCs w:val="28"/>
        </w:rPr>
        <w:t>Agunenye</w:t>
      </w:r>
      <w:proofErr w:type="spellEnd"/>
      <w:r w:rsidR="008D48D6">
        <w:rPr>
          <w:rFonts w:asciiTheme="minorBidi" w:hAnsiTheme="minorBidi"/>
          <w:sz w:val="28"/>
          <w:szCs w:val="28"/>
        </w:rPr>
        <w:t>.</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3391AB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8D48D6">
        <w:rPr>
          <w:rFonts w:asciiTheme="minorBidi" w:hAnsiTheme="minorBidi"/>
          <w:sz w:val="28"/>
          <w:szCs w:val="28"/>
        </w:rPr>
        <w:t>21</w:t>
      </w:r>
      <w:r w:rsidR="008D48D6" w:rsidRPr="008D48D6">
        <w:rPr>
          <w:rFonts w:asciiTheme="minorBidi" w:hAnsiTheme="minorBidi"/>
          <w:sz w:val="28"/>
          <w:szCs w:val="28"/>
          <w:vertAlign w:val="superscript"/>
        </w:rPr>
        <w:t>st</w:t>
      </w:r>
      <w:r w:rsidR="008D48D6">
        <w:rPr>
          <w:rFonts w:asciiTheme="minorBidi" w:hAnsiTheme="minorBidi"/>
          <w:sz w:val="28"/>
          <w:szCs w:val="28"/>
        </w:rPr>
        <w:t xml:space="preserve"> November 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000000">
          <w:pPr>
            <w:pStyle w:val="TOC2"/>
            <w:tabs>
              <w:tab w:val="right" w:leader="dot" w:pos="9016"/>
            </w:tabs>
            <w:rPr>
              <w:rFonts w:asciiTheme="minorHAnsi" w:hAnsiTheme="minorHAnsi" w:cstheme="minorBidi"/>
              <w:b w:val="0"/>
              <w:bCs w:val="0"/>
              <w:noProof/>
              <w:sz w:val="24"/>
              <w:szCs w:val="24"/>
            </w:rPr>
          </w:pPr>
          <w:hyperlink w:anchor="_Toc212100518" w:history="1">
            <w:r w:rsidR="00183CB9" w:rsidRPr="00CC44F1">
              <w:rPr>
                <w:rStyle w:val="Hyperlink"/>
                <w:noProof/>
              </w:rPr>
              <w:t>1.1 Introduction</w:t>
            </w:r>
            <w:r w:rsidR="00183CB9">
              <w:rPr>
                <w:noProof/>
                <w:webHidden/>
              </w:rPr>
              <w:tab/>
            </w:r>
            <w:r w:rsidR="00183CB9">
              <w:rPr>
                <w:noProof/>
                <w:webHidden/>
              </w:rPr>
              <w:fldChar w:fldCharType="begin"/>
            </w:r>
            <w:r w:rsidR="00183CB9">
              <w:rPr>
                <w:noProof/>
                <w:webHidden/>
              </w:rPr>
              <w:instrText xml:space="preserve"> PAGEREF _Toc212100518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7303BDE2" w14:textId="34198249" w:rsidR="00183CB9" w:rsidRDefault="00000000">
          <w:pPr>
            <w:pStyle w:val="TOC2"/>
            <w:tabs>
              <w:tab w:val="right" w:leader="dot" w:pos="9016"/>
            </w:tabs>
            <w:rPr>
              <w:rFonts w:asciiTheme="minorHAnsi" w:hAnsiTheme="minorHAnsi" w:cstheme="minorBidi"/>
              <w:b w:val="0"/>
              <w:bCs w:val="0"/>
              <w:noProof/>
              <w:sz w:val="24"/>
              <w:szCs w:val="24"/>
            </w:rPr>
          </w:pPr>
          <w:hyperlink w:anchor="_Toc212100519" w:history="1">
            <w:r w:rsidR="00183CB9" w:rsidRPr="00CC44F1">
              <w:rPr>
                <w:rStyle w:val="Hyperlink"/>
                <w:noProof/>
              </w:rPr>
              <w:t>1.2 Description of and background to</w:t>
            </w:r>
            <w:r w:rsidR="000C559A">
              <w:rPr>
                <w:rStyle w:val="Hyperlink"/>
                <w:noProof/>
              </w:rPr>
              <w:t xml:space="preserve"> the role of practice murse</w:t>
            </w:r>
            <w:r w:rsidR="00183CB9" w:rsidRPr="00CC44F1">
              <w:rPr>
                <w:rStyle w:val="Hyperlink"/>
                <w:noProof/>
              </w:rPr>
              <w:t xml:space="preserve"> in Healthcare</w:t>
            </w:r>
            <w:r w:rsidR="00183CB9">
              <w:rPr>
                <w:noProof/>
                <w:webHidden/>
              </w:rPr>
              <w:tab/>
            </w:r>
            <w:r w:rsidR="00183CB9">
              <w:rPr>
                <w:noProof/>
                <w:webHidden/>
              </w:rPr>
              <w:fldChar w:fldCharType="begin"/>
            </w:r>
            <w:r w:rsidR="00183CB9">
              <w:rPr>
                <w:noProof/>
                <w:webHidden/>
              </w:rPr>
              <w:instrText xml:space="preserve"> PAGEREF _Toc212100519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719885A7" w14:textId="3748CE26" w:rsidR="00183CB9" w:rsidRDefault="00000000">
          <w:pPr>
            <w:pStyle w:val="TOC2"/>
            <w:tabs>
              <w:tab w:val="right" w:leader="dot" w:pos="9016"/>
            </w:tabs>
            <w:rPr>
              <w:rFonts w:asciiTheme="minorHAnsi" w:hAnsiTheme="minorHAnsi" w:cstheme="minorBidi"/>
              <w:b w:val="0"/>
              <w:bCs w:val="0"/>
              <w:noProof/>
              <w:sz w:val="24"/>
              <w:szCs w:val="24"/>
            </w:rPr>
          </w:pPr>
          <w:hyperlink w:anchor="_Toc212100520" w:history="1">
            <w:r w:rsidR="00183CB9" w:rsidRPr="00CC44F1">
              <w:rPr>
                <w:rStyle w:val="Hyperlink"/>
                <w:noProof/>
              </w:rPr>
              <w:t xml:space="preserve">1.4 Strategies to improve the skills for </w:t>
            </w:r>
            <w:r w:rsidR="000C559A">
              <w:rPr>
                <w:rStyle w:val="Hyperlink"/>
                <w:noProof/>
              </w:rPr>
              <w:t xml:space="preserve">practice nurse </w:t>
            </w:r>
            <w:r w:rsidR="00183CB9">
              <w:rPr>
                <w:noProof/>
                <w:webHidden/>
              </w:rPr>
              <w:tab/>
            </w:r>
            <w:r w:rsidR="00183CB9">
              <w:rPr>
                <w:noProof/>
                <w:webHidden/>
              </w:rPr>
              <w:fldChar w:fldCharType="begin"/>
            </w:r>
            <w:r w:rsidR="00183CB9">
              <w:rPr>
                <w:noProof/>
                <w:webHidden/>
              </w:rPr>
              <w:instrText xml:space="preserve"> PAGEREF _Toc212100520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034C4FEF" w14:textId="6268BF45" w:rsidR="00183CB9" w:rsidRDefault="00000000">
          <w:pPr>
            <w:pStyle w:val="TOC2"/>
            <w:tabs>
              <w:tab w:val="right" w:leader="dot" w:pos="9016"/>
            </w:tabs>
            <w:rPr>
              <w:rFonts w:asciiTheme="minorHAnsi" w:hAnsiTheme="minorHAnsi" w:cstheme="minorBidi"/>
              <w:b w:val="0"/>
              <w:bCs w:val="0"/>
              <w:noProof/>
              <w:sz w:val="24"/>
              <w:szCs w:val="24"/>
            </w:rPr>
          </w:pPr>
          <w:hyperlink w:anchor="_Toc212100521" w:history="1">
            <w:r w:rsidR="00183CB9" w:rsidRPr="00CC44F1">
              <w:rPr>
                <w:rStyle w:val="Hyperlink"/>
                <w:noProof/>
              </w:rPr>
              <w:t>1.4 Conclusion</w:t>
            </w:r>
            <w:r w:rsidR="00183CB9">
              <w:rPr>
                <w:noProof/>
                <w:webHidden/>
              </w:rPr>
              <w:tab/>
            </w:r>
            <w:r w:rsidR="00183CB9">
              <w:rPr>
                <w:noProof/>
                <w:webHidden/>
              </w:rPr>
              <w:fldChar w:fldCharType="begin"/>
            </w:r>
            <w:r w:rsidR="00183CB9">
              <w:rPr>
                <w:noProof/>
                <w:webHidden/>
              </w:rPr>
              <w:instrText xml:space="preserve"> PAGEREF _Toc212100521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21A32578" w14:textId="02BCFD41" w:rsidR="00183CB9" w:rsidRDefault="00000000">
          <w:pPr>
            <w:pStyle w:val="TOC2"/>
            <w:tabs>
              <w:tab w:val="right" w:leader="dot" w:pos="9016"/>
            </w:tabs>
            <w:rPr>
              <w:rFonts w:asciiTheme="minorHAnsi" w:hAnsiTheme="minorHAnsi" w:cstheme="minorBidi"/>
              <w:b w:val="0"/>
              <w:bCs w:val="0"/>
              <w:noProof/>
              <w:sz w:val="24"/>
              <w:szCs w:val="24"/>
            </w:rPr>
          </w:pPr>
          <w:hyperlink w:anchor="_Toc212100522" w:history="1">
            <w:r w:rsidR="00183CB9" w:rsidRPr="00CC44F1">
              <w:rPr>
                <w:rStyle w:val="Hyperlink"/>
                <w:noProof/>
              </w:rPr>
              <w:t>1.5 Reference List</w:t>
            </w:r>
            <w:r w:rsidR="00183CB9">
              <w:rPr>
                <w:noProof/>
                <w:webHidden/>
              </w:rPr>
              <w:tab/>
            </w:r>
            <w:r w:rsidR="00183CB9">
              <w:rPr>
                <w:noProof/>
                <w:webHidden/>
              </w:rPr>
              <w:fldChar w:fldCharType="begin"/>
            </w:r>
            <w:r w:rsidR="00183CB9">
              <w:rPr>
                <w:noProof/>
                <w:webHidden/>
              </w:rPr>
              <w:instrText xml:space="preserve"> PAGEREF _Toc212100522 \h </w:instrText>
            </w:r>
            <w:r w:rsidR="00183CB9">
              <w:rPr>
                <w:noProof/>
                <w:webHidden/>
              </w:rPr>
            </w:r>
            <w:r w:rsidR="00183CB9">
              <w:rPr>
                <w:noProof/>
                <w:webHidden/>
              </w:rPr>
              <w:fldChar w:fldCharType="separate"/>
            </w:r>
            <w:r w:rsidR="00183CB9">
              <w:rPr>
                <w:noProof/>
                <w:webHidden/>
              </w:rPr>
              <w:t>4</w:t>
            </w:r>
            <w:r w:rsidR="00183CB9">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0CAE5527" w14:textId="7623E687" w:rsidR="00AC7BE2" w:rsidRPr="009965EC" w:rsidRDefault="002E71BA" w:rsidP="009965EC">
      <w:pPr>
        <w:pStyle w:val="NoSpacing"/>
      </w:pPr>
      <w:r w:rsidRPr="00242974">
        <w:br w:type="page"/>
      </w:r>
      <w:r w:rsidR="00631F2E" w:rsidRPr="00242974">
        <w:lastRenderedPageBreak/>
        <w:t xml:space="preserve"> </w:t>
      </w:r>
    </w:p>
    <w:p w14:paraId="7E817B09" w14:textId="50F31860" w:rsidR="00A035CD" w:rsidRPr="002976D4" w:rsidRDefault="00AA77C8" w:rsidP="00500295">
      <w:pPr>
        <w:pStyle w:val="Heading2"/>
        <w:rPr>
          <w:color w:val="4472C4" w:themeColor="accent1"/>
        </w:rPr>
      </w:pPr>
      <w:bookmarkStart w:id="0"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0"/>
    </w:p>
    <w:p w14:paraId="36B43DFA" w14:textId="7FDA69FA"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Pr>
          <w:rFonts w:ascii="Arial" w:eastAsia="Times New Roman" w:hAnsi="Arial" w:cs="Arial"/>
          <w:kern w:val="0"/>
          <w:sz w:val="22"/>
          <w:lang w:eastAsia="en-GB"/>
          <w14:ligatures w14:val="none"/>
        </w:rPr>
        <w:t xml:space="preserve">I Chose the role of practice </w:t>
      </w:r>
      <w:r w:rsidRPr="00721B07">
        <w:rPr>
          <w:rFonts w:ascii="Arial" w:eastAsia="Times New Roman" w:hAnsi="Arial" w:cs="Arial"/>
          <w:kern w:val="0"/>
          <w:sz w:val="22"/>
          <w:lang w:eastAsia="en-GB"/>
          <w14:ligatures w14:val="none"/>
        </w:rPr>
        <w:t>nurse</w:t>
      </w:r>
      <w:r>
        <w:rPr>
          <w:rFonts w:ascii="Arial" w:eastAsia="Times New Roman" w:hAnsi="Arial" w:cs="Arial"/>
          <w:kern w:val="0"/>
          <w:sz w:val="22"/>
          <w:lang w:eastAsia="en-GB"/>
          <w14:ligatures w14:val="none"/>
        </w:rPr>
        <w:t xml:space="preserve"> because they </w:t>
      </w:r>
      <w:r w:rsidRPr="00721B07">
        <w:rPr>
          <w:rFonts w:ascii="Arial" w:eastAsia="Times New Roman" w:hAnsi="Arial" w:cs="Arial"/>
          <w:kern w:val="0"/>
          <w:sz w:val="22"/>
          <w:lang w:eastAsia="en-GB"/>
          <w14:ligatures w14:val="none"/>
        </w:rPr>
        <w:t>play a vital part in primary healthcare by supporting patients across all stages of life, from childhood vaccinations to lon</w:t>
      </w:r>
      <w:r>
        <w:rPr>
          <w:rFonts w:ascii="Arial" w:eastAsia="Times New Roman" w:hAnsi="Arial" w:cs="Arial"/>
          <w:kern w:val="0"/>
          <w:sz w:val="22"/>
          <w:lang w:eastAsia="en-GB"/>
          <w14:ligatures w14:val="none"/>
        </w:rPr>
        <w:t>g</w:t>
      </w:r>
      <w:r w:rsidRPr="00721B07">
        <w:rPr>
          <w:rFonts w:ascii="Arial" w:eastAsia="Times New Roman" w:hAnsi="Arial" w:cs="Arial"/>
          <w:kern w:val="0"/>
          <w:sz w:val="22"/>
          <w:lang w:eastAsia="en-GB"/>
          <w14:ligatures w14:val="none"/>
        </w:rPr>
        <w:t xml:space="preserve"> term condition management. Their role has expanded in recent years due to growing pressure on GP services and the increasing number of individuals living with chronic illnesses. This </w:t>
      </w:r>
      <w:r w:rsidRPr="00721B07">
        <w:rPr>
          <w:rFonts w:ascii="Arial" w:eastAsia="Times New Roman" w:hAnsi="Arial" w:cs="Arial"/>
          <w:kern w:val="0"/>
          <w:sz w:val="22"/>
          <w:lang w:eastAsia="en-GB"/>
          <w14:ligatures w14:val="none"/>
        </w:rPr>
        <w:t xml:space="preserve">report </w:t>
      </w:r>
      <w:r>
        <w:rPr>
          <w:rFonts w:ascii="Arial" w:eastAsia="Times New Roman" w:hAnsi="Arial" w:cs="Arial"/>
          <w:kern w:val="0"/>
          <w:sz w:val="22"/>
          <w:lang w:eastAsia="en-GB"/>
          <w14:ligatures w14:val="none"/>
        </w:rPr>
        <w:t>will</w:t>
      </w:r>
      <w:r>
        <w:rPr>
          <w:rFonts w:ascii="Arial" w:eastAsia="Times New Roman" w:hAnsi="Arial" w:cs="Arial"/>
          <w:kern w:val="0"/>
          <w:sz w:val="22"/>
          <w:lang w:eastAsia="en-GB"/>
          <w14:ligatures w14:val="none"/>
        </w:rPr>
        <w:t xml:space="preserve"> </w:t>
      </w:r>
      <w:r w:rsidRPr="00721B07">
        <w:rPr>
          <w:rFonts w:ascii="Arial" w:eastAsia="Times New Roman" w:hAnsi="Arial" w:cs="Arial"/>
          <w:kern w:val="0"/>
          <w:sz w:val="22"/>
          <w:lang w:eastAsia="en-GB"/>
          <w14:ligatures w14:val="none"/>
        </w:rPr>
        <w:t>describe the responsibilities of a practice nurse, identifies three essential skills needed for the role, and outlines strategies for improving each of these skills. Examples from real practice settings are used throughout to show the relevance of these skills to everyday work.</w:t>
      </w:r>
    </w:p>
    <w:p w14:paraId="2F840957" w14:textId="68D21CCC" w:rsidR="00500295" w:rsidRPr="00242974" w:rsidRDefault="00500295" w:rsidP="00500295">
      <w:pPr>
        <w:spacing w:after="0"/>
        <w:jc w:val="both"/>
        <w:rPr>
          <w:sz w:val="21"/>
          <w:szCs w:val="21"/>
        </w:rPr>
      </w:pPr>
    </w:p>
    <w:p w14:paraId="6A7D79E7" w14:textId="271583A7" w:rsidR="0042295C" w:rsidRPr="00242974" w:rsidRDefault="0042295C" w:rsidP="00500295">
      <w:pPr>
        <w:spacing w:after="0"/>
        <w:jc w:val="both"/>
        <w:rPr>
          <w:b/>
          <w:bCs/>
          <w:i/>
          <w:iCs/>
          <w:sz w:val="21"/>
          <w:szCs w:val="21"/>
        </w:rPr>
      </w:pPr>
    </w:p>
    <w:p w14:paraId="3FCD41CA" w14:textId="102246A5" w:rsidR="00A035CD" w:rsidRPr="000C559A" w:rsidRDefault="00A035CD" w:rsidP="000C559A">
      <w:pPr>
        <w:pStyle w:val="ListParagraph"/>
        <w:spacing w:after="0"/>
        <w:jc w:val="both"/>
        <w:rPr>
          <w:sz w:val="21"/>
          <w:szCs w:val="21"/>
        </w:rPr>
      </w:pPr>
    </w:p>
    <w:p w14:paraId="4CC61BC1" w14:textId="77777777" w:rsidR="00F36ADC" w:rsidRPr="00242974" w:rsidRDefault="00F36ADC" w:rsidP="00500295">
      <w:pPr>
        <w:spacing w:after="0" w:line="240" w:lineRule="auto"/>
        <w:jc w:val="both"/>
        <w:rPr>
          <w:sz w:val="21"/>
          <w:szCs w:val="21"/>
        </w:rPr>
      </w:pPr>
    </w:p>
    <w:p w14:paraId="50A9FBC6" w14:textId="7086A5A3" w:rsidR="008B0B22" w:rsidRPr="002976D4" w:rsidRDefault="00AA77C8" w:rsidP="008B0B22">
      <w:pPr>
        <w:pStyle w:val="Heading2"/>
        <w:rPr>
          <w:color w:val="4472C4" w:themeColor="accent1"/>
          <w:szCs w:val="24"/>
        </w:rPr>
      </w:pPr>
      <w:bookmarkStart w:id="1"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0C559A">
        <w:rPr>
          <w:color w:val="4472C4" w:themeColor="accent1"/>
          <w:szCs w:val="24"/>
        </w:rPr>
        <w:t xml:space="preserve">practice nurse </w:t>
      </w:r>
      <w:r w:rsidR="000C559A" w:rsidRPr="002976D4">
        <w:rPr>
          <w:color w:val="4472C4" w:themeColor="accent1"/>
          <w:szCs w:val="24"/>
        </w:rPr>
        <w:t>in</w:t>
      </w:r>
      <w:r w:rsidR="008B0B22" w:rsidRPr="002976D4">
        <w:rPr>
          <w:color w:val="4472C4" w:themeColor="accent1"/>
          <w:szCs w:val="24"/>
        </w:rPr>
        <w:t xml:space="preserve"> </w:t>
      </w:r>
      <w:bookmarkEnd w:id="1"/>
      <w:r w:rsidR="000C559A" w:rsidRPr="002976D4">
        <w:rPr>
          <w:color w:val="4472C4" w:themeColor="accent1"/>
          <w:szCs w:val="24"/>
        </w:rPr>
        <w:t>healthcare</w:t>
      </w:r>
      <w:r w:rsidR="008B0B22" w:rsidRPr="002976D4">
        <w:rPr>
          <w:color w:val="4472C4" w:themeColor="accent1"/>
          <w:szCs w:val="24"/>
        </w:rPr>
        <w:t xml:space="preserve"> </w:t>
      </w:r>
    </w:p>
    <w:p w14:paraId="493879CE" w14:textId="77777777"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A practice nurse works mainly in general practice settings, usually alongside GPs, healthcare assistants, and administrative staff. Although the exact duties can vary depending on the size of the practice and the needs of the local community, most practice nurses carry out a combination of clinical care, health promotion, and administrative tasks.</w:t>
      </w:r>
    </w:p>
    <w:p w14:paraId="16A5A429" w14:textId="399F181F"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A key responsibility is running nurse</w:t>
      </w:r>
      <w:r w:rsidR="00E93F37">
        <w:rPr>
          <w:rFonts w:ascii="Arial" w:eastAsia="Times New Roman" w:hAnsi="Arial" w:cs="Arial"/>
          <w:kern w:val="0"/>
          <w:sz w:val="22"/>
          <w:lang w:eastAsia="en-GB"/>
          <w14:ligatures w14:val="none"/>
        </w:rPr>
        <w:t xml:space="preserve"> </w:t>
      </w:r>
      <w:r w:rsidRPr="00721B07">
        <w:rPr>
          <w:rFonts w:ascii="Arial" w:eastAsia="Times New Roman" w:hAnsi="Arial" w:cs="Arial"/>
          <w:kern w:val="0"/>
          <w:sz w:val="22"/>
          <w:lang w:eastAsia="en-GB"/>
          <w14:ligatures w14:val="none"/>
        </w:rPr>
        <w:t>led clinics. These may include immunisation sessions, cervical screening appointments, wound care clinics, and long-term condition reviews for patients with asthma, diabetes, or hypertension</w:t>
      </w:r>
      <w:r>
        <w:rPr>
          <w:rFonts w:ascii="Arial" w:eastAsia="Times New Roman" w:hAnsi="Arial" w:cs="Arial"/>
          <w:kern w:val="0"/>
          <w:sz w:val="22"/>
          <w:lang w:eastAsia="en-GB"/>
          <w14:ligatures w14:val="none"/>
        </w:rPr>
        <w:t>.</w:t>
      </w:r>
      <w:r w:rsidRPr="00721B07">
        <w:rPr>
          <w:rFonts w:ascii="Arial" w:eastAsia="Times New Roman" w:hAnsi="Arial" w:cs="Arial"/>
          <w:kern w:val="0"/>
          <w:sz w:val="22"/>
          <w:lang w:eastAsia="en-GB"/>
          <w14:ligatures w14:val="none"/>
        </w:rPr>
        <w:t xml:space="preserve"> In these clinics, the practice nurse assesses the patient, records observations, gives treatment, and provides education to help patients understand their condition.</w:t>
      </w:r>
    </w:p>
    <w:p w14:paraId="6B9787F1" w14:textId="4D9CF0B5"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Another major duty is offering health advice and promoting healthier lifestyles. For example, nurses may support patients who want to stop smoking or lose weight, helping them set realistic goals and signposting them to appropriate local services. Practice nurses also have responsibilities for infection control, record</w:t>
      </w:r>
      <w:r w:rsidR="008068FB">
        <w:rPr>
          <w:rFonts w:ascii="Arial" w:eastAsia="Times New Roman" w:hAnsi="Arial" w:cs="Arial"/>
          <w:kern w:val="0"/>
          <w:sz w:val="22"/>
          <w:lang w:eastAsia="en-GB"/>
          <w14:ligatures w14:val="none"/>
        </w:rPr>
        <w:t xml:space="preserve"> </w:t>
      </w:r>
      <w:r w:rsidRPr="00721B07">
        <w:rPr>
          <w:rFonts w:ascii="Arial" w:eastAsia="Times New Roman" w:hAnsi="Arial" w:cs="Arial"/>
          <w:kern w:val="0"/>
          <w:sz w:val="22"/>
          <w:lang w:eastAsia="en-GB"/>
          <w14:ligatures w14:val="none"/>
        </w:rPr>
        <w:t>keeping, and following safeguarding procedures when concerns arise.</w:t>
      </w:r>
    </w:p>
    <w:p w14:paraId="2F471A98" w14:textId="4A87294C"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The role requires the nurse to work autonomously, often making independent decisions about patient care, while also knowing when to refer to a GP or specialist. Because</w:t>
      </w:r>
      <w:r>
        <w:rPr>
          <w:rFonts w:ascii="Arial" w:eastAsia="Times New Roman" w:hAnsi="Arial" w:cs="Arial"/>
          <w:kern w:val="0"/>
          <w:sz w:val="22"/>
          <w:lang w:eastAsia="en-GB"/>
          <w14:ligatures w14:val="none"/>
        </w:rPr>
        <w:t xml:space="preserve"> </w:t>
      </w:r>
      <w:r w:rsidRPr="00721B07">
        <w:rPr>
          <w:rFonts w:ascii="Arial" w:eastAsia="Times New Roman" w:hAnsi="Arial" w:cs="Arial"/>
          <w:kern w:val="0"/>
          <w:sz w:val="22"/>
          <w:lang w:eastAsia="en-GB"/>
          <w14:ligatures w14:val="none"/>
        </w:rPr>
        <w:t>appointments in general practice are usually short and high-pressure, practice nurses need to be organised, efficient, and able to prioritise patient needs.</w:t>
      </w:r>
    </w:p>
    <w:p w14:paraId="7ECE99E6" w14:textId="74ADD09A" w:rsidR="00676FEB" w:rsidRPr="000C559A" w:rsidRDefault="00676FEB" w:rsidP="000C559A">
      <w:pPr>
        <w:spacing w:after="0" w:line="240" w:lineRule="auto"/>
        <w:jc w:val="both"/>
        <w:rPr>
          <w:rFonts w:ascii="Times New Roman" w:hAnsi="Times New Roman"/>
          <w:sz w:val="21"/>
          <w:szCs w:val="21"/>
        </w:rPr>
      </w:pPr>
    </w:p>
    <w:p w14:paraId="425D6155" w14:textId="77777777" w:rsidR="00676FEB" w:rsidRPr="00242974" w:rsidRDefault="00676FEB" w:rsidP="00676FEB">
      <w:pPr>
        <w:spacing w:after="0" w:line="240" w:lineRule="auto"/>
        <w:jc w:val="both"/>
        <w:rPr>
          <w:sz w:val="21"/>
          <w:szCs w:val="21"/>
        </w:rPr>
      </w:pPr>
    </w:p>
    <w:p w14:paraId="4010C35E" w14:textId="3C46AE14"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0C559A">
        <w:rPr>
          <w:color w:val="4472C4" w:themeColor="accent1"/>
          <w:sz w:val="28"/>
          <w:szCs w:val="28"/>
        </w:rPr>
        <w:t xml:space="preserve">a practice nurse </w:t>
      </w:r>
      <w:r w:rsidR="000C559A" w:rsidRPr="002976D4">
        <w:rPr>
          <w:color w:val="4472C4" w:themeColor="accent1"/>
          <w:sz w:val="28"/>
          <w:szCs w:val="28"/>
        </w:rPr>
        <w:t>in</w:t>
      </w:r>
      <w:r w:rsidR="007138EF" w:rsidRPr="002976D4">
        <w:rPr>
          <w:color w:val="4472C4" w:themeColor="accent1"/>
          <w:sz w:val="28"/>
          <w:szCs w:val="28"/>
        </w:rPr>
        <w:t xml:space="preserve"> </w:t>
      </w:r>
      <w:r w:rsidR="002C7080" w:rsidRPr="002976D4">
        <w:rPr>
          <w:color w:val="4472C4" w:themeColor="accent1"/>
          <w:sz w:val="28"/>
          <w:szCs w:val="28"/>
        </w:rPr>
        <w:t>healthcare</w:t>
      </w:r>
      <w:r w:rsidR="000C559A" w:rsidRPr="002976D4">
        <w:rPr>
          <w:color w:val="4472C4" w:themeColor="accent1"/>
          <w:sz w:val="28"/>
          <w:szCs w:val="28"/>
        </w:rPr>
        <w:t>.</w:t>
      </w:r>
    </w:p>
    <w:p w14:paraId="276BC72D" w14:textId="1EAC66F5" w:rsidR="000C559A" w:rsidRPr="00336978" w:rsidRDefault="000C559A" w:rsidP="000C559A">
      <w:pPr>
        <w:spacing w:after="0" w:line="360" w:lineRule="auto"/>
        <w:rPr>
          <w:rFonts w:ascii="Arial" w:eastAsia="Times New Roman" w:hAnsi="Arial" w:cs="Arial"/>
          <w:kern w:val="36"/>
          <w:sz w:val="22"/>
          <w:lang w:eastAsia="en-GB"/>
          <w14:ligatures w14:val="none"/>
        </w:rPr>
      </w:pPr>
      <w:r w:rsidRPr="00336978">
        <w:rPr>
          <w:rFonts w:ascii="Arial" w:eastAsia="Times New Roman" w:hAnsi="Arial" w:cs="Arial"/>
          <w:kern w:val="36"/>
          <w:sz w:val="22"/>
          <w:lang w:eastAsia="en-GB"/>
          <w14:ligatures w14:val="none"/>
        </w:rPr>
        <w:t xml:space="preserve">I chose the following skills </w:t>
      </w:r>
      <w:r>
        <w:rPr>
          <w:rFonts w:ascii="Arial" w:eastAsia="Times New Roman" w:hAnsi="Arial" w:cs="Arial"/>
          <w:kern w:val="36"/>
          <w:sz w:val="22"/>
          <w:lang w:eastAsia="en-GB"/>
          <w14:ligatures w14:val="none"/>
        </w:rPr>
        <w:t xml:space="preserve">because there so important in the health and social care sector, these skills lead to good workflow in the sector between the patients and the </w:t>
      </w:r>
      <w:r>
        <w:rPr>
          <w:rFonts w:ascii="Arial" w:eastAsia="Times New Roman" w:hAnsi="Arial" w:cs="Arial"/>
          <w:kern w:val="36"/>
          <w:sz w:val="22"/>
          <w:lang w:eastAsia="en-GB"/>
          <w14:ligatures w14:val="none"/>
        </w:rPr>
        <w:t>nurses.</w:t>
      </w:r>
      <w:r>
        <w:rPr>
          <w:rFonts w:ascii="Arial" w:eastAsia="Times New Roman" w:hAnsi="Arial" w:cs="Arial"/>
          <w:kern w:val="36"/>
          <w:sz w:val="22"/>
          <w:lang w:eastAsia="en-GB"/>
          <w14:ligatures w14:val="none"/>
        </w:rPr>
        <w:t xml:space="preserve">  </w:t>
      </w:r>
    </w:p>
    <w:p w14:paraId="6CC4D7A5" w14:textId="77777777" w:rsidR="000C559A" w:rsidRPr="00343293" w:rsidRDefault="000C559A" w:rsidP="000C559A">
      <w:pPr>
        <w:spacing w:after="0" w:line="360" w:lineRule="auto"/>
        <w:rPr>
          <w:rFonts w:ascii="Arial" w:eastAsia="Times New Roman" w:hAnsi="Arial" w:cs="Arial"/>
          <w:b/>
          <w:bCs/>
          <w:kern w:val="36"/>
          <w:sz w:val="22"/>
          <w:lang w:eastAsia="en-GB"/>
          <w14:ligatures w14:val="none"/>
        </w:rPr>
      </w:pPr>
    </w:p>
    <w:p w14:paraId="5691CE06" w14:textId="77777777" w:rsidR="000C559A" w:rsidRPr="00A931A6" w:rsidRDefault="000C559A" w:rsidP="000C559A">
      <w:pPr>
        <w:spacing w:after="0" w:line="360" w:lineRule="auto"/>
        <w:rPr>
          <w:rFonts w:ascii="Arial" w:eastAsia="Times New Roman" w:hAnsi="Arial" w:cs="Arial"/>
          <w:kern w:val="0"/>
          <w:sz w:val="22"/>
          <w:lang w:eastAsia="en-GB"/>
          <w14:ligatures w14:val="none"/>
        </w:rPr>
      </w:pPr>
      <w:r w:rsidRPr="00A931A6">
        <w:rPr>
          <w:rFonts w:ascii="Arial" w:eastAsia="Times New Roman" w:hAnsi="Arial" w:cs="Arial"/>
          <w:b/>
          <w:bCs/>
          <w:kern w:val="0"/>
          <w:sz w:val="22"/>
          <w:lang w:eastAsia="en-GB"/>
          <w14:ligatures w14:val="none"/>
        </w:rPr>
        <w:t>Communication Skills</w:t>
      </w:r>
    </w:p>
    <w:p w14:paraId="3299AA66" w14:textId="77777777"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Clear and sensitive communi</w:t>
      </w:r>
      <w:r w:rsidRPr="00A931A6">
        <w:rPr>
          <w:rFonts w:ascii="Arial" w:eastAsia="Times New Roman" w:hAnsi="Arial" w:cs="Arial"/>
          <w:kern w:val="0"/>
          <w:sz w:val="22"/>
          <w:lang w:eastAsia="en-GB"/>
          <w14:ligatures w14:val="none"/>
        </w:rPr>
        <w:t>cat</w:t>
      </w:r>
      <w:r w:rsidRPr="00721B07">
        <w:rPr>
          <w:rFonts w:ascii="Arial" w:eastAsia="Times New Roman" w:hAnsi="Arial" w:cs="Arial"/>
          <w:kern w:val="0"/>
          <w:sz w:val="22"/>
          <w:lang w:eastAsia="en-GB"/>
          <w14:ligatures w14:val="none"/>
        </w:rPr>
        <w:t>ion is one of the most important skills for a practice nurse. Nurses must explain medical information in a way that patients can understand, especially when discussing health conditions or test results. Good communication also helps build trust, which is fundamental when asking patients about personal issues such as lifestyle behaviours or mental health concerns.</w:t>
      </w:r>
    </w:p>
    <w:p w14:paraId="4C2AEC50" w14:textId="77777777" w:rsidR="000C559A" w:rsidRPr="00A931A6"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For example, during a childhood vaccination appointment, the practice nurse must reassure parents, explain possible side effects, and answer questions calmly. Poor communication in this situation could lead to anxiety or even refusal of vaccines.</w:t>
      </w:r>
    </w:p>
    <w:p w14:paraId="25B88A10" w14:textId="77777777"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Clinical Decision-Making</w:t>
      </w:r>
    </w:p>
    <w:p w14:paraId="339548DA" w14:textId="77777777"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Practice nurses frequently make quick and accurate clinical decisions, often without immediate input from a GP. This might include interpreting blood pressure readings, choosing appropriate wound dressings, or deciding whether a patient needs urgent medical attention.</w:t>
      </w:r>
    </w:p>
    <w:p w14:paraId="0118A027" w14:textId="77777777" w:rsidR="000C559A" w:rsidRPr="00A931A6"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Good decision-making is essential to ensure patient safety. For instance, if a nurse completes an asthma review and notices that the patient’s peak flow readings have dropped significantly, they must decide whether to adjust the treatment plan or seek a GP’s advice. Clinical decisions like these affect patient outcomes and must be based on knowledge, experience, and evidence-based guidelines (Bennett &amp; Wood, 2020).</w:t>
      </w:r>
    </w:p>
    <w:p w14:paraId="28C49A30" w14:textId="77777777"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Empathy and Patient-Centred Care</w:t>
      </w:r>
    </w:p>
    <w:p w14:paraId="195BE8C0" w14:textId="77777777" w:rsidR="000C559A" w:rsidRPr="00721B07" w:rsidRDefault="000C559A" w:rsidP="000C559A">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Empathy allows a practice nurse to understand the patient’s perspective and respond to their emotional needs. In primary care, appointments often involve discussing ongoing or sensitive issues. Patients may feel embarrassed, afraid, or overwhelmed.</w:t>
      </w:r>
    </w:p>
    <w:p w14:paraId="3619F070" w14:textId="6E7DBD4B" w:rsidR="00774092" w:rsidRPr="009965EC" w:rsidRDefault="000C559A"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For example, a patient newly diagnosed with type 2 diabetes may feel guilty or anxious. A nurse who responds with empathy can better support the patient to develop confidence in </w:t>
      </w:r>
      <w:r w:rsidRPr="00721B07">
        <w:rPr>
          <w:rFonts w:ascii="Arial" w:eastAsia="Times New Roman" w:hAnsi="Arial" w:cs="Arial"/>
          <w:kern w:val="0"/>
          <w:sz w:val="22"/>
          <w:lang w:eastAsia="en-GB"/>
          <w14:ligatures w14:val="none"/>
        </w:rPr>
        <w:lastRenderedPageBreak/>
        <w:t>managing their condition. Research shows that empathy improves patient satisfaction, increases adherence to treatment, and leads to better long-term health outcomes (Mercer &amp; Reynolds, 2023).</w:t>
      </w:r>
    </w:p>
    <w:p w14:paraId="7338813D" w14:textId="77777777" w:rsidR="00C85A7C" w:rsidRPr="00242974" w:rsidRDefault="00C85A7C" w:rsidP="00C85A7C">
      <w:pPr>
        <w:spacing w:after="0" w:line="240" w:lineRule="auto"/>
        <w:jc w:val="both"/>
        <w:rPr>
          <w:sz w:val="21"/>
          <w:szCs w:val="21"/>
        </w:rPr>
      </w:pPr>
    </w:p>
    <w:p w14:paraId="01C49510" w14:textId="6D66BBD1" w:rsidR="002370CE" w:rsidRPr="002976D4" w:rsidRDefault="00AA77C8" w:rsidP="00774092">
      <w:pPr>
        <w:pStyle w:val="Heading2"/>
        <w:rPr>
          <w:color w:val="4472C4" w:themeColor="accent1"/>
          <w:szCs w:val="24"/>
        </w:rPr>
      </w:pPr>
      <w:bookmarkStart w:id="2"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bookmarkEnd w:id="2"/>
      <w:r w:rsidR="009965EC">
        <w:rPr>
          <w:color w:val="4472C4" w:themeColor="accent1"/>
          <w:szCs w:val="24"/>
        </w:rPr>
        <w:t>practice nurse.</w:t>
      </w:r>
    </w:p>
    <w:p w14:paraId="4E8CB25D" w14:textId="77777777" w:rsidR="009965EC" w:rsidRPr="00A931A6" w:rsidRDefault="009965EC" w:rsidP="009965EC">
      <w:pPr>
        <w:spacing w:after="0" w:line="360" w:lineRule="auto"/>
        <w:rPr>
          <w:rFonts w:ascii="Arial" w:eastAsia="Times New Roman" w:hAnsi="Arial" w:cs="Arial"/>
          <w:kern w:val="0"/>
          <w:sz w:val="22"/>
          <w:lang w:eastAsia="en-GB"/>
          <w14:ligatures w14:val="none"/>
        </w:rPr>
      </w:pPr>
      <w:r w:rsidRPr="00A931A6">
        <w:rPr>
          <w:rFonts w:ascii="Arial" w:eastAsia="Times New Roman" w:hAnsi="Arial" w:cs="Arial"/>
          <w:kern w:val="0"/>
          <w:sz w:val="22"/>
          <w:lang w:eastAsia="en-GB"/>
          <w14:ligatures w14:val="none"/>
        </w:rPr>
        <w:t>Strategies to Improve Communication</w:t>
      </w:r>
    </w:p>
    <w:p w14:paraId="06A371E8"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Regular reflective practice</w:t>
      </w:r>
      <w:r w:rsidRPr="00721B07">
        <w:rPr>
          <w:rFonts w:ascii="Arial" w:eastAsia="Times New Roman" w:hAnsi="Arial" w:cs="Arial"/>
          <w:kern w:val="0"/>
          <w:sz w:val="22"/>
          <w:lang w:eastAsia="en-GB"/>
          <w14:ligatures w14:val="none"/>
        </w:rPr>
        <w:br/>
        <w:t>Reflective practice involves thinking critically about past interactions and identifying what worked well and what could be improved. Keeping a reflective journal helps nurses notice patterns, such as moments when a patient looked confused or when an explanation went particularly well. Over time, this self-awareness strengthens communication clarity.</w:t>
      </w:r>
    </w:p>
    <w:p w14:paraId="475575C5"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Attending communication workshops</w:t>
      </w:r>
      <w:r w:rsidRPr="00721B07">
        <w:rPr>
          <w:rFonts w:ascii="Arial" w:eastAsia="Times New Roman" w:hAnsi="Arial" w:cs="Arial"/>
          <w:kern w:val="0"/>
          <w:sz w:val="22"/>
          <w:lang w:eastAsia="en-GB"/>
          <w14:ligatures w14:val="none"/>
        </w:rPr>
        <w:br/>
      </w:r>
      <w:r w:rsidRPr="00A931A6">
        <w:rPr>
          <w:rFonts w:ascii="Arial" w:eastAsia="Times New Roman" w:hAnsi="Arial" w:cs="Arial"/>
          <w:kern w:val="0"/>
          <w:sz w:val="22"/>
          <w:lang w:eastAsia="en-GB"/>
          <w14:ligatures w14:val="none"/>
        </w:rPr>
        <w:t>S</w:t>
      </w:r>
      <w:r w:rsidRPr="00721B07">
        <w:rPr>
          <w:rFonts w:ascii="Arial" w:eastAsia="Times New Roman" w:hAnsi="Arial" w:cs="Arial"/>
          <w:kern w:val="0"/>
          <w:sz w:val="22"/>
          <w:lang w:eastAsia="en-GB"/>
          <w14:ligatures w14:val="none"/>
        </w:rPr>
        <w:t>hort courses on clinical communication can help nurses practise skills such as active listening, managing difficult conversations, and using plain language. These sessions often use role-play, allowing nurses to practise real-life scenarios in a safe environment. This helps build confidence when speaking with anxious or challenging patients.</w:t>
      </w:r>
    </w:p>
    <w:p w14:paraId="3493F204" w14:textId="77777777" w:rsidR="009965EC" w:rsidRPr="00A931A6"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Using patient feedback tools</w:t>
      </w:r>
      <w:r w:rsidRPr="00721B07">
        <w:rPr>
          <w:rFonts w:ascii="Arial" w:eastAsia="Times New Roman" w:hAnsi="Arial" w:cs="Arial"/>
          <w:kern w:val="0"/>
          <w:sz w:val="22"/>
          <w:lang w:eastAsia="en-GB"/>
          <w14:ligatures w14:val="none"/>
        </w:rPr>
        <w:br/>
        <w:t>Asking patients for brief feedback, either verbally or through feedback cards, can help the nurse understand how effectively they are communicating. This feedback is practical and directly linked to everyday work. For example, if several patients comment that explanations are too fast, the nurse can adjust their pace.</w:t>
      </w:r>
    </w:p>
    <w:p w14:paraId="2AB84910"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Strategies to Improve Clinical Decision-Making</w:t>
      </w:r>
    </w:p>
    <w:p w14:paraId="7AD7BAD5" w14:textId="355DFB5C"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Engaging in continuous professional development (CPD)</w:t>
      </w:r>
      <w:r w:rsidRPr="00721B07">
        <w:rPr>
          <w:rFonts w:ascii="Arial" w:eastAsia="Times New Roman" w:hAnsi="Arial" w:cs="Arial"/>
          <w:kern w:val="0"/>
          <w:sz w:val="22"/>
          <w:lang w:eastAsia="en-GB"/>
          <w14:ligatures w14:val="none"/>
        </w:rPr>
        <w:br/>
        <w:t>Regularly updating knowledge through CPD activities such as online courses, clinical updates, or practice-based training days supports evidence-based decision-making. For example, updated guidelines for treating high blood pressure may change the thresholds for referral, so CPD helps nurses stay current (NICE, 2023).</w:t>
      </w:r>
      <w:r w:rsidR="00DF5144" w:rsidRPr="00DF5144">
        <w:rPr>
          <w:rFonts w:ascii="Arial" w:eastAsia="Times New Roman" w:hAnsi="Arial" w:cs="Arial"/>
          <w:kern w:val="0"/>
          <w:sz w:val="22"/>
          <w:lang w:eastAsia="en-GB"/>
          <w14:ligatures w14:val="none"/>
        </w:rPr>
        <w:t xml:space="preserve"> </w:t>
      </w:r>
    </w:p>
    <w:p w14:paraId="41277D48"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Participating in case discussions with colleagues</w:t>
      </w:r>
      <w:r w:rsidRPr="00721B07">
        <w:rPr>
          <w:rFonts w:ascii="Arial" w:eastAsia="Times New Roman" w:hAnsi="Arial" w:cs="Arial"/>
          <w:kern w:val="0"/>
          <w:sz w:val="22"/>
          <w:lang w:eastAsia="en-GB"/>
          <w14:ligatures w14:val="none"/>
        </w:rPr>
        <w:br/>
        <w:t>Team meetings or informal case discussions with GPs and experienced nurses allow the practice nurse to learn from real patient scenarios. These discussions help nurses compare their reasoning with others’ approaches and reflect on alternative decisions.</w:t>
      </w:r>
    </w:p>
    <w:p w14:paraId="22FE0F65" w14:textId="77777777" w:rsidR="009965EC" w:rsidRPr="00A931A6"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lastRenderedPageBreak/>
        <w:t>Using clinical decision-support tools</w:t>
      </w:r>
      <w:r w:rsidRPr="00721B07">
        <w:rPr>
          <w:rFonts w:ascii="Arial" w:eastAsia="Times New Roman" w:hAnsi="Arial" w:cs="Arial"/>
          <w:kern w:val="0"/>
          <w:sz w:val="22"/>
          <w:lang w:eastAsia="en-GB"/>
          <w14:ligatures w14:val="none"/>
        </w:rPr>
        <w:br/>
        <w:t>Many healthcare systems offer digital tools or templates integrated into patient records. These tools provide reminders, risk scores, and prompts that support safer decision-making. Using them regularly helps the nurse build confidence and accuracy when carrying out assessments.</w:t>
      </w:r>
    </w:p>
    <w:p w14:paraId="07A1602D"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Strategies to Develop Empathy and Patient-Centred Care</w:t>
      </w:r>
    </w:p>
    <w:p w14:paraId="54F34097"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 xml:space="preserve"> Practising active listening</w:t>
      </w:r>
      <w:r w:rsidRPr="00721B07">
        <w:rPr>
          <w:rFonts w:ascii="Arial" w:eastAsia="Times New Roman" w:hAnsi="Arial" w:cs="Arial"/>
          <w:kern w:val="0"/>
          <w:sz w:val="22"/>
          <w:lang w:eastAsia="en-GB"/>
          <w14:ligatures w14:val="none"/>
        </w:rPr>
        <w:br/>
        <w:t>Active listening involves giving full attention, using open body language, and summarising what the patient has said to check understanding. Practising these techniques in every appointment helps the nurse develop deeper empathy and strengthens the therapeutic relationship.</w:t>
      </w:r>
    </w:p>
    <w:p w14:paraId="1301BB12"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Attending training on cultural competence</w:t>
      </w:r>
      <w:r w:rsidRPr="00721B07">
        <w:rPr>
          <w:rFonts w:ascii="Arial" w:eastAsia="Times New Roman" w:hAnsi="Arial" w:cs="Arial"/>
          <w:kern w:val="0"/>
          <w:sz w:val="22"/>
          <w:lang w:eastAsia="en-GB"/>
          <w14:ligatures w14:val="none"/>
        </w:rPr>
        <w:br/>
        <w:t>Primary care nurses treat people from a wide range of cultural backgrounds. Training in cultural awareness helps nurses understand different health beliefs, communication styles, and expectations. This knowledge supports more respectful and personalised care, particularly when patients have different views about illness or treatment.</w:t>
      </w:r>
    </w:p>
    <w:p w14:paraId="44726FB0"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b/>
          <w:bCs/>
          <w:kern w:val="0"/>
          <w:sz w:val="22"/>
          <w:lang w:eastAsia="en-GB"/>
          <w14:ligatures w14:val="none"/>
        </w:rPr>
        <w:t>Shadowing experienced colleagues</w:t>
      </w:r>
      <w:r w:rsidRPr="00721B07">
        <w:rPr>
          <w:rFonts w:ascii="Arial" w:eastAsia="Times New Roman" w:hAnsi="Arial" w:cs="Arial"/>
          <w:kern w:val="0"/>
          <w:sz w:val="22"/>
          <w:lang w:eastAsia="en-GB"/>
          <w14:ligatures w14:val="none"/>
        </w:rPr>
        <w:br/>
        <w:t>Observing senior practice nurses or GPs who demonstrate strong empathetic skills can be highly beneficial. Watching how they approach sensitive conversations</w:t>
      </w:r>
      <w:r>
        <w:rPr>
          <w:rFonts w:ascii="Arial" w:eastAsia="Times New Roman" w:hAnsi="Arial" w:cs="Arial"/>
          <w:kern w:val="0"/>
          <w:sz w:val="22"/>
          <w:lang w:eastAsia="en-GB"/>
          <w14:ligatures w14:val="none"/>
        </w:rPr>
        <w:t xml:space="preserve"> </w:t>
      </w:r>
      <w:r w:rsidRPr="00721B07">
        <w:rPr>
          <w:rFonts w:ascii="Arial" w:eastAsia="Times New Roman" w:hAnsi="Arial" w:cs="Arial"/>
          <w:kern w:val="0"/>
          <w:sz w:val="22"/>
          <w:lang w:eastAsia="en-GB"/>
          <w14:ligatures w14:val="none"/>
        </w:rPr>
        <w:t>such as delivering difficult news</w:t>
      </w:r>
      <w:r>
        <w:rPr>
          <w:rFonts w:ascii="Arial" w:eastAsia="Times New Roman" w:hAnsi="Arial" w:cs="Arial"/>
          <w:kern w:val="0"/>
          <w:sz w:val="22"/>
          <w:lang w:eastAsia="en-GB"/>
          <w14:ligatures w14:val="none"/>
        </w:rPr>
        <w:t xml:space="preserve"> </w:t>
      </w:r>
      <w:r w:rsidRPr="00721B07">
        <w:rPr>
          <w:rFonts w:ascii="Arial" w:eastAsia="Times New Roman" w:hAnsi="Arial" w:cs="Arial"/>
          <w:kern w:val="0"/>
          <w:sz w:val="22"/>
          <w:lang w:eastAsia="en-GB"/>
          <w14:ligatures w14:val="none"/>
        </w:rPr>
        <w:t>gives practical examples that can be adapted into one’s own practice.</w:t>
      </w:r>
    </w:p>
    <w:p w14:paraId="4CF2D851" w14:textId="3722D686" w:rsidR="00F1720B" w:rsidRPr="009965EC" w:rsidRDefault="00A946CB" w:rsidP="009965EC">
      <w:pPr>
        <w:spacing w:after="0"/>
        <w:rPr>
          <w:sz w:val="21"/>
          <w:szCs w:val="21"/>
        </w:rPr>
      </w:pPr>
      <w:r w:rsidRPr="009965EC">
        <w:rPr>
          <w:sz w:val="21"/>
          <w:szCs w:val="21"/>
        </w:rPr>
        <w:t xml:space="preserve"> </w:t>
      </w:r>
    </w:p>
    <w:p w14:paraId="2703A512" w14:textId="77777777" w:rsidR="00500295" w:rsidRPr="00242974" w:rsidRDefault="00500295"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3" w:name="_Toc212100521"/>
      <w:r w:rsidRPr="002976D4">
        <w:rPr>
          <w:color w:val="4472C4" w:themeColor="accent1"/>
          <w:szCs w:val="24"/>
        </w:rPr>
        <w:t>1</w:t>
      </w:r>
      <w:r w:rsidR="00A946CB" w:rsidRPr="002976D4">
        <w:rPr>
          <w:color w:val="4472C4" w:themeColor="accent1"/>
          <w:szCs w:val="24"/>
        </w:rPr>
        <w:t>.4 Conclusion</w:t>
      </w:r>
      <w:bookmarkEnd w:id="3"/>
    </w:p>
    <w:p w14:paraId="7FEFA1D2"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The role of the practice nurse is central to modern primary care, involving responsibility for clinical tasks, patient education, and ongoing support for long-term conditions. To perform the role effectively, nurses must communicate clearly, make sound clinical decisions, and demonstrate empathy. Each of these skills directly influences patient safety, satisfaction, and overall health outcomes. By using strategies such as reflective practice, professional development, and active listening, practice nurses can continue to strengthen their abilities and provide high-quality, patient-centred care. The combination of technical competence and interpersonal skill is what allows practice nurses to meet the diverse needs of the communities they serve.</w:t>
      </w:r>
    </w:p>
    <w:p w14:paraId="76565AE3" w14:textId="47D2E031" w:rsidR="003458DB" w:rsidRPr="009965EC" w:rsidRDefault="003458DB" w:rsidP="009965EC">
      <w:pPr>
        <w:spacing w:after="0" w:line="240" w:lineRule="auto"/>
        <w:rPr>
          <w:sz w:val="21"/>
          <w:szCs w:val="21"/>
        </w:rPr>
      </w:pPr>
    </w:p>
    <w:p w14:paraId="6C4B494D" w14:textId="763B24A0" w:rsidR="00226D31" w:rsidRDefault="00AA77C8" w:rsidP="00226D31">
      <w:pPr>
        <w:pStyle w:val="Heading2"/>
        <w:rPr>
          <w:color w:val="4472C4" w:themeColor="accent1"/>
          <w:szCs w:val="24"/>
        </w:rPr>
      </w:pPr>
      <w:bookmarkStart w:id="4" w:name="_Toc212100522"/>
      <w:r w:rsidRPr="002976D4">
        <w:rPr>
          <w:color w:val="4472C4" w:themeColor="accent1"/>
          <w:szCs w:val="24"/>
        </w:rPr>
        <w:t>1</w:t>
      </w:r>
      <w:r w:rsidR="00226D31" w:rsidRPr="002976D4">
        <w:rPr>
          <w:color w:val="4472C4" w:themeColor="accent1"/>
          <w:szCs w:val="24"/>
        </w:rPr>
        <w:t>.5 Reference List</w:t>
      </w:r>
      <w:bookmarkEnd w:id="4"/>
    </w:p>
    <w:p w14:paraId="3E8CF748"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Bennett, D. &amp; Wood, S. (2020) </w:t>
      </w:r>
      <w:r w:rsidRPr="00721B07">
        <w:rPr>
          <w:rFonts w:ascii="Arial" w:eastAsia="Times New Roman" w:hAnsi="Arial" w:cs="Arial"/>
          <w:i/>
          <w:iCs/>
          <w:kern w:val="0"/>
          <w:sz w:val="22"/>
          <w:lang w:eastAsia="en-GB"/>
          <w14:ligatures w14:val="none"/>
        </w:rPr>
        <w:t>Primary Care Nursing: Principles and Practice</w:t>
      </w:r>
      <w:r w:rsidRPr="00721B07">
        <w:rPr>
          <w:rFonts w:ascii="Arial" w:eastAsia="Times New Roman" w:hAnsi="Arial" w:cs="Arial"/>
          <w:kern w:val="0"/>
          <w:sz w:val="22"/>
          <w:lang w:eastAsia="en-GB"/>
          <w14:ligatures w14:val="none"/>
        </w:rPr>
        <w:t>. London: Sage.</w:t>
      </w:r>
    </w:p>
    <w:p w14:paraId="40F76C42"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Mercer, S. &amp; Reynolds, W. (2023) ‘Empathy in general practice consultations’, </w:t>
      </w:r>
      <w:r w:rsidRPr="00721B07">
        <w:rPr>
          <w:rFonts w:ascii="Arial" w:eastAsia="Times New Roman" w:hAnsi="Arial" w:cs="Arial"/>
          <w:i/>
          <w:iCs/>
          <w:kern w:val="0"/>
          <w:sz w:val="22"/>
          <w:lang w:eastAsia="en-GB"/>
          <w14:ligatures w14:val="none"/>
        </w:rPr>
        <w:t>Journal of Primary Care Research</w:t>
      </w:r>
      <w:r w:rsidRPr="00721B07">
        <w:rPr>
          <w:rFonts w:ascii="Arial" w:eastAsia="Times New Roman" w:hAnsi="Arial" w:cs="Arial"/>
          <w:kern w:val="0"/>
          <w:sz w:val="22"/>
          <w:lang w:eastAsia="en-GB"/>
          <w14:ligatures w14:val="none"/>
        </w:rPr>
        <w:t>, 15(2), pp. 45–56.</w:t>
      </w:r>
    </w:p>
    <w:p w14:paraId="6F00F76A"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NHS England (2022) </w:t>
      </w:r>
      <w:r w:rsidRPr="00721B07">
        <w:rPr>
          <w:rFonts w:ascii="Arial" w:eastAsia="Times New Roman" w:hAnsi="Arial" w:cs="Arial"/>
          <w:i/>
          <w:iCs/>
          <w:kern w:val="0"/>
          <w:sz w:val="22"/>
          <w:lang w:eastAsia="en-GB"/>
          <w14:ligatures w14:val="none"/>
        </w:rPr>
        <w:t>General Practice Nursing Workforce Standards</w:t>
      </w:r>
      <w:r w:rsidRPr="00721B07">
        <w:rPr>
          <w:rFonts w:ascii="Arial" w:eastAsia="Times New Roman" w:hAnsi="Arial" w:cs="Arial"/>
          <w:kern w:val="0"/>
          <w:sz w:val="22"/>
          <w:lang w:eastAsia="en-GB"/>
          <w14:ligatures w14:val="none"/>
        </w:rPr>
        <w:t>. NHS England Publications.</w:t>
      </w:r>
    </w:p>
    <w:p w14:paraId="13209CBD"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NICE (2023) </w:t>
      </w:r>
      <w:r w:rsidRPr="00721B07">
        <w:rPr>
          <w:rFonts w:ascii="Arial" w:eastAsia="Times New Roman" w:hAnsi="Arial" w:cs="Arial"/>
          <w:i/>
          <w:iCs/>
          <w:kern w:val="0"/>
          <w:sz w:val="22"/>
          <w:lang w:eastAsia="en-GB"/>
          <w14:ligatures w14:val="none"/>
        </w:rPr>
        <w:t>Hypertension in Adults: Diagnosis and Management</w:t>
      </w:r>
      <w:r w:rsidRPr="00721B07">
        <w:rPr>
          <w:rFonts w:ascii="Arial" w:eastAsia="Times New Roman" w:hAnsi="Arial" w:cs="Arial"/>
          <w:kern w:val="0"/>
          <w:sz w:val="22"/>
          <w:lang w:eastAsia="en-GB"/>
          <w14:ligatures w14:val="none"/>
        </w:rPr>
        <w:t>. National Institute for Health and Care Excellence.</w:t>
      </w:r>
    </w:p>
    <w:p w14:paraId="6529C29E"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Royal College of Nursing (2023) </w:t>
      </w:r>
      <w:r w:rsidRPr="00721B07">
        <w:rPr>
          <w:rFonts w:ascii="Arial" w:eastAsia="Times New Roman" w:hAnsi="Arial" w:cs="Arial"/>
          <w:i/>
          <w:iCs/>
          <w:kern w:val="0"/>
          <w:sz w:val="22"/>
          <w:lang w:eastAsia="en-GB"/>
          <w14:ligatures w14:val="none"/>
        </w:rPr>
        <w:t>General Practice Nursing: Roles and Responsibilities</w:t>
      </w:r>
      <w:r w:rsidRPr="00721B07">
        <w:rPr>
          <w:rFonts w:ascii="Arial" w:eastAsia="Times New Roman" w:hAnsi="Arial" w:cs="Arial"/>
          <w:kern w:val="0"/>
          <w:sz w:val="22"/>
          <w:lang w:eastAsia="en-GB"/>
          <w14:ligatures w14:val="none"/>
        </w:rPr>
        <w:t>. RCN Publishing.</w:t>
      </w:r>
    </w:p>
    <w:p w14:paraId="0E1C1DF0" w14:textId="77777777" w:rsidR="009965EC" w:rsidRPr="00721B07" w:rsidRDefault="009965EC" w:rsidP="009965EC">
      <w:pPr>
        <w:spacing w:before="100" w:beforeAutospacing="1" w:after="100" w:afterAutospacing="1" w:line="360" w:lineRule="auto"/>
        <w:rPr>
          <w:rFonts w:ascii="Arial" w:eastAsia="Times New Roman" w:hAnsi="Arial" w:cs="Arial"/>
          <w:kern w:val="0"/>
          <w:sz w:val="22"/>
          <w:lang w:eastAsia="en-GB"/>
          <w14:ligatures w14:val="none"/>
        </w:rPr>
      </w:pPr>
      <w:r w:rsidRPr="00721B07">
        <w:rPr>
          <w:rFonts w:ascii="Arial" w:eastAsia="Times New Roman" w:hAnsi="Arial" w:cs="Arial"/>
          <w:kern w:val="0"/>
          <w:sz w:val="22"/>
          <w:lang w:eastAsia="en-GB"/>
          <w14:ligatures w14:val="none"/>
        </w:rPr>
        <w:t xml:space="preserve">Public Health England (2021) </w:t>
      </w:r>
      <w:r w:rsidRPr="00721B07">
        <w:rPr>
          <w:rFonts w:ascii="Arial" w:eastAsia="Times New Roman" w:hAnsi="Arial" w:cs="Arial"/>
          <w:i/>
          <w:iCs/>
          <w:kern w:val="0"/>
          <w:sz w:val="22"/>
          <w:lang w:eastAsia="en-GB"/>
          <w14:ligatures w14:val="none"/>
        </w:rPr>
        <w:t>Vaccination Guidance for Healthcare Practitioners</w:t>
      </w:r>
      <w:r w:rsidRPr="00721B07">
        <w:rPr>
          <w:rFonts w:ascii="Arial" w:eastAsia="Times New Roman" w:hAnsi="Arial" w:cs="Arial"/>
          <w:kern w:val="0"/>
          <w:sz w:val="22"/>
          <w:lang w:eastAsia="en-GB"/>
          <w14:ligatures w14:val="none"/>
        </w:rPr>
        <w:t>. PHE Publications.</w:t>
      </w:r>
    </w:p>
    <w:p w14:paraId="67B5414C" w14:textId="77777777" w:rsidR="009965EC" w:rsidRPr="00A931A6" w:rsidRDefault="009965EC" w:rsidP="009965EC">
      <w:pPr>
        <w:spacing w:line="360" w:lineRule="auto"/>
        <w:rPr>
          <w:rFonts w:ascii="Arial" w:hAnsi="Arial" w:cs="Arial"/>
          <w:sz w:val="22"/>
        </w:rPr>
      </w:pPr>
    </w:p>
    <w:p w14:paraId="5F32E520" w14:textId="77777777" w:rsidR="009965EC" w:rsidRPr="009965EC" w:rsidRDefault="009965EC" w:rsidP="009965EC"/>
    <w:sectPr w:rsidR="009965EC" w:rsidRPr="009965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85D642" w14:textId="77777777" w:rsidR="005C5B2B" w:rsidRDefault="005C5B2B" w:rsidP="003C7C97">
      <w:pPr>
        <w:spacing w:after="0" w:line="240" w:lineRule="auto"/>
      </w:pPr>
      <w:r>
        <w:separator/>
      </w:r>
    </w:p>
  </w:endnote>
  <w:endnote w:type="continuationSeparator" w:id="0">
    <w:p w14:paraId="295EC94A" w14:textId="77777777" w:rsidR="005C5B2B" w:rsidRDefault="005C5B2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E5BA0" w14:textId="77777777" w:rsidR="005C5B2B" w:rsidRDefault="005C5B2B" w:rsidP="003C7C97">
      <w:pPr>
        <w:spacing w:after="0" w:line="240" w:lineRule="auto"/>
      </w:pPr>
      <w:r>
        <w:separator/>
      </w:r>
    </w:p>
  </w:footnote>
  <w:footnote w:type="continuationSeparator" w:id="0">
    <w:p w14:paraId="13AC772A" w14:textId="77777777" w:rsidR="005C5B2B" w:rsidRDefault="005C5B2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559A"/>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6568C"/>
    <w:rsid w:val="002976D4"/>
    <w:rsid w:val="002A5577"/>
    <w:rsid w:val="002B4AA4"/>
    <w:rsid w:val="002C7080"/>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C5B2B"/>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068FB"/>
    <w:rsid w:val="00815117"/>
    <w:rsid w:val="008520F8"/>
    <w:rsid w:val="00855F34"/>
    <w:rsid w:val="008826B6"/>
    <w:rsid w:val="008B0B22"/>
    <w:rsid w:val="008C58B0"/>
    <w:rsid w:val="008C591B"/>
    <w:rsid w:val="008C6182"/>
    <w:rsid w:val="008D48D6"/>
    <w:rsid w:val="00926458"/>
    <w:rsid w:val="00933720"/>
    <w:rsid w:val="009965EC"/>
    <w:rsid w:val="009C2DC9"/>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67812"/>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DF5144"/>
    <w:rsid w:val="00E067A8"/>
    <w:rsid w:val="00E13924"/>
    <w:rsid w:val="00E15FD5"/>
    <w:rsid w:val="00E1725A"/>
    <w:rsid w:val="00E33758"/>
    <w:rsid w:val="00E53E5E"/>
    <w:rsid w:val="00E64325"/>
    <w:rsid w:val="00E673C5"/>
    <w:rsid w:val="00E67967"/>
    <w:rsid w:val="00E82723"/>
    <w:rsid w:val="00E93F37"/>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009965EC"/>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3314</TotalTime>
  <Pages>7</Pages>
  <Words>1499</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Queen Pearl</cp:lastModifiedBy>
  <cp:revision>9</cp:revision>
  <dcterms:created xsi:type="dcterms:W3CDTF">2025-11-16T16:10:00Z</dcterms:created>
  <dcterms:modified xsi:type="dcterms:W3CDTF">2025-11-18T23:21:00Z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