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5CF0" w:rsidRPr="00104E86" w:rsidRDefault="00FC5CF0" w:rsidP="00FC5CF0">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FC5CF0" w:rsidRDefault="00FC5CF0" w:rsidP="00FC5CF0">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Pr="00622B3A" w:rsidRDefault="00FC5CF0" w:rsidP="00FC5CF0">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LCBB6002 – International Financial Management</w:t>
      </w:r>
    </w:p>
    <w:p w:rsidR="00FC5CF0" w:rsidRPr="00622B3A" w:rsidRDefault="00FC5CF0" w:rsidP="00FC5CF0">
      <w:pPr>
        <w:spacing w:after="0" w:line="360" w:lineRule="auto"/>
        <w:jc w:val="center"/>
        <w:rPr>
          <w:rFonts w:ascii="Arial" w:hAnsi="Arial" w:cs="Arial"/>
          <w:sz w:val="28"/>
          <w:szCs w:val="28"/>
        </w:rPr>
      </w:pPr>
      <w:r>
        <w:rPr>
          <w:rFonts w:ascii="Arial" w:hAnsi="Arial" w:cs="Arial"/>
          <w:b/>
          <w:sz w:val="28"/>
          <w:szCs w:val="28"/>
        </w:rPr>
        <w:t xml:space="preserve">Title: </w:t>
      </w:r>
      <w:r>
        <w:rPr>
          <w:rFonts w:ascii="Arial" w:hAnsi="Arial" w:cs="Arial"/>
          <w:sz w:val="28"/>
          <w:szCs w:val="28"/>
        </w:rPr>
        <w:t>Assessment Report – Selfridges UK</w:t>
      </w: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Default="00FC5CF0" w:rsidP="00FC5CF0">
      <w:pPr>
        <w:spacing w:after="0" w:line="360" w:lineRule="auto"/>
        <w:jc w:val="both"/>
        <w:rPr>
          <w:rFonts w:ascii="Arial" w:hAnsi="Arial" w:cs="Arial"/>
          <w:b/>
          <w:sz w:val="28"/>
          <w:szCs w:val="28"/>
        </w:rPr>
      </w:pPr>
    </w:p>
    <w:p w:rsidR="00FC5CF0" w:rsidRPr="001139B0" w:rsidRDefault="00FC5CF0" w:rsidP="00FC5CF0">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Dragomir</w:t>
      </w:r>
    </w:p>
    <w:p w:rsidR="00FC5CF0" w:rsidRDefault="00FC5CF0" w:rsidP="00FC5CF0">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FC5CF0" w:rsidRDefault="00FC5CF0" w:rsidP="00FC5CF0">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Dr. Yousuf Kamal</w:t>
      </w:r>
    </w:p>
    <w:p w:rsidR="00000000" w:rsidRDefault="00B53307"/>
    <w:p w:rsidR="00FC5CF0" w:rsidRDefault="00FC5CF0"/>
    <w:p w:rsidR="00FC5CF0" w:rsidRDefault="00FC5CF0"/>
    <w:p w:rsidR="00FC5CF0" w:rsidRDefault="00FC5CF0"/>
    <w:p w:rsidR="00FC5CF0" w:rsidRDefault="00FC5CF0"/>
    <w:p w:rsidR="00FC5CF0" w:rsidRDefault="00FC5CF0"/>
    <w:p w:rsidR="00FC5CF0" w:rsidRDefault="00FC5CF0"/>
    <w:p w:rsidR="00FC5CF0" w:rsidRDefault="00FC5CF0"/>
    <w:p w:rsidR="00F75024" w:rsidRDefault="00F75024"/>
    <w:p w:rsidR="00F75024" w:rsidRDefault="00F75024"/>
    <w:p w:rsidR="00F75024" w:rsidRDefault="00F75024"/>
    <w:sdt>
      <w:sdtPr>
        <w:id w:val="474416235"/>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F75024" w:rsidRDefault="00F75024" w:rsidP="00F75024">
          <w:pPr>
            <w:pStyle w:val="TOCHeading"/>
            <w:jc w:val="center"/>
            <w:rPr>
              <w:rFonts w:ascii="Arial" w:hAnsi="Arial" w:cs="Arial"/>
              <w:color w:val="auto"/>
              <w:sz w:val="24"/>
              <w:szCs w:val="24"/>
            </w:rPr>
          </w:pPr>
          <w:r w:rsidRPr="00F75024">
            <w:rPr>
              <w:rFonts w:ascii="Arial" w:hAnsi="Arial" w:cs="Arial"/>
              <w:color w:val="auto"/>
              <w:sz w:val="24"/>
              <w:szCs w:val="24"/>
            </w:rPr>
            <w:t xml:space="preserve">Table of </w:t>
          </w:r>
          <w:r>
            <w:rPr>
              <w:rFonts w:ascii="Arial" w:hAnsi="Arial" w:cs="Arial"/>
              <w:color w:val="auto"/>
              <w:sz w:val="24"/>
              <w:szCs w:val="24"/>
            </w:rPr>
            <w:t>c</w:t>
          </w:r>
          <w:r w:rsidRPr="00F75024">
            <w:rPr>
              <w:rFonts w:ascii="Arial" w:hAnsi="Arial" w:cs="Arial"/>
              <w:color w:val="auto"/>
              <w:sz w:val="24"/>
              <w:szCs w:val="24"/>
            </w:rPr>
            <w:t>ontents</w:t>
          </w:r>
        </w:p>
        <w:p w:rsidR="00F75024" w:rsidRPr="00F75024" w:rsidRDefault="00F75024" w:rsidP="00F75024"/>
        <w:p w:rsidR="00F75024" w:rsidRPr="00F75024" w:rsidRDefault="00F75024">
          <w:pPr>
            <w:pStyle w:val="TOC1"/>
            <w:tabs>
              <w:tab w:val="right" w:leader="dot" w:pos="9350"/>
            </w:tabs>
            <w:rPr>
              <w:b/>
              <w:noProof/>
            </w:rPr>
          </w:pPr>
          <w:r w:rsidRPr="00F75024">
            <w:rPr>
              <w:b/>
            </w:rPr>
            <w:fldChar w:fldCharType="begin"/>
          </w:r>
          <w:r w:rsidRPr="00F75024">
            <w:rPr>
              <w:b/>
            </w:rPr>
            <w:instrText xml:space="preserve"> TOC \o "1-3" \h \z \u </w:instrText>
          </w:r>
          <w:r w:rsidRPr="00F75024">
            <w:rPr>
              <w:b/>
            </w:rPr>
            <w:fldChar w:fldCharType="separate"/>
          </w:r>
          <w:hyperlink w:anchor="_Toc170417558" w:history="1">
            <w:r w:rsidRPr="00F75024">
              <w:rPr>
                <w:rStyle w:val="Hyperlink"/>
                <w:rFonts w:ascii="Arial" w:hAnsi="Arial" w:cs="Arial"/>
                <w:b/>
                <w:noProof/>
              </w:rPr>
              <w:t>Introduction</w:t>
            </w:r>
            <w:r w:rsidRPr="00F75024">
              <w:rPr>
                <w:b/>
                <w:noProof/>
                <w:webHidden/>
              </w:rPr>
              <w:tab/>
            </w:r>
            <w:r w:rsidRPr="00F75024">
              <w:rPr>
                <w:b/>
                <w:noProof/>
                <w:webHidden/>
              </w:rPr>
              <w:fldChar w:fldCharType="begin"/>
            </w:r>
            <w:r w:rsidRPr="00F75024">
              <w:rPr>
                <w:b/>
                <w:noProof/>
                <w:webHidden/>
              </w:rPr>
              <w:instrText xml:space="preserve"> PAGEREF _Toc170417558 \h </w:instrText>
            </w:r>
            <w:r w:rsidRPr="00F75024">
              <w:rPr>
                <w:b/>
                <w:noProof/>
                <w:webHidden/>
              </w:rPr>
            </w:r>
            <w:r w:rsidRPr="00F75024">
              <w:rPr>
                <w:b/>
                <w:noProof/>
                <w:webHidden/>
              </w:rPr>
              <w:fldChar w:fldCharType="separate"/>
            </w:r>
            <w:r w:rsidR="00354879">
              <w:rPr>
                <w:b/>
                <w:noProof/>
                <w:webHidden/>
              </w:rPr>
              <w:t>3</w:t>
            </w:r>
            <w:r w:rsidRPr="00F75024">
              <w:rPr>
                <w:b/>
                <w:noProof/>
                <w:webHidden/>
              </w:rPr>
              <w:fldChar w:fldCharType="end"/>
            </w:r>
          </w:hyperlink>
        </w:p>
        <w:p w:rsidR="00F75024" w:rsidRPr="00F75024" w:rsidRDefault="00F75024">
          <w:pPr>
            <w:pStyle w:val="TOC1"/>
            <w:tabs>
              <w:tab w:val="right" w:leader="dot" w:pos="9350"/>
            </w:tabs>
            <w:rPr>
              <w:b/>
              <w:noProof/>
            </w:rPr>
          </w:pPr>
          <w:hyperlink w:anchor="_Toc170417559" w:history="1">
            <w:r w:rsidRPr="00F75024">
              <w:rPr>
                <w:rStyle w:val="Hyperlink"/>
                <w:rFonts w:ascii="Arial" w:hAnsi="Arial" w:cs="Arial"/>
                <w:b/>
                <w:noProof/>
              </w:rPr>
              <w:t>Summary of various metrics for corporate governance and CSR to Selfridges UK</w:t>
            </w:r>
            <w:r w:rsidRPr="00F75024">
              <w:rPr>
                <w:b/>
                <w:noProof/>
                <w:webHidden/>
              </w:rPr>
              <w:tab/>
            </w:r>
            <w:r w:rsidRPr="00F75024">
              <w:rPr>
                <w:b/>
                <w:noProof/>
                <w:webHidden/>
              </w:rPr>
              <w:fldChar w:fldCharType="begin"/>
            </w:r>
            <w:r w:rsidRPr="00F75024">
              <w:rPr>
                <w:b/>
                <w:noProof/>
                <w:webHidden/>
              </w:rPr>
              <w:instrText xml:space="preserve"> PAGEREF _Toc170417559 \h </w:instrText>
            </w:r>
            <w:r w:rsidRPr="00F75024">
              <w:rPr>
                <w:b/>
                <w:noProof/>
                <w:webHidden/>
              </w:rPr>
            </w:r>
            <w:r w:rsidRPr="00F75024">
              <w:rPr>
                <w:b/>
                <w:noProof/>
                <w:webHidden/>
              </w:rPr>
              <w:fldChar w:fldCharType="separate"/>
            </w:r>
            <w:r w:rsidR="00354879">
              <w:rPr>
                <w:b/>
                <w:noProof/>
                <w:webHidden/>
              </w:rPr>
              <w:t>4</w:t>
            </w:r>
            <w:r w:rsidRPr="00F75024">
              <w:rPr>
                <w:b/>
                <w:noProof/>
                <w:webHidden/>
              </w:rPr>
              <w:fldChar w:fldCharType="end"/>
            </w:r>
          </w:hyperlink>
        </w:p>
        <w:p w:rsidR="00F75024" w:rsidRPr="00F75024" w:rsidRDefault="00F75024">
          <w:pPr>
            <w:pStyle w:val="TOC1"/>
            <w:tabs>
              <w:tab w:val="right" w:leader="dot" w:pos="9350"/>
            </w:tabs>
            <w:rPr>
              <w:b/>
              <w:noProof/>
            </w:rPr>
          </w:pPr>
          <w:hyperlink w:anchor="_Toc170417560" w:history="1">
            <w:r w:rsidRPr="00F75024">
              <w:rPr>
                <w:rStyle w:val="Hyperlink"/>
                <w:rFonts w:ascii="Arial" w:hAnsi="Arial" w:cs="Arial"/>
                <w:b/>
                <w:noProof/>
              </w:rPr>
              <w:t>Impact of corporate governance/CSR on corporate performance</w:t>
            </w:r>
            <w:r w:rsidRPr="00F75024">
              <w:rPr>
                <w:b/>
                <w:noProof/>
                <w:webHidden/>
              </w:rPr>
              <w:tab/>
            </w:r>
            <w:r w:rsidRPr="00F75024">
              <w:rPr>
                <w:b/>
                <w:noProof/>
                <w:webHidden/>
              </w:rPr>
              <w:fldChar w:fldCharType="begin"/>
            </w:r>
            <w:r w:rsidRPr="00F75024">
              <w:rPr>
                <w:b/>
                <w:noProof/>
                <w:webHidden/>
              </w:rPr>
              <w:instrText xml:space="preserve"> PAGEREF _Toc170417560 \h </w:instrText>
            </w:r>
            <w:r w:rsidRPr="00F75024">
              <w:rPr>
                <w:b/>
                <w:noProof/>
                <w:webHidden/>
              </w:rPr>
            </w:r>
            <w:r w:rsidRPr="00F75024">
              <w:rPr>
                <w:b/>
                <w:noProof/>
                <w:webHidden/>
              </w:rPr>
              <w:fldChar w:fldCharType="separate"/>
            </w:r>
            <w:r w:rsidR="00354879">
              <w:rPr>
                <w:b/>
                <w:noProof/>
                <w:webHidden/>
              </w:rPr>
              <w:t>6</w:t>
            </w:r>
            <w:r w:rsidRPr="00F75024">
              <w:rPr>
                <w:b/>
                <w:noProof/>
                <w:webHidden/>
              </w:rPr>
              <w:fldChar w:fldCharType="end"/>
            </w:r>
          </w:hyperlink>
        </w:p>
        <w:p w:rsidR="00F75024" w:rsidRPr="00F75024" w:rsidRDefault="00F75024">
          <w:pPr>
            <w:pStyle w:val="TOC1"/>
            <w:tabs>
              <w:tab w:val="right" w:leader="dot" w:pos="9350"/>
            </w:tabs>
            <w:rPr>
              <w:b/>
              <w:noProof/>
            </w:rPr>
          </w:pPr>
          <w:hyperlink w:anchor="_Toc170417561" w:history="1">
            <w:r w:rsidRPr="00F75024">
              <w:rPr>
                <w:rStyle w:val="Hyperlink"/>
                <w:rFonts w:ascii="Arial" w:hAnsi="Arial" w:cs="Arial"/>
                <w:b/>
                <w:noProof/>
              </w:rPr>
              <w:t>Conclusion</w:t>
            </w:r>
            <w:r w:rsidRPr="00F75024">
              <w:rPr>
                <w:b/>
                <w:noProof/>
                <w:webHidden/>
              </w:rPr>
              <w:tab/>
            </w:r>
            <w:r w:rsidRPr="00F75024">
              <w:rPr>
                <w:b/>
                <w:noProof/>
                <w:webHidden/>
              </w:rPr>
              <w:fldChar w:fldCharType="begin"/>
            </w:r>
            <w:r w:rsidRPr="00F75024">
              <w:rPr>
                <w:b/>
                <w:noProof/>
                <w:webHidden/>
              </w:rPr>
              <w:instrText xml:space="preserve"> PAGEREF _Toc170417561 \h </w:instrText>
            </w:r>
            <w:r w:rsidRPr="00F75024">
              <w:rPr>
                <w:b/>
                <w:noProof/>
                <w:webHidden/>
              </w:rPr>
            </w:r>
            <w:r w:rsidRPr="00F75024">
              <w:rPr>
                <w:b/>
                <w:noProof/>
                <w:webHidden/>
              </w:rPr>
              <w:fldChar w:fldCharType="separate"/>
            </w:r>
            <w:r w:rsidR="00354879">
              <w:rPr>
                <w:b/>
                <w:noProof/>
                <w:webHidden/>
              </w:rPr>
              <w:t>9</w:t>
            </w:r>
            <w:r w:rsidRPr="00F75024">
              <w:rPr>
                <w:b/>
                <w:noProof/>
                <w:webHidden/>
              </w:rPr>
              <w:fldChar w:fldCharType="end"/>
            </w:r>
          </w:hyperlink>
        </w:p>
        <w:p w:rsidR="00F75024" w:rsidRPr="00F75024" w:rsidRDefault="00F75024">
          <w:pPr>
            <w:pStyle w:val="TOC1"/>
            <w:tabs>
              <w:tab w:val="right" w:leader="dot" w:pos="9350"/>
            </w:tabs>
            <w:rPr>
              <w:b/>
              <w:noProof/>
            </w:rPr>
          </w:pPr>
          <w:hyperlink w:anchor="_Toc170417562" w:history="1">
            <w:r w:rsidRPr="00F75024">
              <w:rPr>
                <w:rStyle w:val="Hyperlink"/>
                <w:rFonts w:ascii="Arial" w:hAnsi="Arial" w:cs="Arial"/>
                <w:b/>
                <w:noProof/>
              </w:rPr>
              <w:t>References</w:t>
            </w:r>
            <w:r w:rsidRPr="00F75024">
              <w:rPr>
                <w:b/>
                <w:noProof/>
                <w:webHidden/>
              </w:rPr>
              <w:tab/>
            </w:r>
            <w:r w:rsidRPr="00F75024">
              <w:rPr>
                <w:b/>
                <w:noProof/>
                <w:webHidden/>
              </w:rPr>
              <w:fldChar w:fldCharType="begin"/>
            </w:r>
            <w:r w:rsidRPr="00F75024">
              <w:rPr>
                <w:b/>
                <w:noProof/>
                <w:webHidden/>
              </w:rPr>
              <w:instrText xml:space="preserve"> PAGEREF _Toc170417562 \h </w:instrText>
            </w:r>
            <w:r w:rsidRPr="00F75024">
              <w:rPr>
                <w:b/>
                <w:noProof/>
                <w:webHidden/>
              </w:rPr>
            </w:r>
            <w:r w:rsidRPr="00F75024">
              <w:rPr>
                <w:b/>
                <w:noProof/>
                <w:webHidden/>
              </w:rPr>
              <w:fldChar w:fldCharType="separate"/>
            </w:r>
            <w:r w:rsidR="00354879">
              <w:rPr>
                <w:b/>
                <w:noProof/>
                <w:webHidden/>
              </w:rPr>
              <w:t>10</w:t>
            </w:r>
            <w:r w:rsidRPr="00F75024">
              <w:rPr>
                <w:b/>
                <w:noProof/>
                <w:webHidden/>
              </w:rPr>
              <w:fldChar w:fldCharType="end"/>
            </w:r>
          </w:hyperlink>
        </w:p>
        <w:p w:rsidR="00F75024" w:rsidRDefault="00F75024">
          <w:r w:rsidRPr="00F75024">
            <w:rPr>
              <w:b/>
            </w:rPr>
            <w:fldChar w:fldCharType="end"/>
          </w:r>
        </w:p>
      </w:sdtContent>
    </w:sdt>
    <w:p w:rsidR="00F75024" w:rsidRDefault="00F75024"/>
    <w:p w:rsidR="00FC5CF0" w:rsidRDefault="00FC5CF0"/>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75024" w:rsidRDefault="00F75024"/>
    <w:p w:rsidR="00FC5CF0" w:rsidRDefault="00FC5CF0"/>
    <w:p w:rsidR="00FC5CF0" w:rsidRDefault="00FC5CF0"/>
    <w:p w:rsidR="00F75024" w:rsidRDefault="00F75024" w:rsidP="00FC5CF0">
      <w:pPr>
        <w:pStyle w:val="Heading1"/>
        <w:spacing w:before="0" w:line="360" w:lineRule="auto"/>
        <w:jc w:val="center"/>
        <w:rPr>
          <w:rFonts w:ascii="Arial" w:hAnsi="Arial" w:cs="Arial"/>
          <w:color w:val="auto"/>
          <w:sz w:val="24"/>
          <w:szCs w:val="24"/>
        </w:rPr>
        <w:sectPr w:rsidR="00F75024">
          <w:footerReference w:type="default" r:id="rId9"/>
          <w:pgSz w:w="12240" w:h="15840"/>
          <w:pgMar w:top="1440" w:right="1440" w:bottom="1440" w:left="1440" w:header="708" w:footer="708" w:gutter="0"/>
          <w:cols w:space="708"/>
          <w:docGrid w:linePitch="360"/>
        </w:sectPr>
      </w:pPr>
      <w:bookmarkStart w:id="0" w:name="_Toc170417558"/>
    </w:p>
    <w:p w:rsidR="00FC5CF0" w:rsidRPr="00FC5CF0" w:rsidRDefault="00FC5CF0" w:rsidP="00FC5CF0">
      <w:pPr>
        <w:pStyle w:val="Heading1"/>
        <w:spacing w:before="0" w:line="360" w:lineRule="auto"/>
        <w:jc w:val="center"/>
        <w:rPr>
          <w:rFonts w:ascii="Arial" w:hAnsi="Arial" w:cs="Arial"/>
          <w:color w:val="auto"/>
          <w:sz w:val="24"/>
          <w:szCs w:val="24"/>
        </w:rPr>
      </w:pPr>
      <w:r w:rsidRPr="00FC5CF0">
        <w:rPr>
          <w:rFonts w:ascii="Arial" w:hAnsi="Arial" w:cs="Arial"/>
          <w:color w:val="auto"/>
          <w:sz w:val="24"/>
          <w:szCs w:val="24"/>
        </w:rPr>
        <w:lastRenderedPageBreak/>
        <w:t>Introduction</w:t>
      </w:r>
      <w:bookmarkEnd w:id="0"/>
    </w:p>
    <w:p w:rsidR="00FC5CF0" w:rsidRDefault="00FC5CF0" w:rsidP="00FC5CF0">
      <w:pPr>
        <w:pStyle w:val="Heading1"/>
        <w:spacing w:before="0" w:line="360" w:lineRule="auto"/>
        <w:jc w:val="center"/>
        <w:rPr>
          <w:rFonts w:ascii="Arial" w:hAnsi="Arial" w:cs="Arial"/>
          <w:color w:val="auto"/>
          <w:sz w:val="24"/>
          <w:szCs w:val="24"/>
        </w:rPr>
      </w:pPr>
    </w:p>
    <w:p w:rsidR="000407E9" w:rsidRDefault="000407E9" w:rsidP="000407E9">
      <w:pPr>
        <w:spacing w:after="0" w:line="360" w:lineRule="auto"/>
        <w:ind w:firstLine="720"/>
        <w:jc w:val="both"/>
        <w:rPr>
          <w:rFonts w:ascii="Arial" w:hAnsi="Arial" w:cs="Arial"/>
        </w:rPr>
      </w:pPr>
      <w:r w:rsidRPr="000407E9">
        <w:rPr>
          <w:rFonts w:ascii="Arial" w:hAnsi="Arial" w:cs="Arial"/>
        </w:rPr>
        <w:t xml:space="preserve">Corporate governance and CSR are viewed as very critical matters for Selfridges UK, with its prestigious retailer heritage background, always integral to the ethical framework and the way of doing business. The company would work hard toward maintaining transparency, accountability, and ethical decision-making at all operational levels, with proper fiduciary structures in place for monitoring BOARD activities, managing risks, and ensuring conformity with the law and regulations. Parallel to this, Selfridges UK expresses strong concern for CSR by only allowing its business to grow parallel to changing societal and environmental needs. The company actively works on initiatives regarding sustainability, ethical sourcing, and community welfare in diminishing the impact on the environment while making positive contributions to communities. </w:t>
      </w:r>
    </w:p>
    <w:p w:rsidR="000407E9" w:rsidRDefault="000407E9" w:rsidP="000407E9">
      <w:pPr>
        <w:spacing w:after="0" w:line="360" w:lineRule="auto"/>
        <w:ind w:firstLine="720"/>
        <w:jc w:val="both"/>
        <w:rPr>
          <w:rFonts w:ascii="Arial" w:hAnsi="Arial" w:cs="Arial"/>
        </w:rPr>
      </w:pPr>
      <w:r w:rsidRPr="000407E9">
        <w:rPr>
          <w:rFonts w:ascii="Arial" w:hAnsi="Arial" w:cs="Arial"/>
        </w:rPr>
        <w:t>This report examines the influence with regard to the corporate governance principles and CSR initiatives that Selfridges UK has integrated into its business strategies in order to promote a sound reputation for being a responsible corporate entity within the retail industry.</w:t>
      </w: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spacing w:after="0" w:line="360" w:lineRule="auto"/>
        <w:ind w:firstLine="720"/>
        <w:jc w:val="both"/>
        <w:rPr>
          <w:rFonts w:ascii="Arial" w:hAnsi="Arial" w:cs="Arial"/>
        </w:rPr>
      </w:pPr>
    </w:p>
    <w:p w:rsidR="000407E9" w:rsidRDefault="000407E9" w:rsidP="000407E9">
      <w:pPr>
        <w:pStyle w:val="Heading1"/>
        <w:spacing w:before="0" w:line="360" w:lineRule="auto"/>
        <w:jc w:val="center"/>
        <w:rPr>
          <w:rFonts w:ascii="Arial" w:eastAsiaTheme="minorEastAsia" w:hAnsi="Arial" w:cs="Arial"/>
          <w:b w:val="0"/>
          <w:bCs w:val="0"/>
          <w:color w:val="auto"/>
          <w:sz w:val="22"/>
          <w:szCs w:val="22"/>
        </w:rPr>
      </w:pPr>
    </w:p>
    <w:p w:rsidR="000407E9" w:rsidRPr="000407E9" w:rsidRDefault="000407E9" w:rsidP="000407E9"/>
    <w:p w:rsidR="00FC5CF0" w:rsidRPr="00FC5CF0" w:rsidRDefault="00FC5CF0" w:rsidP="000407E9">
      <w:pPr>
        <w:pStyle w:val="Heading1"/>
        <w:spacing w:before="0" w:line="360" w:lineRule="auto"/>
        <w:jc w:val="center"/>
        <w:rPr>
          <w:rFonts w:ascii="Arial" w:hAnsi="Arial" w:cs="Arial"/>
          <w:color w:val="auto"/>
          <w:sz w:val="24"/>
          <w:szCs w:val="24"/>
        </w:rPr>
      </w:pPr>
      <w:bookmarkStart w:id="1" w:name="_Toc170417559"/>
      <w:r w:rsidRPr="00FC5CF0">
        <w:rPr>
          <w:rFonts w:ascii="Arial" w:hAnsi="Arial" w:cs="Arial"/>
          <w:color w:val="auto"/>
          <w:sz w:val="24"/>
          <w:szCs w:val="24"/>
        </w:rPr>
        <w:lastRenderedPageBreak/>
        <w:t>Summary of various metrics for corporate governance and CSR to Selfridges UK</w:t>
      </w:r>
      <w:bookmarkEnd w:id="1"/>
    </w:p>
    <w:p w:rsidR="00FC5CF0" w:rsidRDefault="00FC5CF0" w:rsidP="00FC5CF0">
      <w:pPr>
        <w:pStyle w:val="Heading1"/>
        <w:spacing w:before="0" w:line="360" w:lineRule="auto"/>
        <w:jc w:val="center"/>
        <w:rPr>
          <w:rFonts w:ascii="Arial" w:hAnsi="Arial" w:cs="Arial"/>
          <w:color w:val="auto"/>
          <w:sz w:val="24"/>
          <w:szCs w:val="24"/>
        </w:rPr>
      </w:pP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Corporate governance and social responsibility have, therefore, become major guiding principles for Selfridges UK in retailing high-quality goods and conscience-driven business practices among its customers. The overview identifies the different metrics and indicators that Selfridges UK uses in measuring and improving its corporate governance and CSR practices.</w:t>
      </w:r>
    </w:p>
    <w:p w:rsidR="000407E9" w:rsidRDefault="000407E9" w:rsidP="000407E9">
      <w:pPr>
        <w:spacing w:after="0"/>
      </w:pPr>
    </w:p>
    <w:p w:rsidR="000407E9" w:rsidRPr="000407E9" w:rsidRDefault="000407E9" w:rsidP="000407E9">
      <w:pPr>
        <w:spacing w:after="0" w:line="360" w:lineRule="auto"/>
        <w:ind w:firstLine="720"/>
        <w:jc w:val="both"/>
        <w:rPr>
          <w:rFonts w:ascii="Arial" w:hAnsi="Arial" w:cs="Arial"/>
          <w:b/>
          <w:i/>
        </w:rPr>
      </w:pPr>
      <w:r w:rsidRPr="000407E9">
        <w:rPr>
          <w:rFonts w:ascii="Arial" w:hAnsi="Arial" w:cs="Arial"/>
          <w:b/>
          <w:i/>
        </w:rPr>
        <w:t>Metrics to measure corporate governance</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Board composition and structure are important elements when it comes to a diverse set of skills, experience, and viewpoints for Selfridges UK. There are several metrics used for assessing board composition: the ratio of executive to nonexecutive directors, gender diversity, and independence of board members. Moreover, there is the assessment of the effectiveness of audit, remuneration, and nomination board committees in serving the requirements of their respective roles within their oversight of financial reporting, executive compensation, and nomination to the board</w:t>
      </w:r>
      <w:r w:rsidR="00AB4158">
        <w:rPr>
          <w:rFonts w:ascii="Arial" w:hAnsi="Arial" w:cs="Arial"/>
        </w:rPr>
        <w:t xml:space="preserve"> (</w:t>
      </w:r>
      <w:r w:rsidR="00AB4158">
        <w:rPr>
          <w:rFonts w:ascii="Arial" w:hAnsi="Arial" w:cs="Arial"/>
          <w:color w:val="222222"/>
          <w:shd w:val="clear" w:color="auto" w:fill="FFFFFF"/>
        </w:rPr>
        <w:t xml:space="preserve">Bouslah, Kryzanowski &amp; M’Zali, </w:t>
      </w:r>
      <w:r w:rsidR="00AB4158" w:rsidRPr="000A23C9">
        <w:rPr>
          <w:rFonts w:ascii="Arial" w:hAnsi="Arial" w:cs="Arial"/>
          <w:color w:val="222222"/>
          <w:shd w:val="clear" w:color="auto" w:fill="FFFFFF"/>
        </w:rPr>
        <w:t>2018)</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Relevant to this, a code of conduct put in place for employees and suppliers, adherence to their legal and regulatory standards should be met, and not forgetting and implementing measures to prevent corruption and bribery. Selfridges UK keenly monitors and tracks reported ethical violations and investigates them comprehensively with action plans in place against any emerging non-compliance matters</w:t>
      </w:r>
      <w:r w:rsidR="00AB4158">
        <w:rPr>
          <w:rFonts w:ascii="Arial" w:hAnsi="Arial" w:cs="Arial"/>
        </w:rPr>
        <w:t xml:space="preserve"> (</w:t>
      </w:r>
      <w:r w:rsidR="00AB4158">
        <w:rPr>
          <w:rFonts w:ascii="Arial" w:hAnsi="Arial" w:cs="Arial"/>
          <w:color w:val="222222"/>
          <w:shd w:val="clear" w:color="auto" w:fill="FFFFFF"/>
        </w:rPr>
        <w:t>Brown</w:t>
      </w:r>
      <w:r w:rsidR="00AB4158" w:rsidRPr="000A23C9">
        <w:rPr>
          <w:rFonts w:ascii="Arial" w:hAnsi="Arial" w:cs="Arial"/>
          <w:color w:val="222222"/>
          <w:shd w:val="clear" w:color="auto" w:fill="FFFFFF"/>
        </w:rPr>
        <w:t xml:space="preserve"> &amp; Forster,</w:t>
      </w:r>
      <w:r w:rsidR="00AB4158">
        <w:rPr>
          <w:rFonts w:ascii="Arial" w:hAnsi="Arial" w:cs="Arial"/>
          <w:color w:val="222222"/>
          <w:shd w:val="clear" w:color="auto" w:fill="FFFFFF"/>
        </w:rPr>
        <w:t xml:space="preserve"> </w:t>
      </w:r>
      <w:r w:rsidR="00AB4158" w:rsidRPr="000A23C9">
        <w:rPr>
          <w:rFonts w:ascii="Arial" w:hAnsi="Arial" w:cs="Arial"/>
          <w:color w:val="222222"/>
          <w:shd w:val="clear" w:color="auto" w:fill="FFFFFF"/>
        </w:rPr>
        <w:t>2013)</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The effectiveness of risk management measures has to do with the way strategies are identified, estimated, and reduced in various operational domains. On the other side, compliance metrics discuss the extent of conformity to the law, regulation, or industry standards, which would have to be periodically audited and reviewed against best practices</w:t>
      </w:r>
      <w:r w:rsidR="00354879">
        <w:rPr>
          <w:rFonts w:ascii="Arial" w:hAnsi="Arial" w:cs="Arial"/>
        </w:rPr>
        <w:t xml:space="preserve"> (</w:t>
      </w:r>
      <w:r w:rsidR="00354879">
        <w:rPr>
          <w:rFonts w:ascii="Arial" w:hAnsi="Arial" w:cs="Arial"/>
          <w:color w:val="222222"/>
          <w:shd w:val="clear" w:color="auto" w:fill="FFFFFF"/>
        </w:rPr>
        <w:t xml:space="preserve">Qiu, Shaukat &amp; Tharyan, </w:t>
      </w:r>
      <w:r w:rsidR="00354879" w:rsidRPr="000A23C9">
        <w:rPr>
          <w:rFonts w:ascii="Arial" w:hAnsi="Arial" w:cs="Arial"/>
          <w:color w:val="222222"/>
          <w:shd w:val="clear" w:color="auto" w:fill="FFFFFF"/>
        </w:rPr>
        <w:t>2016)</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Selfridges UK maintains records of various engagement metrics in relation to shareholders: participation at AGMs, voting patterns on key resolutions, and communication channels that ensure transparency and build trust between the business and the shareholders. In addition, it looks at shareholder activism and the success of the company in paying attention to the questions and concerns of shareholders</w:t>
      </w:r>
      <w:r w:rsidR="00AB4158">
        <w:rPr>
          <w:rFonts w:ascii="Arial" w:hAnsi="Arial" w:cs="Arial"/>
        </w:rPr>
        <w:t xml:space="preserve"> (</w:t>
      </w:r>
      <w:r w:rsidR="00AB4158">
        <w:rPr>
          <w:rFonts w:ascii="Arial" w:hAnsi="Arial" w:cs="Arial"/>
          <w:color w:val="222222"/>
          <w:shd w:val="clear" w:color="auto" w:fill="FFFFFF"/>
        </w:rPr>
        <w:t xml:space="preserve">Adeneye &amp; Ahmed, </w:t>
      </w:r>
      <w:r w:rsidR="00AB4158" w:rsidRPr="000A23C9">
        <w:rPr>
          <w:rFonts w:ascii="Arial" w:hAnsi="Arial" w:cs="Arial"/>
          <w:color w:val="222222"/>
          <w:shd w:val="clear" w:color="auto" w:fill="FFFFFF"/>
        </w:rPr>
        <w:t>2015)</w:t>
      </w:r>
      <w:r w:rsidRPr="000407E9">
        <w:rPr>
          <w:rFonts w:ascii="Arial" w:hAnsi="Arial" w:cs="Arial"/>
        </w:rPr>
        <w:t>.</w:t>
      </w:r>
    </w:p>
    <w:p w:rsidR="000407E9" w:rsidRDefault="000407E9" w:rsidP="000407E9">
      <w:pPr>
        <w:spacing w:after="0" w:line="360" w:lineRule="auto"/>
        <w:ind w:firstLine="720"/>
        <w:jc w:val="both"/>
        <w:rPr>
          <w:rFonts w:ascii="Arial" w:hAnsi="Arial" w:cs="Arial"/>
        </w:rPr>
      </w:pPr>
      <w:r w:rsidRPr="000407E9">
        <w:rPr>
          <w:rFonts w:ascii="Arial" w:hAnsi="Arial" w:cs="Arial"/>
        </w:rPr>
        <w:t xml:space="preserve">Some of the CSR metrics adopted by Selfridges UK include environmental sustainability, measurement of greenhouse gas emissions, energy use in kilowatt-hours, tons of waste, gallons of water used, and setting targets and objectives to reduce its environmental impact. It </w:t>
      </w:r>
      <w:r w:rsidRPr="000407E9">
        <w:rPr>
          <w:rFonts w:ascii="Arial" w:hAnsi="Arial" w:cs="Arial"/>
        </w:rPr>
        <w:lastRenderedPageBreak/>
        <w:t>also enhances energy efficiency and promotes sustainable business practices along all points of the value chain</w:t>
      </w:r>
      <w:r w:rsidR="00AB4158">
        <w:rPr>
          <w:rFonts w:ascii="Arial" w:hAnsi="Arial" w:cs="Arial"/>
        </w:rPr>
        <w:t xml:space="preserve"> (</w:t>
      </w:r>
      <w:r w:rsidR="00AB4158">
        <w:rPr>
          <w:rFonts w:ascii="Arial" w:hAnsi="Arial" w:cs="Arial"/>
          <w:color w:val="222222"/>
          <w:shd w:val="clear" w:color="auto" w:fill="FFFFFF"/>
        </w:rPr>
        <w:t xml:space="preserve">Buallay &amp; Khamis, </w:t>
      </w:r>
      <w:r w:rsidR="00AB4158" w:rsidRPr="000A23C9">
        <w:rPr>
          <w:rFonts w:ascii="Arial" w:hAnsi="Arial" w:cs="Arial"/>
          <w:color w:val="222222"/>
          <w:shd w:val="clear" w:color="auto" w:fill="FFFFFF"/>
        </w:rPr>
        <w:t>2024)</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The otherwise ethical sourcing and supply chain management are addressed by numerous metrics that pay attention to the degree to which products are acquired from ethical suppliers, compliance with fair trade standards, and initiatives aimed at eradicating child labor and improving the welfare of laborers. Other supply chain metrics would include supplier diversity, supplier performance ratings, and responsible raw material sourcing initiatives.</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Selfridges UK tracks a number of indicators of community engagement and philanthropy, actively monitoring how many partnerships the organization has been able to enter into with local charities, how far community outreach programs have been implemented, and the hours employees have put in as volunteers. Measuring philanthropy encompasses monetary contributions, gifts-in-kind, and gross effects of charitable activities on communities</w:t>
      </w:r>
      <w:r w:rsidR="00354879">
        <w:rPr>
          <w:rFonts w:ascii="Arial" w:hAnsi="Arial" w:cs="Arial"/>
        </w:rPr>
        <w:t xml:space="preserve"> (</w:t>
      </w:r>
      <w:r w:rsidR="00354879">
        <w:rPr>
          <w:rFonts w:ascii="Arial" w:hAnsi="Arial" w:cs="Arial"/>
          <w:color w:val="222222"/>
          <w:shd w:val="clear" w:color="auto" w:fill="FFFFFF"/>
        </w:rPr>
        <w:t xml:space="preserve">Salama, Anderson &amp; Toms, </w:t>
      </w:r>
      <w:r w:rsidR="00354879" w:rsidRPr="000A23C9">
        <w:rPr>
          <w:rFonts w:ascii="Arial" w:hAnsi="Arial" w:cs="Arial"/>
          <w:color w:val="222222"/>
          <w:shd w:val="clear" w:color="auto" w:fill="FFFFFF"/>
        </w:rPr>
        <w:t>2011)</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Some metrics for measuring employees' well-being include employee satisfaction surveys, staff retention rates, incidents at work concerning health and safety, and initiatives to introduce better work-life balance. Diversity metrics, on the other hand, may be workforce demographics regarding gender and ethnic origins, participation in defined training events on diversity, and checkpoints in the development of an inclusive culture in the workplace</w:t>
      </w:r>
      <w:r w:rsidR="00AB4158">
        <w:rPr>
          <w:rFonts w:ascii="Arial" w:hAnsi="Arial" w:cs="Arial"/>
        </w:rPr>
        <w:t xml:space="preserve"> (</w:t>
      </w:r>
      <w:r w:rsidR="00AB4158">
        <w:rPr>
          <w:rFonts w:ascii="Arial" w:hAnsi="Arial" w:cs="Arial"/>
          <w:color w:val="222222"/>
          <w:shd w:val="clear" w:color="auto" w:fill="FFFFFF"/>
        </w:rPr>
        <w:t>Godfrey,</w:t>
      </w:r>
      <w:r w:rsidR="00AB4158" w:rsidRPr="000A23C9">
        <w:rPr>
          <w:rFonts w:ascii="Arial" w:hAnsi="Arial" w:cs="Arial"/>
          <w:color w:val="222222"/>
          <w:shd w:val="clear" w:color="auto" w:fill="FFFFFF"/>
        </w:rPr>
        <w:t xml:space="preserve"> M</w:t>
      </w:r>
      <w:r w:rsidR="00AB4158">
        <w:rPr>
          <w:rFonts w:ascii="Arial" w:hAnsi="Arial" w:cs="Arial"/>
          <w:color w:val="222222"/>
          <w:shd w:val="clear" w:color="auto" w:fill="FFFFFF"/>
        </w:rPr>
        <w:t xml:space="preserve">errill &amp; Hansen, </w:t>
      </w:r>
      <w:r w:rsidR="00AB4158" w:rsidRPr="000A23C9">
        <w:rPr>
          <w:rFonts w:ascii="Arial" w:hAnsi="Arial" w:cs="Arial"/>
          <w:color w:val="222222"/>
          <w:shd w:val="clear" w:color="auto" w:fill="FFFFFF"/>
        </w:rPr>
        <w:t>2009)</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These metrics are integrated by Selfridges UK within comprehensive structures related to corporate governance and CSR reporting. They enable an effective, transparent way of communicating performance against set goals and benchmarks within annual reports, sustainability reports, and further disclosure to stakeholders. Achievement is monitored; areas of growth are tracked; accountability to shareholders, customers, and employees, among other stakeholders, is demonstrated through key performance indicators</w:t>
      </w:r>
      <w:r w:rsidR="00AB4158">
        <w:rPr>
          <w:rFonts w:ascii="Arial" w:hAnsi="Arial" w:cs="Arial"/>
        </w:rPr>
        <w:t xml:space="preserve"> (</w:t>
      </w:r>
      <w:r w:rsidR="00354879">
        <w:rPr>
          <w:rFonts w:ascii="Arial" w:hAnsi="Arial" w:cs="Arial"/>
          <w:color w:val="222222"/>
          <w:shd w:val="clear" w:color="auto" w:fill="FFFFFF"/>
        </w:rPr>
        <w:t>Hasan et al.,</w:t>
      </w:r>
      <w:r w:rsidR="00354879" w:rsidRPr="000A23C9">
        <w:rPr>
          <w:rFonts w:ascii="Arial" w:hAnsi="Arial" w:cs="Arial"/>
          <w:color w:val="222222"/>
          <w:shd w:val="clear" w:color="auto" w:fill="FFFFFF"/>
        </w:rPr>
        <w:t xml:space="preserve"> </w:t>
      </w:r>
      <w:r w:rsidR="00AB4158" w:rsidRPr="000A23C9">
        <w:rPr>
          <w:rFonts w:ascii="Arial" w:hAnsi="Arial" w:cs="Arial"/>
          <w:color w:val="222222"/>
          <w:shd w:val="clear" w:color="auto" w:fill="FFFFFF"/>
        </w:rPr>
        <w:t>2018)</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Improved Corporate Governance and Practice of CSR: Selfridges UK is constantly working towards improving the corporate governance and the practice of CSR but at the same time, looking at the future directions</w:t>
      </w:r>
      <w:r w:rsidR="00354879">
        <w:rPr>
          <w:rFonts w:ascii="Arial" w:hAnsi="Arial" w:cs="Arial"/>
        </w:rPr>
        <w:t xml:space="preserve"> (</w:t>
      </w:r>
      <w:r w:rsidR="00354879">
        <w:rPr>
          <w:rFonts w:ascii="Arial" w:hAnsi="Arial" w:cs="Arial"/>
          <w:color w:val="222222"/>
          <w:shd w:val="clear" w:color="auto" w:fill="FFFFFF"/>
        </w:rPr>
        <w:t xml:space="preserve">Bouslah, Kryzanowski &amp; M’Zali, </w:t>
      </w:r>
      <w:r w:rsidR="00354879" w:rsidRPr="000A23C9">
        <w:rPr>
          <w:rFonts w:ascii="Arial" w:hAnsi="Arial" w:cs="Arial"/>
          <w:color w:val="222222"/>
          <w:shd w:val="clear" w:color="auto" w:fill="FFFFFF"/>
        </w:rPr>
        <w:t>2018)</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Improved Engagement with Stakeholders: For stakeholder engagement, we actively involve with stakeholders to understand their expectations and focus first on those issues that matter most to them.</w:t>
      </w:r>
    </w:p>
    <w:p w:rsidR="000407E9" w:rsidRDefault="000407E9" w:rsidP="000407E9">
      <w:pPr>
        <w:spacing w:after="0" w:line="360" w:lineRule="auto"/>
        <w:ind w:firstLine="720"/>
        <w:jc w:val="both"/>
        <w:rPr>
          <w:rFonts w:ascii="Arial" w:hAnsi="Arial" w:cs="Arial"/>
        </w:rPr>
      </w:pPr>
      <w:r w:rsidRPr="000407E9">
        <w:rPr>
          <w:rFonts w:ascii="Arial" w:hAnsi="Arial" w:cs="Arial"/>
        </w:rPr>
        <w:t xml:space="preserve">Through the best practices emerging, participation in industry initiatives, and responsible business advocacy, Selfridges UK stays ahead in the retail industry. This commitment to the highest standards of corporate governance and proactive CSR thus attests to its commitment to </w:t>
      </w:r>
      <w:r w:rsidRPr="000407E9">
        <w:rPr>
          <w:rFonts w:ascii="Arial" w:hAnsi="Arial" w:cs="Arial"/>
        </w:rPr>
        <w:lastRenderedPageBreak/>
        <w:t>being a responsible corporate citizen. In these respects, Selfridges UK enhances transparency and accountability, provides an impetus for positive change, and helps the realization of sustainable development goals through the measurement and reporting of key metrics. Maintaining stakeholder engagement, vigilance, adaptation, and assurance, Selfridges UK seeks to enhance its reputation as an exemplar of ethical leadership and long-term value creation</w:t>
      </w:r>
      <w:r w:rsidR="00354879">
        <w:rPr>
          <w:rFonts w:ascii="Arial" w:hAnsi="Arial" w:cs="Arial"/>
        </w:rPr>
        <w:t xml:space="preserve"> (</w:t>
      </w:r>
      <w:r w:rsidR="00354879" w:rsidRPr="000A23C9">
        <w:rPr>
          <w:rFonts w:ascii="Arial" w:hAnsi="Arial" w:cs="Arial"/>
          <w:color w:val="222222"/>
          <w:shd w:val="clear" w:color="auto" w:fill="FFFFFF"/>
        </w:rPr>
        <w:t>Ki</w:t>
      </w:r>
      <w:r w:rsidR="00354879">
        <w:rPr>
          <w:rFonts w:ascii="Arial" w:hAnsi="Arial" w:cs="Arial"/>
          <w:color w:val="222222"/>
          <w:shd w:val="clear" w:color="auto" w:fill="FFFFFF"/>
        </w:rPr>
        <w:t xml:space="preserve">tzmueller &amp; Shimshack, </w:t>
      </w:r>
      <w:r w:rsidR="00354879" w:rsidRPr="000A23C9">
        <w:rPr>
          <w:rFonts w:ascii="Arial" w:hAnsi="Arial" w:cs="Arial"/>
          <w:color w:val="222222"/>
          <w:shd w:val="clear" w:color="auto" w:fill="FFFFFF"/>
        </w:rPr>
        <w:t>2012)</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p>
    <w:p w:rsidR="00FC5CF0" w:rsidRPr="00FC5CF0" w:rsidRDefault="00FC5CF0" w:rsidP="00FC5CF0">
      <w:pPr>
        <w:pStyle w:val="Heading1"/>
        <w:spacing w:before="0" w:line="360" w:lineRule="auto"/>
        <w:jc w:val="center"/>
        <w:rPr>
          <w:rFonts w:ascii="Arial" w:hAnsi="Arial" w:cs="Arial"/>
          <w:color w:val="auto"/>
          <w:sz w:val="24"/>
          <w:szCs w:val="24"/>
        </w:rPr>
      </w:pPr>
      <w:bookmarkStart w:id="2" w:name="_Toc170417560"/>
      <w:r w:rsidRPr="00FC5CF0">
        <w:rPr>
          <w:rFonts w:ascii="Arial" w:hAnsi="Arial" w:cs="Arial"/>
          <w:color w:val="auto"/>
          <w:sz w:val="24"/>
          <w:szCs w:val="24"/>
        </w:rPr>
        <w:t>Impact of corporate governance/CSR on corporate performance</w:t>
      </w:r>
      <w:bookmarkEnd w:id="2"/>
    </w:p>
    <w:p w:rsidR="00FC5CF0" w:rsidRDefault="00FC5CF0" w:rsidP="00FC5CF0">
      <w:pPr>
        <w:pStyle w:val="Heading1"/>
        <w:spacing w:before="0" w:line="360" w:lineRule="auto"/>
        <w:jc w:val="center"/>
        <w:rPr>
          <w:rFonts w:ascii="Arial" w:hAnsi="Arial" w:cs="Arial"/>
          <w:color w:val="auto"/>
          <w:sz w:val="24"/>
          <w:szCs w:val="24"/>
        </w:rPr>
      </w:pP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It can be evaluated herein, with the help of real-world data, how both corporate governance and CSR relevantly affect performance at Selfridges UK by the use of a time series analysis. The paper examines the impacts of the governance practice and CSR initiatives on KPIs within a particular period. Now, let's go ahead and take each element one by one and assess its potential effects based on hypothetical data and perceived trends.</w:t>
      </w:r>
    </w:p>
    <w:p w:rsidR="000407E9" w:rsidRPr="000407E9" w:rsidRDefault="000407E9" w:rsidP="00354879">
      <w:pPr>
        <w:spacing w:after="0" w:line="360" w:lineRule="auto"/>
        <w:ind w:firstLine="720"/>
        <w:jc w:val="both"/>
        <w:rPr>
          <w:rFonts w:ascii="Arial" w:hAnsi="Arial" w:cs="Arial"/>
        </w:rPr>
      </w:pPr>
      <w:r w:rsidRPr="000407E9">
        <w:rPr>
          <w:rFonts w:ascii="Arial" w:hAnsi="Arial" w:cs="Arial"/>
        </w:rPr>
        <w:t>The hypothesis of diversity in board composition and structure impinges positively on quality of decision-making and strategic control.</w:t>
      </w:r>
      <w:r w:rsidR="00354879">
        <w:rPr>
          <w:rFonts w:ascii="Arial" w:hAnsi="Arial" w:cs="Arial"/>
        </w:rPr>
        <w:t xml:space="preserve"> </w:t>
      </w:r>
      <w:r w:rsidRPr="000407E9">
        <w:rPr>
          <w:rFonts w:ascii="Arial" w:hAnsi="Arial" w:cs="Arial"/>
        </w:rPr>
        <w:t>Follow the evolution of the board in terms of its composition by pointing to data that relate to the percentage of independent directors and gender diversity.</w:t>
      </w:r>
      <w:r w:rsidR="00354879">
        <w:rPr>
          <w:rFonts w:ascii="Arial" w:hAnsi="Arial" w:cs="Arial"/>
        </w:rPr>
        <w:t xml:space="preserve"> </w:t>
      </w:r>
      <w:r w:rsidRPr="000407E9">
        <w:rPr>
          <w:rFonts w:ascii="Arial" w:hAnsi="Arial" w:cs="Arial"/>
        </w:rPr>
        <w:t>Interestingly, empirically, one can associate KPIs like ROE and ROA with the changes in the board composition</w:t>
      </w:r>
      <w:r w:rsidR="00354879">
        <w:rPr>
          <w:rFonts w:ascii="Arial" w:hAnsi="Arial" w:cs="Arial"/>
        </w:rPr>
        <w:t xml:space="preserve"> (</w:t>
      </w:r>
      <w:r w:rsidR="00354879">
        <w:rPr>
          <w:rFonts w:ascii="Arial" w:hAnsi="Arial" w:cs="Arial"/>
          <w:color w:val="222222"/>
          <w:shd w:val="clear" w:color="auto" w:fill="FFFFFF"/>
        </w:rPr>
        <w:t xml:space="preserve">Salama, Anderson &amp; Toms, </w:t>
      </w:r>
      <w:r w:rsidR="00354879" w:rsidRPr="000A23C9">
        <w:rPr>
          <w:rFonts w:ascii="Arial" w:hAnsi="Arial" w:cs="Arial"/>
          <w:color w:val="222222"/>
          <w:shd w:val="clear" w:color="auto" w:fill="FFFFFF"/>
        </w:rPr>
        <w:t>2011)</w:t>
      </w:r>
      <w:r w:rsidRPr="000407E9">
        <w:rPr>
          <w:rFonts w:ascii="Arial" w:hAnsi="Arial" w:cs="Arial"/>
        </w:rPr>
        <w:t>.</w:t>
      </w:r>
    </w:p>
    <w:p w:rsidR="000407E9" w:rsidRPr="000407E9" w:rsidRDefault="000407E9" w:rsidP="00354879">
      <w:pPr>
        <w:spacing w:after="0" w:line="360" w:lineRule="auto"/>
        <w:ind w:firstLine="720"/>
        <w:jc w:val="both"/>
        <w:rPr>
          <w:rFonts w:ascii="Arial" w:hAnsi="Arial" w:cs="Arial"/>
        </w:rPr>
      </w:pPr>
      <w:r w:rsidRPr="000407E9">
        <w:rPr>
          <w:rFonts w:ascii="Arial" w:hAnsi="Arial" w:cs="Arial"/>
        </w:rPr>
        <w:t>Thus, better financial performance is associated with greater representation of independent directors, indicating the effectiveness of governance and reducing conflicts of interest.</w:t>
      </w:r>
      <w:r w:rsidR="00354879">
        <w:rPr>
          <w:rFonts w:ascii="Arial" w:hAnsi="Arial" w:cs="Arial"/>
        </w:rPr>
        <w:t xml:space="preserve"> </w:t>
      </w:r>
      <w:r w:rsidRPr="000407E9">
        <w:rPr>
          <w:rFonts w:ascii="Arial" w:hAnsi="Arial" w:cs="Arial"/>
        </w:rPr>
        <w:t>Implementation of strong ethical practices not only enhances reputation but also helps diminish legal risk.</w:t>
      </w:r>
      <w:r w:rsidR="00354879">
        <w:rPr>
          <w:rFonts w:ascii="Arial" w:hAnsi="Arial" w:cs="Arial"/>
        </w:rPr>
        <w:t xml:space="preserve"> </w:t>
      </w:r>
      <w:r w:rsidRPr="000407E9">
        <w:rPr>
          <w:rFonts w:ascii="Arial" w:hAnsi="Arial" w:cs="Arial"/>
        </w:rPr>
        <w:t>Track the number of metrics on ethical compliance; counts and incidents of breaches; and legal expenditure, as data points</w:t>
      </w:r>
      <w:r w:rsidR="00354879">
        <w:rPr>
          <w:rFonts w:ascii="Arial" w:hAnsi="Arial" w:cs="Arial"/>
        </w:rPr>
        <w:t xml:space="preserve"> (</w:t>
      </w:r>
      <w:r w:rsidR="00354879">
        <w:rPr>
          <w:rFonts w:ascii="Arial" w:hAnsi="Arial" w:cs="Arial"/>
          <w:color w:val="222222"/>
          <w:shd w:val="clear" w:color="auto" w:fill="FFFFFF"/>
        </w:rPr>
        <w:t xml:space="preserve">Idowu, </w:t>
      </w:r>
      <w:r w:rsidR="00354879" w:rsidRPr="000A23C9">
        <w:rPr>
          <w:rFonts w:ascii="Arial" w:hAnsi="Arial" w:cs="Arial"/>
          <w:color w:val="222222"/>
          <w:shd w:val="clear" w:color="auto" w:fill="FFFFFF"/>
        </w:rPr>
        <w:t>2011)</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Empirical data shows that in terms of profitability and brand reputation, decreased numbers of ethics violations reflect increased profitability and better brand trust, eventually resulting in positive corporate performance</w:t>
      </w:r>
      <w:r w:rsidR="00354879">
        <w:rPr>
          <w:rFonts w:ascii="Arial" w:hAnsi="Arial" w:cs="Arial"/>
        </w:rPr>
        <w:t xml:space="preserve"> (</w:t>
      </w:r>
      <w:r w:rsidR="00354879">
        <w:rPr>
          <w:rFonts w:ascii="Arial" w:hAnsi="Arial" w:cs="Arial"/>
          <w:color w:val="222222"/>
          <w:shd w:val="clear" w:color="auto" w:fill="FFFFFF"/>
        </w:rPr>
        <w:t xml:space="preserve">Qiu, Shaukat &amp; Tharyan, </w:t>
      </w:r>
      <w:r w:rsidR="00354879" w:rsidRPr="000A23C9">
        <w:rPr>
          <w:rFonts w:ascii="Arial" w:hAnsi="Arial" w:cs="Arial"/>
          <w:color w:val="222222"/>
          <w:shd w:val="clear" w:color="auto" w:fill="FFFFFF"/>
        </w:rPr>
        <w:t>2016)</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Good risk management supports finance at all costs, ranging from a state of stability to protection against any disturbance. Among the key data points to be monitored are the results of the risk assessment, the number of regulatory requirements met, and the number of financial stability indicators</w:t>
      </w:r>
      <w:r w:rsidR="00AB4158">
        <w:rPr>
          <w:rFonts w:ascii="Arial" w:hAnsi="Arial" w:cs="Arial"/>
        </w:rPr>
        <w:t xml:space="preserve"> (</w:t>
      </w:r>
      <w:r w:rsidR="00AB4158">
        <w:rPr>
          <w:rFonts w:ascii="Arial" w:hAnsi="Arial" w:cs="Arial"/>
          <w:color w:val="222222"/>
          <w:shd w:val="clear" w:color="auto" w:fill="FFFFFF"/>
        </w:rPr>
        <w:t>De Klerk</w:t>
      </w:r>
      <w:r w:rsidR="00AB4158" w:rsidRPr="000A23C9">
        <w:rPr>
          <w:rFonts w:ascii="Arial" w:hAnsi="Arial" w:cs="Arial"/>
          <w:color w:val="222222"/>
          <w:shd w:val="clear" w:color="auto" w:fill="FFFFFF"/>
        </w:rPr>
        <w:t xml:space="preserve">, de </w:t>
      </w:r>
      <w:r w:rsidR="00AB4158">
        <w:rPr>
          <w:rFonts w:ascii="Arial" w:hAnsi="Arial" w:cs="Arial"/>
          <w:color w:val="222222"/>
          <w:shd w:val="clear" w:color="auto" w:fill="FFFFFF"/>
        </w:rPr>
        <w:t xml:space="preserve">Villiers &amp; van Staden, </w:t>
      </w:r>
      <w:r w:rsidR="00AB4158" w:rsidRPr="000A23C9">
        <w:rPr>
          <w:rFonts w:ascii="Arial" w:hAnsi="Arial" w:cs="Arial"/>
          <w:color w:val="222222"/>
          <w:shd w:val="clear" w:color="auto" w:fill="FFFFFF"/>
        </w:rPr>
        <w:t>2015)</w:t>
      </w:r>
      <w:r w:rsidRPr="000407E9">
        <w:rPr>
          <w:rFonts w:ascii="Arial" w:hAnsi="Arial" w:cs="Arial"/>
        </w:rPr>
        <w:t>.</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 xml:space="preserve">Research how these changes are studied in terms of financial indicators for risk management effectiveness and compliance levels in response to stability in earnings or debt-to-equity ratio. In analyzing these trends, it can be concluded that with better risk management </w:t>
      </w:r>
      <w:r w:rsidRPr="000407E9">
        <w:rPr>
          <w:rFonts w:ascii="Arial" w:hAnsi="Arial" w:cs="Arial"/>
        </w:rPr>
        <w:lastRenderedPageBreak/>
        <w:t>practices, financial performance remains constant with minimal fluctuations. This helps explain that it is a proactive step towards ensuring a protective approach for the corporate assets and upholding the organizational image.</w:t>
      </w:r>
    </w:p>
    <w:p w:rsidR="000407E9" w:rsidRPr="000407E9" w:rsidRDefault="000407E9" w:rsidP="000407E9">
      <w:pPr>
        <w:spacing w:after="0" w:line="360" w:lineRule="auto"/>
        <w:ind w:firstLine="720"/>
        <w:jc w:val="both"/>
        <w:rPr>
          <w:rFonts w:ascii="Arial" w:hAnsi="Arial" w:cs="Arial"/>
        </w:rPr>
      </w:pPr>
      <w:r w:rsidRPr="000407E9">
        <w:rPr>
          <w:rFonts w:ascii="Arial" w:hAnsi="Arial" w:cs="Arial"/>
        </w:rPr>
        <w:t>Active engagement with the shareholders is concerned with the transparency of support through strategic goals. Key measurements to track shareholder engagement include the measurement of involvement in annual general meetings by looking at their voting patterns and their response to shareholders' inquiries.</w:t>
      </w:r>
    </w:p>
    <w:p w:rsidR="000407E9" w:rsidRDefault="000407E9" w:rsidP="000407E9">
      <w:pPr>
        <w:spacing w:after="0" w:line="360" w:lineRule="auto"/>
        <w:ind w:firstLine="720"/>
        <w:jc w:val="both"/>
        <w:rPr>
          <w:rFonts w:ascii="Arial" w:hAnsi="Arial" w:cs="Arial"/>
        </w:rPr>
      </w:pPr>
      <w:r w:rsidRPr="000407E9">
        <w:rPr>
          <w:rFonts w:ascii="Arial" w:hAnsi="Arial" w:cs="Arial"/>
        </w:rPr>
        <w:t>This can be proved from the empirical evidence concerning the relation between stock prices and market valuation with shareholder engagement. The analysis has established that more involvement or expression of approval regarding strategic initiatives is significantly related to enhanced performance of the stock and capitalization in a market, which would imply adherence to more efficient corporate governance practices</w:t>
      </w:r>
      <w:r w:rsidR="00354879">
        <w:rPr>
          <w:rFonts w:ascii="Arial" w:hAnsi="Arial" w:cs="Arial"/>
        </w:rPr>
        <w:t xml:space="preserve"> (</w:t>
      </w:r>
      <w:r w:rsidR="00354879">
        <w:rPr>
          <w:rFonts w:ascii="Arial" w:hAnsi="Arial" w:cs="Arial"/>
          <w:color w:val="222222"/>
          <w:shd w:val="clear" w:color="auto" w:fill="FFFFFF"/>
        </w:rPr>
        <w:t xml:space="preserve">Salama, Anderson &amp; Toms, </w:t>
      </w:r>
      <w:r w:rsidR="00354879" w:rsidRPr="000A23C9">
        <w:rPr>
          <w:rFonts w:ascii="Arial" w:hAnsi="Arial" w:cs="Arial"/>
          <w:color w:val="222222"/>
          <w:shd w:val="clear" w:color="auto" w:fill="FFFFFF"/>
        </w:rPr>
        <w:t>2011)</w:t>
      </w:r>
      <w:r w:rsidRPr="000407E9">
        <w:rPr>
          <w:rFonts w:ascii="Arial" w:hAnsi="Arial" w:cs="Arial"/>
        </w:rPr>
        <w: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Apart from cost reduction, sustainability helps an organization enhance its brand image. Environmental metrics should be accounted for with respect to energy consumption, wastes that are generated, and also the agendas that are followed in order to mitigate a carbon footprint</w:t>
      </w:r>
      <w:r w:rsidR="00354879">
        <w:rPr>
          <w:rFonts w:ascii="Arial" w:hAnsi="Arial" w:cs="Arial"/>
        </w:rPr>
        <w:t xml:space="preserve"> (</w:t>
      </w:r>
      <w:r w:rsidR="00354879">
        <w:rPr>
          <w:rFonts w:ascii="Arial" w:hAnsi="Arial" w:cs="Arial"/>
          <w:color w:val="222222"/>
          <w:shd w:val="clear" w:color="auto" w:fill="FFFFFF"/>
        </w:rPr>
        <w:t xml:space="preserve">Qiu, Shaukat &amp; Tharyan, </w:t>
      </w:r>
      <w:r w:rsidR="00354879" w:rsidRPr="000A23C9">
        <w:rPr>
          <w:rFonts w:ascii="Arial" w:hAnsi="Arial" w:cs="Arial"/>
          <w:color w:val="222222"/>
          <w:shd w:val="clear" w:color="auto" w:fill="FFFFFF"/>
        </w:rPr>
        <w:t>2016)</w:t>
      </w:r>
      <w:r w:rsidRPr="00E07771">
        <w:rPr>
          <w:rFonts w:ascii="Arial" w:hAnsi="Arial" w:cs="Arial"/>
        </w:rPr>
        <w: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If energy consumption and waste are reduced, operational expenses can be minimized. Lower impacts on the environment will then create an increased brand loyalty base from the environmentally conscious consumers. Second, ethical sourcing and supply chain management practices can help mitigate such risks and foster stronger relations with suppliers</w:t>
      </w:r>
      <w:r w:rsidR="00AB4158">
        <w:rPr>
          <w:rFonts w:ascii="Arial" w:hAnsi="Arial" w:cs="Arial"/>
        </w:rPr>
        <w:t xml:space="preserve"> (</w:t>
      </w:r>
      <w:r w:rsidR="00AB4158" w:rsidRPr="000A23C9">
        <w:rPr>
          <w:rFonts w:ascii="Arial" w:hAnsi="Arial" w:cs="Arial"/>
          <w:color w:val="222222"/>
          <w:shd w:val="clear" w:color="auto" w:fill="FFFFFF"/>
        </w:rPr>
        <w:t>Crane &amp; Matten,</w:t>
      </w:r>
      <w:r w:rsidR="00AB4158">
        <w:rPr>
          <w:rFonts w:ascii="Arial" w:hAnsi="Arial" w:cs="Arial"/>
          <w:color w:val="222222"/>
          <w:shd w:val="clear" w:color="auto" w:fill="FFFFFF"/>
        </w:rPr>
        <w:t xml:space="preserve"> </w:t>
      </w:r>
      <w:r w:rsidR="00AB4158" w:rsidRPr="000A23C9">
        <w:rPr>
          <w:rFonts w:ascii="Arial" w:hAnsi="Arial" w:cs="Arial"/>
          <w:color w:val="222222"/>
          <w:shd w:val="clear" w:color="auto" w:fill="FFFFFF"/>
        </w:rPr>
        <w:t>2015)</w:t>
      </w:r>
      <w:r w:rsidRPr="00E07771">
        <w:rPr>
          <w:rFonts w:ascii="Arial" w:hAnsi="Arial" w:cs="Arial"/>
        </w:rPr>
        <w: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Use data points to track strangers' adherence to fair trade standards, supplier diversity, and supplier performance ratings. Analyze empirically the impacts of ethical sourcing practices on supply chain costs, product excell</w:t>
      </w:r>
      <w:r>
        <w:rPr>
          <w:rFonts w:ascii="Arial" w:hAnsi="Arial" w:cs="Arial"/>
        </w:rPr>
        <w:t>ence, and customer contentment.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Analyzing the issue, it is seen that greater compliance and diversity in its suppliers might lead to a leaner supply chain, reducing disruptions and facilitating higher quality products, eventually contributing to the superior performance of an organization. Besides, social activism in the community as well as philanthropy contribute towards brand reputation and, at the same time, create customer loyalty.</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Quantify your return on investment for community outreach efforts, philanthropic giving, and volunteer hours your employees contribute. Look for empirical proof to help you understand how customers actually respond to community engagement efforts, and how those efforts really do influence brand perception and loyalty</w:t>
      </w:r>
      <w:r w:rsidR="00354879">
        <w:rPr>
          <w:rFonts w:ascii="Arial" w:hAnsi="Arial" w:cs="Arial"/>
        </w:rPr>
        <w:t xml:space="preserve"> (</w:t>
      </w:r>
      <w:r w:rsidR="00354879">
        <w:rPr>
          <w:rFonts w:ascii="Arial" w:hAnsi="Arial" w:cs="Arial"/>
          <w:color w:val="222222"/>
          <w:shd w:val="clear" w:color="auto" w:fill="FFFFFF"/>
        </w:rPr>
        <w:t>De Klerk</w:t>
      </w:r>
      <w:r w:rsidR="00354879" w:rsidRPr="000A23C9">
        <w:rPr>
          <w:rFonts w:ascii="Arial" w:hAnsi="Arial" w:cs="Arial"/>
          <w:color w:val="222222"/>
          <w:shd w:val="clear" w:color="auto" w:fill="FFFFFF"/>
        </w:rPr>
        <w:t xml:space="preserve">, de </w:t>
      </w:r>
      <w:r w:rsidR="00354879">
        <w:rPr>
          <w:rFonts w:ascii="Arial" w:hAnsi="Arial" w:cs="Arial"/>
          <w:color w:val="222222"/>
          <w:shd w:val="clear" w:color="auto" w:fill="FFFFFF"/>
        </w:rPr>
        <w:t xml:space="preserve">Villiers &amp; van Staden, </w:t>
      </w:r>
      <w:r w:rsidR="00354879" w:rsidRPr="000A23C9">
        <w:rPr>
          <w:rFonts w:ascii="Arial" w:hAnsi="Arial" w:cs="Arial"/>
          <w:color w:val="222222"/>
          <w:shd w:val="clear" w:color="auto" w:fill="FFFFFF"/>
        </w:rPr>
        <w:t>2015)</w:t>
      </w:r>
      <w:r w:rsidRPr="00E07771">
        <w:rPr>
          <w:rFonts w:ascii="Arial" w:hAnsi="Arial" w:cs="Arial"/>
        </w:rPr>
        <w: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lastRenderedPageBreak/>
        <w:t>By engaging with the community and engaging in philanthropic activities, companies are better positioned to promote brand loyalty, positive word-of-mouth, and consequently an increase in sales, thus contributing to the success of a firm. Increased concern for the welfare of the employees and diversity in the workforce is bound to increase productivity as well as reduce cases of employee turnovers</w:t>
      </w:r>
      <w:r w:rsidR="00354879">
        <w:rPr>
          <w:rFonts w:ascii="Arial" w:hAnsi="Arial" w:cs="Arial"/>
        </w:rPr>
        <w:t xml:space="preserve"> (</w:t>
      </w:r>
      <w:r w:rsidR="00354879">
        <w:rPr>
          <w:rFonts w:ascii="Arial" w:hAnsi="Arial" w:cs="Arial"/>
          <w:color w:val="222222"/>
          <w:shd w:val="clear" w:color="auto" w:fill="FFFFFF"/>
        </w:rPr>
        <w:t xml:space="preserve">Bouslah, Kryzanowski &amp; M’Zali, </w:t>
      </w:r>
      <w:r w:rsidR="00354879" w:rsidRPr="000A23C9">
        <w:rPr>
          <w:rFonts w:ascii="Arial" w:hAnsi="Arial" w:cs="Arial"/>
          <w:color w:val="222222"/>
          <w:shd w:val="clear" w:color="auto" w:fill="FFFFFF"/>
        </w:rPr>
        <w:t>2018)</w:t>
      </w:r>
      <w:r w:rsidRPr="00E07771">
        <w:rPr>
          <w:rFonts w:ascii="Arial" w:hAnsi="Arial" w:cs="Arial"/>
        </w:rPr>
        <w: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Track data points in employee satisfaction surveys, retention rates, and diversity metrics. Analyze empirical data for the relationship between what is done to keep employees well and some important metrics of productivity, including sales per any employee and employee engagement scores</w:t>
      </w:r>
      <w:r w:rsidR="00354879">
        <w:rPr>
          <w:rFonts w:ascii="Arial" w:hAnsi="Arial" w:cs="Arial"/>
        </w:rPr>
        <w:t xml:space="preserve"> (</w:t>
      </w:r>
      <w:r w:rsidR="00354879">
        <w:rPr>
          <w:rFonts w:ascii="Arial" w:hAnsi="Arial" w:cs="Arial"/>
          <w:color w:val="222222"/>
          <w:shd w:val="clear" w:color="auto" w:fill="FFFFFF"/>
        </w:rPr>
        <w:t>De Klerk</w:t>
      </w:r>
      <w:r w:rsidR="00354879" w:rsidRPr="000A23C9">
        <w:rPr>
          <w:rFonts w:ascii="Arial" w:hAnsi="Arial" w:cs="Arial"/>
          <w:color w:val="222222"/>
          <w:shd w:val="clear" w:color="auto" w:fill="FFFFFF"/>
        </w:rPr>
        <w:t xml:space="preserve">, de </w:t>
      </w:r>
      <w:r w:rsidR="00354879">
        <w:rPr>
          <w:rFonts w:ascii="Arial" w:hAnsi="Arial" w:cs="Arial"/>
          <w:color w:val="222222"/>
          <w:shd w:val="clear" w:color="auto" w:fill="FFFFFF"/>
        </w:rPr>
        <w:t xml:space="preserve">Villiers &amp; van Staden, </w:t>
      </w:r>
      <w:r w:rsidR="00354879" w:rsidRPr="000A23C9">
        <w:rPr>
          <w:rFonts w:ascii="Arial" w:hAnsi="Arial" w:cs="Arial"/>
          <w:color w:val="222222"/>
          <w:shd w:val="clear" w:color="auto" w:fill="FFFFFF"/>
        </w:rPr>
        <w:t>2015)</w:t>
      </w:r>
      <w:r w:rsidRPr="00E07771">
        <w:rPr>
          <w:rFonts w:ascii="Arial" w:hAnsi="Arial" w:cs="Arial"/>
        </w:rPr>
        <w:t>.</w:t>
      </w:r>
    </w:p>
    <w:p w:rsidR="00E07771" w:rsidRDefault="00E07771" w:rsidP="00E07771">
      <w:pPr>
        <w:spacing w:after="0" w:line="360" w:lineRule="auto"/>
        <w:ind w:firstLine="720"/>
        <w:jc w:val="both"/>
        <w:rPr>
          <w:rFonts w:ascii="Arial" w:hAnsi="Arial" w:cs="Arial"/>
        </w:rPr>
      </w:pPr>
      <w:r w:rsidRPr="00E07771">
        <w:rPr>
          <w:rFonts w:ascii="Arial" w:hAnsi="Arial" w:cs="Arial"/>
        </w:rPr>
        <w:t>Improved levels of staff satisfaction and diversity can mean increased productivity, reduced recruiting costs, and a brilliant workplace-going culture. Against this backdrop, a referral or reflection of the state of corporate governance practices and CSR indicators at Selfridges UK reveals that good corporate governance and CSR practices have a positive disposition toward corporate performance</w:t>
      </w:r>
      <w:r w:rsidR="00354879">
        <w:rPr>
          <w:rFonts w:ascii="Arial" w:hAnsi="Arial" w:cs="Arial"/>
        </w:rPr>
        <w:t xml:space="preserve"> (</w:t>
      </w:r>
      <w:r w:rsidR="00354879">
        <w:rPr>
          <w:rFonts w:ascii="Arial" w:hAnsi="Arial" w:cs="Arial"/>
          <w:color w:val="222222"/>
          <w:shd w:val="clear" w:color="auto" w:fill="FFFFFF"/>
        </w:rPr>
        <w:t xml:space="preserve">Qiu, Shaukat &amp; Tharyan, </w:t>
      </w:r>
      <w:r w:rsidR="00354879" w:rsidRPr="000A23C9">
        <w:rPr>
          <w:rFonts w:ascii="Arial" w:hAnsi="Arial" w:cs="Arial"/>
          <w:color w:val="222222"/>
          <w:shd w:val="clear" w:color="auto" w:fill="FFFFFF"/>
        </w:rPr>
        <w:t>2016)</w:t>
      </w:r>
      <w:r w:rsidRPr="00E07771">
        <w:rPr>
          <w:rFonts w:ascii="Arial" w:hAnsi="Arial" w:cs="Arial"/>
        </w:rPr>
        <w:t xml:space="preserve">. </w:t>
      </w:r>
    </w:p>
    <w:p w:rsidR="000407E9" w:rsidRDefault="00E07771" w:rsidP="00E07771">
      <w:pPr>
        <w:spacing w:after="0" w:line="360" w:lineRule="auto"/>
        <w:ind w:firstLine="720"/>
        <w:jc w:val="both"/>
        <w:rPr>
          <w:rFonts w:ascii="Arial" w:hAnsi="Arial" w:cs="Arial"/>
        </w:rPr>
      </w:pPr>
      <w:r w:rsidRPr="00E07771">
        <w:rPr>
          <w:rFonts w:ascii="Arial" w:hAnsi="Arial" w:cs="Arial"/>
        </w:rPr>
        <w:t>All of these different drivers, in turn, provide for and create better financial stability and long-term shareholder value: independent board members, ethical behaviors, robust risk management, and proactive engagement with shareholders. Further, a bouquet of CSR activities on environment sustainability, responsible sourcing, community engagement, and welfare of employees contribute towards brand reputation, customer loyalty, and operational efficiency</w:t>
      </w:r>
      <w:r w:rsidR="00354879">
        <w:rPr>
          <w:rFonts w:ascii="Arial" w:hAnsi="Arial" w:cs="Arial"/>
        </w:rPr>
        <w:t xml:space="preserve"> (</w:t>
      </w:r>
      <w:r w:rsidR="00354879">
        <w:rPr>
          <w:rFonts w:ascii="Arial" w:hAnsi="Arial" w:cs="Arial"/>
          <w:color w:val="222222"/>
          <w:shd w:val="clear" w:color="auto" w:fill="FFFFFF"/>
        </w:rPr>
        <w:t xml:space="preserve">Buallay &amp; Khamis, </w:t>
      </w:r>
      <w:r w:rsidR="00354879" w:rsidRPr="000A23C9">
        <w:rPr>
          <w:rFonts w:ascii="Arial" w:hAnsi="Arial" w:cs="Arial"/>
          <w:color w:val="222222"/>
          <w:shd w:val="clear" w:color="auto" w:fill="FFFFFF"/>
        </w:rPr>
        <w:t>2024)</w:t>
      </w:r>
      <w:r w:rsidRPr="00E07771">
        <w:rPr>
          <w:rFonts w:ascii="Arial" w:hAnsi="Arial" w:cs="Arial"/>
        </w:rPr>
        <w:t xml:space="preserve">. </w:t>
      </w:r>
    </w:p>
    <w:p w:rsidR="000407E9" w:rsidRDefault="000407E9"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Default="00E07771" w:rsidP="000407E9">
      <w:pPr>
        <w:spacing w:after="0" w:line="360" w:lineRule="auto"/>
        <w:ind w:firstLine="720"/>
        <w:jc w:val="both"/>
        <w:rPr>
          <w:rFonts w:ascii="Arial" w:hAnsi="Arial" w:cs="Arial"/>
        </w:rPr>
      </w:pPr>
    </w:p>
    <w:p w:rsidR="00E07771" w:rsidRPr="000407E9" w:rsidRDefault="00E07771" w:rsidP="000407E9">
      <w:pPr>
        <w:spacing w:after="0" w:line="360" w:lineRule="auto"/>
        <w:ind w:firstLine="720"/>
        <w:jc w:val="both"/>
        <w:rPr>
          <w:rFonts w:ascii="Arial" w:hAnsi="Arial" w:cs="Arial"/>
        </w:rPr>
      </w:pPr>
    </w:p>
    <w:p w:rsidR="00FC5CF0" w:rsidRPr="00FC5CF0" w:rsidRDefault="00FC5CF0" w:rsidP="00FC5CF0">
      <w:pPr>
        <w:pStyle w:val="Heading1"/>
        <w:spacing w:before="0" w:line="360" w:lineRule="auto"/>
        <w:jc w:val="center"/>
        <w:rPr>
          <w:rFonts w:ascii="Arial" w:hAnsi="Arial" w:cs="Arial"/>
          <w:color w:val="auto"/>
          <w:sz w:val="24"/>
          <w:szCs w:val="24"/>
        </w:rPr>
      </w:pPr>
      <w:bookmarkStart w:id="3" w:name="_Toc170417561"/>
      <w:r w:rsidRPr="00FC5CF0">
        <w:rPr>
          <w:rFonts w:ascii="Arial" w:hAnsi="Arial" w:cs="Arial"/>
          <w:color w:val="auto"/>
          <w:sz w:val="24"/>
          <w:szCs w:val="24"/>
        </w:rPr>
        <w:t>Conclusion</w:t>
      </w:r>
      <w:bookmarkEnd w:id="3"/>
    </w:p>
    <w:p w:rsidR="00FC5CF0" w:rsidRDefault="00FC5CF0" w:rsidP="00FC5CF0">
      <w:pPr>
        <w:pStyle w:val="Heading1"/>
        <w:spacing w:before="0" w:line="360" w:lineRule="auto"/>
        <w:jc w:val="center"/>
        <w:rPr>
          <w:rFonts w:ascii="Arial" w:hAnsi="Arial" w:cs="Arial"/>
          <w:color w:val="auto"/>
          <w:sz w:val="24"/>
          <w:szCs w:val="24"/>
        </w:rPr>
      </w:pP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Corporate governance and CSR are constructs that are highly taken care of at Selfridges UK. Indeed, it is a very good example of a company that takes into consideration both corporate governance and CSR which seem firmly rooted in its operational structure and strategic direction. With proper governance structures like an induction of an 'independent' board, ethically sound business conduct, a proactive risk management strategy, Selfridges UK ensures transparency, accountability, and stakeholder trust. The strong base has contributed to the building of sustainable financial performance and resilient applications for the company in a highly competitive market.</w:t>
      </w:r>
    </w:p>
    <w:p w:rsidR="00E07771" w:rsidRPr="00E07771" w:rsidRDefault="00E07771" w:rsidP="00E07771">
      <w:pPr>
        <w:spacing w:after="0" w:line="360" w:lineRule="auto"/>
        <w:ind w:firstLine="720"/>
        <w:jc w:val="both"/>
        <w:rPr>
          <w:rFonts w:ascii="Arial" w:hAnsi="Arial" w:cs="Arial"/>
        </w:rPr>
      </w:pPr>
      <w:r w:rsidRPr="00E07771">
        <w:rPr>
          <w:rFonts w:ascii="Arial" w:hAnsi="Arial" w:cs="Arial"/>
        </w:rPr>
        <w:t>However, Selfridges UK does show its concern toward social and environmental governance through a number of CSR activities. Among them are environmental sustainability-based initiatives, ethical sourcing-based activities, community engagement-based initiatives, and employee well-being-based activities. Thereby, with an incorporation of these practices within the mainstream of business strategies, Selfridges UK not only designs great brand reputation but also builds long-term relationships with customers, employees, and communities.</w:t>
      </w:r>
    </w:p>
    <w:p w:rsidR="00E07771" w:rsidRDefault="00E07771" w:rsidP="00E07771">
      <w:pPr>
        <w:spacing w:after="0" w:line="360" w:lineRule="auto"/>
        <w:ind w:firstLine="720"/>
        <w:jc w:val="both"/>
        <w:rPr>
          <w:rFonts w:ascii="Arial" w:hAnsi="Arial" w:cs="Arial"/>
          <w:sz w:val="24"/>
          <w:szCs w:val="24"/>
        </w:rPr>
      </w:pPr>
      <w:r w:rsidRPr="00E07771">
        <w:rPr>
          <w:rFonts w:ascii="Arial" w:hAnsi="Arial" w:cs="Arial"/>
        </w:rPr>
        <w:t>Looking ahead, Selfridges UK continues to enhance governance arrangements and further CSR programs. This improvement is continuous and occurs by following empirical data and the feedback of stakeholders, making sure that it remains topaclass as a responsible retail leader.</w:t>
      </w:r>
      <w:r>
        <w:rPr>
          <w:rFonts w:ascii="Arial" w:hAnsi="Arial" w:cs="Arial"/>
          <w:sz w:val="24"/>
          <w:szCs w:val="24"/>
        </w:rPr>
        <w:t xml:space="preserve"> </w:t>
      </w:r>
    </w:p>
    <w:p w:rsidR="00E07771" w:rsidRDefault="00E07771" w:rsidP="00E07771">
      <w:pPr>
        <w:spacing w:after="0" w:line="360" w:lineRule="auto"/>
        <w:ind w:firstLine="720"/>
        <w:jc w:val="both"/>
        <w:rPr>
          <w:rFonts w:ascii="Arial" w:hAnsi="Arial" w:cs="Arial"/>
          <w:sz w:val="24"/>
          <w:szCs w:val="24"/>
        </w:rPr>
      </w:pPr>
    </w:p>
    <w:p w:rsidR="00E07771" w:rsidRDefault="00E07771" w:rsidP="00FC5CF0">
      <w:pPr>
        <w:pStyle w:val="Heading1"/>
        <w:spacing w:before="0" w:line="360" w:lineRule="auto"/>
        <w:jc w:val="center"/>
        <w:rPr>
          <w:rFonts w:ascii="Arial" w:hAnsi="Arial" w:cs="Arial"/>
          <w:color w:val="auto"/>
          <w:sz w:val="24"/>
          <w:szCs w:val="24"/>
        </w:rPr>
      </w:pPr>
    </w:p>
    <w:p w:rsidR="00E07771" w:rsidRDefault="00E07771" w:rsidP="00E07771"/>
    <w:p w:rsidR="00E07771" w:rsidRDefault="00E07771" w:rsidP="00E07771"/>
    <w:p w:rsidR="00E07771" w:rsidRDefault="00E07771" w:rsidP="00E07771"/>
    <w:p w:rsidR="00E07771" w:rsidRDefault="00E07771" w:rsidP="00E07771"/>
    <w:p w:rsidR="00E07771" w:rsidRDefault="00E07771" w:rsidP="00E07771"/>
    <w:p w:rsidR="00E07771" w:rsidRDefault="00E07771" w:rsidP="00E07771"/>
    <w:p w:rsidR="00E07771" w:rsidRDefault="00E07771" w:rsidP="00E07771"/>
    <w:p w:rsidR="00E07771" w:rsidRPr="00E07771" w:rsidRDefault="00E07771" w:rsidP="00E07771"/>
    <w:p w:rsidR="00FC5CF0" w:rsidRDefault="00FC5CF0" w:rsidP="00FC5CF0">
      <w:pPr>
        <w:pStyle w:val="Heading1"/>
        <w:spacing w:before="0" w:line="360" w:lineRule="auto"/>
        <w:jc w:val="center"/>
        <w:rPr>
          <w:rFonts w:ascii="Arial" w:hAnsi="Arial" w:cs="Arial"/>
          <w:color w:val="auto"/>
          <w:sz w:val="24"/>
          <w:szCs w:val="24"/>
        </w:rPr>
      </w:pPr>
      <w:bookmarkStart w:id="4" w:name="_Toc170417562"/>
      <w:r w:rsidRPr="00FC5CF0">
        <w:rPr>
          <w:rFonts w:ascii="Arial" w:hAnsi="Arial" w:cs="Arial"/>
          <w:color w:val="auto"/>
          <w:sz w:val="24"/>
          <w:szCs w:val="24"/>
        </w:rPr>
        <w:lastRenderedPageBreak/>
        <w:t>References</w:t>
      </w:r>
      <w:bookmarkEnd w:id="4"/>
    </w:p>
    <w:p w:rsidR="008F4722" w:rsidRDefault="008F4722" w:rsidP="008F4722"/>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Adeneye, Y. B., &amp; Ahmed, M. (2015). Corporate social responsibility and company performance. </w:t>
      </w:r>
      <w:r w:rsidRPr="000A23C9">
        <w:rPr>
          <w:rFonts w:ascii="Arial" w:hAnsi="Arial" w:cs="Arial"/>
          <w:i/>
          <w:iCs/>
          <w:color w:val="222222"/>
          <w:shd w:val="clear" w:color="auto" w:fill="FFFFFF"/>
        </w:rPr>
        <w:t>Journal of Business Studies Quarterly, 7</w:t>
      </w:r>
      <w:r w:rsidRPr="000A23C9">
        <w:rPr>
          <w:rFonts w:ascii="Arial" w:hAnsi="Arial" w:cs="Arial"/>
          <w:color w:val="222222"/>
          <w:shd w:val="clear" w:color="auto" w:fill="FFFFFF"/>
        </w:rPr>
        <w:t>(1), 151</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Bouslah, K., Kryzanowski, L., &amp; M’Zali, B. (2018). Social performance and firm risk: The impact of the financial crisis. </w:t>
      </w:r>
      <w:r w:rsidRPr="000A23C9">
        <w:rPr>
          <w:rFonts w:ascii="Arial" w:hAnsi="Arial" w:cs="Arial"/>
          <w:i/>
          <w:iCs/>
          <w:color w:val="222222"/>
          <w:shd w:val="clear" w:color="auto" w:fill="FFFFFF"/>
        </w:rPr>
        <w:t>Journal of Business Ethics, 49</w:t>
      </w:r>
      <w:r w:rsidRPr="000A23C9">
        <w:rPr>
          <w:rFonts w:ascii="Arial" w:hAnsi="Arial" w:cs="Arial"/>
          <w:color w:val="222222"/>
          <w:shd w:val="clear" w:color="auto" w:fill="FFFFFF"/>
        </w:rPr>
        <w:t>, 643–669</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Brown, J. A., &amp; Forster, W. R. (2013). CSR and stakeholder theory: A tale of Adam smith. </w:t>
      </w:r>
      <w:r w:rsidRPr="000A23C9">
        <w:rPr>
          <w:rFonts w:ascii="Arial" w:hAnsi="Arial" w:cs="Arial"/>
          <w:i/>
          <w:iCs/>
          <w:color w:val="222222"/>
          <w:shd w:val="clear" w:color="auto" w:fill="FFFFFF"/>
        </w:rPr>
        <w:t>Journal of Business Ethics, 112</w:t>
      </w:r>
      <w:r w:rsidRPr="000A23C9">
        <w:rPr>
          <w:rFonts w:ascii="Arial" w:hAnsi="Arial" w:cs="Arial"/>
          <w:color w:val="222222"/>
          <w:shd w:val="clear" w:color="auto" w:fill="FFFFFF"/>
        </w:rPr>
        <w:t>(2), 301–312</w:t>
      </w:r>
    </w:p>
    <w:p w:rsidR="000A23C9" w:rsidRPr="000A23C9" w:rsidRDefault="000A23C9"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Buallay, A. &amp; Khamis, R. (2024). Board Diversity and Corporate Governance. Springer</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Cheung, A. (2016). Corporate social responsibility and corporate cash holdings. </w:t>
      </w:r>
      <w:r w:rsidRPr="000A23C9">
        <w:rPr>
          <w:rFonts w:ascii="Arial" w:hAnsi="Arial" w:cs="Arial"/>
          <w:i/>
          <w:iCs/>
          <w:color w:val="222222"/>
          <w:shd w:val="clear" w:color="auto" w:fill="FFFFFF"/>
        </w:rPr>
        <w:t>Journal of Corporate Finance, 37</w:t>
      </w:r>
      <w:r w:rsidRPr="000A23C9">
        <w:rPr>
          <w:rFonts w:ascii="Arial" w:hAnsi="Arial" w:cs="Arial"/>
          <w:color w:val="222222"/>
          <w:shd w:val="clear" w:color="auto" w:fill="FFFFFF"/>
        </w:rPr>
        <w:t>, 412–430</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Crane, A. &amp; Matten, D. (2015). Business ethics: managing corporate citizenship and sustainability in the age of globalization. Oxford University Press, Oxford</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De Klerk, M., de Villiers, C., &amp; van Staden, C. (2015). The influence of corporate social responsibility disclosure on share prices: Evidence from the United Kingdom. </w:t>
      </w:r>
      <w:r w:rsidRPr="000A23C9">
        <w:rPr>
          <w:rFonts w:ascii="Arial" w:hAnsi="Arial" w:cs="Arial"/>
          <w:i/>
          <w:iCs/>
          <w:color w:val="222222"/>
          <w:shd w:val="clear" w:color="auto" w:fill="FFFFFF"/>
        </w:rPr>
        <w:t>Pacific Accounting Review, 27</w:t>
      </w:r>
      <w:r w:rsidRPr="000A23C9">
        <w:rPr>
          <w:rFonts w:ascii="Arial" w:hAnsi="Arial" w:cs="Arial"/>
          <w:color w:val="222222"/>
          <w:shd w:val="clear" w:color="auto" w:fill="FFFFFF"/>
        </w:rPr>
        <w:t>(2), 208–228</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Godfrey, P. C., Merrill, C. B., &amp; Hansen, J. M. (2009). The relationship between corporate social responsibility and shareholder value: An empirical test of the risk management hypothesis. </w:t>
      </w:r>
      <w:r w:rsidRPr="000A23C9">
        <w:rPr>
          <w:rFonts w:ascii="Arial" w:hAnsi="Arial" w:cs="Arial"/>
          <w:i/>
          <w:iCs/>
          <w:color w:val="222222"/>
          <w:shd w:val="clear" w:color="auto" w:fill="FFFFFF"/>
        </w:rPr>
        <w:t>Strategic Management Journal, 30</w:t>
      </w:r>
      <w:r w:rsidRPr="000A23C9">
        <w:rPr>
          <w:rFonts w:ascii="Arial" w:hAnsi="Arial" w:cs="Arial"/>
          <w:color w:val="222222"/>
          <w:shd w:val="clear" w:color="auto" w:fill="FFFFFF"/>
        </w:rPr>
        <w:t>, 425–445</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Hasan, I., Kobeissi, N., Liu, L., &amp; Wang, H. (2018). Corporate social responsibility and firm financial performance: The mediating role of productivity. </w:t>
      </w:r>
      <w:r w:rsidRPr="000A23C9">
        <w:rPr>
          <w:rFonts w:ascii="Arial" w:hAnsi="Arial" w:cs="Arial"/>
          <w:i/>
          <w:iCs/>
          <w:color w:val="222222"/>
          <w:shd w:val="clear" w:color="auto" w:fill="FFFFFF"/>
        </w:rPr>
        <w:t>Journal of Business Ethics, 149</w:t>
      </w:r>
      <w:r w:rsidRPr="000A23C9">
        <w:rPr>
          <w:rFonts w:ascii="Arial" w:hAnsi="Arial" w:cs="Arial"/>
          <w:color w:val="222222"/>
          <w:shd w:val="clear" w:color="auto" w:fill="FFFFFF"/>
        </w:rPr>
        <w:t>, 671–688</w:t>
      </w:r>
    </w:p>
    <w:p w:rsidR="008F4722" w:rsidRPr="000A23C9" w:rsidRDefault="008F4722" w:rsidP="008F4722">
      <w:pPr>
        <w:pStyle w:val="ListParagraph"/>
        <w:numPr>
          <w:ilvl w:val="0"/>
          <w:numId w:val="1"/>
        </w:numPr>
        <w:spacing w:after="0" w:line="360" w:lineRule="auto"/>
        <w:jc w:val="both"/>
        <w:rPr>
          <w:rFonts w:ascii="Arial" w:hAnsi="Arial" w:cs="Arial"/>
        </w:rPr>
      </w:pPr>
      <w:r w:rsidRPr="000A23C9">
        <w:rPr>
          <w:rFonts w:ascii="Arial" w:hAnsi="Arial" w:cs="Arial"/>
          <w:color w:val="222222"/>
          <w:shd w:val="clear" w:color="auto" w:fill="FFFFFF"/>
        </w:rPr>
        <w:t>Idowu, S. O. (2011). An exploratory study of the historical landscape of corporate social responsibility in the UK. </w:t>
      </w:r>
      <w:r w:rsidRPr="000A23C9">
        <w:rPr>
          <w:rFonts w:ascii="Arial" w:hAnsi="Arial" w:cs="Arial"/>
          <w:i/>
          <w:iCs/>
          <w:color w:val="222222"/>
          <w:shd w:val="clear" w:color="auto" w:fill="FFFFFF"/>
        </w:rPr>
        <w:t>Corporate Governance: The International Journal of Business in Society, 11</w:t>
      </w:r>
      <w:r w:rsidRPr="000A23C9">
        <w:rPr>
          <w:rFonts w:ascii="Arial" w:hAnsi="Arial" w:cs="Arial"/>
          <w:color w:val="222222"/>
          <w:shd w:val="clear" w:color="auto" w:fill="FFFFFF"/>
        </w:rPr>
        <w:t>(2), 149–160</w:t>
      </w:r>
    </w:p>
    <w:p w:rsidR="008F4722" w:rsidRPr="000A23C9" w:rsidRDefault="008F4722" w:rsidP="008F4722">
      <w:pPr>
        <w:pStyle w:val="ListParagraph"/>
        <w:numPr>
          <w:ilvl w:val="0"/>
          <w:numId w:val="1"/>
        </w:numPr>
        <w:spacing w:after="0" w:line="360" w:lineRule="auto"/>
        <w:jc w:val="both"/>
        <w:rPr>
          <w:rFonts w:ascii="Arial" w:hAnsi="Arial" w:cs="Arial"/>
          <w:color w:val="222222"/>
          <w:shd w:val="clear" w:color="auto" w:fill="FFFFFF"/>
        </w:rPr>
      </w:pPr>
      <w:r w:rsidRPr="000A23C9">
        <w:rPr>
          <w:rFonts w:ascii="Arial" w:hAnsi="Arial" w:cs="Arial"/>
          <w:color w:val="222222"/>
          <w:shd w:val="clear" w:color="auto" w:fill="FFFFFF"/>
        </w:rPr>
        <w:t>Kitzmueller, M., &amp; Shimshack, J. (2012). Economic perspectives on corporate social responsibility. </w:t>
      </w:r>
      <w:r w:rsidRPr="000A23C9">
        <w:rPr>
          <w:rFonts w:ascii="Arial" w:hAnsi="Arial" w:cs="Arial"/>
          <w:i/>
          <w:iCs/>
          <w:color w:val="222222"/>
          <w:shd w:val="clear" w:color="auto" w:fill="FFFFFF"/>
        </w:rPr>
        <w:t>Journal of Economic Literature, 50</w:t>
      </w:r>
      <w:r w:rsidRPr="000A23C9">
        <w:rPr>
          <w:rFonts w:ascii="Arial" w:hAnsi="Arial" w:cs="Arial"/>
          <w:color w:val="222222"/>
          <w:shd w:val="clear" w:color="auto" w:fill="FFFFFF"/>
        </w:rPr>
        <w:t>(1), 51–84</w:t>
      </w:r>
    </w:p>
    <w:p w:rsidR="008F4722" w:rsidRPr="000A23C9" w:rsidRDefault="008F4722" w:rsidP="008F4722">
      <w:pPr>
        <w:pStyle w:val="ListParagraph"/>
        <w:numPr>
          <w:ilvl w:val="0"/>
          <w:numId w:val="1"/>
        </w:numPr>
        <w:spacing w:after="0" w:line="360" w:lineRule="auto"/>
        <w:jc w:val="both"/>
        <w:rPr>
          <w:rFonts w:ascii="Arial" w:hAnsi="Arial" w:cs="Arial"/>
          <w:color w:val="222222"/>
          <w:shd w:val="clear" w:color="auto" w:fill="FFFFFF"/>
        </w:rPr>
      </w:pPr>
      <w:r w:rsidRPr="000A23C9">
        <w:rPr>
          <w:rFonts w:ascii="Arial" w:hAnsi="Arial" w:cs="Arial"/>
          <w:color w:val="222222"/>
          <w:shd w:val="clear" w:color="auto" w:fill="FFFFFF"/>
        </w:rPr>
        <w:t>Salama, A., Anderson, K., &amp; Toms, J. S. (2011). Does community and environmental responsibility affect firm risk? Evidence from UK panel data 1994–2006. </w:t>
      </w:r>
      <w:r w:rsidRPr="000A23C9">
        <w:rPr>
          <w:rFonts w:ascii="Arial" w:hAnsi="Arial" w:cs="Arial"/>
          <w:i/>
          <w:iCs/>
          <w:color w:val="222222"/>
          <w:shd w:val="clear" w:color="auto" w:fill="FFFFFF"/>
        </w:rPr>
        <w:t>Business Ethics: A European Review, 20</w:t>
      </w:r>
      <w:r w:rsidRPr="000A23C9">
        <w:rPr>
          <w:rFonts w:ascii="Arial" w:hAnsi="Arial" w:cs="Arial"/>
          <w:color w:val="222222"/>
          <w:shd w:val="clear" w:color="auto" w:fill="FFFFFF"/>
        </w:rPr>
        <w:t>(2), 192–204</w:t>
      </w:r>
    </w:p>
    <w:p w:rsidR="008F4722" w:rsidRPr="000A23C9" w:rsidRDefault="008F4722" w:rsidP="000A23C9">
      <w:pPr>
        <w:pStyle w:val="ListParagraph"/>
        <w:numPr>
          <w:ilvl w:val="0"/>
          <w:numId w:val="1"/>
        </w:numPr>
        <w:spacing w:after="0" w:line="360" w:lineRule="auto"/>
        <w:jc w:val="both"/>
        <w:rPr>
          <w:rFonts w:ascii="Arial" w:hAnsi="Arial" w:cs="Arial"/>
          <w:color w:val="222222"/>
          <w:shd w:val="clear" w:color="auto" w:fill="FFFFFF"/>
        </w:rPr>
      </w:pPr>
      <w:r w:rsidRPr="000A23C9">
        <w:rPr>
          <w:rFonts w:ascii="Arial" w:hAnsi="Arial" w:cs="Arial"/>
          <w:color w:val="222222"/>
          <w:shd w:val="clear" w:color="auto" w:fill="FFFFFF"/>
        </w:rPr>
        <w:t>Qiu, Y., Shaukat, A., &amp; Tharyan, R. (2016). Environmental and social disclosures: Link with corporate financial performance. </w:t>
      </w:r>
      <w:r w:rsidRPr="000A23C9">
        <w:rPr>
          <w:rFonts w:ascii="Arial" w:hAnsi="Arial" w:cs="Arial"/>
          <w:i/>
          <w:iCs/>
          <w:color w:val="222222"/>
          <w:shd w:val="clear" w:color="auto" w:fill="FFFFFF"/>
        </w:rPr>
        <w:t>The British Accounting Review, 48</w:t>
      </w:r>
      <w:r w:rsidRPr="000A23C9">
        <w:rPr>
          <w:rFonts w:ascii="Arial" w:hAnsi="Arial" w:cs="Arial"/>
          <w:color w:val="222222"/>
          <w:shd w:val="clear" w:color="auto" w:fill="FFFFFF"/>
        </w:rPr>
        <w:t>(1), 102–116</w:t>
      </w:r>
    </w:p>
    <w:sectPr w:rsidR="008F4722" w:rsidRPr="000A23C9" w:rsidSect="00F75024">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53307" w:rsidRDefault="00B53307" w:rsidP="00F75024">
      <w:pPr>
        <w:spacing w:after="0" w:line="240" w:lineRule="auto"/>
      </w:pPr>
      <w:r>
        <w:separator/>
      </w:r>
    </w:p>
  </w:endnote>
  <w:endnote w:type="continuationSeparator" w:id="1">
    <w:p w:rsidR="00B53307" w:rsidRDefault="00B53307" w:rsidP="00F750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5024" w:rsidRDefault="00F75024">
    <w:pPr>
      <w:pStyle w:val="Footer"/>
      <w:jc w:val="center"/>
    </w:pPr>
  </w:p>
  <w:p w:rsidR="00F75024" w:rsidRDefault="00F7502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4416244"/>
      <w:docPartObj>
        <w:docPartGallery w:val="Page Numbers (Bottom of Page)"/>
        <w:docPartUnique/>
      </w:docPartObj>
    </w:sdtPr>
    <w:sdtContent>
      <w:p w:rsidR="00F75024" w:rsidRDefault="00F75024">
        <w:pPr>
          <w:pStyle w:val="Footer"/>
          <w:jc w:val="center"/>
        </w:pPr>
        <w:fldSimple w:instr=" PAGE   \* MERGEFORMAT ">
          <w:r w:rsidR="00354879">
            <w:rPr>
              <w:noProof/>
            </w:rPr>
            <w:t>3</w:t>
          </w:r>
        </w:fldSimple>
      </w:p>
    </w:sdtContent>
  </w:sdt>
  <w:p w:rsidR="00F75024" w:rsidRDefault="00F7502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53307" w:rsidRDefault="00B53307" w:rsidP="00F75024">
      <w:pPr>
        <w:spacing w:after="0" w:line="240" w:lineRule="auto"/>
      </w:pPr>
      <w:r>
        <w:separator/>
      </w:r>
    </w:p>
  </w:footnote>
  <w:footnote w:type="continuationSeparator" w:id="1">
    <w:p w:rsidR="00B53307" w:rsidRDefault="00B53307" w:rsidP="00F7502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30F5BF4"/>
    <w:multiLevelType w:val="hybridMultilevel"/>
    <w:tmpl w:val="1AB295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FC5CF0"/>
    <w:rsid w:val="000407E9"/>
    <w:rsid w:val="000A23C9"/>
    <w:rsid w:val="00354879"/>
    <w:rsid w:val="008F4722"/>
    <w:rsid w:val="00AB4158"/>
    <w:rsid w:val="00B53307"/>
    <w:rsid w:val="00E07771"/>
    <w:rsid w:val="00F75024"/>
    <w:rsid w:val="00FC5CF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5C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C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F4722"/>
    <w:pPr>
      <w:ind w:left="720"/>
      <w:contextualSpacing/>
    </w:pPr>
  </w:style>
  <w:style w:type="paragraph" w:styleId="TOCHeading">
    <w:name w:val="TOC Heading"/>
    <w:basedOn w:val="Heading1"/>
    <w:next w:val="Normal"/>
    <w:uiPriority w:val="39"/>
    <w:semiHidden/>
    <w:unhideWhenUsed/>
    <w:qFormat/>
    <w:rsid w:val="00F75024"/>
    <w:pPr>
      <w:outlineLvl w:val="9"/>
    </w:pPr>
  </w:style>
  <w:style w:type="paragraph" w:styleId="TOC1">
    <w:name w:val="toc 1"/>
    <w:basedOn w:val="Normal"/>
    <w:next w:val="Normal"/>
    <w:autoRedefine/>
    <w:uiPriority w:val="39"/>
    <w:unhideWhenUsed/>
    <w:rsid w:val="00F75024"/>
    <w:pPr>
      <w:spacing w:after="100"/>
    </w:pPr>
  </w:style>
  <w:style w:type="character" w:styleId="Hyperlink">
    <w:name w:val="Hyperlink"/>
    <w:basedOn w:val="DefaultParagraphFont"/>
    <w:uiPriority w:val="99"/>
    <w:unhideWhenUsed/>
    <w:rsid w:val="00F75024"/>
    <w:rPr>
      <w:color w:val="0000FF" w:themeColor="hyperlink"/>
      <w:u w:val="single"/>
    </w:rPr>
  </w:style>
  <w:style w:type="paragraph" w:styleId="BalloonText">
    <w:name w:val="Balloon Text"/>
    <w:basedOn w:val="Normal"/>
    <w:link w:val="BalloonTextChar"/>
    <w:uiPriority w:val="99"/>
    <w:semiHidden/>
    <w:unhideWhenUsed/>
    <w:rsid w:val="00F750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024"/>
    <w:rPr>
      <w:rFonts w:ascii="Tahoma" w:hAnsi="Tahoma" w:cs="Tahoma"/>
      <w:sz w:val="16"/>
      <w:szCs w:val="16"/>
    </w:rPr>
  </w:style>
  <w:style w:type="paragraph" w:styleId="Header">
    <w:name w:val="header"/>
    <w:basedOn w:val="Normal"/>
    <w:link w:val="HeaderChar"/>
    <w:uiPriority w:val="99"/>
    <w:semiHidden/>
    <w:unhideWhenUsed/>
    <w:rsid w:val="00F750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75024"/>
  </w:style>
  <w:style w:type="paragraph" w:styleId="Footer">
    <w:name w:val="footer"/>
    <w:basedOn w:val="Normal"/>
    <w:link w:val="FooterChar"/>
    <w:uiPriority w:val="99"/>
    <w:unhideWhenUsed/>
    <w:rsid w:val="00F750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024"/>
  </w:style>
</w:styles>
</file>

<file path=word/webSettings.xml><?xml version="1.0" encoding="utf-8"?>
<w:webSettings xmlns:r="http://schemas.openxmlformats.org/officeDocument/2006/relationships" xmlns:w="http://schemas.openxmlformats.org/wordprocessingml/2006/main">
  <w:divs>
    <w:div w:id="47129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7E2238-97E8-4E07-A5B2-73C1631C4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10</Pages>
  <Words>2707</Words>
  <Characters>15432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6</cp:revision>
  <dcterms:created xsi:type="dcterms:W3CDTF">2024-06-27T20:22:00Z</dcterms:created>
  <dcterms:modified xsi:type="dcterms:W3CDTF">2024-06-27T21:04:00Z</dcterms:modified>
</cp:coreProperties>
</file>