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57F002" w14:textId="77777777" w:rsidR="003815D2" w:rsidRPr="003815D2" w:rsidRDefault="003815D2" w:rsidP="003815D2">
      <w:pPr>
        <w:pStyle w:val="Heading2"/>
      </w:pPr>
      <w:r w:rsidRPr="003815D2">
        <w:t>AC 1.1</w:t>
      </w:r>
    </w:p>
    <w:p w14:paraId="409F5E95" w14:textId="6D7A2EFD" w:rsidR="003815D2" w:rsidRPr="003815D2" w:rsidRDefault="003815D2" w:rsidP="003815D2">
      <w:pPr>
        <w:rPr>
          <w:u w:color="000000"/>
          <w:bdr w:val="nil"/>
          <w:lang w:eastAsia="en-GB"/>
        </w:rPr>
      </w:pPr>
      <w:r w:rsidRPr="003815D2">
        <w:rPr>
          <w:u w:color="000000"/>
          <w:bdr w:val="nil"/>
          <w:lang w:eastAsia="en-GB"/>
        </w:rPr>
        <w:t xml:space="preserve">Evidence identifies that increased employee engagement and performance is directly associated employee voice (Young &amp; Tong, 2025). A key role for people professionals, is </w:t>
      </w:r>
      <w:r w:rsidRPr="003815D2">
        <w:rPr>
          <w:u w:color="000000"/>
          <w:bdr w:val="nil"/>
          <w:lang w:eastAsia="en-GB"/>
        </w:rPr>
        <w:t>to ensure</w:t>
      </w:r>
      <w:r w:rsidRPr="003815D2">
        <w:rPr>
          <w:u w:color="000000"/>
          <w:bdr w:val="nil"/>
          <w:lang w:eastAsia="en-GB"/>
        </w:rPr>
        <w:t xml:space="preserve"> that employee voice is heard, which can be achieved by implementing and managing, efficient employee involvement and participation (EIP) processes and practices (Marchington et al., 2021). Although, the terms involvement and participation are often used interchangeably, there are clearly definable differences.</w:t>
      </w:r>
    </w:p>
    <w:p w14:paraId="3CFC5C83" w14:textId="77777777" w:rsidR="003815D2" w:rsidRPr="003815D2" w:rsidRDefault="003815D2" w:rsidP="003815D2">
      <w:r w:rsidRPr="003815D2">
        <w:t>Employee involvement (EI) is where management engage directly with employees within their teams and departments, through avenues such as, team briefings or surveys to gain ideas and corporation to create a positive work environment. Robbins and Judge (2024) attest that EI is more of an informal arrangement that focuses on engagement and motivation, and although employees are encouraged to contribute ideas and take initiative in their roles, they have lower level of autonomy and the power to make decisions remains with management.</w:t>
      </w:r>
    </w:p>
    <w:p w14:paraId="3875D406" w14:textId="77777777" w:rsidR="003815D2" w:rsidRPr="003815D2" w:rsidRDefault="003815D2" w:rsidP="003815D2">
      <w:r w:rsidRPr="003815D2">
        <w:t xml:space="preserve">In contrast to EI, Employee participation (EP) as outlined by Marchington et al. (2021) is where employees have the ability to contribute and really influence decisions, either directly or indirectly at different levels from work groups to corporate level. This can be achieved through avenues such as joint consultation committees and suggestion schemes. Historically, trade union representatives would have conducted this level of participation. However, with the decline in union membership, participation groups are increasingly made up from a mix of union and non-union representatives (Robbins &amp; Judge, 2024). </w:t>
      </w:r>
    </w:p>
    <w:p w14:paraId="1B53BA21" w14:textId="77777777" w:rsidR="003815D2" w:rsidRPr="003815D2" w:rsidRDefault="003815D2" w:rsidP="003815D2">
      <w:r w:rsidRPr="003815D2">
        <w:t>Overall, research has identified that both involvement and participation are essential tools in creating workplaces where employees feel valued. CIPD (2025a) note that in organisations where employees have a voice, it has a positive effect on working lives and assists in building better relationships. Furthermore, Lombard (2024) states that EIP can be a strategic driver for success as it, deepens communication, lowers turnover and promotes productivity and innovation. An example of this as documented by Robbins and Judge (2024) is the Hawthorne studies, conducted in Hawthorne electrical works between 1924 and 1932. These studies identified that when employees were engaged and consulted, that the comradery and productivity increased and sick absences decreased.</w:t>
      </w:r>
    </w:p>
    <w:p w14:paraId="7618568E" w14:textId="77777777" w:rsidR="003815D2" w:rsidRPr="003815D2" w:rsidRDefault="003815D2" w:rsidP="003815D2">
      <w:r w:rsidRPr="003815D2">
        <w:t>As evidence identifies increased comradery, job satisfaction and productivity as a result of EIP. It could be recommended the people managers review and / or implement EIP programmes encouraging employees from all levels and equally from both merged organisations. This would assist the managers in identifying any issues and potentially identify areas of best practice.</w:t>
      </w:r>
    </w:p>
    <w:p w14:paraId="1EBD8C3C" w14:textId="77777777" w:rsidR="003815D2" w:rsidRPr="003815D2" w:rsidRDefault="003815D2" w:rsidP="003815D2">
      <w:pPr>
        <w:pStyle w:val="Heading2"/>
      </w:pPr>
      <w:r w:rsidRPr="003815D2">
        <w:t>AC 1.2</w:t>
      </w:r>
    </w:p>
    <w:p w14:paraId="68B99D01" w14:textId="77777777" w:rsidR="003815D2" w:rsidRPr="003815D2" w:rsidRDefault="003815D2" w:rsidP="003815D2">
      <w:r w:rsidRPr="003815D2">
        <w:t>Within the United Kingdom (UK) there are two forms of employee representation, which are unionised and non-unionised. Both forms have clear legal framework but offer varying levels of influence with employers.</w:t>
      </w:r>
    </w:p>
    <w:p w14:paraId="33C92CF2" w14:textId="5DEB17B3" w:rsidR="003815D2" w:rsidRPr="003815D2" w:rsidRDefault="003815D2" w:rsidP="003815D2">
      <w:r w:rsidRPr="003815D2">
        <w:t>Union representation is primarily through Trade Union organisations. For a group of people to be recognised as a Trade Union they must be workers that are concerned about relation with employers, they must be independent and not controlled by or influenced by any employer or group (Daniels, 2024). Unions are governed by the Trade Union and Labour Relations (Consolidation) Act 1992, which was later updated by the Employment Relations Act 1999. This Act protects the right for all employees to join a union even if the employer does not recognise the union. A union can be recognised by an employer either voluntarily or through a formal process recognition via the Central Arbitration Committee (CAC). Once a union is recognised, it can legally negotiate, referred to as collective bargaining with the employer about pay, hours, holidays, and other key employment terms (Gov.uk, 2020</w:t>
      </w:r>
      <w:r w:rsidRPr="003815D2">
        <w:t>).</w:t>
      </w:r>
      <w:r w:rsidRPr="003815D2">
        <w:t xml:space="preserve"> Unions can also provide support to members in grievance and disciplinary </w:t>
      </w:r>
      <w:r w:rsidRPr="003815D2">
        <w:t>meetings and</w:t>
      </w:r>
      <w:r w:rsidRPr="003815D2">
        <w:t xml:space="preserve"> provide legal protection to its members that participate in union activities (House of Commons Library, 2024).</w:t>
      </w:r>
    </w:p>
    <w:p w14:paraId="0FCD3817" w14:textId="77777777" w:rsidR="00B7145A" w:rsidRDefault="003815D2" w:rsidP="003815D2">
      <w:r w:rsidRPr="003815D2">
        <w:lastRenderedPageBreak/>
        <w:t>In comparison, non-union representation is different because it mainly focuses on consultation rather than negotiation. Although, by law all employees must be informed and consulted about redundancies, changes to contract, TUPE transfer and changes to pension arrangements, there is no requirement for employers to consult with their employees about other workplace matters such as working conditions and training (</w:t>
      </w:r>
      <w:r>
        <w:t>ACAS</w:t>
      </w:r>
      <w:r w:rsidRPr="003815D2">
        <w:t xml:space="preserve">, 2022). However, in 2004 the Information and Consultation of Employees (ICE) Regulations were introduced. These regulations provide a legal responsibility to employers, to make a formal agreement and consult with employees on specific business matters where there are 50 or more employees and at least 10% of employees request it (Gov.uk, 2025a). This could include joint consultative committees or employee councils. To be legally binding, ICE agreements must be in writing, cover all employees within the organisation, have been approved by the employees and outline how the employer will provide information and seek employee views (Daniels, 2024). </w:t>
      </w:r>
    </w:p>
    <w:p w14:paraId="47CE03E0" w14:textId="04455C3F" w:rsidR="003815D2" w:rsidRDefault="00F40EFD" w:rsidP="003815D2">
      <w:r>
        <w:t xml:space="preserve">As the two merging organisations are public </w:t>
      </w:r>
      <w:r w:rsidR="008C0B30">
        <w:t xml:space="preserve">sector it is recommended that the people managers review </w:t>
      </w:r>
      <w:r w:rsidR="00926175">
        <w:t xml:space="preserve">all recognised </w:t>
      </w:r>
      <w:r w:rsidR="00371FC7">
        <w:t xml:space="preserve">representations of both organisations and any collective bargaining agreements </w:t>
      </w:r>
      <w:r w:rsidR="00320643">
        <w:t>are currently in place prior to ensure that any relevant bodies can be consulted prior to any changes</w:t>
      </w:r>
      <w:r w:rsidR="00870C75">
        <w:t>.</w:t>
      </w:r>
    </w:p>
    <w:p w14:paraId="05910715" w14:textId="792482B7" w:rsidR="00870C75" w:rsidRPr="003815D2" w:rsidRDefault="00870C75" w:rsidP="00870C75">
      <w:pPr>
        <w:pStyle w:val="Heading2"/>
      </w:pPr>
      <w:r w:rsidRPr="003815D2">
        <w:t xml:space="preserve">AC </w:t>
      </w:r>
      <w:r w:rsidR="00115D7B">
        <w:t>1.3</w:t>
      </w:r>
    </w:p>
    <w:p w14:paraId="7315DA81" w14:textId="77777777" w:rsidR="003E22E8" w:rsidRDefault="003E22E8" w:rsidP="003E22E8">
      <w:r w:rsidRPr="00AE0B7B">
        <w:t>Employee voice can be defined as the way employees share ideas, concerns, and suggestions to improve the workplace. This</w:t>
      </w:r>
      <w:r w:rsidRPr="00443AC4">
        <w:t xml:space="preserve"> can occur </w:t>
      </w:r>
      <w:r>
        <w:t>either</w:t>
      </w:r>
      <w:r w:rsidRPr="00AE0B7B">
        <w:t xml:space="preserve"> informally or formally and </w:t>
      </w:r>
      <w:r>
        <w:t xml:space="preserve">either </w:t>
      </w:r>
      <w:r w:rsidRPr="00AE0B7B">
        <w:t>individually or collectively (Taylor &amp; Woodhams, 2022). Recent research shows that giving employees a voice benefits employers by enhancing innovation, engagement, and commitment, which all contribute to better organisational outcomes (Kim &amp; Cho, 2024). Furthermore, as detailed by the CIPD (2025a)</w:t>
      </w:r>
      <w:r>
        <w:t>,</w:t>
      </w:r>
      <w:r w:rsidRPr="00AE0B7B">
        <w:t xml:space="preserve"> </w:t>
      </w:r>
      <w:r w:rsidRPr="00A85925">
        <w:t>employees; feeling heard increases their sense of value and job satisfaction, which can improve overall wellbeing and lead to higher productivity, stronger organisational commitment, and lower turnover.</w:t>
      </w:r>
      <w:r>
        <w:t xml:space="preserve"> </w:t>
      </w:r>
      <w:r w:rsidRPr="00363F11">
        <w:t>Encouraging voice can also enhance organisational culture by promoting openness, psychological safety, and mutual respect, which are increasingly recognised as key drivers of long-term business success</w:t>
      </w:r>
      <w:r>
        <w:t xml:space="preserve"> (Baskin, 2023).</w:t>
      </w:r>
    </w:p>
    <w:p w14:paraId="6230E661" w14:textId="77777777" w:rsidR="003E22E8" w:rsidRDefault="003E22E8" w:rsidP="003E22E8">
      <w:r w:rsidRPr="00552E14">
        <w:t>Employee voice additionally supports more effective decision-making. Employee insights offer management a fuller understanding of workplace challenges, allowing leaders to combine frontline knowledge with strategic expertise (CIPD, 2025a). Open communication also strengthens trust and cooperation between employees and managers, helping to create a more cohesive and motivated workforce.</w:t>
      </w:r>
    </w:p>
    <w:p w14:paraId="546555B7" w14:textId="77777777" w:rsidR="003E22E8" w:rsidRDefault="003E22E8" w:rsidP="003E22E8">
      <w:r w:rsidRPr="00AF50F0">
        <w:t>Despite its advantages, employee voice can also present challenges. One key risk is information overload, as a continuous flow of feedback may overwhelm management and slow down decision-making (</w:t>
      </w:r>
      <w:r w:rsidRPr="00DC6DA5">
        <w:t xml:space="preserve">Arnold, </w:t>
      </w:r>
      <w:proofErr w:type="spellStart"/>
      <w:r w:rsidRPr="00DC6DA5">
        <w:t>Goldschmitt</w:t>
      </w:r>
      <w:proofErr w:type="spellEnd"/>
      <w:r w:rsidRPr="00DC6DA5">
        <w:t xml:space="preserve"> and Rigotti (2023)</w:t>
      </w:r>
      <w:r w:rsidRPr="00AF50F0">
        <w:t>. Another concern is superficial engagement, where employees contribute feedback out of obligation rather than genuine insight, resulting in low-quality input with limited organisational impact. The effects of employee voice also vary depending on its form. Shipton et al. (2024) distinguish between organisational voice, which focuses on improving the organisation as a whole, and employee-focused voice, which prioritises employee needs. While organisational voice can drive innovation, it may also heighten stress if employees feel overburdened, whereas employee-focused voice is more likely to reduce burnout and enhance engagement.</w:t>
      </w:r>
    </w:p>
    <w:p w14:paraId="74C5000C" w14:textId="77777777" w:rsidR="003E22E8" w:rsidRDefault="003E22E8" w:rsidP="003E22E8">
      <w:r>
        <w:t xml:space="preserve">Overall, </w:t>
      </w:r>
      <w:r w:rsidRPr="00AA1A3C">
        <w:t>employee voice can significantly enhance organisational performance when managed effectively. By fostering innovation, engagement, and better decision-making, its benefits can outweigh the drawbacks. However, organisations must develop robust mechanisms to manage feedback, ensure employee input is meaningful, and balance the pressures associated with organisational and employee-focused voice.</w:t>
      </w:r>
    </w:p>
    <w:p w14:paraId="11898674" w14:textId="17507478" w:rsidR="00870C75" w:rsidRDefault="00870C75" w:rsidP="00870C75">
      <w:pPr>
        <w:pStyle w:val="Heading2"/>
      </w:pPr>
      <w:r w:rsidRPr="003815D2">
        <w:t xml:space="preserve">AC </w:t>
      </w:r>
      <w:r w:rsidR="00115D7B">
        <w:t>1.4</w:t>
      </w:r>
    </w:p>
    <w:p w14:paraId="2DC10A92" w14:textId="73A92D98" w:rsidR="000B31EB" w:rsidRPr="000B31EB" w:rsidRDefault="00932EFD" w:rsidP="000B31EB">
      <w:r w:rsidRPr="00932EFD">
        <w:rPr>
          <w:highlight w:val="yellow"/>
        </w:rPr>
        <w:t>XX</w:t>
      </w:r>
    </w:p>
    <w:p w14:paraId="4DC6A0A5" w14:textId="4BF570B3" w:rsidR="00903850" w:rsidRPr="003815D2" w:rsidRDefault="00903850" w:rsidP="00903850">
      <w:pPr>
        <w:pStyle w:val="Heading2"/>
      </w:pPr>
      <w:r w:rsidRPr="003815D2">
        <w:lastRenderedPageBreak/>
        <w:t xml:space="preserve">AC </w:t>
      </w:r>
      <w:r>
        <w:t>2</w:t>
      </w:r>
      <w:r w:rsidRPr="003815D2">
        <w:t>.1</w:t>
      </w:r>
    </w:p>
    <w:p w14:paraId="6064E801" w14:textId="77BDCB32" w:rsidR="00896103" w:rsidRDefault="00896103" w:rsidP="00896103">
      <w:r>
        <w:t>Disagreements are a natural part of human interaction in all parts of life, due to everyone having individual, thoughts opinions and experiences. Within the workplace it is important for people mangers to distinguish whether the disagreements are organisational conflict or misbehaviour, to ensure that they are managed effectively as they can affect the workplace in different ways.</w:t>
      </w:r>
    </w:p>
    <w:p w14:paraId="1A2550BF" w14:textId="77777777" w:rsidR="00896103" w:rsidRDefault="00896103" w:rsidP="00896103">
      <w:r>
        <w:t>Conflict within organisations is inevitable as they are structed to function through competition, adjustment and compromise. Armstrong and Taylor (2023) state that there should be clashes of ideas between individuals, groups, or departments because of differences in goals, values or perceptions and that this conflict can have positive outcomes when used constructively. Suff (2020) agrees that positive conflict such as healthy competition or problem solving by discussing different opinions can have positive outcomes if managed correctly. However, it is also important to note that conflict can be either functional encouraging problem-solving and innovation as outlined above, or dysfunctional, which can disrupt teamwork and overall performance. Dysfunctional conflict can be due to personal struggles for control, poor communication or limited resources (Robbins &amp; Judge, 2024). Conflict can be managed effectively, through mediation, clear communication strategies, team-building initiatives, and clear culture and procedures that focus on collaboration and problem-solving (Armstrong &amp; Taylor, 2023)</w:t>
      </w:r>
    </w:p>
    <w:p w14:paraId="249775D2" w14:textId="77777777" w:rsidR="00896103" w:rsidRDefault="00896103" w:rsidP="00896103">
      <w:r>
        <w:t>In contrast to conflict, misbehaviour involves actions by employees that violate the rules or go against organisational expectations and are usually intentional (Robbins &amp; Judge, 2024). Behaviour that is unfair or unethical such as theft, misuse of company time or resources can cause wider issues, ranging from a one-off disagreement, or clash to ongoing difficult relationship. If left unmanaged they could result in more serious displays of unfair treatment such as bullying and harassment (Suff, 2020). Furthermore, unlike functional conflict, which does not intend harm, misbehaviour generally has negative effects and can damage trust, morale, and productivity. Resolving misbehaviour usually requires, implementation of stronger organisational controls or further action via disciplinary.</w:t>
      </w:r>
    </w:p>
    <w:p w14:paraId="0D44B463" w14:textId="618FC93C" w:rsidR="00896103" w:rsidRPr="003815D2" w:rsidRDefault="00896103" w:rsidP="00896103">
      <w:pPr>
        <w:rPr>
          <w:highlight w:val="yellow"/>
        </w:rPr>
      </w:pPr>
      <w:r>
        <w:t>In summary the key difference between conflict and misbehaviour is that conflict is mainly about disagreements which can sometimes be constructive, whereas misbehaviour is intentional and usually harmful to the organisation. With two large organisations merging the people managers need to ensure that the united culture, policy procedures and aims of the united organisation communicate clearly and positively.</w:t>
      </w:r>
    </w:p>
    <w:p w14:paraId="5673A080" w14:textId="495DF0C3" w:rsidR="00B73F64" w:rsidRDefault="000B31EB" w:rsidP="00932EFD">
      <w:pPr>
        <w:pStyle w:val="Heading2"/>
      </w:pPr>
      <w:r>
        <w:t>AC 2.</w:t>
      </w:r>
      <w:r w:rsidR="00932EFD">
        <w:t>2</w:t>
      </w:r>
    </w:p>
    <w:p w14:paraId="5024B765" w14:textId="77777777" w:rsidR="00932EFD" w:rsidRDefault="00932EFD" w:rsidP="00932EFD">
      <w:r>
        <w:t xml:space="preserve">The nature of workplace conflict and sanctions is evolving rapidly, reflecting the pace of change within modern work environments. Industrial action within organisations has adapted alongside the increasing reliance on human resource management (HRM), which now plays a central role in mediating and resolving internal disputes (Hodder &amp; </w:t>
      </w:r>
      <w:proofErr w:type="spellStart"/>
      <w:r>
        <w:t>Mustchin</w:t>
      </w:r>
      <w:proofErr w:type="spellEnd"/>
      <w:r>
        <w:t>, 2025)</w:t>
      </w:r>
    </w:p>
    <w:p w14:paraId="2B9C8A90" w14:textId="77777777" w:rsidR="00932EFD" w:rsidRDefault="00932EFD" w:rsidP="00932EFD">
      <w:r>
        <w:t>In the UK, strike activity increased significantly from the summer of 2022. Although historically strikes were longer in duration, the recent trend has shifted toward shorter but more frequent stoppages. For example, ONS figures show that working days lost to strike action in December 2022 alone reached approximately 843,000, marking an 83% increase from November, and representing the highest monthly total since November 2011 (894,000); the total from June to December 2022 stood at around 2,471,000 days, the highest six</w:t>
      </w:r>
      <w:r>
        <w:rPr>
          <w:rFonts w:ascii="Cambria Math" w:hAnsi="Cambria Math" w:cs="Cambria Math"/>
        </w:rPr>
        <w:t>‑</w:t>
      </w:r>
      <w:r>
        <w:t>month figure since 1989 (ONS, 2023). While the total scale of days lost is still significantly lower than the total days were lost in 1979, the sharp and sudden rise in strike</w:t>
      </w:r>
      <w:r>
        <w:rPr>
          <w:rFonts w:ascii="Cambria Math" w:hAnsi="Cambria Math" w:cs="Cambria Math"/>
        </w:rPr>
        <w:t>‑</w:t>
      </w:r>
      <w:r>
        <w:t>related absences prompted widespread concern, especially given disruptions across healthcare, education, public transport, and other essential services (ONS, 2023).</w:t>
      </w:r>
    </w:p>
    <w:p w14:paraId="2F7C8D3B" w14:textId="77777777" w:rsidR="00932EFD" w:rsidRDefault="00932EFD" w:rsidP="00932EFD">
      <w:r>
        <w:t xml:space="preserve">Marsden, McKay and Pugh (2024) argue that one key factor behind the recent surge in industrial action is the reform of trade union law and collective bargaining rights. These reforms have simultaneously provided enhanced protections for participants in industrial action, introduced frameworks for mandatory minimum services in critical sectors, simplified statutory recognition procedures, reduced thresholds for industrial action </w:t>
      </w:r>
      <w:r>
        <w:lastRenderedPageBreak/>
        <w:t>ballots, and guaranteed facilities for union representatives. This legal environment has coincided with a period in which many employees have experienced a decline in real pay and deteriorating working conditions, while shareholder returns have grown at three times the pace of wages over the past decade, leaving many workers financially vulnerable (Collison, 2022). This financial insecurity has been exacerbated by the cost-of-living crisis, with inflation peaking above 10%, which further fuelled widespread industrial unrest across multiple sectors (Personnel Today, 2023).</w:t>
      </w:r>
    </w:p>
    <w:p w14:paraId="3C7485BD" w14:textId="5842DEE2" w:rsidR="00932EFD" w:rsidRDefault="00932EFD" w:rsidP="00932EFD">
      <w:r>
        <w:t>Research indicates that organisations combining strong HR practices and union presence tend to deliver higher quality industrial relations and greater employee well</w:t>
      </w:r>
      <w:r>
        <w:rPr>
          <w:rFonts w:ascii="Cambria Math" w:hAnsi="Cambria Math" w:cs="Cambria Math"/>
        </w:rPr>
        <w:t>‑</w:t>
      </w:r>
      <w:r>
        <w:t>being. The recent increase in collective industrial actions emphasise the need for HR professionals to work closely with recognised trade unions to maintain positive employee relations and support organisational outcomes. However, the decline in union membership has left many practitioners with limited experience in managing collective disputes and building effective relationships with union representatives (CIPD, 2025).</w:t>
      </w:r>
    </w:p>
    <w:p w14:paraId="264BEA77" w14:textId="31F7C740" w:rsidR="00FD4241" w:rsidRDefault="00FD4241" w:rsidP="00FD4241">
      <w:pPr>
        <w:pStyle w:val="Heading2"/>
      </w:pPr>
      <w:r>
        <w:t>AC 2.3</w:t>
      </w:r>
    </w:p>
    <w:sectPr w:rsidR="00FD4241" w:rsidSect="00B33E12">
      <w:footerReference w:type="default" r:id="rId9"/>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C41A42" w14:textId="77777777" w:rsidR="00D241F7" w:rsidRDefault="00D241F7" w:rsidP="00A7150A">
      <w:pPr>
        <w:spacing w:after="0" w:line="240" w:lineRule="auto"/>
      </w:pPr>
      <w:r>
        <w:separator/>
      </w:r>
    </w:p>
  </w:endnote>
  <w:endnote w:type="continuationSeparator" w:id="0">
    <w:p w14:paraId="23D302B3" w14:textId="77777777" w:rsidR="00D241F7" w:rsidRDefault="00D241F7" w:rsidP="00A715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600"/>
      <w:gridCol w:w="3600"/>
      <w:gridCol w:w="3600"/>
    </w:tblGrid>
    <w:tr w:rsidR="00A7150A" w:rsidRPr="00E6177D" w14:paraId="33F74588" w14:textId="77777777" w:rsidTr="00731CCB">
      <w:trPr>
        <w:trHeight w:val="300"/>
      </w:trPr>
      <w:tc>
        <w:tcPr>
          <w:tcW w:w="3600" w:type="dxa"/>
        </w:tcPr>
        <w:p w14:paraId="1C0D5E67" w14:textId="5E54DDD3" w:rsidR="00A7150A" w:rsidRPr="00E6177D" w:rsidRDefault="00A7150A" w:rsidP="00A7150A">
          <w:pPr>
            <w:pStyle w:val="Header"/>
            <w:ind w:left="-115"/>
            <w:jc w:val="left"/>
            <w:rPr>
              <w:sz w:val="20"/>
              <w:szCs w:val="20"/>
            </w:rPr>
          </w:pPr>
          <w:r w:rsidRPr="00E6177D">
            <w:rPr>
              <w:sz w:val="20"/>
              <w:szCs w:val="20"/>
            </w:rPr>
            <w:t xml:space="preserve">Employment </w:t>
          </w:r>
          <w:r w:rsidR="00AD4571">
            <w:rPr>
              <w:sz w:val="20"/>
              <w:szCs w:val="20"/>
            </w:rPr>
            <w:t>Relationship Management</w:t>
          </w:r>
        </w:p>
      </w:tc>
      <w:tc>
        <w:tcPr>
          <w:tcW w:w="3600" w:type="dxa"/>
        </w:tcPr>
        <w:p w14:paraId="47EB44FF" w14:textId="77777777" w:rsidR="00A7150A" w:rsidRPr="00E6177D" w:rsidRDefault="00A7150A" w:rsidP="00A7150A">
          <w:pPr>
            <w:pStyle w:val="Header"/>
            <w:jc w:val="center"/>
            <w:rPr>
              <w:sz w:val="20"/>
              <w:szCs w:val="20"/>
            </w:rPr>
          </w:pPr>
          <w:r w:rsidRPr="00E6177D">
            <w:rPr>
              <w:sz w:val="20"/>
              <w:szCs w:val="20"/>
            </w:rPr>
            <w:fldChar w:fldCharType="begin"/>
          </w:r>
          <w:r w:rsidRPr="00E6177D">
            <w:rPr>
              <w:sz w:val="20"/>
              <w:szCs w:val="20"/>
            </w:rPr>
            <w:instrText>PAGE</w:instrText>
          </w:r>
          <w:r w:rsidRPr="00E6177D">
            <w:rPr>
              <w:sz w:val="20"/>
              <w:szCs w:val="20"/>
            </w:rPr>
            <w:fldChar w:fldCharType="separate"/>
          </w:r>
          <w:r w:rsidRPr="00E6177D">
            <w:rPr>
              <w:noProof/>
              <w:sz w:val="20"/>
              <w:szCs w:val="20"/>
            </w:rPr>
            <w:t>1</w:t>
          </w:r>
          <w:r w:rsidRPr="00E6177D">
            <w:rPr>
              <w:sz w:val="20"/>
              <w:szCs w:val="20"/>
            </w:rPr>
            <w:fldChar w:fldCharType="end"/>
          </w:r>
          <w:r w:rsidRPr="00E6177D">
            <w:rPr>
              <w:sz w:val="20"/>
              <w:szCs w:val="20"/>
            </w:rPr>
            <w:t xml:space="preserve"> of </w:t>
          </w:r>
          <w:r w:rsidRPr="00E6177D">
            <w:rPr>
              <w:sz w:val="20"/>
              <w:szCs w:val="20"/>
            </w:rPr>
            <w:fldChar w:fldCharType="begin"/>
          </w:r>
          <w:r w:rsidRPr="00E6177D">
            <w:rPr>
              <w:sz w:val="20"/>
              <w:szCs w:val="20"/>
            </w:rPr>
            <w:instrText>NUMPAGES</w:instrText>
          </w:r>
          <w:r w:rsidRPr="00E6177D">
            <w:rPr>
              <w:sz w:val="20"/>
              <w:szCs w:val="20"/>
            </w:rPr>
            <w:fldChar w:fldCharType="separate"/>
          </w:r>
          <w:r w:rsidRPr="00E6177D">
            <w:rPr>
              <w:noProof/>
              <w:sz w:val="20"/>
              <w:szCs w:val="20"/>
            </w:rPr>
            <w:t>2</w:t>
          </w:r>
          <w:r w:rsidRPr="00E6177D">
            <w:rPr>
              <w:sz w:val="20"/>
              <w:szCs w:val="20"/>
            </w:rPr>
            <w:fldChar w:fldCharType="end"/>
          </w:r>
        </w:p>
      </w:tc>
      <w:tc>
        <w:tcPr>
          <w:tcW w:w="3600" w:type="dxa"/>
        </w:tcPr>
        <w:p w14:paraId="27C2D197" w14:textId="77777777" w:rsidR="00A7150A" w:rsidRPr="00E6177D" w:rsidRDefault="00A7150A" w:rsidP="00A7150A">
          <w:pPr>
            <w:pStyle w:val="Header"/>
            <w:ind w:right="-115"/>
            <w:jc w:val="right"/>
            <w:rPr>
              <w:sz w:val="20"/>
              <w:szCs w:val="20"/>
            </w:rPr>
          </w:pPr>
          <w:r w:rsidRPr="00E6177D">
            <w:rPr>
              <w:sz w:val="20"/>
              <w:szCs w:val="20"/>
            </w:rPr>
            <w:t>Claire Smith</w:t>
          </w:r>
        </w:p>
        <w:p w14:paraId="77EF575B" w14:textId="77777777" w:rsidR="00A7150A" w:rsidRPr="00E6177D" w:rsidRDefault="00A7150A" w:rsidP="00A7150A">
          <w:pPr>
            <w:pStyle w:val="Header"/>
            <w:ind w:right="-115"/>
            <w:jc w:val="center"/>
            <w:rPr>
              <w:sz w:val="20"/>
              <w:szCs w:val="20"/>
            </w:rPr>
          </w:pPr>
          <w:r w:rsidRPr="00E6177D">
            <w:rPr>
              <w:sz w:val="20"/>
              <w:szCs w:val="20"/>
            </w:rPr>
            <w:t>CIPD Membership Number: 88340471</w:t>
          </w:r>
        </w:p>
      </w:tc>
    </w:tr>
  </w:tbl>
  <w:p w14:paraId="5CE620C1" w14:textId="77777777" w:rsidR="00A7150A" w:rsidRDefault="00A7150A" w:rsidP="00AD45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2C32A1" w14:textId="77777777" w:rsidR="00D241F7" w:rsidRDefault="00D241F7" w:rsidP="00A7150A">
      <w:pPr>
        <w:spacing w:after="0" w:line="240" w:lineRule="auto"/>
      </w:pPr>
      <w:r>
        <w:separator/>
      </w:r>
    </w:p>
  </w:footnote>
  <w:footnote w:type="continuationSeparator" w:id="0">
    <w:p w14:paraId="212F636A" w14:textId="77777777" w:rsidR="00D241F7" w:rsidRDefault="00D241F7" w:rsidP="00A7150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15D2"/>
    <w:rsid w:val="000B31EB"/>
    <w:rsid w:val="000F7E91"/>
    <w:rsid w:val="00115D7B"/>
    <w:rsid w:val="001723C5"/>
    <w:rsid w:val="002C7B70"/>
    <w:rsid w:val="00320643"/>
    <w:rsid w:val="00371FC7"/>
    <w:rsid w:val="003815D2"/>
    <w:rsid w:val="003E22E8"/>
    <w:rsid w:val="00412FF6"/>
    <w:rsid w:val="005525F0"/>
    <w:rsid w:val="00767F12"/>
    <w:rsid w:val="007B0EE5"/>
    <w:rsid w:val="00870C75"/>
    <w:rsid w:val="00896103"/>
    <w:rsid w:val="008C0B30"/>
    <w:rsid w:val="00903850"/>
    <w:rsid w:val="009114A1"/>
    <w:rsid w:val="00920500"/>
    <w:rsid w:val="00926175"/>
    <w:rsid w:val="00932EFD"/>
    <w:rsid w:val="00A1573D"/>
    <w:rsid w:val="00A7150A"/>
    <w:rsid w:val="00AD4571"/>
    <w:rsid w:val="00B270DC"/>
    <w:rsid w:val="00B33E12"/>
    <w:rsid w:val="00B7145A"/>
    <w:rsid w:val="00B73F64"/>
    <w:rsid w:val="00BA6A53"/>
    <w:rsid w:val="00C10523"/>
    <w:rsid w:val="00D241F7"/>
    <w:rsid w:val="00D92681"/>
    <w:rsid w:val="00ED62CC"/>
    <w:rsid w:val="00F40EFD"/>
    <w:rsid w:val="00FB40B9"/>
    <w:rsid w:val="00FC2CB6"/>
    <w:rsid w:val="00FD42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1688169"/>
  <w15:chartTrackingRefBased/>
  <w15:docId w15:val="{A3675951-EC30-4F5E-B636-9042F14766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815D2"/>
    <w:pPr>
      <w:spacing w:line="276" w:lineRule="auto"/>
      <w:ind w:hanging="11"/>
      <w:jc w:val="both"/>
    </w:pPr>
    <w:rPr>
      <w:rFonts w:ascii="Arial" w:hAnsi="Arial" w:cs="Arial"/>
      <w:szCs w:val="24"/>
    </w:rPr>
  </w:style>
  <w:style w:type="paragraph" w:styleId="Heading1">
    <w:name w:val="heading 1"/>
    <w:basedOn w:val="Normal"/>
    <w:next w:val="Normal"/>
    <w:link w:val="Heading1Char"/>
    <w:uiPriority w:val="9"/>
    <w:qFormat/>
    <w:rsid w:val="003815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815D2"/>
    <w:pPr>
      <w:keepNext/>
      <w:keepLines/>
      <w:spacing w:before="160" w:after="80"/>
      <w:outlineLvl w:val="1"/>
    </w:pPr>
    <w:rPr>
      <w:rFonts w:eastAsiaTheme="majorEastAsia"/>
      <w:sz w:val="24"/>
    </w:rPr>
  </w:style>
  <w:style w:type="paragraph" w:styleId="Heading3">
    <w:name w:val="heading 3"/>
    <w:basedOn w:val="Normal"/>
    <w:next w:val="Normal"/>
    <w:link w:val="Heading3Char"/>
    <w:uiPriority w:val="9"/>
    <w:semiHidden/>
    <w:unhideWhenUsed/>
    <w:qFormat/>
    <w:rsid w:val="003815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815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815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815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815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815D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815D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next w:val="Normal"/>
    <w:link w:val="SubtitleChar"/>
    <w:autoRedefine/>
    <w:uiPriority w:val="11"/>
    <w:qFormat/>
    <w:rsid w:val="00FB40B9"/>
    <w:pPr>
      <w:numPr>
        <w:ilvl w:val="1"/>
      </w:numPr>
      <w:spacing w:before="240"/>
      <w:ind w:hanging="11"/>
    </w:pPr>
    <w:rPr>
      <w:rFonts w:eastAsiaTheme="majorEastAsia" w:cstheme="majorBidi"/>
      <w:b/>
      <w:spacing w:val="15"/>
      <w:sz w:val="26"/>
      <w:szCs w:val="26"/>
    </w:rPr>
  </w:style>
  <w:style w:type="character" w:customStyle="1" w:styleId="SubtitleChar">
    <w:name w:val="Subtitle Char"/>
    <w:basedOn w:val="DefaultParagraphFont"/>
    <w:link w:val="Subtitle"/>
    <w:uiPriority w:val="11"/>
    <w:rsid w:val="00FB40B9"/>
    <w:rPr>
      <w:rFonts w:ascii="Arial" w:eastAsiaTheme="majorEastAsia" w:hAnsi="Arial" w:cstheme="majorBidi"/>
      <w:b/>
      <w:spacing w:val="15"/>
      <w:sz w:val="26"/>
      <w:szCs w:val="26"/>
    </w:rPr>
  </w:style>
  <w:style w:type="paragraph" w:customStyle="1" w:styleId="BIB">
    <w:name w:val="BIB"/>
    <w:basedOn w:val="Normal"/>
    <w:link w:val="BIBChar"/>
    <w:autoRedefine/>
    <w:qFormat/>
    <w:rsid w:val="00FB40B9"/>
    <w:pPr>
      <w:spacing w:before="240"/>
    </w:pPr>
  </w:style>
  <w:style w:type="character" w:customStyle="1" w:styleId="BIBChar">
    <w:name w:val="BIB Char"/>
    <w:basedOn w:val="DefaultParagraphFont"/>
    <w:link w:val="BIB"/>
    <w:rsid w:val="00FB40B9"/>
    <w:rPr>
      <w:rFonts w:ascii="Arial" w:hAnsi="Arial" w:cs="Arial"/>
      <w:szCs w:val="24"/>
    </w:rPr>
  </w:style>
  <w:style w:type="character" w:customStyle="1" w:styleId="Heading1Char">
    <w:name w:val="Heading 1 Char"/>
    <w:basedOn w:val="DefaultParagraphFont"/>
    <w:link w:val="Heading1"/>
    <w:uiPriority w:val="9"/>
    <w:rsid w:val="003815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815D2"/>
    <w:rPr>
      <w:rFonts w:ascii="Arial" w:eastAsiaTheme="majorEastAsia" w:hAnsi="Arial" w:cs="Arial"/>
      <w:sz w:val="24"/>
      <w:szCs w:val="24"/>
    </w:rPr>
  </w:style>
  <w:style w:type="character" w:customStyle="1" w:styleId="Heading3Char">
    <w:name w:val="Heading 3 Char"/>
    <w:basedOn w:val="DefaultParagraphFont"/>
    <w:link w:val="Heading3"/>
    <w:uiPriority w:val="9"/>
    <w:semiHidden/>
    <w:rsid w:val="003815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815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815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815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815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815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815D2"/>
    <w:rPr>
      <w:rFonts w:eastAsiaTheme="majorEastAsia" w:cstheme="majorBidi"/>
      <w:color w:val="272727" w:themeColor="text1" w:themeTint="D8"/>
    </w:rPr>
  </w:style>
  <w:style w:type="paragraph" w:styleId="Title">
    <w:name w:val="Title"/>
    <w:basedOn w:val="Normal"/>
    <w:next w:val="Normal"/>
    <w:link w:val="TitleChar"/>
    <w:uiPriority w:val="10"/>
    <w:qFormat/>
    <w:rsid w:val="003815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815D2"/>
    <w:rPr>
      <w:rFonts w:asciiTheme="majorHAnsi" w:eastAsiaTheme="majorEastAsia" w:hAnsiTheme="majorHAnsi" w:cstheme="majorBidi"/>
      <w:spacing w:val="-10"/>
      <w:kern w:val="28"/>
      <w:sz w:val="56"/>
      <w:szCs w:val="56"/>
    </w:rPr>
  </w:style>
  <w:style w:type="paragraph" w:styleId="Quote">
    <w:name w:val="Quote"/>
    <w:basedOn w:val="Normal"/>
    <w:next w:val="Normal"/>
    <w:link w:val="QuoteChar"/>
    <w:uiPriority w:val="29"/>
    <w:qFormat/>
    <w:rsid w:val="003815D2"/>
    <w:pPr>
      <w:spacing w:before="160"/>
      <w:jc w:val="center"/>
    </w:pPr>
    <w:rPr>
      <w:i/>
      <w:iCs/>
      <w:color w:val="404040" w:themeColor="text1" w:themeTint="BF"/>
    </w:rPr>
  </w:style>
  <w:style w:type="character" w:customStyle="1" w:styleId="QuoteChar">
    <w:name w:val="Quote Char"/>
    <w:basedOn w:val="DefaultParagraphFont"/>
    <w:link w:val="Quote"/>
    <w:uiPriority w:val="29"/>
    <w:rsid w:val="003815D2"/>
    <w:rPr>
      <w:i/>
      <w:iCs/>
      <w:color w:val="404040" w:themeColor="text1" w:themeTint="BF"/>
    </w:rPr>
  </w:style>
  <w:style w:type="paragraph" w:styleId="ListParagraph">
    <w:name w:val="List Paragraph"/>
    <w:basedOn w:val="Normal"/>
    <w:uiPriority w:val="34"/>
    <w:qFormat/>
    <w:rsid w:val="003815D2"/>
    <w:pPr>
      <w:ind w:left="720"/>
      <w:contextualSpacing/>
    </w:pPr>
  </w:style>
  <w:style w:type="character" w:styleId="IntenseEmphasis">
    <w:name w:val="Intense Emphasis"/>
    <w:basedOn w:val="DefaultParagraphFont"/>
    <w:uiPriority w:val="21"/>
    <w:qFormat/>
    <w:rsid w:val="003815D2"/>
    <w:rPr>
      <w:i/>
      <w:iCs/>
      <w:color w:val="0F4761" w:themeColor="accent1" w:themeShade="BF"/>
    </w:rPr>
  </w:style>
  <w:style w:type="paragraph" w:styleId="IntenseQuote">
    <w:name w:val="Intense Quote"/>
    <w:basedOn w:val="Normal"/>
    <w:next w:val="Normal"/>
    <w:link w:val="IntenseQuoteChar"/>
    <w:uiPriority w:val="30"/>
    <w:qFormat/>
    <w:rsid w:val="003815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815D2"/>
    <w:rPr>
      <w:i/>
      <w:iCs/>
      <w:color w:val="0F4761" w:themeColor="accent1" w:themeShade="BF"/>
    </w:rPr>
  </w:style>
  <w:style w:type="character" w:styleId="IntenseReference">
    <w:name w:val="Intense Reference"/>
    <w:basedOn w:val="DefaultParagraphFont"/>
    <w:uiPriority w:val="32"/>
    <w:qFormat/>
    <w:rsid w:val="003815D2"/>
    <w:rPr>
      <w:b/>
      <w:bCs/>
      <w:smallCaps/>
      <w:color w:val="0F4761" w:themeColor="accent1" w:themeShade="BF"/>
      <w:spacing w:val="5"/>
    </w:rPr>
  </w:style>
  <w:style w:type="paragraph" w:customStyle="1" w:styleId="Nornal">
    <w:name w:val="Nornal"/>
    <w:rsid w:val="003E22E8"/>
    <w:pPr>
      <w:pBdr>
        <w:top w:val="nil"/>
        <w:left w:val="nil"/>
        <w:bottom w:val="nil"/>
        <w:right w:val="nil"/>
        <w:between w:val="nil"/>
        <w:bar w:val="nil"/>
      </w:pBdr>
      <w:spacing w:line="264" w:lineRule="auto"/>
    </w:pPr>
    <w:rPr>
      <w:rFonts w:ascii="Arial" w:eastAsia="Arial" w:hAnsi="Arial" w:cs="Arial"/>
      <w:color w:val="000000"/>
      <w:kern w:val="0"/>
      <w:u w:color="000000"/>
      <w:bdr w:val="nil"/>
      <w:lang w:val="en-US" w:eastAsia="en-GB"/>
      <w14:ligatures w14:val="none"/>
    </w:rPr>
  </w:style>
  <w:style w:type="paragraph" w:styleId="Header">
    <w:name w:val="header"/>
    <w:basedOn w:val="Normal"/>
    <w:link w:val="HeaderChar"/>
    <w:uiPriority w:val="99"/>
    <w:unhideWhenUsed/>
    <w:rsid w:val="00A715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150A"/>
    <w:rPr>
      <w:rFonts w:ascii="Arial" w:hAnsi="Arial" w:cs="Arial"/>
      <w:szCs w:val="24"/>
    </w:rPr>
  </w:style>
  <w:style w:type="paragraph" w:styleId="Footer">
    <w:name w:val="footer"/>
    <w:basedOn w:val="Normal"/>
    <w:link w:val="FooterChar"/>
    <w:uiPriority w:val="99"/>
    <w:unhideWhenUsed/>
    <w:rsid w:val="00A715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150A"/>
    <w:rPr>
      <w:rFonts w:ascii="Arial" w:hAnsi="Arial" w:cs="Arial"/>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D3EB58D5E805447A67E6E3AC2AA098F" ma:contentTypeVersion="12" ma:contentTypeDescription="Create a new document." ma:contentTypeScope="" ma:versionID="ee4fbff60de288256a84cc4683e0c649">
  <xsd:schema xmlns:xsd="http://www.w3.org/2001/XMLSchema" xmlns:xs="http://www.w3.org/2001/XMLSchema" xmlns:p="http://schemas.microsoft.com/office/2006/metadata/properties" xmlns:ns3="5b0da114-0538-4a78-995a-f0bd13903525" xmlns:ns4="076a45e5-8aef-46c2-8bf0-bde5428c276d" targetNamespace="http://schemas.microsoft.com/office/2006/metadata/properties" ma:root="true" ma:fieldsID="21c71f05a414f80b97b8bcf6816834e1" ns3:_="" ns4:_="">
    <xsd:import namespace="5b0da114-0538-4a78-995a-f0bd13903525"/>
    <xsd:import namespace="076a45e5-8aef-46c2-8bf0-bde5428c276d"/>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b0da114-0538-4a78-995a-f0bd1390352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76a45e5-8aef-46c2-8bf0-bde5428c276d"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5b0da114-0538-4a78-995a-f0bd13903525" xsi:nil="true"/>
  </documentManagement>
</p:properties>
</file>

<file path=customXml/itemProps1.xml><?xml version="1.0" encoding="utf-8"?>
<ds:datastoreItem xmlns:ds="http://schemas.openxmlformats.org/officeDocument/2006/customXml" ds:itemID="{A5587944-E702-42E0-8620-C6FEF91A9C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b0da114-0538-4a78-995a-f0bd13903525"/>
    <ds:schemaRef ds:uri="076a45e5-8aef-46c2-8bf0-bde5428c276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C05C7AA-0C51-4D74-9C37-24AC84E4977E}">
  <ds:schemaRefs>
    <ds:schemaRef ds:uri="http://schemas.microsoft.com/sharepoint/v3/contenttype/forms"/>
  </ds:schemaRefs>
</ds:datastoreItem>
</file>

<file path=customXml/itemProps3.xml><?xml version="1.0" encoding="utf-8"?>
<ds:datastoreItem xmlns:ds="http://schemas.openxmlformats.org/officeDocument/2006/customXml" ds:itemID="{31BBC869-A0FD-4489-AD54-315AD42674B1}">
  <ds:schemaRefs>
    <ds:schemaRef ds:uri="http://schemas.microsoft.com/office/2006/metadata/properties"/>
    <ds:schemaRef ds:uri="http://schemas.microsoft.com/office/infopath/2007/PartnerControls"/>
    <ds:schemaRef ds:uri="5b0da114-0538-4a78-995a-f0bd13903525"/>
  </ds:schemaRefs>
</ds:datastoreItem>
</file>

<file path=docProps/app.xml><?xml version="1.0" encoding="utf-8"?>
<Properties xmlns="http://schemas.openxmlformats.org/officeDocument/2006/extended-properties" xmlns:vt="http://schemas.openxmlformats.org/officeDocument/2006/docPropsVTypes">
  <Template>Normal</Template>
  <TotalTime>31</TotalTime>
  <Pages>4</Pages>
  <Words>2027</Words>
  <Characters>11560</Characters>
  <Application>Microsoft Office Word</Application>
  <DocSecurity>0</DocSecurity>
  <Lines>96</Lines>
  <Paragraphs>27</Paragraphs>
  <ScaleCrop>false</ScaleCrop>
  <Company/>
  <LinksUpToDate>false</LinksUpToDate>
  <CharactersWithSpaces>13560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smith</dc:creator>
  <cp:keywords/>
  <dc:description/>
  <cp:lastModifiedBy>claire smith</cp:lastModifiedBy>
  <cp:revision>31</cp:revision>
  <dcterms:created xsi:type="dcterms:W3CDTF">2025-08-04T09:42:00Z</dcterms:created>
  <dcterms:modified xsi:type="dcterms:W3CDTF">2025-08-04T15:47:00Z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0x0101008D3EB58D5E805447A67E6E3AC2AA098F</vt:lpwstr>
  </property>
</Properties>
</file>