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AEAA" w14:textId="77777777" w:rsidR="009F64C5" w:rsidRDefault="009F64C5">
      <w:pPr>
        <w:spacing w:after="158"/>
        <w:ind w:left="49"/>
        <w:jc w:val="center"/>
      </w:pPr>
      <w:r>
        <w:rPr>
          <w:rFonts w:ascii="Calibri" w:eastAsia="Calibri" w:hAnsi="Calibri" w:cs="Calibri"/>
        </w:rPr>
        <w:t xml:space="preserve"> </w:t>
      </w:r>
    </w:p>
    <w:p w14:paraId="6D3D663A" w14:textId="77777777" w:rsidR="009F64C5" w:rsidRDefault="009F64C5">
      <w:pPr>
        <w:ind w:left="49"/>
        <w:jc w:val="center"/>
      </w:pPr>
      <w:r>
        <w:rPr>
          <w:rFonts w:ascii="Calibri" w:eastAsia="Calibri" w:hAnsi="Calibri" w:cs="Calibri"/>
        </w:rPr>
        <w:t xml:space="preserve"> </w:t>
      </w:r>
    </w:p>
    <w:p w14:paraId="6787C14B" w14:textId="578E474B" w:rsidR="009F64C5" w:rsidRDefault="009F64C5">
      <w:pPr>
        <w:spacing w:after="158"/>
        <w:ind w:left="49"/>
        <w:jc w:val="center"/>
      </w:pPr>
      <w:r>
        <w:rPr>
          <w:noProof/>
        </w:rPr>
        <w:drawing>
          <wp:inline distT="0" distB="0" distL="0" distR="0" wp14:anchorId="0851FAE4" wp14:editId="00AFC6E2">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Pr>
          <w:rFonts w:ascii="Calibri" w:eastAsia="Calibri" w:hAnsi="Calibri" w:cs="Calibri"/>
        </w:rPr>
        <w:t xml:space="preserve"> </w:t>
      </w:r>
    </w:p>
    <w:p w14:paraId="5E0F4EC2" w14:textId="77777777" w:rsidR="009F64C5" w:rsidRDefault="009F64C5">
      <w:pPr>
        <w:ind w:left="49"/>
        <w:jc w:val="center"/>
      </w:pPr>
      <w:r>
        <w:rPr>
          <w:rFonts w:ascii="Calibri" w:eastAsia="Calibri" w:hAnsi="Calibri" w:cs="Calibri"/>
        </w:rPr>
        <w:t xml:space="preserve"> </w:t>
      </w:r>
    </w:p>
    <w:p w14:paraId="0C4D53A1" w14:textId="77777777" w:rsidR="009F64C5" w:rsidRDefault="009F64C5">
      <w:pPr>
        <w:spacing w:after="287"/>
        <w:ind w:left="49"/>
        <w:jc w:val="center"/>
      </w:pPr>
      <w:r>
        <w:rPr>
          <w:rFonts w:ascii="Calibri" w:eastAsia="Calibri" w:hAnsi="Calibri" w:cs="Calibri"/>
        </w:rPr>
        <w:t xml:space="preserve"> </w:t>
      </w:r>
    </w:p>
    <w:p w14:paraId="196BF838" w14:textId="2ADA2257" w:rsidR="009F64C5" w:rsidRPr="002220C9" w:rsidRDefault="002220C9" w:rsidP="002220C9">
      <w:pPr>
        <w:spacing w:line="360" w:lineRule="auto"/>
        <w:rPr>
          <w:rFonts w:ascii="Arial" w:hAnsi="Arial" w:cs="Arial"/>
          <w:sz w:val="28"/>
          <w:szCs w:val="28"/>
        </w:rPr>
      </w:pPr>
      <w:r w:rsidRPr="002220C9">
        <w:rPr>
          <w:rFonts w:ascii="Arial Body cs" w:hAnsi="Arial Body cs" w:cs="Arial"/>
          <w:sz w:val="28"/>
          <w:szCs w:val="28"/>
        </w:rPr>
        <w:t>A Systematic Review Investigating Awareness, Diagnosis, Prevention and Management of Chronic Obstructive Pulmonary Disease (COPD) Among African American Adults Aged 40–65 in the United States.</w:t>
      </w:r>
    </w:p>
    <w:p w14:paraId="5E1E2E05" w14:textId="77777777" w:rsidR="009F64C5" w:rsidRDefault="009F64C5">
      <w:pPr>
        <w:spacing w:after="42"/>
        <w:ind w:left="89"/>
        <w:jc w:val="center"/>
      </w:pPr>
      <w:r>
        <w:rPr>
          <w:sz w:val="36"/>
        </w:rPr>
        <w:t xml:space="preserve"> </w:t>
      </w:r>
    </w:p>
    <w:p w14:paraId="46D86011" w14:textId="77777777" w:rsidR="009F64C5" w:rsidRPr="007F3292" w:rsidRDefault="009F64C5">
      <w:pPr>
        <w:spacing w:after="157"/>
        <w:ind w:left="2367" w:right="2358"/>
        <w:jc w:val="center"/>
        <w:rPr>
          <w:rFonts w:asciiTheme="minorBidi" w:hAnsiTheme="minorBidi"/>
        </w:rPr>
      </w:pPr>
      <w:r w:rsidRPr="007F3292">
        <w:rPr>
          <w:rFonts w:asciiTheme="minorBidi" w:hAnsiTheme="minorBidi"/>
        </w:rPr>
        <w:t xml:space="preserve">by </w:t>
      </w:r>
    </w:p>
    <w:p w14:paraId="75EA3561" w14:textId="77777777" w:rsidR="009F64C5" w:rsidRPr="007F3292" w:rsidRDefault="009F64C5">
      <w:pPr>
        <w:spacing w:after="158"/>
        <w:ind w:left="59"/>
        <w:jc w:val="center"/>
        <w:rPr>
          <w:rFonts w:asciiTheme="minorBidi" w:hAnsiTheme="minorBidi"/>
        </w:rPr>
      </w:pPr>
      <w:r w:rsidRPr="007F3292">
        <w:rPr>
          <w:rFonts w:asciiTheme="minorBidi" w:hAnsiTheme="minorBidi"/>
        </w:rPr>
        <w:t xml:space="preserve"> </w:t>
      </w:r>
    </w:p>
    <w:p w14:paraId="350EB5D6" w14:textId="0A7F890C" w:rsidR="009F64C5" w:rsidRPr="007F3292" w:rsidRDefault="00762132">
      <w:pPr>
        <w:spacing w:after="157"/>
        <w:ind w:left="2367" w:right="2359"/>
        <w:jc w:val="center"/>
        <w:rPr>
          <w:rFonts w:asciiTheme="minorBidi" w:hAnsiTheme="minorBidi"/>
        </w:rPr>
      </w:pPr>
      <w:r>
        <w:rPr>
          <w:rFonts w:asciiTheme="minorBidi" w:hAnsiTheme="minorBidi"/>
        </w:rPr>
        <w:t>Vishal Kishor Hirani</w:t>
      </w:r>
      <w:r w:rsidR="009F64C5" w:rsidRPr="007F3292">
        <w:rPr>
          <w:rFonts w:asciiTheme="minorBidi" w:hAnsiTheme="minorBidi"/>
        </w:rPr>
        <w:t xml:space="preserve"> </w:t>
      </w:r>
    </w:p>
    <w:p w14:paraId="1062A64A" w14:textId="77777777" w:rsidR="009F64C5" w:rsidRDefault="009F64C5">
      <w:pPr>
        <w:spacing w:after="158"/>
        <w:ind w:left="59"/>
        <w:jc w:val="center"/>
      </w:pPr>
      <w:r>
        <w:t xml:space="preserve"> </w:t>
      </w:r>
    </w:p>
    <w:p w14:paraId="33922CAA" w14:textId="77777777" w:rsidR="009F64C5" w:rsidRDefault="009F64C5">
      <w:pPr>
        <w:spacing w:after="156"/>
        <w:ind w:left="59"/>
        <w:jc w:val="center"/>
      </w:pPr>
      <w:r>
        <w:t xml:space="preserve"> </w:t>
      </w:r>
    </w:p>
    <w:p w14:paraId="09C8500D" w14:textId="77777777" w:rsidR="009F64C5" w:rsidRDefault="009F64C5">
      <w:pPr>
        <w:spacing w:after="158"/>
        <w:ind w:left="59"/>
        <w:jc w:val="center"/>
      </w:pPr>
      <w:r>
        <w:t xml:space="preserve"> </w:t>
      </w:r>
    </w:p>
    <w:p w14:paraId="64B3B17A" w14:textId="77777777" w:rsidR="009F64C5" w:rsidRDefault="009F64C5">
      <w:pPr>
        <w:spacing w:after="158"/>
        <w:ind w:left="59"/>
        <w:jc w:val="center"/>
      </w:pPr>
      <w:r>
        <w:t xml:space="preserve"> </w:t>
      </w:r>
    </w:p>
    <w:p w14:paraId="5CAC7C58" w14:textId="77777777" w:rsidR="009F64C5" w:rsidRPr="007F3292" w:rsidRDefault="009F64C5">
      <w:pPr>
        <w:spacing w:after="158"/>
        <w:ind w:left="59"/>
        <w:jc w:val="center"/>
        <w:rPr>
          <w:rFonts w:asciiTheme="minorBidi" w:hAnsiTheme="minorBidi"/>
        </w:rPr>
      </w:pPr>
      <w:r w:rsidRPr="007F3292">
        <w:rPr>
          <w:rFonts w:asciiTheme="minorBidi" w:hAnsiTheme="minorBidi"/>
        </w:rPr>
        <w:t xml:space="preserve"> </w:t>
      </w:r>
    </w:p>
    <w:p w14:paraId="75DE2693" w14:textId="713CCC3C" w:rsidR="009F64C5" w:rsidRPr="007F3292" w:rsidRDefault="009F64C5" w:rsidP="009F64C5">
      <w:pPr>
        <w:spacing w:after="156"/>
        <w:ind w:left="59"/>
        <w:jc w:val="center"/>
        <w:rPr>
          <w:rFonts w:asciiTheme="minorBidi" w:hAnsiTheme="minorBidi"/>
          <w:sz w:val="24"/>
          <w:szCs w:val="24"/>
        </w:rPr>
      </w:pPr>
      <w:r w:rsidRPr="007F3292">
        <w:rPr>
          <w:rFonts w:asciiTheme="minorBidi" w:hAnsiTheme="minorBidi"/>
          <w:sz w:val="24"/>
          <w:szCs w:val="24"/>
        </w:rPr>
        <w:t>A Dissertation submitted in partial fulfilment of the requirements for the degree of Masters of Science in Public Health and Social Care in Practice</w:t>
      </w:r>
    </w:p>
    <w:p w14:paraId="2678540A" w14:textId="77777777" w:rsidR="009F64C5" w:rsidRPr="007F3292" w:rsidRDefault="009F64C5" w:rsidP="009F64C5">
      <w:pPr>
        <w:spacing w:after="156"/>
        <w:ind w:left="59"/>
        <w:rPr>
          <w:rFonts w:asciiTheme="minorBidi" w:hAnsiTheme="minorBidi"/>
        </w:rPr>
      </w:pPr>
    </w:p>
    <w:p w14:paraId="6B1630CF" w14:textId="77777777" w:rsidR="009F64C5" w:rsidRPr="007F3292" w:rsidRDefault="009F64C5" w:rsidP="009F64C5">
      <w:pPr>
        <w:spacing w:after="169"/>
        <w:jc w:val="center"/>
        <w:rPr>
          <w:rFonts w:asciiTheme="minorBidi" w:hAnsiTheme="minorBidi"/>
          <w:b/>
          <w:bCs/>
        </w:rPr>
      </w:pPr>
    </w:p>
    <w:p w14:paraId="48468714" w14:textId="77777777" w:rsidR="009F64C5" w:rsidRPr="007F3292" w:rsidRDefault="009F64C5" w:rsidP="009F64C5">
      <w:pPr>
        <w:spacing w:after="169"/>
        <w:jc w:val="center"/>
        <w:rPr>
          <w:rFonts w:asciiTheme="minorBidi" w:hAnsiTheme="minorBidi"/>
          <w:b/>
          <w:bCs/>
        </w:rPr>
      </w:pPr>
    </w:p>
    <w:p w14:paraId="7C5AA9DE" w14:textId="3566044E" w:rsidR="009F64C5" w:rsidRPr="007F3292" w:rsidRDefault="34630932" w:rsidP="009F64C5">
      <w:pPr>
        <w:spacing w:after="169"/>
        <w:jc w:val="center"/>
        <w:rPr>
          <w:rFonts w:asciiTheme="minorBidi" w:hAnsiTheme="minorBidi"/>
          <w:b/>
          <w:bCs/>
          <w:sz w:val="24"/>
          <w:szCs w:val="24"/>
        </w:rPr>
      </w:pPr>
      <w:r w:rsidRPr="007F3292">
        <w:rPr>
          <w:rFonts w:asciiTheme="minorBidi" w:hAnsiTheme="minorBidi"/>
          <w:b/>
          <w:bCs/>
          <w:sz w:val="24"/>
          <w:szCs w:val="24"/>
        </w:rPr>
        <w:t>T</w:t>
      </w:r>
      <w:r w:rsidR="009F64C5" w:rsidRPr="007F3292">
        <w:rPr>
          <w:rFonts w:asciiTheme="minorBidi" w:hAnsiTheme="minorBidi"/>
          <w:b/>
          <w:bCs/>
          <w:sz w:val="24"/>
          <w:szCs w:val="24"/>
        </w:rPr>
        <w:t>he Institute of Inner</w:t>
      </w:r>
      <w:r w:rsidR="4EFAA9D8" w:rsidRPr="007F3292">
        <w:rPr>
          <w:rFonts w:asciiTheme="minorBidi" w:hAnsiTheme="minorBidi"/>
          <w:b/>
          <w:bCs/>
          <w:sz w:val="24"/>
          <w:szCs w:val="24"/>
        </w:rPr>
        <w:t>-</w:t>
      </w:r>
      <w:r w:rsidR="009F64C5" w:rsidRPr="007F3292">
        <w:rPr>
          <w:rFonts w:asciiTheme="minorBidi" w:hAnsiTheme="minorBidi"/>
          <w:b/>
          <w:bCs/>
          <w:sz w:val="24"/>
          <w:szCs w:val="24"/>
        </w:rPr>
        <w:t>City Learning</w:t>
      </w:r>
    </w:p>
    <w:p w14:paraId="0A089F1E" w14:textId="7EF44560" w:rsidR="009F64C5" w:rsidRPr="007F3292" w:rsidRDefault="009F64C5" w:rsidP="009F64C5">
      <w:pPr>
        <w:spacing w:after="169"/>
        <w:jc w:val="center"/>
        <w:rPr>
          <w:rFonts w:asciiTheme="minorBidi" w:hAnsiTheme="minorBidi"/>
          <w:b/>
          <w:bCs/>
          <w:sz w:val="24"/>
          <w:szCs w:val="24"/>
        </w:rPr>
      </w:pPr>
      <w:r w:rsidRPr="007F3292">
        <w:rPr>
          <w:rFonts w:asciiTheme="minorBidi" w:hAnsiTheme="minorBidi"/>
          <w:b/>
          <w:bCs/>
          <w:sz w:val="24"/>
          <w:szCs w:val="24"/>
        </w:rPr>
        <w:t>University of Wales Trinity Saint David – London Campus</w:t>
      </w:r>
    </w:p>
    <w:p w14:paraId="4C4866B4" w14:textId="77777777" w:rsidR="009F64C5" w:rsidRPr="007F3292" w:rsidRDefault="009F64C5">
      <w:pPr>
        <w:spacing w:after="157"/>
        <w:ind w:left="2367" w:right="2357"/>
        <w:jc w:val="center"/>
        <w:rPr>
          <w:rFonts w:asciiTheme="minorBidi" w:hAnsiTheme="minorBidi"/>
          <w:b/>
          <w:bCs/>
          <w:sz w:val="24"/>
          <w:szCs w:val="24"/>
        </w:rPr>
      </w:pPr>
    </w:p>
    <w:p w14:paraId="52A3D603" w14:textId="77777777" w:rsidR="009F64C5" w:rsidRPr="007F3292" w:rsidRDefault="009F64C5">
      <w:pPr>
        <w:spacing w:after="157"/>
        <w:ind w:left="2367" w:right="2357"/>
        <w:jc w:val="center"/>
        <w:rPr>
          <w:rFonts w:asciiTheme="minorBidi" w:hAnsiTheme="minorBidi"/>
          <w:b/>
          <w:bCs/>
          <w:sz w:val="24"/>
          <w:szCs w:val="24"/>
        </w:rPr>
      </w:pPr>
    </w:p>
    <w:p w14:paraId="5D8C4E6F" w14:textId="77258651" w:rsidR="00113366" w:rsidRPr="007F3292" w:rsidRDefault="00762132">
      <w:pPr>
        <w:spacing w:after="157"/>
        <w:ind w:left="2367" w:right="2357"/>
        <w:jc w:val="center"/>
        <w:rPr>
          <w:rFonts w:asciiTheme="minorBidi" w:hAnsiTheme="minorBidi"/>
          <w:b/>
          <w:bCs/>
          <w:sz w:val="24"/>
          <w:szCs w:val="24"/>
        </w:rPr>
      </w:pPr>
      <w:r>
        <w:rPr>
          <w:rFonts w:asciiTheme="minorBidi" w:hAnsiTheme="minorBidi"/>
          <w:b/>
          <w:bCs/>
          <w:sz w:val="24"/>
          <w:szCs w:val="24"/>
        </w:rPr>
        <w:t>June 2026</w:t>
      </w:r>
    </w:p>
    <w:p w14:paraId="46C7FCCD" w14:textId="77777777" w:rsidR="00113366" w:rsidRDefault="00113366">
      <w:pPr>
        <w:rPr>
          <w:b/>
          <w:bCs/>
        </w:rPr>
      </w:pPr>
      <w:r>
        <w:rPr>
          <w:b/>
          <w:bCs/>
        </w:rPr>
        <w:br w:type="page"/>
      </w:r>
    </w:p>
    <w:p w14:paraId="013A249C" w14:textId="77777777" w:rsidR="00113366" w:rsidRPr="00C4204A" w:rsidRDefault="00113366" w:rsidP="00113366">
      <w:pPr>
        <w:spacing w:after="200" w:line="276" w:lineRule="auto"/>
        <w:rPr>
          <w:rFonts w:ascii="Arial" w:eastAsia="Times New Roman" w:hAnsi="Arial" w:cs="Arial"/>
          <w:b/>
          <w:bCs/>
          <w:color w:val="000000" w:themeColor="text1"/>
          <w:sz w:val="24"/>
          <w:szCs w:val="24"/>
          <w:lang w:val="hr-HR"/>
        </w:rPr>
      </w:pPr>
      <w:r w:rsidRPr="00C4204A">
        <w:rPr>
          <w:rFonts w:ascii="Arial" w:eastAsia="Times New Roman" w:hAnsi="Arial" w:cs="Arial"/>
          <w:b/>
          <w:bCs/>
          <w:color w:val="000000" w:themeColor="text1"/>
          <w:sz w:val="24"/>
          <w:szCs w:val="24"/>
          <w:lang w:val="hr-HR"/>
        </w:rPr>
        <w:lastRenderedPageBreak/>
        <w:t>DECLARATION</w:t>
      </w:r>
    </w:p>
    <w:p w14:paraId="2E9B29DF"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46A549CB" w14:textId="35EE5A07" w:rsidR="00113366" w:rsidRPr="00946751" w:rsidRDefault="00113366" w:rsidP="001C5965">
      <w:pPr>
        <w:spacing w:after="200" w:line="276" w:lineRule="auto"/>
        <w:rPr>
          <w:rFonts w:ascii="Arial" w:eastAsia="Times New Roman" w:hAnsi="Arial" w:cs="Arial"/>
          <w:color w:val="000000" w:themeColor="text1"/>
          <w:sz w:val="24"/>
          <w:szCs w:val="24"/>
          <w:lang w:val="hr-HR"/>
        </w:rPr>
      </w:pPr>
      <w:r>
        <w:rPr>
          <w:noProof/>
        </w:rPr>
        <mc:AlternateContent>
          <mc:Choice Requires="wpi">
            <w:drawing>
              <wp:anchor distT="0" distB="0" distL="114300" distR="114300" simplePos="0" relativeHeight="251659264"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400C4F9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AxSD0LhAAAADQEAAA8AAABkcnMvZG93bnJldi54&#10;bWxMj01vwjAMhu+T+A+RkXYrKYWhrjRFbGiatNvYxDiGxrQVjVM1Acq/nzltN388ev04Xw22FRfs&#10;feNIwXQSg0AqnWmoUvD99RalIHzQZHTrCBXc0MOqGD3kOjPuSp942YZKcAj5TCuoQ+gyKX1Zo9V+&#10;4jok3h1db3Xgtq+k6fWVw20rkzheSKsb4gu17vC1xvK0PVsFH/LlmLynlcX57nTbG7352a03Sj2O&#10;h/USRMAh/MFw12d1KNjp4M5kvGgVRLMkTZi9V09zEIxE03TGowPD8fMCZJHL/18Uv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">
                <v:imagedata r:id="rId13" o:title=""/>
                <o:lock v:ext="edit" rotation="t" verticies="t" shapetype="t"/>
              </v:shape>
            </w:pict>
          </mc:Fallback>
        </mc:AlternateContent>
      </w:r>
      <w:r>
        <w:rPr>
          <w:noProof/>
        </w:rPr>
        <mc:AlternateContent>
          <mc:Choice Requires="wpi">
            <w:drawing>
              <wp:anchor distT="0" distB="0" distL="114300" distR="114300" simplePos="0" relativeHeight="251660288"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6E5C75AA" id="Ink 15" o:spid="_x0000_s1026" type="#_x0000_t75" style="position:absolute;margin-left:-164.1pt;margin-top:18.35pt;width:7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">
                <v:imagedata r:id="rId15" o:title=""/>
                <o:lock v:ext="edit" rotation="t" verticies="t" shapetype="t"/>
              </v:shape>
            </w:pict>
          </mc:Fallback>
        </mc:AlternateContent>
      </w:r>
      <w:r>
        <w:rPr>
          <w:noProof/>
        </w:rPr>
        <mc:AlternateContent>
          <mc:Choice Requires="wpi">
            <w:drawing>
              <wp:anchor distT="0" distB="0" distL="114300" distR="114300" simplePos="0" relativeHeight="251661312"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6">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46F00276" id="Ink 14" o:spid="_x0000_s1026" type="#_x0000_t75" style="position:absolute;margin-left:-164.1pt;margin-top:-16.9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Kgy8DngAAAADQEAAA8AAABkcnMvZG93bnJldi54&#10;bWxMj0FPwzAMhe9I/IfISNy6tClCVWk6DSaExI2BBses8dpqjVM12db9e7wT3Gy/T8/vVcvZDeKE&#10;U+g9acgWKQikxtueWg1fn69JASJEQ9YMnlDDBQMs69ubypTWn+kDT5vYCjahUBoNXYxjKWVoOnQm&#10;LPyIxNreT85EXqdW2smc2dwNUqXpo3SmJ/7QmRFfOmwOm6PT8C6f9+qtaB0+bA+XH2vW39vVWuv7&#10;u3n1BCLiHP9guMbn6FBzpp0/kg1i0JDkqlDMXqecSzCSZEXOpx3DWaZA1pX836L+B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">
                <v:imagedata r:id="rId13" o:title=""/>
                <o:lock v:ext="edit" rotation="t" verticies="t" shapetype="t"/>
              </v:shape>
            </w:pict>
          </mc:Fallback>
        </mc:AlternateContent>
      </w:r>
      <w:r>
        <w:rPr>
          <w:noProof/>
        </w:rPr>
        <mc:AlternateContent>
          <mc:Choice Requires="wpi">
            <w:drawing>
              <wp:anchor distT="0" distB="0" distL="114300" distR="114300" simplePos="0" relativeHeight="251662336"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215C7A51" id="Ink 11" o:spid="_x0000_s1026" type="#_x0000_t75"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aLGZbboBAABdBAAAEAAA&#10;AAAAAAAAAAAAAAAnBAAAZHJzL2luay9pbmsxLnhtbFBLAQItABQABgAIAAAAIQC38zPD4QAAAA0B&#10;AAAPAAAAAAAAAAAAAAAAAA8GAABkcnMvZG93bnJldi54bWxQSwECLQAUAAYACAAAACEAeRi8nb8A&#10;AAAhAQAAGQAAAAAAAAAAAAAAAAAdBwAAZHJzL19yZWxzL2Uyb0RvYy54bWwucmVsc1BLBQYAAAAA&#10;BgAGAHgBAAATCAAAAAA=&#10;">
                <v:imagedata r:id="rId13" o:title=""/>
                <o:lock v:ext="edit" rotation="t" verticies="t" shapetype="t"/>
              </v:shape>
            </w:pict>
          </mc:Fallback>
        </mc:AlternateContent>
      </w:r>
      <w:r w:rsidR="008A73BC" w:rsidRPr="008A73BC">
        <w:rPr>
          <w:rFonts w:ascii="Arial" w:eastAsia="Times New Roman" w:hAnsi="Arial" w:cs="Arial"/>
          <w:color w:val="000000" w:themeColor="text1"/>
          <w:sz w:val="24"/>
          <w:szCs w:val="24"/>
          <w:lang w:val="hr-HR"/>
        </w:rPr>
        <w:t xml:space="preserve">I, </w:t>
      </w:r>
      <w:r w:rsidR="00C12ED7">
        <w:rPr>
          <w:rFonts w:ascii="Arial" w:eastAsia="Times New Roman" w:hAnsi="Arial" w:cs="Arial"/>
          <w:color w:val="000000" w:themeColor="text1"/>
          <w:sz w:val="24"/>
          <w:szCs w:val="24"/>
          <w:lang w:val="hr-HR"/>
        </w:rPr>
        <w:t>Vishal Hirani</w:t>
      </w:r>
      <w:r w:rsidR="008A73BC" w:rsidRPr="008A73BC">
        <w:rPr>
          <w:rFonts w:ascii="Arial" w:eastAsia="Times New Roman" w:hAnsi="Arial" w:cs="Arial"/>
          <w:color w:val="000000" w:themeColor="text1"/>
          <w:sz w:val="24"/>
          <w:szCs w:val="24"/>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946751">
        <w:rPr>
          <w:rFonts w:ascii="Arial" w:eastAsia="Times New Roman" w:hAnsi="Arial" w:cs="Arial"/>
          <w:color w:val="000000" w:themeColor="text1"/>
          <w:sz w:val="24"/>
          <w:szCs w:val="24"/>
          <w:lang w:val="hr-HR"/>
        </w:rPr>
        <w:t>.</w:t>
      </w:r>
    </w:p>
    <w:p w14:paraId="4E0CDA9F"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5E2BD27D"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5236DF40" w14:textId="0BFD2CC8" w:rsidR="00113366" w:rsidRPr="00946751" w:rsidRDefault="00113366" w:rsidP="00113366">
      <w:pPr>
        <w:spacing w:after="200" w:line="276" w:lineRule="auto"/>
        <w:rPr>
          <w:rFonts w:ascii="Arial" w:eastAsia="Times New Roman" w:hAnsi="Arial" w:cs="Arial"/>
          <w:color w:val="000000" w:themeColor="text1"/>
          <w:sz w:val="24"/>
          <w:szCs w:val="24"/>
          <w:lang w:val="hr-HR"/>
        </w:rPr>
      </w:pPr>
      <w:r w:rsidRPr="00946751">
        <w:rPr>
          <w:rFonts w:ascii="Arial" w:eastAsia="Times New Roman" w:hAnsi="Arial" w:cs="Arial"/>
          <w:color w:val="000000" w:themeColor="text1"/>
          <w:sz w:val="24"/>
          <w:szCs w:val="24"/>
          <w:lang w:val="hr-HR"/>
        </w:rPr>
        <w:t>Signed</w:t>
      </w:r>
      <w:r w:rsidR="008A73BC">
        <w:rPr>
          <w:rFonts w:ascii="Arial" w:eastAsia="Times New Roman" w:hAnsi="Arial" w:cs="Arial"/>
          <w:color w:val="000000" w:themeColor="text1"/>
          <w:sz w:val="24"/>
          <w:szCs w:val="24"/>
          <w:lang w:val="hr-HR"/>
        </w:rPr>
        <w:t>:</w:t>
      </w:r>
      <w:r w:rsidRPr="00946751">
        <w:rPr>
          <w:rFonts w:ascii="Arial" w:eastAsia="Times New Roman" w:hAnsi="Arial" w:cs="Arial"/>
          <w:color w:val="000000" w:themeColor="text1"/>
          <w:sz w:val="24"/>
          <w:szCs w:val="24"/>
          <w:lang w:val="hr-HR"/>
        </w:rPr>
        <w:t>…………………</w:t>
      </w:r>
      <w:r w:rsidR="00C12ED7">
        <w:rPr>
          <w:rFonts w:ascii="Arial" w:eastAsia="Times New Roman" w:hAnsi="Arial" w:cs="Arial"/>
          <w:color w:val="000000" w:themeColor="text1"/>
          <w:sz w:val="24"/>
          <w:szCs w:val="24"/>
          <w:lang w:val="hr-HR"/>
        </w:rPr>
        <w:t>Vishal</w:t>
      </w:r>
      <w:r w:rsidRPr="00946751">
        <w:rPr>
          <w:rFonts w:ascii="Arial" w:eastAsia="Times New Roman" w:hAnsi="Arial" w:cs="Arial"/>
          <w:color w:val="000000" w:themeColor="text1"/>
          <w:sz w:val="24"/>
          <w:szCs w:val="24"/>
          <w:lang w:val="hr-HR"/>
        </w:rPr>
        <w:t>……………………………</w:t>
      </w:r>
    </w:p>
    <w:p w14:paraId="1E1F6BED"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367C1620" w14:textId="392BB6D7" w:rsidR="00113366" w:rsidRPr="00946751" w:rsidRDefault="00113366" w:rsidP="00113366">
      <w:pPr>
        <w:spacing w:after="200" w:line="276" w:lineRule="auto"/>
        <w:rPr>
          <w:rFonts w:ascii="Arial" w:eastAsia="Times New Roman" w:hAnsi="Arial" w:cs="Arial"/>
          <w:color w:val="000000" w:themeColor="text1"/>
          <w:sz w:val="24"/>
          <w:szCs w:val="24"/>
          <w:lang w:val="hr-HR"/>
        </w:rPr>
      </w:pPr>
      <w:r w:rsidRPr="00946751">
        <w:rPr>
          <w:rFonts w:ascii="Arial" w:eastAsia="Times New Roman" w:hAnsi="Arial" w:cs="Arial"/>
          <w:color w:val="000000" w:themeColor="text1"/>
          <w:sz w:val="24"/>
          <w:szCs w:val="24"/>
          <w:lang w:val="hr-HR"/>
        </w:rPr>
        <w:t>Dat</w:t>
      </w:r>
      <w:r>
        <w:rPr>
          <w:rFonts w:ascii="Arial" w:eastAsia="Times New Roman" w:hAnsi="Arial" w:cs="Arial"/>
          <w:color w:val="000000" w:themeColor="text1"/>
          <w:sz w:val="24"/>
          <w:szCs w:val="24"/>
          <w:lang w:val="hr-HR"/>
        </w:rPr>
        <w:t>e:</w:t>
      </w:r>
      <w:r w:rsidR="008A73BC">
        <w:rPr>
          <w:rFonts w:ascii="Arial" w:eastAsia="Times New Roman" w:hAnsi="Arial" w:cs="Arial"/>
          <w:color w:val="000000" w:themeColor="text1"/>
          <w:sz w:val="24"/>
          <w:szCs w:val="24"/>
          <w:lang w:val="hr-HR"/>
        </w:rPr>
        <w:t>...</w:t>
      </w:r>
      <w:r w:rsidR="008A73BC" w:rsidRPr="00946751">
        <w:rPr>
          <w:rFonts w:ascii="Arial" w:eastAsia="Times New Roman" w:hAnsi="Arial" w:cs="Arial"/>
          <w:color w:val="000000" w:themeColor="text1"/>
          <w:sz w:val="24"/>
          <w:szCs w:val="24"/>
          <w:lang w:val="hr-HR"/>
        </w:rPr>
        <w:t>………………</w:t>
      </w:r>
      <w:r w:rsidR="001F0668">
        <w:rPr>
          <w:rFonts w:ascii="Arial" w:eastAsia="Times New Roman" w:hAnsi="Arial" w:cs="Arial"/>
          <w:color w:val="000000" w:themeColor="text1"/>
          <w:sz w:val="24"/>
          <w:szCs w:val="24"/>
          <w:lang w:val="hr-HR"/>
        </w:rPr>
        <w:t>28th May 2026</w:t>
      </w:r>
      <w:r w:rsidR="008A73BC" w:rsidRPr="00946751">
        <w:rPr>
          <w:rFonts w:ascii="Arial" w:eastAsia="Times New Roman" w:hAnsi="Arial" w:cs="Arial"/>
          <w:color w:val="000000" w:themeColor="text1"/>
          <w:sz w:val="24"/>
          <w:szCs w:val="24"/>
          <w:lang w:val="hr-HR"/>
        </w:rPr>
        <w:t>………………………</w:t>
      </w:r>
    </w:p>
    <w:p w14:paraId="2C702A82" w14:textId="77777777" w:rsidR="009F64C5" w:rsidRPr="009F64C5" w:rsidRDefault="009F64C5" w:rsidP="00113366">
      <w:pPr>
        <w:spacing w:after="157"/>
        <w:ind w:right="2357"/>
        <w:rPr>
          <w:b/>
          <w:bCs/>
        </w:rPr>
      </w:pPr>
    </w:p>
    <w:p w14:paraId="6AA9D53C" w14:textId="77777777" w:rsidR="009F64C5" w:rsidRDefault="009F64C5">
      <w:pPr>
        <w:spacing w:after="0"/>
      </w:pPr>
      <w:r>
        <w:rPr>
          <w:color w:val="0070C0"/>
        </w:rPr>
        <w:t xml:space="preserve"> </w:t>
      </w:r>
      <w:r>
        <w:rPr>
          <w:color w:val="0070C0"/>
        </w:rPr>
        <w:tab/>
        <w:t xml:space="preserve"> </w:t>
      </w:r>
    </w:p>
    <w:p w14:paraId="02286F32" w14:textId="77777777" w:rsidR="009F64C5" w:rsidRDefault="009F64C5">
      <w:pPr>
        <w:rPr>
          <w:rFonts w:ascii="Times New Roman" w:eastAsia="Times New Roman" w:hAnsi="Times New Roman" w:cs="Times New Roman"/>
          <w:b/>
          <w:color w:val="000000"/>
          <w:sz w:val="24"/>
        </w:rPr>
      </w:pPr>
      <w:r>
        <w:br w:type="page"/>
      </w:r>
    </w:p>
    <w:p w14:paraId="106641A1" w14:textId="7C1664DD" w:rsidR="009F64C5" w:rsidRPr="007F1C8A" w:rsidRDefault="009F64C5">
      <w:pPr>
        <w:pStyle w:val="Heading2"/>
        <w:ind w:left="12" w:right="4"/>
        <w:rPr>
          <w:rFonts w:asciiTheme="minorBidi" w:hAnsiTheme="minorBidi" w:cstheme="minorBidi"/>
        </w:rPr>
      </w:pPr>
      <w:r w:rsidRPr="007F1C8A">
        <w:rPr>
          <w:rFonts w:asciiTheme="minorBidi" w:hAnsiTheme="minorBidi" w:cstheme="minorBidi"/>
        </w:rPr>
        <w:lastRenderedPageBreak/>
        <w:t xml:space="preserve">Acknowledgements </w:t>
      </w:r>
    </w:p>
    <w:p w14:paraId="705DD8D7" w14:textId="77777777" w:rsidR="00BB486C" w:rsidRDefault="009F64C5" w:rsidP="00BB486C">
      <w:pPr>
        <w:spacing w:after="158"/>
        <w:rPr>
          <w:rFonts w:asciiTheme="minorBidi" w:hAnsiTheme="minorBidi"/>
        </w:rPr>
      </w:pPr>
      <w:r w:rsidRPr="007F1C8A">
        <w:rPr>
          <w:rFonts w:asciiTheme="minorBidi" w:hAnsiTheme="minorBidi"/>
        </w:rPr>
        <w:t xml:space="preserve"> </w:t>
      </w:r>
    </w:p>
    <w:p w14:paraId="1C23E142" w14:textId="20337009" w:rsidR="00F02B2C" w:rsidRPr="00F02B2C" w:rsidRDefault="00F02B2C" w:rsidP="00BB486C">
      <w:pPr>
        <w:spacing w:after="158"/>
        <w:rPr>
          <w:rFonts w:asciiTheme="minorBidi" w:hAnsiTheme="minorBidi"/>
        </w:rPr>
      </w:pPr>
      <w:r w:rsidRPr="00F02B2C">
        <w:rPr>
          <w:rFonts w:asciiTheme="minorBidi" w:hAnsiTheme="minorBidi"/>
        </w:rPr>
        <w:t>I would like to express my sincere gratitude to my dissertation supervisor for their guidance, feedback and encouragement throughout the development of this dissertation. Their support helped me to refine my topic, strengthen the structure of the review and develop a clearer academic argument.</w:t>
      </w:r>
    </w:p>
    <w:p w14:paraId="2785725A" w14:textId="77777777" w:rsidR="00F02B2C" w:rsidRPr="00F02B2C" w:rsidRDefault="00F02B2C" w:rsidP="00F02B2C">
      <w:pPr>
        <w:spacing w:after="0"/>
        <w:rPr>
          <w:rFonts w:asciiTheme="minorBidi" w:hAnsiTheme="minorBidi"/>
        </w:rPr>
      </w:pPr>
    </w:p>
    <w:p w14:paraId="4580A436" w14:textId="77777777" w:rsidR="00F02B2C" w:rsidRPr="00F02B2C" w:rsidRDefault="00F02B2C" w:rsidP="00F02B2C">
      <w:pPr>
        <w:spacing w:after="0"/>
        <w:rPr>
          <w:rFonts w:asciiTheme="minorBidi" w:hAnsiTheme="minorBidi"/>
        </w:rPr>
      </w:pPr>
      <w:r w:rsidRPr="00F02B2C">
        <w:rPr>
          <w:rFonts w:asciiTheme="minorBidi" w:hAnsiTheme="minorBidi"/>
        </w:rPr>
        <w:t>I am also grateful to the academic staff at the University of Wales Trinity Saint David, Institute of Inner-City Learning, for their teaching, support and valuable feedback during the MSc Public Health and Social Care in Practice programme. The knowledge and skills gained throughout the course have been important in shaping my understanding of public health, health inequalities and evidence-based practice.</w:t>
      </w:r>
    </w:p>
    <w:p w14:paraId="73288A53" w14:textId="77777777" w:rsidR="00F02B2C" w:rsidRPr="00F02B2C" w:rsidRDefault="00F02B2C" w:rsidP="00F02B2C">
      <w:pPr>
        <w:spacing w:after="0"/>
        <w:rPr>
          <w:rFonts w:asciiTheme="minorBidi" w:hAnsiTheme="minorBidi"/>
        </w:rPr>
      </w:pPr>
    </w:p>
    <w:p w14:paraId="754F82C4" w14:textId="77777777" w:rsidR="00F02B2C" w:rsidRPr="00F02B2C" w:rsidRDefault="00F02B2C" w:rsidP="00F02B2C">
      <w:pPr>
        <w:spacing w:after="0"/>
        <w:rPr>
          <w:rFonts w:asciiTheme="minorBidi" w:hAnsiTheme="minorBidi"/>
        </w:rPr>
      </w:pPr>
      <w:r w:rsidRPr="00F02B2C">
        <w:rPr>
          <w:rFonts w:asciiTheme="minorBidi" w:hAnsiTheme="minorBidi"/>
        </w:rPr>
        <w:t>I would also like to thank my family and friends for their patience, motivation and continuous encouragement during my studies. Their support has been especially valuable during challenging periods of research and writing.</w:t>
      </w:r>
    </w:p>
    <w:p w14:paraId="065899B6" w14:textId="77777777" w:rsidR="00F02B2C" w:rsidRPr="00F02B2C" w:rsidRDefault="00F02B2C" w:rsidP="00F02B2C">
      <w:pPr>
        <w:spacing w:after="0"/>
        <w:rPr>
          <w:rFonts w:asciiTheme="minorBidi" w:hAnsiTheme="minorBidi"/>
        </w:rPr>
      </w:pPr>
    </w:p>
    <w:p w14:paraId="6F4F74AD" w14:textId="100D7C04" w:rsidR="009F64C5" w:rsidRPr="007F1C8A" w:rsidRDefault="00F02B2C" w:rsidP="00F02B2C">
      <w:pPr>
        <w:spacing w:after="0"/>
        <w:rPr>
          <w:rFonts w:asciiTheme="minorBidi" w:hAnsiTheme="minorBidi"/>
        </w:rPr>
      </w:pPr>
      <w:r w:rsidRPr="00F02B2C">
        <w:rPr>
          <w:rFonts w:asciiTheme="minorBidi" w:hAnsiTheme="minorBidi"/>
        </w:rPr>
        <w:t>Finally, I would like to acknowledge all researchers and public health professionals whose work has contributed to the evidence base on COPD, health inequalities and structural determinants of health. Their research has informed this dissertation and helped to highlight the importance of improving awareness, diagnosis, prevention and management of COPD among underserved populations.</w:t>
      </w:r>
      <w:r w:rsidR="009F64C5" w:rsidRPr="007F1C8A">
        <w:rPr>
          <w:rFonts w:asciiTheme="minorBidi" w:hAnsiTheme="minorBidi"/>
          <w:color w:val="0070C0"/>
        </w:rPr>
        <w:t xml:space="preserve"> </w:t>
      </w:r>
      <w:r w:rsidR="009F64C5" w:rsidRPr="007F1C8A">
        <w:rPr>
          <w:rFonts w:asciiTheme="minorBidi" w:hAnsiTheme="minorBidi"/>
          <w:color w:val="0070C0"/>
        </w:rPr>
        <w:tab/>
        <w:t xml:space="preserve"> </w:t>
      </w:r>
      <w:r w:rsidR="009F64C5" w:rsidRPr="007F1C8A">
        <w:rPr>
          <w:rFonts w:asciiTheme="minorBidi" w:hAnsiTheme="minorBidi"/>
        </w:rPr>
        <w:br w:type="page"/>
      </w:r>
    </w:p>
    <w:p w14:paraId="563C12D9" w14:textId="42A94F60" w:rsidR="009F64C5" w:rsidRPr="007F1C8A" w:rsidRDefault="009F64C5" w:rsidP="002B523E">
      <w:pPr>
        <w:pStyle w:val="Heading2"/>
        <w:ind w:left="12" w:right="5"/>
        <w:rPr>
          <w:rFonts w:asciiTheme="minorBidi" w:hAnsiTheme="minorBidi" w:cstheme="minorBidi"/>
        </w:rPr>
      </w:pPr>
      <w:r w:rsidRPr="007F1C8A">
        <w:rPr>
          <w:rFonts w:asciiTheme="minorBidi" w:hAnsiTheme="minorBidi" w:cstheme="minorBidi"/>
        </w:rPr>
        <w:lastRenderedPageBreak/>
        <w:t>Abstract</w:t>
      </w:r>
    </w:p>
    <w:p w14:paraId="59ABEE5D"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6157CB27" w14:textId="77777777" w:rsidR="008A1CF5" w:rsidRPr="008A1CF5" w:rsidRDefault="008A1CF5" w:rsidP="008A1CF5">
      <w:pPr>
        <w:rPr>
          <w:rFonts w:asciiTheme="minorBidi" w:hAnsiTheme="minorBidi"/>
        </w:rPr>
      </w:pPr>
      <w:bookmarkStart w:id="0" w:name="_Toc12212"/>
      <w:r w:rsidRPr="008A1CF5">
        <w:rPr>
          <w:rFonts w:asciiTheme="minorBidi" w:hAnsiTheme="minorBidi"/>
        </w:rPr>
        <w:t>Chronic obstructive pulmonary disease (COPD) is a progressive respiratory condition associated with substantial morbidity, premature mortality, reduced quality of life and avoidable healthcare utilisation. Although COPD is commonly associated with smoking and older age, increasing evidence shows that the condition is shaped by cumulative life-course exposures, healthcare access, environmental risk and wider social determinants. This dissertation systematically reviews evidence on awareness, diagnosis, prevention and management of COPD among African American adults aged 40–65 in the United States, with particular attention to how structural, environmental and healthcare system factors influence outcomes.</w:t>
      </w:r>
    </w:p>
    <w:p w14:paraId="00197A01" w14:textId="77777777" w:rsidR="008A1CF5" w:rsidRPr="008A1CF5" w:rsidRDefault="008A1CF5" w:rsidP="008A1CF5">
      <w:pPr>
        <w:rPr>
          <w:rFonts w:asciiTheme="minorBidi" w:hAnsiTheme="minorBidi"/>
        </w:rPr>
      </w:pPr>
      <w:r w:rsidRPr="008A1CF5">
        <w:rPr>
          <w:rFonts w:asciiTheme="minorBidi" w:hAnsiTheme="minorBidi"/>
        </w:rPr>
        <w:t>The aim of this review was to synthesise and critically evaluate current evidence relating to COPD awareness, diagnostic pathways, prevention opportunities and management inequalities in this population. A systematic literature review design was used. Searches were conducted using PubMed/MEDLINE, Web of Science and Google Scholar, supported by backward and forward citation searching. Studies published in English between 2011 and April 2026 were considered. The review applied PICOS eligibility criteria and included evidence from epidemiological studies, cohort analyses, diagnostic studies, environmental and occupational health research, community-based studies, health services research and relevant reviews. Due to heterogeneity in study designs, COPD definitions, age structures and outcome measures, findings were synthesised using a thematic narrative approach rather than meta-analysis. Study quality was considered using CASP-guided appraisal principles.</w:t>
      </w:r>
    </w:p>
    <w:p w14:paraId="6C6A1BE0" w14:textId="77777777" w:rsidR="008A1CF5" w:rsidRPr="008A1CF5" w:rsidRDefault="008A1CF5" w:rsidP="008A1CF5">
      <w:pPr>
        <w:rPr>
          <w:rFonts w:asciiTheme="minorBidi" w:hAnsiTheme="minorBidi"/>
        </w:rPr>
      </w:pPr>
      <w:r w:rsidRPr="008A1CF5">
        <w:rPr>
          <w:rFonts w:asciiTheme="minorBidi" w:hAnsiTheme="minorBidi"/>
        </w:rPr>
        <w:t>The review identified five interconnected themes: epidemiological burden and the prevalence–morbidity paradox; awareness, symptom recognition and diagnostic inequity; environmental and occupational exposure pathways; healthcare access and management inequalities; and structural racism, segregation and social determinants. The evidence suggests that lower diagnosed COPD prevalence among African American adults should not be interpreted as lower disease burden. Instead, lower recorded prevalence may reflect underdiagnosis, limited spirometry access, symptom misclassification and unequal healthcare engagement. African American adults with COPD or COPD-like symptoms may experience worse morbidity, poorer quality of life, higher exacerbation burden and reduced access to evidence-based interventions such as pulmonary rehabilitation. Environmental exposures, occupational risks, neighbourhood disadvantage and structural racism further compound these inequalities across the life course.</w:t>
      </w:r>
    </w:p>
    <w:p w14:paraId="083685F9" w14:textId="376E3BAA" w:rsidR="00CC7E1F" w:rsidRDefault="008A1CF5">
      <w:pPr>
        <w:rPr>
          <w:rFonts w:asciiTheme="minorBidi" w:hAnsiTheme="minorBidi"/>
        </w:rPr>
      </w:pPr>
      <w:r w:rsidRPr="008A1CF5">
        <w:rPr>
          <w:rFonts w:asciiTheme="minorBidi" w:hAnsiTheme="minorBidi"/>
        </w:rPr>
        <w:t>This review concludes that COPD inequities among African American adults aged 40–65 are produced through interacting systems of exposure, delayed recognition and unequal access to care. Improving outcomes requires culturally appropriate awareness strategies, equitable access to spirometry and case-finding, stronger referral pathways to pulmonary rehabilitation, better integration of comorbidity care, and policy action addressing environmental and structural determinants of respiratory health.</w:t>
      </w:r>
    </w:p>
    <w:p w14:paraId="1E9D4611" w14:textId="753F48BA" w:rsidR="008A1CF5" w:rsidRDefault="008A1CF5">
      <w:pPr>
        <w:rPr>
          <w:rFonts w:asciiTheme="minorBidi" w:hAnsiTheme="minorBidi"/>
        </w:rPr>
      </w:pPr>
      <w:r w:rsidRPr="001D174E">
        <w:rPr>
          <w:rFonts w:asciiTheme="minorBidi" w:hAnsiTheme="minorBidi"/>
        </w:rPr>
        <w:t>Keywords:</w:t>
      </w:r>
      <w:r w:rsidRPr="008A1CF5">
        <w:rPr>
          <w:rFonts w:asciiTheme="minorBidi" w:hAnsiTheme="minorBidi"/>
        </w:rPr>
        <w:t xml:space="preserve"> COPD; African American adults; health inequalities; underdiagnosis; spirometry; pulmonary rehabilitation; structural racism; environmental justice.</w:t>
      </w:r>
    </w:p>
    <w:p w14:paraId="12B53709" w14:textId="77777777" w:rsidR="008A1CF5" w:rsidRDefault="008A1CF5">
      <w:pPr>
        <w:rPr>
          <w:rFonts w:asciiTheme="minorBidi" w:hAnsiTheme="minorBidi"/>
        </w:rPr>
      </w:pPr>
    </w:p>
    <w:p w14:paraId="064B4EF2" w14:textId="77777777" w:rsidR="008A1CF5" w:rsidRDefault="008A1CF5">
      <w:pPr>
        <w:rPr>
          <w:rFonts w:asciiTheme="minorBidi" w:hAnsiTheme="minorBidi"/>
        </w:rPr>
      </w:pPr>
    </w:p>
    <w:p w14:paraId="57E0CA3C" w14:textId="5DB0E043" w:rsidR="00CC7E1F" w:rsidRPr="00CC7E1F" w:rsidRDefault="00CC7E1F" w:rsidP="00CC7E1F">
      <w:pPr>
        <w:jc w:val="center"/>
        <w:rPr>
          <w:rFonts w:ascii="Arial" w:hAnsi="Arial" w:cs="Arial"/>
          <w:b/>
          <w:sz w:val="32"/>
          <w:szCs w:val="24"/>
        </w:rPr>
      </w:pPr>
      <w:r w:rsidRPr="00CC7E1F">
        <w:rPr>
          <w:rFonts w:ascii="Arial" w:hAnsi="Arial" w:cs="Arial"/>
          <w:b/>
          <w:sz w:val="32"/>
          <w:szCs w:val="24"/>
        </w:rPr>
        <w:lastRenderedPageBreak/>
        <w:t xml:space="preserve">Table of </w:t>
      </w:r>
      <w:r w:rsidR="00D02567">
        <w:rPr>
          <w:rFonts w:ascii="Arial" w:hAnsi="Arial" w:cs="Arial"/>
          <w:b/>
          <w:sz w:val="32"/>
          <w:szCs w:val="24"/>
        </w:rPr>
        <w:t>C</w:t>
      </w:r>
      <w:r w:rsidRPr="00CC7E1F">
        <w:rPr>
          <w:rFonts w:ascii="Arial" w:hAnsi="Arial" w:cs="Arial"/>
          <w:b/>
          <w:sz w:val="32"/>
          <w:szCs w:val="24"/>
        </w:rPr>
        <w:t>ontent</w:t>
      </w:r>
      <w:r w:rsidR="00733847">
        <w:rPr>
          <w:rFonts w:ascii="Arial" w:hAnsi="Arial" w:cs="Arial"/>
          <w:b/>
          <w:sz w:val="32"/>
          <w:szCs w:val="24"/>
        </w:rPr>
        <w:t>s</w:t>
      </w:r>
    </w:p>
    <w:sdt>
      <w:sdtPr>
        <w:rPr>
          <w:rFonts w:ascii="Arial" w:eastAsiaTheme="minorHAnsi" w:hAnsi="Arial" w:cs="Arial"/>
          <w:color w:val="auto"/>
          <w:sz w:val="22"/>
        </w:rPr>
        <w:id w:val="-1193450212"/>
        <w:docPartObj>
          <w:docPartGallery w:val="Table of Contents"/>
          <w:docPartUnique/>
        </w:docPartObj>
      </w:sdtPr>
      <w:sdtEndPr>
        <w:rPr>
          <w:rFonts w:asciiTheme="minorHAnsi" w:eastAsiaTheme="minorEastAsia" w:hAnsiTheme="minorHAnsi" w:cstheme="minorBidi"/>
          <w:b/>
          <w:bCs/>
          <w:noProof/>
        </w:rPr>
      </w:sdtEndPr>
      <w:sdtContent>
        <w:p w14:paraId="19201195" w14:textId="3A0CAEF7" w:rsidR="002976C9" w:rsidRPr="00AE411E" w:rsidRDefault="002976C9" w:rsidP="002976C9">
          <w:pPr>
            <w:pStyle w:val="TOC1"/>
            <w:tabs>
              <w:tab w:val="right" w:leader="dot" w:pos="9350"/>
            </w:tabs>
            <w:rPr>
              <w:rFonts w:ascii="Arial" w:eastAsiaTheme="minorEastAsia" w:hAnsi="Arial" w:cs="Arial"/>
              <w:b/>
              <w:bCs/>
              <w:noProof/>
            </w:rPr>
          </w:pPr>
          <w:r w:rsidRPr="002976C9">
            <w:rPr>
              <w:rFonts w:ascii="Arial" w:hAnsi="Arial" w:cs="Arial"/>
              <w:b/>
              <w:bCs/>
              <w:noProof/>
            </w:rPr>
            <w:t xml:space="preserve">List of </w:t>
          </w:r>
          <w:r>
            <w:rPr>
              <w:rFonts w:ascii="Arial" w:hAnsi="Arial" w:cs="Arial"/>
              <w:b/>
              <w:bCs/>
              <w:noProof/>
            </w:rPr>
            <w:t>Tables</w:t>
          </w:r>
          <w:r w:rsidRPr="00AE411E">
            <w:rPr>
              <w:rFonts w:ascii="Arial" w:hAnsi="Arial" w:cs="Arial"/>
              <w:b/>
              <w:bCs/>
              <w:noProof/>
              <w:webHidden/>
            </w:rPr>
            <w:tab/>
          </w:r>
          <w:r>
            <w:rPr>
              <w:rFonts w:ascii="Arial" w:hAnsi="Arial" w:cs="Arial"/>
              <w:b/>
              <w:bCs/>
              <w:noProof/>
              <w:webHidden/>
            </w:rPr>
            <w:t>7</w:t>
          </w:r>
        </w:p>
        <w:p w14:paraId="65BB5775" w14:textId="41124851" w:rsidR="00CC7E1F" w:rsidRPr="002976C9" w:rsidRDefault="002976C9" w:rsidP="002976C9">
          <w:pPr>
            <w:pStyle w:val="TOC1"/>
            <w:tabs>
              <w:tab w:val="right" w:leader="dot" w:pos="9350"/>
            </w:tabs>
            <w:rPr>
              <w:rFonts w:ascii="Arial" w:eastAsiaTheme="minorEastAsia" w:hAnsi="Arial" w:cs="Arial"/>
              <w:b/>
              <w:bCs/>
              <w:noProof/>
            </w:rPr>
          </w:pPr>
          <w:r w:rsidRPr="002976C9">
            <w:rPr>
              <w:rFonts w:ascii="Arial" w:hAnsi="Arial" w:cs="Arial"/>
              <w:b/>
              <w:bCs/>
              <w:noProof/>
            </w:rPr>
            <w:t xml:space="preserve">List of </w:t>
          </w:r>
          <w:r>
            <w:rPr>
              <w:rFonts w:ascii="Arial" w:hAnsi="Arial" w:cs="Arial"/>
              <w:b/>
              <w:bCs/>
              <w:noProof/>
            </w:rPr>
            <w:t xml:space="preserve">Figures </w:t>
          </w:r>
          <w:r w:rsidRPr="00AE411E">
            <w:rPr>
              <w:rFonts w:ascii="Arial" w:hAnsi="Arial" w:cs="Arial"/>
              <w:b/>
              <w:bCs/>
              <w:noProof/>
              <w:webHidden/>
            </w:rPr>
            <w:tab/>
          </w:r>
          <w:r>
            <w:rPr>
              <w:rFonts w:ascii="Arial" w:hAnsi="Arial" w:cs="Arial"/>
              <w:b/>
              <w:bCs/>
              <w:noProof/>
              <w:webHidden/>
            </w:rPr>
            <w:t>8</w:t>
          </w:r>
        </w:p>
        <w:p w14:paraId="5F17006A" w14:textId="7427726B" w:rsidR="00CC7E1F" w:rsidRPr="00AE411E" w:rsidRDefault="00CC7E1F" w:rsidP="00CC7E1F">
          <w:pPr>
            <w:pStyle w:val="TOC1"/>
            <w:tabs>
              <w:tab w:val="right" w:leader="dot" w:pos="9350"/>
            </w:tabs>
            <w:rPr>
              <w:rFonts w:ascii="Arial" w:eastAsiaTheme="minorEastAsia" w:hAnsi="Arial" w:cs="Arial"/>
              <w:b/>
              <w:bCs/>
              <w:noProof/>
            </w:rPr>
          </w:pPr>
          <w:r w:rsidRPr="00AE411E">
            <w:rPr>
              <w:rFonts w:ascii="Arial" w:hAnsi="Arial" w:cs="Arial"/>
              <w:b/>
              <w:bCs/>
              <w:noProof/>
            </w:rPr>
            <w:fldChar w:fldCharType="begin"/>
          </w:r>
          <w:r w:rsidRPr="00AE411E">
            <w:rPr>
              <w:rFonts w:ascii="Arial" w:hAnsi="Arial" w:cs="Arial"/>
              <w:b/>
              <w:bCs/>
              <w:noProof/>
            </w:rPr>
            <w:instrText xml:space="preserve"> TOC \o "1-3" \h \z \u </w:instrText>
          </w:r>
          <w:r w:rsidRPr="00AE411E">
            <w:rPr>
              <w:rFonts w:ascii="Arial" w:hAnsi="Arial" w:cs="Arial"/>
              <w:b/>
              <w:bCs/>
              <w:noProof/>
            </w:rPr>
            <w:fldChar w:fldCharType="separate"/>
          </w:r>
          <w:hyperlink w:anchor="_Toc167126204" w:history="1">
            <w:r w:rsidRPr="00AE411E">
              <w:rPr>
                <w:rStyle w:val="Hyperlink"/>
                <w:rFonts w:ascii="Arial" w:hAnsi="Arial" w:cs="Arial"/>
                <w:b/>
                <w:bCs/>
                <w:noProof/>
              </w:rPr>
              <w:t>List of Abbreviation</w:t>
            </w:r>
            <w:r w:rsidR="00733847">
              <w:rPr>
                <w:rStyle w:val="Hyperlink"/>
                <w:rFonts w:ascii="Arial" w:hAnsi="Arial" w:cs="Arial"/>
                <w:b/>
                <w:bCs/>
                <w:noProof/>
              </w:rPr>
              <w:t>s</w:t>
            </w:r>
            <w:r w:rsidRPr="00AE411E">
              <w:rPr>
                <w:rFonts w:ascii="Arial" w:hAnsi="Arial" w:cs="Arial"/>
                <w:b/>
                <w:bCs/>
                <w:noProof/>
                <w:webHidden/>
              </w:rPr>
              <w:tab/>
            </w:r>
            <w:r w:rsidR="004B7DAB">
              <w:rPr>
                <w:rFonts w:ascii="Arial" w:hAnsi="Arial" w:cs="Arial"/>
                <w:b/>
                <w:bCs/>
                <w:noProof/>
                <w:webHidden/>
              </w:rPr>
              <w:t>9</w:t>
            </w:r>
          </w:hyperlink>
        </w:p>
        <w:p w14:paraId="1077C557" w14:textId="1D694FDE" w:rsidR="00CC7E1F" w:rsidRPr="00AE411E" w:rsidRDefault="00CC7E1F" w:rsidP="00CC7E1F">
          <w:pPr>
            <w:pStyle w:val="TOC1"/>
            <w:tabs>
              <w:tab w:val="left" w:pos="440"/>
              <w:tab w:val="right" w:leader="dot" w:pos="9350"/>
            </w:tabs>
            <w:rPr>
              <w:rFonts w:ascii="Arial" w:eastAsiaTheme="minorEastAsia" w:hAnsi="Arial" w:cs="Arial"/>
              <w:b/>
              <w:bCs/>
              <w:noProof/>
            </w:rPr>
          </w:pPr>
          <w:hyperlink w:anchor="_Toc167126205" w:history="1">
            <w:r w:rsidRPr="00AE411E">
              <w:rPr>
                <w:rStyle w:val="Hyperlink"/>
                <w:rFonts w:ascii="Arial" w:hAnsi="Arial" w:cs="Arial"/>
                <w:b/>
                <w:bCs/>
                <w:noProof/>
              </w:rPr>
              <w:t>1.</w:t>
            </w:r>
            <w:r w:rsidRPr="00AE411E">
              <w:rPr>
                <w:rFonts w:ascii="Arial" w:eastAsiaTheme="minorEastAsia" w:hAnsi="Arial" w:cs="Arial"/>
                <w:b/>
                <w:bCs/>
                <w:noProof/>
              </w:rPr>
              <w:tab/>
            </w:r>
            <w:r w:rsidRPr="00AE411E">
              <w:rPr>
                <w:rStyle w:val="Hyperlink"/>
                <w:rFonts w:ascii="Arial" w:hAnsi="Arial" w:cs="Arial"/>
                <w:b/>
                <w:bCs/>
                <w:noProof/>
              </w:rPr>
              <w:t>Introduction</w:t>
            </w:r>
            <w:r w:rsidRPr="00AE411E">
              <w:rPr>
                <w:rFonts w:ascii="Arial" w:hAnsi="Arial" w:cs="Arial"/>
                <w:b/>
                <w:bCs/>
                <w:noProof/>
                <w:webHidden/>
              </w:rPr>
              <w:tab/>
            </w:r>
            <w:r w:rsidR="004B7DAB">
              <w:rPr>
                <w:rFonts w:ascii="Arial" w:hAnsi="Arial" w:cs="Arial"/>
                <w:b/>
                <w:bCs/>
                <w:noProof/>
                <w:webHidden/>
              </w:rPr>
              <w:t>10</w:t>
            </w:r>
          </w:hyperlink>
        </w:p>
        <w:p w14:paraId="5DDA647C" w14:textId="77DE5F37" w:rsidR="00CC7E1F" w:rsidRPr="00AE411E" w:rsidRDefault="00CC7E1F" w:rsidP="00E80543">
          <w:pPr>
            <w:pStyle w:val="TOC2"/>
            <w:rPr>
              <w:rFonts w:eastAsiaTheme="minorEastAsia"/>
              <w:b/>
              <w:bCs/>
            </w:rPr>
          </w:pPr>
          <w:hyperlink w:anchor="_Toc167126206" w:history="1">
            <w:r w:rsidRPr="00AE411E">
              <w:rPr>
                <w:rStyle w:val="Hyperlink"/>
                <w:b/>
                <w:bCs/>
              </w:rPr>
              <w:t>1.1</w:t>
            </w:r>
            <w:r w:rsidRPr="00AE411E">
              <w:rPr>
                <w:rStyle w:val="Hyperlink"/>
                <w:rFonts w:eastAsiaTheme="minorEastAsia"/>
                <w:b/>
                <w:bCs/>
              </w:rPr>
              <w:tab/>
            </w:r>
            <w:r w:rsidRPr="00AE411E">
              <w:rPr>
                <w:rStyle w:val="Hyperlink"/>
                <w:b/>
                <w:bCs/>
                <w:lang w:val="en-GB"/>
              </w:rPr>
              <w:t>Introduction</w:t>
            </w:r>
            <w:r w:rsidRPr="00AE411E">
              <w:rPr>
                <w:rStyle w:val="Hyperlink"/>
                <w:b/>
                <w:bCs/>
                <w:webHidden/>
              </w:rPr>
              <w:tab/>
            </w:r>
            <w:r w:rsidR="004B7DAB">
              <w:rPr>
                <w:rStyle w:val="Hyperlink"/>
                <w:b/>
                <w:bCs/>
                <w:webHidden/>
              </w:rPr>
              <w:t>10</w:t>
            </w:r>
          </w:hyperlink>
        </w:p>
        <w:p w14:paraId="1E4DC6A2" w14:textId="717C1E6E" w:rsidR="00CC7E1F" w:rsidRPr="00AE411E" w:rsidRDefault="00CC7E1F" w:rsidP="00E80543">
          <w:pPr>
            <w:pStyle w:val="TOC2"/>
            <w:rPr>
              <w:rFonts w:eastAsiaTheme="minorEastAsia"/>
              <w:b/>
              <w:bCs/>
            </w:rPr>
          </w:pPr>
          <w:hyperlink w:anchor="_Toc167126207" w:history="1">
            <w:r w:rsidRPr="00AE411E">
              <w:rPr>
                <w:rStyle w:val="Hyperlink"/>
                <w:b/>
                <w:bCs/>
              </w:rPr>
              <w:t>1.2</w:t>
            </w:r>
            <w:r w:rsidRPr="00AE411E">
              <w:rPr>
                <w:rStyle w:val="Hyperlink"/>
                <w:rFonts w:eastAsiaTheme="minorEastAsia"/>
                <w:b/>
                <w:bCs/>
              </w:rPr>
              <w:tab/>
            </w:r>
            <w:r w:rsidRPr="00AE411E">
              <w:rPr>
                <w:rStyle w:val="Hyperlink"/>
                <w:b/>
                <w:bCs/>
                <w:lang w:val="en-GB"/>
              </w:rPr>
              <w:t>Background to COPD</w:t>
            </w:r>
            <w:r w:rsidRPr="00AE411E">
              <w:rPr>
                <w:rStyle w:val="Hyperlink"/>
                <w:b/>
                <w:bCs/>
                <w:webHidden/>
              </w:rPr>
              <w:tab/>
            </w:r>
            <w:r w:rsidR="004B7DAB">
              <w:rPr>
                <w:rStyle w:val="Hyperlink"/>
                <w:b/>
                <w:bCs/>
                <w:webHidden/>
              </w:rPr>
              <w:t>10</w:t>
            </w:r>
          </w:hyperlink>
        </w:p>
        <w:p w14:paraId="28CA09AC" w14:textId="19B3A950" w:rsidR="00CC7E1F" w:rsidRPr="00AE411E" w:rsidRDefault="00CC7E1F" w:rsidP="00E80543">
          <w:pPr>
            <w:pStyle w:val="TOC2"/>
            <w:rPr>
              <w:rFonts w:eastAsiaTheme="minorEastAsia"/>
              <w:b/>
              <w:bCs/>
            </w:rPr>
          </w:pPr>
          <w:hyperlink w:anchor="_Toc167126208" w:history="1">
            <w:r w:rsidRPr="00AE411E">
              <w:rPr>
                <w:rStyle w:val="Hyperlink"/>
                <w:b/>
                <w:bCs/>
              </w:rPr>
              <w:t>1.3</w:t>
            </w:r>
            <w:r w:rsidRPr="00AE411E">
              <w:rPr>
                <w:rStyle w:val="Hyperlink"/>
                <w:rFonts w:eastAsiaTheme="minorEastAsia"/>
                <w:b/>
                <w:bCs/>
              </w:rPr>
              <w:tab/>
            </w:r>
            <w:r w:rsidRPr="00AE411E">
              <w:rPr>
                <w:rStyle w:val="Hyperlink"/>
                <w:b/>
                <w:bCs/>
                <w:lang w:val="en-GB"/>
              </w:rPr>
              <w:t>US Epidemiology with an Age Focus on 40–65</w:t>
            </w:r>
            <w:r w:rsidRPr="00AE411E">
              <w:rPr>
                <w:rStyle w:val="Hyperlink"/>
                <w:b/>
                <w:bCs/>
                <w:webHidden/>
              </w:rPr>
              <w:tab/>
            </w:r>
            <w:r w:rsidR="004B7DAB">
              <w:rPr>
                <w:rStyle w:val="Hyperlink"/>
                <w:b/>
                <w:bCs/>
                <w:webHidden/>
              </w:rPr>
              <w:t>11</w:t>
            </w:r>
          </w:hyperlink>
        </w:p>
        <w:p w14:paraId="69E1D6A3" w14:textId="3D2AD12D" w:rsidR="00CC7E1F" w:rsidRPr="00AE411E" w:rsidRDefault="00CC7E1F" w:rsidP="00E80543">
          <w:pPr>
            <w:pStyle w:val="TOC2"/>
            <w:rPr>
              <w:rFonts w:eastAsiaTheme="minorEastAsia"/>
              <w:b/>
              <w:bCs/>
            </w:rPr>
          </w:pPr>
          <w:hyperlink w:anchor="_Toc167126209" w:history="1">
            <w:r w:rsidRPr="00AE411E">
              <w:rPr>
                <w:rStyle w:val="Hyperlink"/>
                <w:b/>
                <w:bCs/>
              </w:rPr>
              <w:t>1.4</w:t>
            </w:r>
            <w:r w:rsidRPr="00AE411E">
              <w:rPr>
                <w:rStyle w:val="Hyperlink"/>
                <w:rFonts w:eastAsiaTheme="minorEastAsia"/>
                <w:b/>
                <w:bCs/>
              </w:rPr>
              <w:tab/>
            </w:r>
            <w:r w:rsidRPr="00AE411E">
              <w:rPr>
                <w:rStyle w:val="Hyperlink"/>
                <w:b/>
                <w:bCs/>
                <w:lang w:val="en-GB"/>
              </w:rPr>
              <w:t xml:space="preserve">Racial Disparities Across Awareness, Diagnosis, Prevention and </w:t>
            </w:r>
            <w:r w:rsidR="00DE506B" w:rsidRPr="00AE411E">
              <w:rPr>
                <w:rStyle w:val="Hyperlink"/>
                <w:b/>
                <w:bCs/>
                <w:lang w:val="en-GB"/>
              </w:rPr>
              <w:t xml:space="preserve">     </w:t>
            </w:r>
            <w:r w:rsidRPr="00AE411E">
              <w:rPr>
                <w:rStyle w:val="Hyperlink"/>
                <w:b/>
                <w:bCs/>
                <w:lang w:val="en-GB"/>
              </w:rPr>
              <w:t>Management</w:t>
            </w:r>
            <w:r w:rsidRPr="00AE411E">
              <w:rPr>
                <w:rStyle w:val="Hyperlink"/>
                <w:b/>
                <w:bCs/>
                <w:webHidden/>
              </w:rPr>
              <w:tab/>
            </w:r>
            <w:r w:rsidR="004B7DAB">
              <w:rPr>
                <w:rStyle w:val="Hyperlink"/>
                <w:b/>
                <w:bCs/>
                <w:webHidden/>
              </w:rPr>
              <w:t>11</w:t>
            </w:r>
          </w:hyperlink>
        </w:p>
        <w:p w14:paraId="17F40C2D" w14:textId="36F67731" w:rsidR="00CC7E1F" w:rsidRPr="00AE411E" w:rsidRDefault="00CC7E1F" w:rsidP="00E80543">
          <w:pPr>
            <w:pStyle w:val="TOC2"/>
            <w:rPr>
              <w:b/>
              <w:bCs/>
            </w:rPr>
          </w:pPr>
          <w:hyperlink w:anchor="_Toc167126210" w:history="1">
            <w:r w:rsidRPr="00AE411E">
              <w:rPr>
                <w:rStyle w:val="Hyperlink"/>
                <w:b/>
                <w:bCs/>
              </w:rPr>
              <w:t>1.5</w:t>
            </w:r>
            <w:r w:rsidRPr="00AE411E">
              <w:rPr>
                <w:rStyle w:val="Hyperlink"/>
                <w:rFonts w:eastAsiaTheme="minorEastAsia"/>
                <w:b/>
                <w:bCs/>
              </w:rPr>
              <w:tab/>
            </w:r>
            <w:r w:rsidRPr="00AE411E">
              <w:rPr>
                <w:rStyle w:val="Hyperlink"/>
                <w:b/>
                <w:bCs/>
                <w:lang w:val="en-GB"/>
              </w:rPr>
              <w:t>Structural, Environmental and Healthcare System Determinants</w:t>
            </w:r>
            <w:r w:rsidRPr="00AE411E">
              <w:rPr>
                <w:rStyle w:val="Hyperlink"/>
                <w:b/>
                <w:bCs/>
                <w:webHidden/>
              </w:rPr>
              <w:tab/>
            </w:r>
            <w:r w:rsidR="004B7DAB">
              <w:rPr>
                <w:rStyle w:val="Hyperlink"/>
                <w:b/>
                <w:bCs/>
                <w:webHidden/>
              </w:rPr>
              <w:t>12</w:t>
            </w:r>
          </w:hyperlink>
        </w:p>
        <w:p w14:paraId="4A04E87A" w14:textId="26A0AECC" w:rsidR="00CC7E1F" w:rsidRPr="00AE411E" w:rsidRDefault="00CC7E1F" w:rsidP="00E80543">
          <w:pPr>
            <w:pStyle w:val="TOC2"/>
            <w:rPr>
              <w:rFonts w:eastAsiaTheme="minorEastAsia"/>
              <w:b/>
              <w:bCs/>
            </w:rPr>
          </w:pPr>
          <w:hyperlink w:anchor="_Toc167126210" w:history="1">
            <w:r w:rsidRPr="00AE411E">
              <w:rPr>
                <w:rStyle w:val="Hyperlink"/>
                <w:b/>
                <w:bCs/>
              </w:rPr>
              <w:t>1.6</w:t>
            </w:r>
            <w:r w:rsidRPr="00AE411E">
              <w:rPr>
                <w:rStyle w:val="Hyperlink"/>
                <w:rFonts w:eastAsiaTheme="minorEastAsia"/>
                <w:b/>
                <w:bCs/>
              </w:rPr>
              <w:tab/>
            </w:r>
            <w:r w:rsidRPr="00AE411E">
              <w:rPr>
                <w:rStyle w:val="Hyperlink"/>
                <w:b/>
                <w:bCs/>
                <w:lang w:val="en-GB"/>
              </w:rPr>
              <w:t>Rationale for a Systematic Review and Study Purpose</w:t>
            </w:r>
            <w:r w:rsidRPr="00AE411E">
              <w:rPr>
                <w:rStyle w:val="Hyperlink"/>
                <w:b/>
                <w:bCs/>
                <w:webHidden/>
              </w:rPr>
              <w:tab/>
            </w:r>
            <w:r w:rsidR="004B7DAB">
              <w:rPr>
                <w:rStyle w:val="Hyperlink"/>
                <w:b/>
                <w:bCs/>
                <w:webHidden/>
              </w:rPr>
              <w:t>13</w:t>
            </w:r>
          </w:hyperlink>
        </w:p>
        <w:p w14:paraId="395774CD" w14:textId="711EC479" w:rsidR="00CC7E1F" w:rsidRPr="00AE411E" w:rsidRDefault="00CC7E1F" w:rsidP="00E80543">
          <w:pPr>
            <w:pStyle w:val="TOC2"/>
            <w:rPr>
              <w:rFonts w:eastAsiaTheme="minorEastAsia"/>
              <w:b/>
              <w:bCs/>
            </w:rPr>
          </w:pPr>
          <w:hyperlink w:anchor="_Toc167126210" w:history="1">
            <w:r w:rsidRPr="00AE411E">
              <w:rPr>
                <w:rStyle w:val="Hyperlink"/>
                <w:b/>
                <w:bCs/>
              </w:rPr>
              <w:t>1.7</w:t>
            </w:r>
            <w:r w:rsidRPr="00AE411E">
              <w:rPr>
                <w:rStyle w:val="Hyperlink"/>
                <w:rFonts w:eastAsiaTheme="minorEastAsia"/>
                <w:b/>
                <w:bCs/>
              </w:rPr>
              <w:tab/>
            </w:r>
            <w:r w:rsidRPr="00AE411E">
              <w:rPr>
                <w:rStyle w:val="Hyperlink"/>
                <w:b/>
                <w:bCs/>
                <w:lang w:val="en-GB"/>
              </w:rPr>
              <w:t>Aim</w:t>
            </w:r>
            <w:r w:rsidRPr="00AE411E">
              <w:rPr>
                <w:rStyle w:val="Hyperlink"/>
                <w:b/>
                <w:bCs/>
                <w:webHidden/>
              </w:rPr>
              <w:tab/>
            </w:r>
            <w:r w:rsidR="004B7DAB">
              <w:rPr>
                <w:rStyle w:val="Hyperlink"/>
                <w:b/>
                <w:bCs/>
                <w:webHidden/>
              </w:rPr>
              <w:t>13</w:t>
            </w:r>
          </w:hyperlink>
        </w:p>
        <w:p w14:paraId="4A67A3F2" w14:textId="24601E83" w:rsidR="00CC7E1F" w:rsidRPr="00AE411E" w:rsidRDefault="00CC7E1F" w:rsidP="00E80543">
          <w:pPr>
            <w:pStyle w:val="TOC2"/>
            <w:rPr>
              <w:rFonts w:eastAsiaTheme="minorEastAsia"/>
              <w:b/>
              <w:bCs/>
            </w:rPr>
          </w:pPr>
          <w:hyperlink w:anchor="_Toc167126210" w:history="1">
            <w:r w:rsidRPr="00AE411E">
              <w:rPr>
                <w:rStyle w:val="Hyperlink"/>
                <w:b/>
                <w:bCs/>
              </w:rPr>
              <w:t>1.8</w:t>
            </w:r>
            <w:r w:rsidRPr="00AE411E">
              <w:rPr>
                <w:rStyle w:val="Hyperlink"/>
                <w:rFonts w:eastAsiaTheme="minorEastAsia"/>
                <w:b/>
                <w:bCs/>
              </w:rPr>
              <w:tab/>
            </w:r>
            <w:r w:rsidRPr="00AE411E">
              <w:rPr>
                <w:rStyle w:val="Hyperlink"/>
                <w:b/>
                <w:bCs/>
                <w:lang w:val="en-GB"/>
              </w:rPr>
              <w:t>Research Question</w:t>
            </w:r>
            <w:r w:rsidRPr="00AE411E">
              <w:rPr>
                <w:rStyle w:val="Hyperlink"/>
                <w:b/>
                <w:bCs/>
                <w:webHidden/>
              </w:rPr>
              <w:tab/>
            </w:r>
            <w:r w:rsidR="004B7DAB">
              <w:rPr>
                <w:rStyle w:val="Hyperlink"/>
                <w:b/>
                <w:bCs/>
                <w:webHidden/>
              </w:rPr>
              <w:t>13</w:t>
            </w:r>
          </w:hyperlink>
        </w:p>
        <w:p w14:paraId="0509550F" w14:textId="73B0F574" w:rsidR="00CC7E1F" w:rsidRPr="00AE411E" w:rsidRDefault="00CC7E1F" w:rsidP="00E80543">
          <w:pPr>
            <w:pStyle w:val="TOC2"/>
            <w:rPr>
              <w:rFonts w:eastAsiaTheme="minorEastAsia"/>
              <w:b/>
              <w:bCs/>
            </w:rPr>
          </w:pPr>
          <w:hyperlink w:anchor="_Toc167126210" w:history="1">
            <w:r w:rsidRPr="00AE411E">
              <w:rPr>
                <w:rStyle w:val="Hyperlink"/>
                <w:b/>
                <w:bCs/>
              </w:rPr>
              <w:t>1.9</w:t>
            </w:r>
            <w:r w:rsidRPr="00AE411E">
              <w:rPr>
                <w:rStyle w:val="Hyperlink"/>
                <w:rFonts w:eastAsiaTheme="minorEastAsia"/>
                <w:b/>
                <w:bCs/>
              </w:rPr>
              <w:tab/>
            </w:r>
            <w:r w:rsidRPr="00AE411E">
              <w:rPr>
                <w:rStyle w:val="Hyperlink"/>
                <w:b/>
                <w:bCs/>
                <w:lang w:val="en-GB"/>
              </w:rPr>
              <w:t>Objectives</w:t>
            </w:r>
            <w:r w:rsidRPr="00AE411E">
              <w:rPr>
                <w:rStyle w:val="Hyperlink"/>
                <w:b/>
                <w:bCs/>
                <w:webHidden/>
              </w:rPr>
              <w:tab/>
            </w:r>
            <w:r w:rsidR="004B7DAB">
              <w:rPr>
                <w:rStyle w:val="Hyperlink"/>
                <w:b/>
                <w:bCs/>
                <w:webHidden/>
              </w:rPr>
              <w:t>13</w:t>
            </w:r>
          </w:hyperlink>
        </w:p>
        <w:p w14:paraId="0883CF7A" w14:textId="3A24FB10" w:rsidR="00CC7E1F" w:rsidRPr="00AE411E" w:rsidRDefault="00CC7E1F" w:rsidP="00CC7E1F">
          <w:pPr>
            <w:pStyle w:val="TOC1"/>
            <w:tabs>
              <w:tab w:val="left" w:pos="440"/>
              <w:tab w:val="right" w:leader="dot" w:pos="9350"/>
            </w:tabs>
            <w:ind w:left="0" w:firstLine="0"/>
            <w:rPr>
              <w:rFonts w:ascii="Arial" w:eastAsiaTheme="minorEastAsia" w:hAnsi="Arial" w:cs="Arial"/>
              <w:b/>
              <w:bCs/>
              <w:noProof/>
            </w:rPr>
          </w:pPr>
          <w:hyperlink w:anchor="_Toc167126211" w:history="1">
            <w:r w:rsidRPr="00AE411E">
              <w:rPr>
                <w:rStyle w:val="Hyperlink"/>
                <w:rFonts w:ascii="Arial" w:hAnsi="Arial" w:cs="Arial"/>
                <w:b/>
                <w:bCs/>
                <w:noProof/>
              </w:rPr>
              <w:t>2.</w:t>
            </w:r>
            <w:r w:rsidRPr="00AE411E">
              <w:rPr>
                <w:rStyle w:val="Hyperlink"/>
                <w:rFonts w:ascii="Arial" w:eastAsiaTheme="minorEastAsia" w:hAnsi="Arial" w:cs="Arial"/>
                <w:b/>
                <w:bCs/>
                <w:noProof/>
              </w:rPr>
              <w:tab/>
            </w:r>
            <w:r w:rsidR="00DE506B" w:rsidRPr="00AE411E">
              <w:rPr>
                <w:rStyle w:val="Hyperlink"/>
                <w:rFonts w:ascii="Arial" w:hAnsi="Arial" w:cs="Arial"/>
                <w:b/>
                <w:bCs/>
                <w:noProof/>
              </w:rPr>
              <w:t>Literature Review and Theoretical Framework</w:t>
            </w:r>
            <w:r w:rsidRPr="00AE411E">
              <w:rPr>
                <w:rStyle w:val="Hyperlink"/>
                <w:rFonts w:ascii="Arial" w:hAnsi="Arial" w:cs="Arial"/>
                <w:b/>
                <w:bCs/>
                <w:noProof/>
                <w:webHidden/>
              </w:rPr>
              <w:tab/>
            </w:r>
            <w:r w:rsidR="00EF3A36">
              <w:rPr>
                <w:rStyle w:val="Hyperlink"/>
                <w:rFonts w:ascii="Arial" w:hAnsi="Arial" w:cs="Arial"/>
                <w:b/>
                <w:bCs/>
                <w:noProof/>
                <w:webHidden/>
              </w:rPr>
              <w:t>14</w:t>
            </w:r>
          </w:hyperlink>
        </w:p>
        <w:p w14:paraId="43BB267B" w14:textId="44736795" w:rsidR="00CC7E1F" w:rsidRPr="00AE411E" w:rsidRDefault="00CC7E1F" w:rsidP="00E80543">
          <w:pPr>
            <w:pStyle w:val="TOC2"/>
            <w:rPr>
              <w:rFonts w:eastAsiaTheme="minorEastAsia"/>
              <w:b/>
              <w:bCs/>
            </w:rPr>
          </w:pPr>
          <w:hyperlink w:anchor="_Toc167126212" w:history="1">
            <w:r w:rsidRPr="00AE411E">
              <w:rPr>
                <w:rStyle w:val="Hyperlink"/>
                <w:b/>
                <w:bCs/>
              </w:rPr>
              <w:t>2.1</w:t>
            </w:r>
            <w:r w:rsidRPr="00AE411E">
              <w:rPr>
                <w:rFonts w:eastAsiaTheme="minorEastAsia"/>
                <w:b/>
                <w:bCs/>
              </w:rPr>
              <w:tab/>
            </w:r>
            <w:r w:rsidRPr="00AE411E">
              <w:rPr>
                <w:rStyle w:val="Hyperlink"/>
                <w:b/>
                <w:bCs/>
              </w:rPr>
              <w:t>Introduction</w:t>
            </w:r>
            <w:r w:rsidRPr="00AE411E">
              <w:rPr>
                <w:b/>
                <w:bCs/>
                <w:webHidden/>
              </w:rPr>
              <w:tab/>
            </w:r>
            <w:r w:rsidR="00EF3A36">
              <w:rPr>
                <w:b/>
                <w:bCs/>
                <w:webHidden/>
              </w:rPr>
              <w:t>14</w:t>
            </w:r>
          </w:hyperlink>
        </w:p>
        <w:p w14:paraId="7DC00822" w14:textId="545E9B84" w:rsidR="00CC7E1F" w:rsidRPr="00AE411E" w:rsidRDefault="00CC7E1F" w:rsidP="00E80543">
          <w:pPr>
            <w:pStyle w:val="TOC2"/>
            <w:rPr>
              <w:rFonts w:eastAsiaTheme="minorEastAsia"/>
              <w:b/>
              <w:bCs/>
            </w:rPr>
          </w:pPr>
          <w:hyperlink w:anchor="_Toc167126213" w:history="1">
            <w:r w:rsidRPr="00AE411E">
              <w:rPr>
                <w:rStyle w:val="Hyperlink"/>
                <w:b/>
                <w:bCs/>
              </w:rPr>
              <w:t>2.2</w:t>
            </w:r>
            <w:r w:rsidRPr="00AE411E">
              <w:rPr>
                <w:rStyle w:val="Hyperlink"/>
                <w:rFonts w:eastAsiaTheme="minorEastAsia"/>
                <w:b/>
                <w:bCs/>
              </w:rPr>
              <w:tab/>
            </w:r>
            <w:r w:rsidR="00DE506B" w:rsidRPr="00AE411E">
              <w:rPr>
                <w:rStyle w:val="Hyperlink"/>
                <w:b/>
                <w:bCs/>
                <w:lang w:val="en-GB"/>
              </w:rPr>
              <w:t>Epidemiology</w:t>
            </w:r>
            <w:r w:rsidRPr="00AE411E">
              <w:rPr>
                <w:rStyle w:val="Hyperlink"/>
                <w:b/>
                <w:bCs/>
                <w:webHidden/>
              </w:rPr>
              <w:tab/>
            </w:r>
            <w:r w:rsidR="00EF3A36">
              <w:rPr>
                <w:rStyle w:val="Hyperlink"/>
                <w:b/>
                <w:bCs/>
                <w:webHidden/>
              </w:rPr>
              <w:t>14</w:t>
            </w:r>
          </w:hyperlink>
        </w:p>
        <w:p w14:paraId="04345187" w14:textId="5ECBA9D2" w:rsidR="00DE506B" w:rsidRPr="00AE411E" w:rsidRDefault="00DE506B" w:rsidP="00E80543">
          <w:pPr>
            <w:pStyle w:val="TOC2"/>
            <w:rPr>
              <w:rFonts w:eastAsiaTheme="minorEastAsia"/>
              <w:b/>
              <w:bCs/>
            </w:rPr>
          </w:pPr>
          <w:hyperlink w:anchor="_Toc167126213" w:history="1">
            <w:r w:rsidRPr="00AE411E">
              <w:rPr>
                <w:rStyle w:val="Hyperlink"/>
                <w:b/>
                <w:bCs/>
              </w:rPr>
              <w:t>2.</w:t>
            </w:r>
            <w:r w:rsidR="00E80543" w:rsidRPr="00AE411E">
              <w:rPr>
                <w:rStyle w:val="Hyperlink"/>
                <w:b/>
                <w:bCs/>
              </w:rPr>
              <w:t>3</w:t>
            </w:r>
            <w:r w:rsidRPr="00AE411E">
              <w:rPr>
                <w:rStyle w:val="Hyperlink"/>
                <w:rFonts w:eastAsiaTheme="minorEastAsia"/>
                <w:b/>
                <w:bCs/>
              </w:rPr>
              <w:tab/>
            </w:r>
            <w:r w:rsidR="00E80543" w:rsidRPr="00AE411E">
              <w:rPr>
                <w:rStyle w:val="Hyperlink"/>
                <w:rFonts w:eastAsiaTheme="minorEastAsia"/>
                <w:b/>
                <w:bCs/>
                <w:lang w:val="en-GB"/>
              </w:rPr>
              <w:t>Awareness and Diagnostic Disparities</w:t>
            </w:r>
            <w:r w:rsidRPr="00AE411E">
              <w:rPr>
                <w:rStyle w:val="Hyperlink"/>
                <w:b/>
                <w:bCs/>
                <w:webHidden/>
              </w:rPr>
              <w:tab/>
            </w:r>
            <w:r w:rsidR="00EF3A36">
              <w:rPr>
                <w:rStyle w:val="Hyperlink"/>
                <w:b/>
                <w:bCs/>
                <w:webHidden/>
              </w:rPr>
              <w:t>15</w:t>
            </w:r>
          </w:hyperlink>
        </w:p>
        <w:p w14:paraId="66284C88" w14:textId="578A8913" w:rsidR="00DE506B" w:rsidRPr="00AE411E" w:rsidRDefault="00DE506B" w:rsidP="00E80543">
          <w:pPr>
            <w:pStyle w:val="TOC2"/>
            <w:rPr>
              <w:rFonts w:eastAsiaTheme="minorEastAsia"/>
              <w:b/>
              <w:bCs/>
            </w:rPr>
          </w:pPr>
          <w:hyperlink w:anchor="_Toc167126213" w:history="1">
            <w:r w:rsidRPr="00AE411E">
              <w:rPr>
                <w:rStyle w:val="Hyperlink"/>
                <w:b/>
                <w:bCs/>
              </w:rPr>
              <w:t>2.</w:t>
            </w:r>
            <w:r w:rsidR="00E80543" w:rsidRPr="00AE411E">
              <w:rPr>
                <w:rStyle w:val="Hyperlink"/>
                <w:b/>
                <w:bCs/>
              </w:rPr>
              <w:t>4</w:t>
            </w:r>
            <w:r w:rsidRPr="00AE411E">
              <w:rPr>
                <w:rStyle w:val="Hyperlink"/>
                <w:rFonts w:eastAsiaTheme="minorEastAsia"/>
                <w:b/>
                <w:bCs/>
              </w:rPr>
              <w:tab/>
            </w:r>
            <w:r w:rsidR="00E80543" w:rsidRPr="00AE411E">
              <w:rPr>
                <w:rStyle w:val="Hyperlink"/>
                <w:b/>
                <w:bCs/>
                <w:lang w:val="en-GB"/>
              </w:rPr>
              <w:t>Environmental and Occupational Risk Factors</w:t>
            </w:r>
            <w:r w:rsidRPr="00AE411E">
              <w:rPr>
                <w:rStyle w:val="Hyperlink"/>
                <w:b/>
                <w:bCs/>
                <w:webHidden/>
              </w:rPr>
              <w:tab/>
            </w:r>
            <w:r w:rsidR="00EF3A36">
              <w:rPr>
                <w:rStyle w:val="Hyperlink"/>
                <w:b/>
                <w:bCs/>
                <w:webHidden/>
              </w:rPr>
              <w:t>16</w:t>
            </w:r>
          </w:hyperlink>
        </w:p>
        <w:p w14:paraId="3BC1F507" w14:textId="3A1F69C6" w:rsidR="00CC7E1F" w:rsidRPr="00AE411E" w:rsidRDefault="00CC7E1F" w:rsidP="00E80543">
          <w:pPr>
            <w:pStyle w:val="TOC2"/>
            <w:rPr>
              <w:rFonts w:eastAsiaTheme="minorEastAsia"/>
              <w:b/>
              <w:bCs/>
            </w:rPr>
          </w:pPr>
          <w:hyperlink w:anchor="_Toc167126216" w:history="1">
            <w:r w:rsidRPr="00AE411E">
              <w:rPr>
                <w:rStyle w:val="Hyperlink"/>
                <w:b/>
                <w:bCs/>
              </w:rPr>
              <w:t>2.</w:t>
            </w:r>
            <w:r w:rsidR="00E80543" w:rsidRPr="00AE411E">
              <w:rPr>
                <w:rStyle w:val="Hyperlink"/>
                <w:b/>
                <w:bCs/>
              </w:rPr>
              <w:t>5</w:t>
            </w:r>
            <w:r w:rsidRPr="00AE411E">
              <w:rPr>
                <w:rStyle w:val="Hyperlink"/>
                <w:rFonts w:eastAsiaTheme="minorEastAsia"/>
                <w:b/>
                <w:bCs/>
              </w:rPr>
              <w:tab/>
            </w:r>
            <w:r w:rsidR="00E80543" w:rsidRPr="00AE411E">
              <w:rPr>
                <w:rStyle w:val="Hyperlink"/>
                <w:b/>
                <w:bCs/>
                <w:lang w:val="en-GB"/>
              </w:rPr>
              <w:t>Healthcare Access and Management Inequalities</w:t>
            </w:r>
            <w:r w:rsidRPr="00AE411E">
              <w:rPr>
                <w:rStyle w:val="Hyperlink"/>
                <w:b/>
                <w:bCs/>
                <w:webHidden/>
              </w:rPr>
              <w:tab/>
            </w:r>
            <w:r w:rsidR="00EF3A36">
              <w:rPr>
                <w:rStyle w:val="Hyperlink"/>
                <w:b/>
                <w:bCs/>
                <w:webHidden/>
              </w:rPr>
              <w:t>17</w:t>
            </w:r>
          </w:hyperlink>
        </w:p>
        <w:p w14:paraId="330CE8DB" w14:textId="1D3145CC" w:rsidR="00DE506B" w:rsidRPr="00AE411E" w:rsidRDefault="00DE506B" w:rsidP="00E80543">
          <w:pPr>
            <w:pStyle w:val="TOC2"/>
            <w:rPr>
              <w:rFonts w:eastAsiaTheme="minorEastAsia"/>
              <w:b/>
              <w:bCs/>
            </w:rPr>
          </w:pPr>
          <w:hyperlink w:anchor="_Toc167126213" w:history="1">
            <w:r w:rsidRPr="00AE411E">
              <w:rPr>
                <w:rStyle w:val="Hyperlink"/>
                <w:b/>
                <w:bCs/>
              </w:rPr>
              <w:t>2.</w:t>
            </w:r>
            <w:r w:rsidR="00E80543" w:rsidRPr="00AE411E">
              <w:rPr>
                <w:rStyle w:val="Hyperlink"/>
                <w:b/>
                <w:bCs/>
              </w:rPr>
              <w:t>6</w:t>
            </w:r>
            <w:r w:rsidRPr="00AE411E">
              <w:rPr>
                <w:rStyle w:val="Hyperlink"/>
                <w:rFonts w:eastAsiaTheme="minorEastAsia"/>
                <w:b/>
                <w:bCs/>
              </w:rPr>
              <w:tab/>
            </w:r>
            <w:r w:rsidR="00E80543" w:rsidRPr="00AE411E">
              <w:rPr>
                <w:rStyle w:val="Hyperlink"/>
                <w:b/>
                <w:bCs/>
                <w:lang w:val="en-GB"/>
              </w:rPr>
              <w:t>Structural Racism and Social Determinants</w:t>
            </w:r>
            <w:r w:rsidRPr="00AE411E">
              <w:rPr>
                <w:rStyle w:val="Hyperlink"/>
                <w:b/>
                <w:bCs/>
                <w:webHidden/>
              </w:rPr>
              <w:tab/>
            </w:r>
            <w:r w:rsidR="00EF3A36">
              <w:rPr>
                <w:rStyle w:val="Hyperlink"/>
                <w:b/>
                <w:bCs/>
                <w:webHidden/>
              </w:rPr>
              <w:t>18</w:t>
            </w:r>
          </w:hyperlink>
        </w:p>
        <w:p w14:paraId="564E530D" w14:textId="163623BE" w:rsidR="00E80543" w:rsidRPr="00AE411E" w:rsidRDefault="00E80543" w:rsidP="00E80543">
          <w:pPr>
            <w:pStyle w:val="TOC3"/>
            <w:tabs>
              <w:tab w:val="right" w:leader="dot" w:pos="9350"/>
            </w:tabs>
            <w:rPr>
              <w:rFonts w:ascii="Arial" w:eastAsiaTheme="minorEastAsia" w:hAnsi="Arial" w:cs="Arial"/>
              <w:b/>
              <w:bCs/>
              <w:noProof/>
            </w:rPr>
          </w:pPr>
          <w:hyperlink w:anchor="_Toc167126221" w:history="1">
            <w:r w:rsidRPr="00AE411E">
              <w:rPr>
                <w:rStyle w:val="Hyperlink"/>
                <w:rFonts w:ascii="Arial" w:hAnsi="Arial" w:cs="Arial"/>
                <w:b/>
                <w:bCs/>
                <w:noProof/>
              </w:rPr>
              <w:t xml:space="preserve">2.6.1 </w:t>
            </w:r>
            <w:r w:rsidRPr="00AE411E">
              <w:rPr>
                <w:rStyle w:val="Hyperlink"/>
                <w:rFonts w:ascii="Arial" w:hAnsi="Arial" w:cs="Arial"/>
                <w:b/>
                <w:bCs/>
                <w:noProof/>
                <w:lang w:val="en-GB"/>
              </w:rPr>
              <w:t>Integration of Evidence Across Themes</w:t>
            </w:r>
            <w:r w:rsidRPr="00AE411E">
              <w:rPr>
                <w:rStyle w:val="Hyperlink"/>
                <w:rFonts w:ascii="Arial" w:hAnsi="Arial" w:cs="Arial"/>
                <w:b/>
                <w:bCs/>
                <w:noProof/>
                <w:webHidden/>
              </w:rPr>
              <w:tab/>
            </w:r>
            <w:r w:rsidR="00EF3A36">
              <w:rPr>
                <w:rStyle w:val="Hyperlink"/>
                <w:rFonts w:ascii="Arial" w:hAnsi="Arial" w:cs="Arial"/>
                <w:b/>
                <w:bCs/>
                <w:noProof/>
                <w:webHidden/>
              </w:rPr>
              <w:t>20</w:t>
            </w:r>
          </w:hyperlink>
        </w:p>
        <w:p w14:paraId="737744A4" w14:textId="145AA8CF" w:rsidR="00DE506B" w:rsidRPr="00AE411E" w:rsidRDefault="00DE506B" w:rsidP="00E80543">
          <w:pPr>
            <w:pStyle w:val="TOC2"/>
            <w:rPr>
              <w:rFonts w:eastAsiaTheme="minorEastAsia"/>
              <w:b/>
              <w:bCs/>
            </w:rPr>
          </w:pPr>
          <w:hyperlink w:anchor="_Toc167126213" w:history="1">
            <w:r w:rsidRPr="00AE411E">
              <w:rPr>
                <w:rStyle w:val="Hyperlink"/>
                <w:b/>
                <w:bCs/>
              </w:rPr>
              <w:t>2.</w:t>
            </w:r>
            <w:r w:rsidR="00E80543" w:rsidRPr="00AE411E">
              <w:rPr>
                <w:rStyle w:val="Hyperlink"/>
                <w:b/>
                <w:bCs/>
              </w:rPr>
              <w:t>7</w:t>
            </w:r>
            <w:r w:rsidRPr="00AE411E">
              <w:rPr>
                <w:rStyle w:val="Hyperlink"/>
                <w:rFonts w:eastAsiaTheme="minorEastAsia"/>
                <w:b/>
                <w:bCs/>
              </w:rPr>
              <w:tab/>
            </w:r>
            <w:r w:rsidR="00E80543" w:rsidRPr="00AE411E">
              <w:rPr>
                <w:rStyle w:val="Hyperlink"/>
                <w:b/>
                <w:bCs/>
                <w:lang w:val="en-GB"/>
              </w:rPr>
              <w:t>Theoretical Framework</w:t>
            </w:r>
            <w:r w:rsidRPr="00AE411E">
              <w:rPr>
                <w:rStyle w:val="Hyperlink"/>
                <w:b/>
                <w:bCs/>
                <w:webHidden/>
              </w:rPr>
              <w:tab/>
            </w:r>
            <w:r w:rsidR="00EF3A36">
              <w:rPr>
                <w:rStyle w:val="Hyperlink"/>
                <w:b/>
                <w:bCs/>
                <w:webHidden/>
              </w:rPr>
              <w:t>21</w:t>
            </w:r>
          </w:hyperlink>
        </w:p>
        <w:p w14:paraId="6FB034F9" w14:textId="2783CEEF" w:rsidR="00CC7E1F" w:rsidRPr="00AE411E" w:rsidRDefault="00CC7E1F" w:rsidP="00E80543">
          <w:pPr>
            <w:pStyle w:val="TOC2"/>
            <w:rPr>
              <w:b/>
              <w:bCs/>
            </w:rPr>
          </w:pPr>
          <w:hyperlink w:anchor="_Toc167126220" w:history="1">
            <w:r w:rsidRPr="00AE411E">
              <w:rPr>
                <w:rStyle w:val="Hyperlink"/>
                <w:b/>
                <w:bCs/>
              </w:rPr>
              <w:t>2.</w:t>
            </w:r>
            <w:r w:rsidR="00E80543" w:rsidRPr="00AE411E">
              <w:rPr>
                <w:rStyle w:val="Hyperlink"/>
                <w:b/>
                <w:bCs/>
              </w:rPr>
              <w:t>8</w:t>
            </w:r>
            <w:r w:rsidRPr="00AE411E">
              <w:rPr>
                <w:rStyle w:val="Hyperlink"/>
                <w:rFonts w:eastAsiaTheme="minorEastAsia"/>
                <w:b/>
                <w:bCs/>
              </w:rPr>
              <w:tab/>
            </w:r>
            <w:r w:rsidR="00E80543" w:rsidRPr="00AE411E">
              <w:rPr>
                <w:rStyle w:val="Hyperlink"/>
                <w:b/>
                <w:bCs/>
                <w:lang w:val="en-GB"/>
              </w:rPr>
              <w:t>Research Gap</w:t>
            </w:r>
            <w:r w:rsidRPr="00AE411E">
              <w:rPr>
                <w:rStyle w:val="Hyperlink"/>
                <w:b/>
                <w:bCs/>
                <w:webHidden/>
              </w:rPr>
              <w:tab/>
            </w:r>
            <w:r w:rsidR="00EF3A36">
              <w:rPr>
                <w:rStyle w:val="Hyperlink"/>
                <w:b/>
                <w:bCs/>
                <w:webHidden/>
              </w:rPr>
              <w:t>22</w:t>
            </w:r>
          </w:hyperlink>
        </w:p>
        <w:p w14:paraId="362554FE" w14:textId="35330C44" w:rsidR="00E80543" w:rsidRPr="00AE411E" w:rsidRDefault="00E80543" w:rsidP="00E80543">
          <w:pPr>
            <w:pStyle w:val="TOC2"/>
            <w:rPr>
              <w:b/>
              <w:bCs/>
            </w:rPr>
          </w:pPr>
          <w:hyperlink w:anchor="_Toc167126220" w:history="1">
            <w:r w:rsidRPr="00AE411E">
              <w:rPr>
                <w:rStyle w:val="Hyperlink"/>
                <w:b/>
                <w:bCs/>
              </w:rPr>
              <w:t>2.9</w:t>
            </w:r>
            <w:r w:rsidRPr="00AE411E">
              <w:rPr>
                <w:rStyle w:val="Hyperlink"/>
                <w:rFonts w:eastAsiaTheme="minorEastAsia"/>
                <w:b/>
                <w:bCs/>
              </w:rPr>
              <w:tab/>
            </w:r>
            <w:r w:rsidRPr="00AE411E">
              <w:rPr>
                <w:rStyle w:val="Hyperlink"/>
                <w:b/>
                <w:bCs/>
                <w:lang w:val="en-GB"/>
              </w:rPr>
              <w:t>Conclusion</w:t>
            </w:r>
            <w:r w:rsidRPr="00AE411E">
              <w:rPr>
                <w:rStyle w:val="Hyperlink"/>
                <w:b/>
                <w:bCs/>
                <w:webHidden/>
              </w:rPr>
              <w:tab/>
            </w:r>
            <w:r w:rsidR="00EF3A36">
              <w:rPr>
                <w:rStyle w:val="Hyperlink"/>
                <w:b/>
                <w:bCs/>
                <w:webHidden/>
              </w:rPr>
              <w:t>22</w:t>
            </w:r>
          </w:hyperlink>
        </w:p>
        <w:p w14:paraId="5B78DD75" w14:textId="62DDF990" w:rsidR="00E80543" w:rsidRPr="00AE411E" w:rsidRDefault="00E80543" w:rsidP="00E80543">
          <w:pPr>
            <w:pStyle w:val="TOC1"/>
            <w:tabs>
              <w:tab w:val="left" w:pos="440"/>
              <w:tab w:val="right" w:leader="dot" w:pos="9350"/>
            </w:tabs>
            <w:ind w:left="0" w:firstLine="0"/>
            <w:rPr>
              <w:rFonts w:ascii="Arial" w:eastAsiaTheme="minorEastAsia" w:hAnsi="Arial" w:cs="Arial"/>
              <w:b/>
              <w:bCs/>
              <w:noProof/>
            </w:rPr>
          </w:pPr>
          <w:hyperlink w:anchor="_Toc167126211" w:history="1">
            <w:r w:rsidRPr="00AE411E">
              <w:rPr>
                <w:rStyle w:val="Hyperlink"/>
                <w:rFonts w:ascii="Arial" w:hAnsi="Arial" w:cs="Arial"/>
                <w:b/>
                <w:bCs/>
                <w:noProof/>
              </w:rPr>
              <w:t>3.</w:t>
            </w:r>
            <w:r w:rsidRPr="00AE411E">
              <w:rPr>
                <w:rStyle w:val="Hyperlink"/>
                <w:rFonts w:ascii="Arial" w:eastAsiaTheme="minorEastAsia" w:hAnsi="Arial" w:cs="Arial"/>
                <w:b/>
                <w:bCs/>
                <w:noProof/>
              </w:rPr>
              <w:tab/>
            </w:r>
            <w:r w:rsidRPr="00AE411E">
              <w:rPr>
                <w:rStyle w:val="Hyperlink"/>
                <w:rFonts w:ascii="Arial" w:hAnsi="Arial" w:cs="Arial"/>
                <w:b/>
                <w:bCs/>
                <w:noProof/>
              </w:rPr>
              <w:t>Research Methodology</w:t>
            </w:r>
            <w:r w:rsidRPr="00AE411E">
              <w:rPr>
                <w:rStyle w:val="Hyperlink"/>
                <w:rFonts w:ascii="Arial" w:hAnsi="Arial" w:cs="Arial"/>
                <w:b/>
                <w:bCs/>
                <w:noProof/>
                <w:webHidden/>
              </w:rPr>
              <w:tab/>
            </w:r>
            <w:r w:rsidR="00EF3A36">
              <w:rPr>
                <w:rStyle w:val="Hyperlink"/>
                <w:rFonts w:ascii="Arial" w:hAnsi="Arial" w:cs="Arial"/>
                <w:b/>
                <w:bCs/>
                <w:noProof/>
                <w:webHidden/>
              </w:rPr>
              <w:t>24</w:t>
            </w:r>
          </w:hyperlink>
        </w:p>
        <w:p w14:paraId="54A22112" w14:textId="1ADB5DD7" w:rsidR="00E80543" w:rsidRPr="00AE411E" w:rsidRDefault="00E80543" w:rsidP="00E80543">
          <w:pPr>
            <w:pStyle w:val="TOC2"/>
            <w:rPr>
              <w:rFonts w:eastAsiaTheme="minorEastAsia"/>
              <w:b/>
              <w:bCs/>
            </w:rPr>
          </w:pPr>
          <w:hyperlink w:anchor="_Toc167126212" w:history="1">
            <w:r w:rsidRPr="00AE411E">
              <w:rPr>
                <w:rStyle w:val="Hyperlink"/>
                <w:b/>
                <w:bCs/>
              </w:rPr>
              <w:t>3.1</w:t>
            </w:r>
            <w:r w:rsidRPr="00AE411E">
              <w:rPr>
                <w:rFonts w:eastAsiaTheme="minorEastAsia"/>
                <w:b/>
                <w:bCs/>
              </w:rPr>
              <w:tab/>
            </w:r>
            <w:r w:rsidRPr="00AE411E">
              <w:rPr>
                <w:rStyle w:val="Hyperlink"/>
                <w:b/>
                <w:bCs/>
              </w:rPr>
              <w:t>Introduction</w:t>
            </w:r>
            <w:r w:rsidRPr="00AE411E">
              <w:rPr>
                <w:b/>
                <w:bCs/>
                <w:webHidden/>
              </w:rPr>
              <w:tab/>
            </w:r>
            <w:r w:rsidR="00EF3A36">
              <w:rPr>
                <w:b/>
                <w:bCs/>
                <w:webHidden/>
              </w:rPr>
              <w:t>24</w:t>
            </w:r>
          </w:hyperlink>
        </w:p>
        <w:p w14:paraId="6ADB8E8C" w14:textId="7B5CBE7C" w:rsidR="00E80543" w:rsidRPr="00AE411E" w:rsidRDefault="00E80543" w:rsidP="00E80543">
          <w:pPr>
            <w:pStyle w:val="TOC2"/>
            <w:rPr>
              <w:rFonts w:eastAsiaTheme="minorEastAsia"/>
              <w:b/>
              <w:bCs/>
            </w:rPr>
          </w:pPr>
          <w:hyperlink w:anchor="_Toc167126213" w:history="1">
            <w:r w:rsidRPr="00AE411E">
              <w:rPr>
                <w:rStyle w:val="Hyperlink"/>
                <w:b/>
                <w:bCs/>
              </w:rPr>
              <w:t>3.2</w:t>
            </w:r>
            <w:r w:rsidRPr="00AE411E">
              <w:rPr>
                <w:rStyle w:val="Hyperlink"/>
                <w:rFonts w:eastAsiaTheme="minorEastAsia"/>
                <w:b/>
                <w:bCs/>
              </w:rPr>
              <w:tab/>
            </w:r>
            <w:r w:rsidRPr="00AE411E">
              <w:rPr>
                <w:rStyle w:val="Hyperlink"/>
                <w:b/>
                <w:bCs/>
                <w:lang w:val="en-GB"/>
              </w:rPr>
              <w:t>Research Design</w:t>
            </w:r>
            <w:r w:rsidRPr="00AE411E">
              <w:rPr>
                <w:rStyle w:val="Hyperlink"/>
                <w:b/>
                <w:bCs/>
                <w:webHidden/>
              </w:rPr>
              <w:tab/>
            </w:r>
            <w:r w:rsidR="00EF3A36">
              <w:rPr>
                <w:rStyle w:val="Hyperlink"/>
                <w:b/>
                <w:bCs/>
                <w:webHidden/>
              </w:rPr>
              <w:t>24</w:t>
            </w:r>
          </w:hyperlink>
        </w:p>
        <w:p w14:paraId="03F876FE" w14:textId="298F8EBE" w:rsidR="00E80543" w:rsidRPr="00AE411E" w:rsidRDefault="00E80543" w:rsidP="00E80543">
          <w:pPr>
            <w:pStyle w:val="TOC2"/>
            <w:rPr>
              <w:rFonts w:eastAsiaTheme="minorEastAsia"/>
              <w:b/>
              <w:bCs/>
            </w:rPr>
          </w:pPr>
          <w:hyperlink w:anchor="_Toc167126213" w:history="1">
            <w:r w:rsidRPr="00AE411E">
              <w:rPr>
                <w:rStyle w:val="Hyperlink"/>
                <w:b/>
                <w:bCs/>
              </w:rPr>
              <w:t>3.3</w:t>
            </w:r>
            <w:r w:rsidRPr="00AE411E">
              <w:rPr>
                <w:rStyle w:val="Hyperlink"/>
                <w:rFonts w:eastAsiaTheme="minorEastAsia"/>
                <w:b/>
                <w:bCs/>
              </w:rPr>
              <w:tab/>
            </w:r>
            <w:r w:rsidRPr="00AE411E">
              <w:rPr>
                <w:rStyle w:val="Hyperlink"/>
                <w:rFonts w:eastAsiaTheme="minorEastAsia"/>
                <w:b/>
                <w:bCs/>
                <w:lang w:val="en-GB"/>
              </w:rPr>
              <w:t>Search Strategy</w:t>
            </w:r>
            <w:r w:rsidRPr="00AE411E">
              <w:rPr>
                <w:rStyle w:val="Hyperlink"/>
                <w:b/>
                <w:bCs/>
                <w:webHidden/>
              </w:rPr>
              <w:tab/>
            </w:r>
            <w:r w:rsidR="00EF3A36">
              <w:rPr>
                <w:rStyle w:val="Hyperlink"/>
                <w:b/>
                <w:bCs/>
                <w:webHidden/>
              </w:rPr>
              <w:t>24</w:t>
            </w:r>
          </w:hyperlink>
        </w:p>
        <w:p w14:paraId="5BB208D0" w14:textId="0B343421" w:rsidR="00CC7E1F" w:rsidRPr="00AE411E" w:rsidRDefault="00E80543" w:rsidP="00CC7E1F">
          <w:pPr>
            <w:pStyle w:val="TOC3"/>
            <w:tabs>
              <w:tab w:val="right" w:leader="dot" w:pos="9350"/>
            </w:tabs>
            <w:rPr>
              <w:rFonts w:ascii="Arial" w:eastAsiaTheme="minorEastAsia" w:hAnsi="Arial" w:cs="Arial"/>
              <w:b/>
              <w:bCs/>
              <w:noProof/>
            </w:rPr>
          </w:pPr>
          <w:hyperlink w:anchor="_Toc167126225" w:history="1">
            <w:r w:rsidRPr="00AE411E">
              <w:rPr>
                <w:rStyle w:val="Hyperlink"/>
                <w:rFonts w:ascii="Arial" w:hAnsi="Arial" w:cs="Arial"/>
                <w:b/>
                <w:bCs/>
                <w:noProof/>
              </w:rPr>
              <w:t>3</w:t>
            </w:r>
            <w:r w:rsidR="00CC7E1F" w:rsidRPr="00AE411E">
              <w:rPr>
                <w:rStyle w:val="Hyperlink"/>
                <w:rFonts w:ascii="Arial" w:hAnsi="Arial" w:cs="Arial"/>
                <w:b/>
                <w:bCs/>
                <w:noProof/>
              </w:rPr>
              <w:t>.</w:t>
            </w:r>
            <w:r w:rsidRPr="00AE411E">
              <w:rPr>
                <w:rStyle w:val="Hyperlink"/>
                <w:rFonts w:ascii="Arial" w:hAnsi="Arial" w:cs="Arial"/>
                <w:b/>
                <w:bCs/>
                <w:noProof/>
              </w:rPr>
              <w:t>3</w:t>
            </w:r>
            <w:r w:rsidR="00CC7E1F" w:rsidRPr="00AE411E">
              <w:rPr>
                <w:rStyle w:val="Hyperlink"/>
                <w:rFonts w:ascii="Arial" w:hAnsi="Arial" w:cs="Arial"/>
                <w:b/>
                <w:bCs/>
                <w:noProof/>
              </w:rPr>
              <w:t xml:space="preserve">.1 </w:t>
            </w:r>
            <w:r w:rsidRPr="00AE411E">
              <w:rPr>
                <w:rStyle w:val="Hyperlink"/>
                <w:rFonts w:ascii="Arial" w:hAnsi="Arial" w:cs="Arial"/>
                <w:b/>
                <w:bCs/>
                <w:noProof/>
                <w:lang w:val="en-GB"/>
              </w:rPr>
              <w:t>Databases and Coverage</w:t>
            </w:r>
            <w:r w:rsidR="00CC7E1F" w:rsidRPr="00AE411E">
              <w:rPr>
                <w:rStyle w:val="Hyperlink"/>
                <w:rFonts w:ascii="Arial" w:hAnsi="Arial" w:cs="Arial"/>
                <w:b/>
                <w:bCs/>
                <w:noProof/>
                <w:webHidden/>
              </w:rPr>
              <w:tab/>
            </w:r>
            <w:r w:rsidR="00EF3A36">
              <w:rPr>
                <w:rStyle w:val="Hyperlink"/>
                <w:rFonts w:ascii="Arial" w:hAnsi="Arial" w:cs="Arial"/>
                <w:b/>
                <w:bCs/>
                <w:noProof/>
                <w:webHidden/>
              </w:rPr>
              <w:t>24</w:t>
            </w:r>
          </w:hyperlink>
        </w:p>
        <w:p w14:paraId="5808E95B" w14:textId="31164D18" w:rsidR="00CC7E1F" w:rsidRPr="00AE411E" w:rsidRDefault="00E80543" w:rsidP="00CC7E1F">
          <w:pPr>
            <w:pStyle w:val="TOC3"/>
            <w:tabs>
              <w:tab w:val="right" w:leader="dot" w:pos="9350"/>
            </w:tabs>
            <w:rPr>
              <w:rFonts w:ascii="Arial" w:eastAsiaTheme="minorEastAsia" w:hAnsi="Arial" w:cs="Arial"/>
              <w:b/>
              <w:bCs/>
              <w:noProof/>
            </w:rPr>
          </w:pPr>
          <w:hyperlink w:anchor="_Toc167126226" w:history="1">
            <w:r w:rsidRPr="00AE411E">
              <w:rPr>
                <w:rStyle w:val="Hyperlink"/>
                <w:rFonts w:ascii="Arial" w:hAnsi="Arial" w:cs="Arial"/>
                <w:b/>
                <w:bCs/>
                <w:noProof/>
              </w:rPr>
              <w:t>3</w:t>
            </w:r>
            <w:r w:rsidR="00CC7E1F" w:rsidRPr="00AE411E">
              <w:rPr>
                <w:rStyle w:val="Hyperlink"/>
                <w:rFonts w:ascii="Arial" w:hAnsi="Arial" w:cs="Arial"/>
                <w:b/>
                <w:bCs/>
                <w:noProof/>
              </w:rPr>
              <w:t>.</w:t>
            </w:r>
            <w:r w:rsidRPr="00AE411E">
              <w:rPr>
                <w:rStyle w:val="Hyperlink"/>
                <w:rFonts w:ascii="Arial" w:hAnsi="Arial" w:cs="Arial"/>
                <w:b/>
                <w:bCs/>
                <w:noProof/>
              </w:rPr>
              <w:t>3</w:t>
            </w:r>
            <w:r w:rsidR="00CC7E1F" w:rsidRPr="00AE411E">
              <w:rPr>
                <w:rStyle w:val="Hyperlink"/>
                <w:rFonts w:ascii="Arial" w:hAnsi="Arial" w:cs="Arial"/>
                <w:b/>
                <w:bCs/>
                <w:noProof/>
              </w:rPr>
              <w:t xml:space="preserve">.2 </w:t>
            </w:r>
            <w:r w:rsidRPr="00AE411E">
              <w:rPr>
                <w:rStyle w:val="Hyperlink"/>
                <w:rFonts w:ascii="Arial" w:hAnsi="Arial" w:cs="Arial"/>
                <w:b/>
                <w:bCs/>
                <w:noProof/>
                <w:lang w:val="en-GB"/>
              </w:rPr>
              <w:t>Date Limits, Language and Publication Type</w:t>
            </w:r>
            <w:r w:rsidR="00CC7E1F" w:rsidRPr="00AE411E">
              <w:rPr>
                <w:rStyle w:val="Hyperlink"/>
                <w:rFonts w:ascii="Arial" w:hAnsi="Arial" w:cs="Arial"/>
                <w:b/>
                <w:bCs/>
                <w:noProof/>
                <w:webHidden/>
              </w:rPr>
              <w:tab/>
            </w:r>
            <w:r w:rsidR="00EF3A36">
              <w:rPr>
                <w:rStyle w:val="Hyperlink"/>
                <w:rFonts w:ascii="Arial" w:hAnsi="Arial" w:cs="Arial"/>
                <w:b/>
                <w:bCs/>
                <w:noProof/>
                <w:webHidden/>
              </w:rPr>
              <w:t>25</w:t>
            </w:r>
          </w:hyperlink>
        </w:p>
        <w:p w14:paraId="68ED2112" w14:textId="39B5DEE0" w:rsidR="00CC7E1F" w:rsidRPr="00AE411E" w:rsidRDefault="00E80543" w:rsidP="00CC7E1F">
          <w:pPr>
            <w:pStyle w:val="TOC3"/>
            <w:tabs>
              <w:tab w:val="right" w:leader="dot" w:pos="9350"/>
            </w:tabs>
            <w:rPr>
              <w:b/>
              <w:bCs/>
            </w:rPr>
          </w:pPr>
          <w:hyperlink w:anchor="_Toc167126227" w:history="1">
            <w:r w:rsidRPr="00AE411E">
              <w:rPr>
                <w:rStyle w:val="Hyperlink"/>
                <w:rFonts w:ascii="Arial" w:hAnsi="Arial" w:cs="Arial"/>
                <w:b/>
                <w:bCs/>
                <w:noProof/>
              </w:rPr>
              <w:t>3</w:t>
            </w:r>
            <w:r w:rsidR="00CC7E1F" w:rsidRPr="00AE411E">
              <w:rPr>
                <w:rStyle w:val="Hyperlink"/>
                <w:rFonts w:ascii="Arial" w:hAnsi="Arial" w:cs="Arial"/>
                <w:b/>
                <w:bCs/>
                <w:noProof/>
              </w:rPr>
              <w:t>.</w:t>
            </w:r>
            <w:r w:rsidRPr="00AE411E">
              <w:rPr>
                <w:rStyle w:val="Hyperlink"/>
                <w:rFonts w:ascii="Arial" w:hAnsi="Arial" w:cs="Arial"/>
                <w:b/>
                <w:bCs/>
                <w:noProof/>
              </w:rPr>
              <w:t>3</w:t>
            </w:r>
            <w:r w:rsidR="00CC7E1F" w:rsidRPr="00AE411E">
              <w:rPr>
                <w:rStyle w:val="Hyperlink"/>
                <w:rFonts w:ascii="Arial" w:hAnsi="Arial" w:cs="Arial"/>
                <w:b/>
                <w:bCs/>
                <w:noProof/>
              </w:rPr>
              <w:t xml:space="preserve">.3 </w:t>
            </w:r>
            <w:r w:rsidRPr="00AE411E">
              <w:rPr>
                <w:rStyle w:val="Hyperlink"/>
                <w:rFonts w:ascii="Arial" w:hAnsi="Arial" w:cs="Arial"/>
                <w:b/>
                <w:bCs/>
                <w:noProof/>
                <w:lang w:val="en-GB"/>
              </w:rPr>
              <w:t>Search Concepts and Reporting Standard</w:t>
            </w:r>
            <w:r w:rsidR="00CC7E1F" w:rsidRPr="00AE411E">
              <w:rPr>
                <w:rStyle w:val="Hyperlink"/>
                <w:rFonts w:ascii="Arial" w:hAnsi="Arial" w:cs="Arial"/>
                <w:b/>
                <w:bCs/>
                <w:noProof/>
                <w:webHidden/>
              </w:rPr>
              <w:tab/>
            </w:r>
            <w:r w:rsidR="00EF3A36">
              <w:rPr>
                <w:rStyle w:val="Hyperlink"/>
                <w:rFonts w:ascii="Arial" w:hAnsi="Arial" w:cs="Arial"/>
                <w:b/>
                <w:bCs/>
                <w:noProof/>
                <w:webHidden/>
              </w:rPr>
              <w:t>25</w:t>
            </w:r>
          </w:hyperlink>
        </w:p>
        <w:p w14:paraId="2BC17B00" w14:textId="61F5325E" w:rsidR="00E80543" w:rsidRPr="00AE411E" w:rsidRDefault="00E80543" w:rsidP="00E80543">
          <w:pPr>
            <w:pStyle w:val="TOC3"/>
            <w:tabs>
              <w:tab w:val="right" w:leader="dot" w:pos="9350"/>
            </w:tabs>
            <w:rPr>
              <w:rFonts w:ascii="Arial" w:eastAsiaTheme="minorEastAsia" w:hAnsi="Arial" w:cs="Arial"/>
              <w:b/>
              <w:bCs/>
              <w:noProof/>
            </w:rPr>
          </w:pPr>
          <w:hyperlink w:anchor="_Toc167126226" w:history="1">
            <w:r w:rsidRPr="00AE411E">
              <w:rPr>
                <w:rStyle w:val="Hyperlink"/>
                <w:rFonts w:ascii="Arial" w:hAnsi="Arial" w:cs="Arial"/>
                <w:b/>
                <w:bCs/>
                <w:noProof/>
              </w:rPr>
              <w:t>3.3.</w:t>
            </w:r>
            <w:r w:rsidR="00EF3A36">
              <w:rPr>
                <w:rStyle w:val="Hyperlink"/>
                <w:rFonts w:ascii="Arial" w:hAnsi="Arial" w:cs="Arial"/>
                <w:b/>
                <w:bCs/>
                <w:noProof/>
              </w:rPr>
              <w:t>4</w:t>
            </w:r>
            <w:r w:rsidRPr="00AE411E">
              <w:rPr>
                <w:rStyle w:val="Hyperlink"/>
                <w:rFonts w:ascii="Arial" w:hAnsi="Arial" w:cs="Arial"/>
                <w:b/>
                <w:bCs/>
                <w:noProof/>
              </w:rPr>
              <w:t xml:space="preserve"> </w:t>
            </w:r>
            <w:r w:rsidRPr="00AE411E">
              <w:rPr>
                <w:rStyle w:val="Hyperlink"/>
                <w:rFonts w:ascii="Arial" w:hAnsi="Arial" w:cs="Arial"/>
                <w:b/>
                <w:bCs/>
                <w:noProof/>
                <w:lang w:val="en-GB"/>
              </w:rPr>
              <w:t>Keywords and Boolean Operators</w:t>
            </w:r>
            <w:r w:rsidRPr="00AE411E">
              <w:rPr>
                <w:rStyle w:val="Hyperlink"/>
                <w:rFonts w:ascii="Arial" w:hAnsi="Arial" w:cs="Arial"/>
                <w:b/>
                <w:bCs/>
                <w:noProof/>
                <w:webHidden/>
              </w:rPr>
              <w:tab/>
            </w:r>
            <w:r w:rsidR="00EF3A36">
              <w:rPr>
                <w:rStyle w:val="Hyperlink"/>
                <w:rFonts w:ascii="Arial" w:hAnsi="Arial" w:cs="Arial"/>
                <w:b/>
                <w:bCs/>
                <w:noProof/>
                <w:webHidden/>
              </w:rPr>
              <w:t>25</w:t>
            </w:r>
          </w:hyperlink>
        </w:p>
        <w:p w14:paraId="4DED82D8" w14:textId="3505A0FE" w:rsidR="00E80543" w:rsidRPr="00AE411E" w:rsidRDefault="00E80543" w:rsidP="00E80543">
          <w:pPr>
            <w:pStyle w:val="TOC3"/>
            <w:tabs>
              <w:tab w:val="right" w:leader="dot" w:pos="9350"/>
            </w:tabs>
            <w:rPr>
              <w:rFonts w:ascii="Arial" w:eastAsiaTheme="minorEastAsia" w:hAnsi="Arial" w:cs="Arial"/>
              <w:b/>
              <w:bCs/>
              <w:noProof/>
            </w:rPr>
          </w:pPr>
          <w:hyperlink w:anchor="_Toc167126227" w:history="1">
            <w:r w:rsidRPr="00AE411E">
              <w:rPr>
                <w:rStyle w:val="Hyperlink"/>
                <w:rFonts w:ascii="Arial" w:hAnsi="Arial" w:cs="Arial"/>
                <w:b/>
                <w:bCs/>
                <w:noProof/>
              </w:rPr>
              <w:t>3.3.</w:t>
            </w:r>
            <w:r w:rsidR="00EF3A36">
              <w:rPr>
                <w:rStyle w:val="Hyperlink"/>
                <w:rFonts w:ascii="Arial" w:hAnsi="Arial" w:cs="Arial"/>
                <w:b/>
                <w:bCs/>
                <w:noProof/>
              </w:rPr>
              <w:t>5</w:t>
            </w:r>
            <w:r w:rsidRPr="00AE411E">
              <w:rPr>
                <w:rStyle w:val="Hyperlink"/>
                <w:rFonts w:ascii="Arial" w:hAnsi="Arial" w:cs="Arial"/>
                <w:b/>
                <w:bCs/>
                <w:noProof/>
              </w:rPr>
              <w:t xml:space="preserve"> </w:t>
            </w:r>
            <w:r w:rsidRPr="00AE411E">
              <w:rPr>
                <w:rStyle w:val="Hyperlink"/>
                <w:rFonts w:ascii="Arial" w:hAnsi="Arial" w:cs="Arial"/>
                <w:b/>
                <w:bCs/>
                <w:noProof/>
                <w:lang w:val="en-GB"/>
              </w:rPr>
              <w:t>Search Strings</w:t>
            </w:r>
            <w:r w:rsidRPr="00AE411E">
              <w:rPr>
                <w:rStyle w:val="Hyperlink"/>
                <w:rFonts w:ascii="Arial" w:hAnsi="Arial" w:cs="Arial"/>
                <w:b/>
                <w:bCs/>
                <w:noProof/>
                <w:webHidden/>
              </w:rPr>
              <w:tab/>
            </w:r>
            <w:r w:rsidR="00EF3A36">
              <w:rPr>
                <w:rStyle w:val="Hyperlink"/>
                <w:rFonts w:ascii="Arial" w:hAnsi="Arial" w:cs="Arial"/>
                <w:b/>
                <w:bCs/>
                <w:noProof/>
                <w:webHidden/>
              </w:rPr>
              <w:t>26</w:t>
            </w:r>
          </w:hyperlink>
        </w:p>
        <w:p w14:paraId="6C1AA7A6" w14:textId="11EDE90B" w:rsidR="00CC7E1F" w:rsidRPr="00AE411E" w:rsidRDefault="00E80543" w:rsidP="00E80543">
          <w:pPr>
            <w:pStyle w:val="TOC2"/>
            <w:rPr>
              <w:rFonts w:eastAsiaTheme="minorEastAsia"/>
              <w:b/>
              <w:bCs/>
            </w:rPr>
          </w:pPr>
          <w:hyperlink w:anchor="_Toc167126228" w:history="1">
            <w:r w:rsidRPr="00AE411E">
              <w:rPr>
                <w:rStyle w:val="Hyperlink"/>
                <w:b/>
                <w:bCs/>
              </w:rPr>
              <w:t>3.4</w:t>
            </w:r>
            <w:r w:rsidR="00CC7E1F" w:rsidRPr="00AE411E">
              <w:rPr>
                <w:rStyle w:val="Hyperlink"/>
                <w:rFonts w:eastAsiaTheme="minorEastAsia"/>
                <w:b/>
                <w:bCs/>
              </w:rPr>
              <w:tab/>
            </w:r>
            <w:r w:rsidRPr="00AE411E">
              <w:rPr>
                <w:rStyle w:val="Hyperlink"/>
                <w:b/>
                <w:bCs/>
                <w:lang w:val="en-GB"/>
              </w:rPr>
              <w:t>Search Management</w:t>
            </w:r>
            <w:r w:rsidR="00CC7E1F" w:rsidRPr="00AE411E">
              <w:rPr>
                <w:rStyle w:val="Hyperlink"/>
                <w:b/>
                <w:bCs/>
                <w:webHidden/>
              </w:rPr>
              <w:tab/>
            </w:r>
            <w:r w:rsidR="00EF3A36">
              <w:rPr>
                <w:rStyle w:val="Hyperlink"/>
                <w:b/>
                <w:bCs/>
                <w:webHidden/>
              </w:rPr>
              <w:t>27</w:t>
            </w:r>
          </w:hyperlink>
        </w:p>
        <w:p w14:paraId="559E6BA9" w14:textId="2CA1F5F0" w:rsidR="00CC7E1F" w:rsidRPr="00AE411E" w:rsidRDefault="00E80543" w:rsidP="00E80543">
          <w:pPr>
            <w:pStyle w:val="TOC2"/>
            <w:rPr>
              <w:b/>
              <w:bCs/>
            </w:rPr>
          </w:pPr>
          <w:hyperlink w:anchor="_Toc167126229" w:history="1">
            <w:r w:rsidRPr="00AE411E">
              <w:rPr>
                <w:rStyle w:val="Hyperlink"/>
                <w:b/>
                <w:bCs/>
              </w:rPr>
              <w:t>3.5</w:t>
            </w:r>
            <w:r w:rsidR="00CC7E1F" w:rsidRPr="00AE411E">
              <w:rPr>
                <w:rStyle w:val="Hyperlink"/>
                <w:rFonts w:eastAsiaTheme="minorEastAsia"/>
                <w:b/>
                <w:bCs/>
              </w:rPr>
              <w:tab/>
            </w:r>
            <w:r w:rsidRPr="00AE411E">
              <w:rPr>
                <w:rStyle w:val="Hyperlink"/>
                <w:b/>
                <w:bCs/>
                <w:lang w:val="en-GB"/>
              </w:rPr>
              <w:t>Inclusion and Exclusion Criteria</w:t>
            </w:r>
            <w:r w:rsidR="00CC7E1F" w:rsidRPr="00AE411E">
              <w:rPr>
                <w:rStyle w:val="Hyperlink"/>
                <w:b/>
                <w:bCs/>
                <w:webHidden/>
              </w:rPr>
              <w:tab/>
            </w:r>
            <w:r w:rsidR="00EF3A36">
              <w:rPr>
                <w:rStyle w:val="Hyperlink"/>
                <w:b/>
                <w:bCs/>
                <w:webHidden/>
              </w:rPr>
              <w:t>27</w:t>
            </w:r>
          </w:hyperlink>
        </w:p>
        <w:p w14:paraId="0B508C14" w14:textId="0ED75D13" w:rsidR="00E80543" w:rsidRPr="00AE411E" w:rsidRDefault="00E80543" w:rsidP="00E80543">
          <w:pPr>
            <w:pStyle w:val="TOC3"/>
            <w:tabs>
              <w:tab w:val="right" w:leader="dot" w:pos="9350"/>
            </w:tabs>
            <w:rPr>
              <w:rFonts w:ascii="Arial" w:eastAsiaTheme="minorEastAsia" w:hAnsi="Arial" w:cs="Arial"/>
              <w:b/>
              <w:bCs/>
              <w:noProof/>
            </w:rPr>
          </w:pPr>
          <w:hyperlink w:anchor="_Toc167126244" w:history="1">
            <w:r w:rsidRPr="00AE411E">
              <w:rPr>
                <w:rStyle w:val="Hyperlink"/>
                <w:rFonts w:ascii="Arial" w:hAnsi="Arial" w:cs="Arial"/>
                <w:b/>
                <w:bCs/>
                <w:noProof/>
              </w:rPr>
              <w:t xml:space="preserve">3.5.1 </w:t>
            </w:r>
            <w:r w:rsidRPr="00AE411E">
              <w:rPr>
                <w:rStyle w:val="Hyperlink"/>
                <w:rFonts w:ascii="Arial" w:hAnsi="Arial" w:cs="Arial"/>
                <w:b/>
                <w:bCs/>
                <w:noProof/>
                <w:lang w:val="en-GB"/>
              </w:rPr>
              <w:t>PICOS Eligibility Framework</w:t>
            </w:r>
            <w:r w:rsidRPr="00AE411E">
              <w:rPr>
                <w:rStyle w:val="Hyperlink"/>
                <w:rFonts w:ascii="Arial" w:hAnsi="Arial" w:cs="Arial"/>
                <w:b/>
                <w:bCs/>
                <w:noProof/>
                <w:webHidden/>
              </w:rPr>
              <w:tab/>
            </w:r>
            <w:r w:rsidR="00EF3A36">
              <w:rPr>
                <w:rStyle w:val="Hyperlink"/>
                <w:rFonts w:ascii="Arial" w:hAnsi="Arial" w:cs="Arial"/>
                <w:b/>
                <w:bCs/>
                <w:noProof/>
                <w:webHidden/>
              </w:rPr>
              <w:t>27</w:t>
            </w:r>
          </w:hyperlink>
        </w:p>
        <w:p w14:paraId="09227E36" w14:textId="4B58DC50" w:rsidR="00E80543" w:rsidRPr="00AE411E" w:rsidRDefault="00E80543" w:rsidP="00E80543">
          <w:pPr>
            <w:pStyle w:val="TOC3"/>
            <w:tabs>
              <w:tab w:val="right" w:leader="dot" w:pos="9350"/>
            </w:tabs>
            <w:rPr>
              <w:b/>
              <w:bCs/>
            </w:rPr>
          </w:pPr>
          <w:hyperlink w:anchor="_Toc167126245" w:history="1">
            <w:r w:rsidRPr="00AE411E">
              <w:rPr>
                <w:rStyle w:val="Hyperlink"/>
                <w:rFonts w:ascii="Arial" w:hAnsi="Arial" w:cs="Arial"/>
                <w:b/>
                <w:bCs/>
                <w:noProof/>
              </w:rPr>
              <w:t xml:space="preserve">3.5.2 </w:t>
            </w:r>
            <w:r w:rsidRPr="00AE411E">
              <w:rPr>
                <w:rStyle w:val="Hyperlink"/>
                <w:rFonts w:ascii="Arial" w:hAnsi="Arial" w:cs="Arial"/>
                <w:b/>
                <w:bCs/>
                <w:noProof/>
                <w:lang w:val="en-GB"/>
              </w:rPr>
              <w:t>Exclusion Criteria</w:t>
            </w:r>
            <w:r w:rsidRPr="00AE411E">
              <w:rPr>
                <w:rStyle w:val="Hyperlink"/>
                <w:rFonts w:ascii="Arial" w:hAnsi="Arial" w:cs="Arial"/>
                <w:b/>
                <w:bCs/>
                <w:noProof/>
                <w:webHidden/>
              </w:rPr>
              <w:tab/>
            </w:r>
            <w:r w:rsidR="00DB06F9">
              <w:rPr>
                <w:rStyle w:val="Hyperlink"/>
                <w:rFonts w:ascii="Arial" w:hAnsi="Arial" w:cs="Arial"/>
                <w:b/>
                <w:bCs/>
                <w:noProof/>
                <w:webHidden/>
              </w:rPr>
              <w:t>29</w:t>
            </w:r>
          </w:hyperlink>
        </w:p>
        <w:p w14:paraId="09E41AF0" w14:textId="59A6288E" w:rsidR="00E80543" w:rsidRPr="00AE411E" w:rsidRDefault="00E80543" w:rsidP="00E80543">
          <w:pPr>
            <w:pStyle w:val="TOC2"/>
            <w:rPr>
              <w:b/>
              <w:bCs/>
            </w:rPr>
          </w:pPr>
          <w:hyperlink w:anchor="_Toc167126229" w:history="1">
            <w:r w:rsidRPr="00AE411E">
              <w:rPr>
                <w:rStyle w:val="Hyperlink"/>
                <w:b/>
                <w:bCs/>
              </w:rPr>
              <w:t>3.6</w:t>
            </w:r>
            <w:r w:rsidRPr="00AE411E">
              <w:rPr>
                <w:rStyle w:val="Hyperlink"/>
                <w:rFonts w:eastAsiaTheme="minorEastAsia"/>
                <w:b/>
                <w:bCs/>
              </w:rPr>
              <w:tab/>
            </w:r>
            <w:r w:rsidRPr="00AE411E">
              <w:rPr>
                <w:rStyle w:val="Hyperlink"/>
                <w:b/>
                <w:bCs/>
                <w:lang w:val="en-GB"/>
              </w:rPr>
              <w:t>Screening and Selection Process</w:t>
            </w:r>
            <w:r w:rsidRPr="00AE411E">
              <w:rPr>
                <w:rStyle w:val="Hyperlink"/>
                <w:b/>
                <w:bCs/>
                <w:webHidden/>
              </w:rPr>
              <w:tab/>
            </w:r>
            <w:r w:rsidR="00DB06F9">
              <w:rPr>
                <w:rStyle w:val="Hyperlink"/>
                <w:b/>
                <w:bCs/>
                <w:webHidden/>
              </w:rPr>
              <w:t>29</w:t>
            </w:r>
          </w:hyperlink>
        </w:p>
        <w:p w14:paraId="36BE3ECF" w14:textId="5ED0E5FB" w:rsidR="00DA055B" w:rsidRPr="00AE411E" w:rsidRDefault="00DA055B" w:rsidP="00DA055B">
          <w:pPr>
            <w:pStyle w:val="TOC3"/>
            <w:tabs>
              <w:tab w:val="right" w:leader="dot" w:pos="9350"/>
            </w:tabs>
            <w:rPr>
              <w:rFonts w:ascii="Arial" w:eastAsiaTheme="minorEastAsia" w:hAnsi="Arial" w:cs="Arial"/>
              <w:b/>
              <w:bCs/>
              <w:noProof/>
            </w:rPr>
          </w:pPr>
          <w:hyperlink w:anchor="_Toc167126244" w:history="1">
            <w:r w:rsidRPr="00AE411E">
              <w:rPr>
                <w:rStyle w:val="Hyperlink"/>
                <w:rFonts w:ascii="Arial" w:hAnsi="Arial" w:cs="Arial"/>
                <w:b/>
                <w:bCs/>
                <w:noProof/>
              </w:rPr>
              <w:t xml:space="preserve">3.6.1 </w:t>
            </w:r>
            <w:r w:rsidRPr="00AE411E">
              <w:rPr>
                <w:rStyle w:val="Hyperlink"/>
                <w:rFonts w:ascii="Arial" w:hAnsi="Arial" w:cs="Arial"/>
                <w:b/>
                <w:bCs/>
                <w:noProof/>
                <w:lang w:val="en-GB"/>
              </w:rPr>
              <w:t>Deduplication</w:t>
            </w:r>
            <w:r w:rsidRPr="00AE411E">
              <w:rPr>
                <w:rStyle w:val="Hyperlink"/>
                <w:rFonts w:ascii="Arial" w:hAnsi="Arial" w:cs="Arial"/>
                <w:b/>
                <w:bCs/>
                <w:noProof/>
                <w:webHidden/>
              </w:rPr>
              <w:tab/>
            </w:r>
            <w:r w:rsidR="00DB06F9">
              <w:rPr>
                <w:rStyle w:val="Hyperlink"/>
                <w:rFonts w:ascii="Arial" w:hAnsi="Arial" w:cs="Arial"/>
                <w:b/>
                <w:bCs/>
                <w:noProof/>
                <w:webHidden/>
              </w:rPr>
              <w:t>29</w:t>
            </w:r>
          </w:hyperlink>
        </w:p>
        <w:p w14:paraId="3B7C4DF6" w14:textId="56814DE8" w:rsidR="00DA055B" w:rsidRPr="00AE411E" w:rsidRDefault="00DA055B" w:rsidP="00DA055B">
          <w:pPr>
            <w:pStyle w:val="TOC3"/>
            <w:tabs>
              <w:tab w:val="right" w:leader="dot" w:pos="9350"/>
            </w:tabs>
            <w:rPr>
              <w:rFonts w:ascii="Arial" w:eastAsiaTheme="minorEastAsia" w:hAnsi="Arial" w:cs="Arial"/>
              <w:b/>
              <w:bCs/>
              <w:noProof/>
            </w:rPr>
          </w:pPr>
          <w:hyperlink w:anchor="_Toc167126245" w:history="1">
            <w:r w:rsidRPr="00AE411E">
              <w:rPr>
                <w:rStyle w:val="Hyperlink"/>
                <w:rFonts w:ascii="Arial" w:hAnsi="Arial" w:cs="Arial"/>
                <w:b/>
                <w:bCs/>
                <w:noProof/>
              </w:rPr>
              <w:t xml:space="preserve">3.6.2 </w:t>
            </w:r>
            <w:r w:rsidRPr="00AE411E">
              <w:rPr>
                <w:rStyle w:val="Hyperlink"/>
                <w:rFonts w:ascii="Arial" w:hAnsi="Arial" w:cs="Arial"/>
                <w:b/>
                <w:bCs/>
                <w:noProof/>
                <w:lang w:val="en-GB"/>
              </w:rPr>
              <w:t>Title and Abstract Screening</w:t>
            </w:r>
            <w:r w:rsidRPr="00AE411E">
              <w:rPr>
                <w:rStyle w:val="Hyperlink"/>
                <w:rFonts w:ascii="Arial" w:hAnsi="Arial" w:cs="Arial"/>
                <w:b/>
                <w:bCs/>
                <w:noProof/>
                <w:webHidden/>
              </w:rPr>
              <w:tab/>
            </w:r>
            <w:r w:rsidR="00DB06F9">
              <w:rPr>
                <w:rStyle w:val="Hyperlink"/>
                <w:rFonts w:ascii="Arial" w:hAnsi="Arial" w:cs="Arial"/>
                <w:b/>
                <w:bCs/>
                <w:noProof/>
                <w:webHidden/>
              </w:rPr>
              <w:t>29</w:t>
            </w:r>
          </w:hyperlink>
        </w:p>
        <w:p w14:paraId="2AC7AA23" w14:textId="170F69BF" w:rsidR="00DA055B" w:rsidRPr="00AE411E" w:rsidRDefault="00DA055B" w:rsidP="00DA055B">
          <w:pPr>
            <w:pStyle w:val="TOC3"/>
            <w:tabs>
              <w:tab w:val="right" w:leader="dot" w:pos="9350"/>
            </w:tabs>
            <w:rPr>
              <w:rFonts w:ascii="Arial" w:eastAsiaTheme="minorEastAsia" w:hAnsi="Arial" w:cs="Arial"/>
              <w:b/>
              <w:bCs/>
              <w:noProof/>
            </w:rPr>
          </w:pPr>
          <w:hyperlink w:anchor="_Toc167126246" w:history="1">
            <w:r w:rsidRPr="00AE411E">
              <w:rPr>
                <w:rStyle w:val="Hyperlink"/>
                <w:rFonts w:ascii="Arial" w:hAnsi="Arial" w:cs="Arial"/>
                <w:b/>
                <w:bCs/>
                <w:noProof/>
              </w:rPr>
              <w:t xml:space="preserve">3.6.3 </w:t>
            </w:r>
            <w:r w:rsidRPr="00AE411E">
              <w:rPr>
                <w:rStyle w:val="Hyperlink"/>
                <w:rFonts w:ascii="Arial" w:hAnsi="Arial" w:cs="Arial"/>
                <w:b/>
                <w:bCs/>
                <w:noProof/>
                <w:lang w:val="en-GB"/>
              </w:rPr>
              <w:t>Full-Text Screening</w:t>
            </w:r>
            <w:r w:rsidRPr="00AE411E">
              <w:rPr>
                <w:rStyle w:val="Hyperlink"/>
                <w:rFonts w:ascii="Arial" w:hAnsi="Arial" w:cs="Arial"/>
                <w:b/>
                <w:bCs/>
                <w:noProof/>
                <w:webHidden/>
              </w:rPr>
              <w:tab/>
            </w:r>
            <w:r w:rsidR="00DB06F9">
              <w:rPr>
                <w:rStyle w:val="Hyperlink"/>
                <w:rFonts w:ascii="Arial" w:hAnsi="Arial" w:cs="Arial"/>
                <w:b/>
                <w:bCs/>
                <w:noProof/>
                <w:webHidden/>
              </w:rPr>
              <w:t>29</w:t>
            </w:r>
          </w:hyperlink>
        </w:p>
        <w:p w14:paraId="37B8966A" w14:textId="7D157D2B" w:rsidR="00CC7E1F" w:rsidRPr="00AE411E" w:rsidRDefault="00CC7E1F" w:rsidP="00E80543">
          <w:pPr>
            <w:pStyle w:val="TOC2"/>
            <w:rPr>
              <w:rFonts w:eastAsiaTheme="minorEastAsia"/>
              <w:b/>
              <w:bCs/>
            </w:rPr>
          </w:pPr>
          <w:hyperlink w:anchor="_Toc167126233" w:history="1">
            <w:r w:rsidRPr="00AE411E">
              <w:rPr>
                <w:rStyle w:val="Hyperlink"/>
                <w:b/>
                <w:bCs/>
              </w:rPr>
              <w:t>3.</w:t>
            </w:r>
            <w:r w:rsidR="00DA055B" w:rsidRPr="00AE411E">
              <w:rPr>
                <w:rStyle w:val="Hyperlink"/>
                <w:b/>
                <w:bCs/>
              </w:rPr>
              <w:t>7</w:t>
            </w:r>
            <w:r w:rsidRPr="00AE411E">
              <w:rPr>
                <w:rStyle w:val="Hyperlink"/>
                <w:rFonts w:eastAsiaTheme="minorEastAsia"/>
                <w:b/>
                <w:bCs/>
              </w:rPr>
              <w:tab/>
            </w:r>
            <w:r w:rsidR="00DA055B" w:rsidRPr="00AE411E">
              <w:rPr>
                <w:rStyle w:val="Hyperlink"/>
                <w:b/>
                <w:bCs/>
                <w:lang w:val="en-GB"/>
              </w:rPr>
              <w:t>Data Extraction</w:t>
            </w:r>
            <w:r w:rsidRPr="00AE411E">
              <w:rPr>
                <w:rStyle w:val="Hyperlink"/>
                <w:b/>
                <w:bCs/>
                <w:webHidden/>
              </w:rPr>
              <w:tab/>
            </w:r>
            <w:r w:rsidR="00A6469D">
              <w:rPr>
                <w:rStyle w:val="Hyperlink"/>
                <w:b/>
                <w:bCs/>
                <w:webHidden/>
              </w:rPr>
              <w:t>30</w:t>
            </w:r>
          </w:hyperlink>
        </w:p>
        <w:p w14:paraId="3F6F2FDB" w14:textId="132A3313" w:rsidR="00CC7E1F" w:rsidRPr="00AE411E" w:rsidRDefault="00CC7E1F" w:rsidP="00E80543">
          <w:pPr>
            <w:pStyle w:val="TOC2"/>
            <w:rPr>
              <w:rFonts w:eastAsiaTheme="minorEastAsia"/>
              <w:b/>
              <w:bCs/>
            </w:rPr>
          </w:pPr>
          <w:hyperlink w:anchor="_Toc167126234" w:history="1">
            <w:r w:rsidRPr="00AE411E">
              <w:rPr>
                <w:rStyle w:val="Hyperlink"/>
                <w:b/>
                <w:bCs/>
              </w:rPr>
              <w:t>3.</w:t>
            </w:r>
            <w:r w:rsidR="00DA055B" w:rsidRPr="00AE411E">
              <w:rPr>
                <w:rStyle w:val="Hyperlink"/>
                <w:b/>
                <w:bCs/>
              </w:rPr>
              <w:t>8</w:t>
            </w:r>
            <w:r w:rsidRPr="00AE411E">
              <w:rPr>
                <w:rStyle w:val="Hyperlink"/>
                <w:rFonts w:eastAsiaTheme="minorEastAsia"/>
                <w:b/>
                <w:bCs/>
              </w:rPr>
              <w:tab/>
            </w:r>
            <w:r w:rsidR="00DA055B" w:rsidRPr="00AE411E">
              <w:rPr>
                <w:rStyle w:val="Hyperlink"/>
                <w:b/>
                <w:bCs/>
                <w:lang w:val="en-GB"/>
              </w:rPr>
              <w:t>Quality Appraisal</w:t>
            </w:r>
            <w:r w:rsidRPr="00AE411E">
              <w:rPr>
                <w:rStyle w:val="Hyperlink"/>
                <w:b/>
                <w:bCs/>
                <w:webHidden/>
              </w:rPr>
              <w:tab/>
            </w:r>
            <w:r w:rsidR="00DB06F9">
              <w:rPr>
                <w:rStyle w:val="Hyperlink"/>
                <w:b/>
                <w:bCs/>
                <w:webHidden/>
              </w:rPr>
              <w:t>3</w:t>
            </w:r>
            <w:r w:rsidR="006B03D2">
              <w:rPr>
                <w:rStyle w:val="Hyperlink"/>
                <w:b/>
                <w:bCs/>
                <w:webHidden/>
              </w:rPr>
              <w:t>1</w:t>
            </w:r>
          </w:hyperlink>
        </w:p>
        <w:p w14:paraId="6C8290A4" w14:textId="0191280D" w:rsidR="00DA055B" w:rsidRPr="00AE411E" w:rsidRDefault="00DA055B" w:rsidP="00DA055B">
          <w:pPr>
            <w:pStyle w:val="TOC3"/>
            <w:tabs>
              <w:tab w:val="right" w:leader="dot" w:pos="9350"/>
            </w:tabs>
            <w:rPr>
              <w:rFonts w:ascii="Arial" w:eastAsiaTheme="minorEastAsia" w:hAnsi="Arial" w:cs="Arial"/>
              <w:b/>
              <w:bCs/>
              <w:noProof/>
            </w:rPr>
          </w:pPr>
          <w:hyperlink w:anchor="_Toc167126244" w:history="1">
            <w:r w:rsidRPr="00AE411E">
              <w:rPr>
                <w:rStyle w:val="Hyperlink"/>
                <w:rFonts w:ascii="Arial" w:hAnsi="Arial" w:cs="Arial"/>
                <w:b/>
                <w:bCs/>
                <w:noProof/>
              </w:rPr>
              <w:t xml:space="preserve">3.8.1 </w:t>
            </w:r>
            <w:r w:rsidR="003B0F3B">
              <w:rPr>
                <w:rStyle w:val="Hyperlink"/>
                <w:rFonts w:ascii="Arial" w:hAnsi="Arial" w:cs="Arial"/>
                <w:b/>
                <w:bCs/>
                <w:noProof/>
                <w:lang w:val="en-GB"/>
              </w:rPr>
              <w:t>CASP checklist selection</w:t>
            </w:r>
            <w:r w:rsidRPr="00AE411E">
              <w:rPr>
                <w:rStyle w:val="Hyperlink"/>
                <w:rFonts w:ascii="Arial" w:hAnsi="Arial" w:cs="Arial"/>
                <w:b/>
                <w:bCs/>
                <w:noProof/>
                <w:webHidden/>
              </w:rPr>
              <w:tab/>
            </w:r>
            <w:r w:rsidRPr="00AE411E">
              <w:rPr>
                <w:rStyle w:val="Hyperlink"/>
                <w:rFonts w:ascii="Arial" w:hAnsi="Arial" w:cs="Arial"/>
                <w:b/>
                <w:bCs/>
                <w:noProof/>
                <w:webHidden/>
              </w:rPr>
              <w:fldChar w:fldCharType="begin"/>
            </w:r>
            <w:r w:rsidRPr="00AE411E">
              <w:rPr>
                <w:rStyle w:val="Hyperlink"/>
                <w:rFonts w:ascii="Arial" w:hAnsi="Arial" w:cs="Arial"/>
                <w:b/>
                <w:bCs/>
                <w:noProof/>
                <w:webHidden/>
              </w:rPr>
              <w:instrText xml:space="preserve"> PAGEREF _Toc167126244 \h </w:instrText>
            </w:r>
            <w:r w:rsidRPr="00AE411E">
              <w:rPr>
                <w:rStyle w:val="Hyperlink"/>
                <w:rFonts w:ascii="Arial" w:hAnsi="Arial" w:cs="Arial"/>
                <w:b/>
                <w:bCs/>
                <w:noProof/>
                <w:webHidden/>
              </w:rPr>
            </w:r>
            <w:r w:rsidRPr="00AE411E">
              <w:rPr>
                <w:rStyle w:val="Hyperlink"/>
                <w:rFonts w:ascii="Arial" w:hAnsi="Arial" w:cs="Arial"/>
                <w:b/>
                <w:bCs/>
                <w:noProof/>
                <w:webHidden/>
              </w:rPr>
              <w:fldChar w:fldCharType="separate"/>
            </w:r>
            <w:r w:rsidRPr="00AE411E">
              <w:rPr>
                <w:rStyle w:val="Hyperlink"/>
                <w:rFonts w:ascii="Arial" w:hAnsi="Arial" w:cs="Arial"/>
                <w:b/>
                <w:bCs/>
                <w:noProof/>
                <w:webHidden/>
              </w:rPr>
              <w:t>3</w:t>
            </w:r>
            <w:r w:rsidR="006B03D2">
              <w:rPr>
                <w:rStyle w:val="Hyperlink"/>
                <w:rFonts w:ascii="Arial" w:hAnsi="Arial" w:cs="Arial"/>
                <w:b/>
                <w:bCs/>
                <w:noProof/>
                <w:webHidden/>
              </w:rPr>
              <w:t>1</w:t>
            </w:r>
            <w:r w:rsidRPr="00AE411E">
              <w:rPr>
                <w:rStyle w:val="Hyperlink"/>
                <w:rFonts w:ascii="Arial" w:hAnsi="Arial" w:cs="Arial"/>
                <w:b/>
                <w:bCs/>
                <w:noProof/>
                <w:webHidden/>
              </w:rPr>
              <w:fldChar w:fldCharType="end"/>
            </w:r>
          </w:hyperlink>
        </w:p>
        <w:p w14:paraId="67F3DEC2" w14:textId="56B10D0C" w:rsidR="00DA055B" w:rsidRPr="00AE411E" w:rsidRDefault="00DA055B" w:rsidP="00DA055B">
          <w:pPr>
            <w:pStyle w:val="TOC3"/>
            <w:tabs>
              <w:tab w:val="right" w:leader="dot" w:pos="9350"/>
            </w:tabs>
            <w:rPr>
              <w:rFonts w:ascii="Arial" w:eastAsiaTheme="minorEastAsia" w:hAnsi="Arial" w:cs="Arial"/>
              <w:b/>
              <w:bCs/>
              <w:noProof/>
            </w:rPr>
          </w:pPr>
          <w:hyperlink w:anchor="_Toc167126245" w:history="1">
            <w:r w:rsidRPr="00AE411E">
              <w:rPr>
                <w:rStyle w:val="Hyperlink"/>
                <w:rFonts w:ascii="Arial" w:hAnsi="Arial" w:cs="Arial"/>
                <w:b/>
                <w:bCs/>
                <w:noProof/>
              </w:rPr>
              <w:t xml:space="preserve">3.8.2 </w:t>
            </w:r>
            <w:r w:rsidR="00733847">
              <w:rPr>
                <w:rStyle w:val="Hyperlink"/>
                <w:rFonts w:ascii="Arial" w:hAnsi="Arial" w:cs="Arial"/>
                <w:b/>
                <w:bCs/>
                <w:noProof/>
                <w:lang w:val="en-GB"/>
              </w:rPr>
              <w:t>Appraisal process and inclusion threshold</w:t>
            </w:r>
            <w:r w:rsidRPr="00AE411E">
              <w:rPr>
                <w:rStyle w:val="Hyperlink"/>
                <w:rFonts w:ascii="Arial" w:hAnsi="Arial" w:cs="Arial"/>
                <w:b/>
                <w:bCs/>
                <w:noProof/>
                <w:webHidden/>
              </w:rPr>
              <w:tab/>
            </w:r>
            <w:r w:rsidR="00DB06F9">
              <w:rPr>
                <w:rStyle w:val="Hyperlink"/>
                <w:rFonts w:ascii="Arial" w:hAnsi="Arial" w:cs="Arial"/>
                <w:b/>
                <w:bCs/>
                <w:noProof/>
                <w:webHidden/>
              </w:rPr>
              <w:t>3</w:t>
            </w:r>
            <w:r w:rsidR="006B03D2">
              <w:rPr>
                <w:rStyle w:val="Hyperlink"/>
                <w:rFonts w:ascii="Arial" w:hAnsi="Arial" w:cs="Arial"/>
                <w:b/>
                <w:bCs/>
                <w:noProof/>
                <w:webHidden/>
              </w:rPr>
              <w:t>1</w:t>
            </w:r>
          </w:hyperlink>
        </w:p>
        <w:p w14:paraId="6E8E0AF3" w14:textId="19F1334F" w:rsidR="00CC7E1F" w:rsidRPr="00AE411E" w:rsidRDefault="00CC7E1F" w:rsidP="00E80543">
          <w:pPr>
            <w:pStyle w:val="TOC2"/>
            <w:rPr>
              <w:rFonts w:eastAsiaTheme="minorEastAsia"/>
              <w:b/>
              <w:bCs/>
            </w:rPr>
          </w:pPr>
          <w:hyperlink w:anchor="_Toc167126237" w:history="1">
            <w:r w:rsidRPr="00AE411E">
              <w:rPr>
                <w:rStyle w:val="Hyperlink"/>
                <w:b/>
                <w:bCs/>
              </w:rPr>
              <w:t>3.</w:t>
            </w:r>
            <w:r w:rsidR="00DA055B" w:rsidRPr="00AE411E">
              <w:rPr>
                <w:rStyle w:val="Hyperlink"/>
                <w:b/>
                <w:bCs/>
              </w:rPr>
              <w:t>9</w:t>
            </w:r>
            <w:r w:rsidRPr="00AE411E">
              <w:rPr>
                <w:rStyle w:val="Hyperlink"/>
                <w:rFonts w:eastAsiaTheme="minorEastAsia"/>
                <w:b/>
                <w:bCs/>
              </w:rPr>
              <w:tab/>
            </w:r>
            <w:r w:rsidR="00DA055B" w:rsidRPr="00AE411E">
              <w:rPr>
                <w:rStyle w:val="Hyperlink"/>
                <w:b/>
                <w:bCs/>
                <w:lang w:val="en-GB"/>
              </w:rPr>
              <w:t>Data Synthesis and Analysis</w:t>
            </w:r>
            <w:r w:rsidRPr="00AE411E">
              <w:rPr>
                <w:rStyle w:val="Hyperlink"/>
                <w:b/>
                <w:bCs/>
                <w:webHidden/>
              </w:rPr>
              <w:tab/>
            </w:r>
            <w:r w:rsidR="00DB06F9">
              <w:rPr>
                <w:rStyle w:val="Hyperlink"/>
                <w:b/>
                <w:bCs/>
                <w:webHidden/>
              </w:rPr>
              <w:t>3</w:t>
            </w:r>
            <w:r w:rsidR="006B03D2">
              <w:rPr>
                <w:rStyle w:val="Hyperlink"/>
                <w:b/>
                <w:bCs/>
                <w:webHidden/>
              </w:rPr>
              <w:t>2</w:t>
            </w:r>
          </w:hyperlink>
        </w:p>
        <w:p w14:paraId="3FAA1D97" w14:textId="1875BB02" w:rsidR="00DA055B" w:rsidRPr="00AE411E" w:rsidRDefault="00DA055B" w:rsidP="00DA055B">
          <w:pPr>
            <w:pStyle w:val="TOC3"/>
            <w:tabs>
              <w:tab w:val="right" w:leader="dot" w:pos="9350"/>
            </w:tabs>
            <w:rPr>
              <w:rFonts w:ascii="Arial" w:eastAsiaTheme="minorEastAsia" w:hAnsi="Arial" w:cs="Arial"/>
              <w:b/>
              <w:bCs/>
              <w:noProof/>
            </w:rPr>
          </w:pPr>
          <w:hyperlink w:anchor="_Toc167126244" w:history="1">
            <w:r w:rsidRPr="00AE411E">
              <w:rPr>
                <w:rStyle w:val="Hyperlink"/>
                <w:rFonts w:ascii="Arial" w:hAnsi="Arial" w:cs="Arial"/>
                <w:b/>
                <w:bCs/>
                <w:noProof/>
              </w:rPr>
              <w:t xml:space="preserve">3.9.1 </w:t>
            </w:r>
            <w:r w:rsidRPr="00AE411E">
              <w:rPr>
                <w:rStyle w:val="Hyperlink"/>
                <w:rFonts w:ascii="Arial" w:hAnsi="Arial" w:cs="Arial"/>
                <w:b/>
                <w:bCs/>
                <w:noProof/>
                <w:lang w:val="en-GB"/>
              </w:rPr>
              <w:t>Synthesis Rationale</w:t>
            </w:r>
            <w:r w:rsidRPr="00AE411E">
              <w:rPr>
                <w:rStyle w:val="Hyperlink"/>
                <w:rFonts w:ascii="Arial" w:hAnsi="Arial" w:cs="Arial"/>
                <w:b/>
                <w:bCs/>
                <w:noProof/>
                <w:webHidden/>
              </w:rPr>
              <w:tab/>
            </w:r>
            <w:r w:rsidRPr="00AE411E">
              <w:rPr>
                <w:rStyle w:val="Hyperlink"/>
                <w:rFonts w:ascii="Arial" w:hAnsi="Arial" w:cs="Arial"/>
                <w:b/>
                <w:bCs/>
                <w:noProof/>
                <w:webHidden/>
              </w:rPr>
              <w:fldChar w:fldCharType="begin"/>
            </w:r>
            <w:r w:rsidRPr="00AE411E">
              <w:rPr>
                <w:rStyle w:val="Hyperlink"/>
                <w:rFonts w:ascii="Arial" w:hAnsi="Arial" w:cs="Arial"/>
                <w:b/>
                <w:bCs/>
                <w:noProof/>
                <w:webHidden/>
              </w:rPr>
              <w:instrText xml:space="preserve"> PAGEREF _Toc167126244 \h </w:instrText>
            </w:r>
            <w:r w:rsidRPr="00AE411E">
              <w:rPr>
                <w:rStyle w:val="Hyperlink"/>
                <w:rFonts w:ascii="Arial" w:hAnsi="Arial" w:cs="Arial"/>
                <w:b/>
                <w:bCs/>
                <w:noProof/>
                <w:webHidden/>
              </w:rPr>
            </w:r>
            <w:r w:rsidRPr="00AE411E">
              <w:rPr>
                <w:rStyle w:val="Hyperlink"/>
                <w:rFonts w:ascii="Arial" w:hAnsi="Arial" w:cs="Arial"/>
                <w:b/>
                <w:bCs/>
                <w:noProof/>
                <w:webHidden/>
              </w:rPr>
              <w:fldChar w:fldCharType="separate"/>
            </w:r>
            <w:r w:rsidRPr="00AE411E">
              <w:rPr>
                <w:rStyle w:val="Hyperlink"/>
                <w:rFonts w:ascii="Arial" w:hAnsi="Arial" w:cs="Arial"/>
                <w:b/>
                <w:bCs/>
                <w:noProof/>
                <w:webHidden/>
              </w:rPr>
              <w:t>3</w:t>
            </w:r>
            <w:r w:rsidR="006B03D2">
              <w:rPr>
                <w:rStyle w:val="Hyperlink"/>
                <w:rFonts w:ascii="Arial" w:hAnsi="Arial" w:cs="Arial"/>
                <w:b/>
                <w:bCs/>
                <w:noProof/>
                <w:webHidden/>
              </w:rPr>
              <w:t>2</w:t>
            </w:r>
            <w:r w:rsidRPr="00AE411E">
              <w:rPr>
                <w:rStyle w:val="Hyperlink"/>
                <w:rFonts w:ascii="Arial" w:hAnsi="Arial" w:cs="Arial"/>
                <w:b/>
                <w:bCs/>
                <w:noProof/>
                <w:webHidden/>
              </w:rPr>
              <w:fldChar w:fldCharType="end"/>
            </w:r>
          </w:hyperlink>
        </w:p>
        <w:p w14:paraId="7C3DF66E" w14:textId="05881ECF" w:rsidR="00DA055B" w:rsidRPr="00AE411E" w:rsidRDefault="00DA055B" w:rsidP="00DA055B">
          <w:pPr>
            <w:pStyle w:val="TOC3"/>
            <w:tabs>
              <w:tab w:val="right" w:leader="dot" w:pos="9350"/>
            </w:tabs>
            <w:rPr>
              <w:rFonts w:ascii="Arial" w:eastAsiaTheme="minorEastAsia" w:hAnsi="Arial" w:cs="Arial"/>
              <w:b/>
              <w:bCs/>
              <w:noProof/>
            </w:rPr>
          </w:pPr>
          <w:hyperlink w:anchor="_Toc167126245" w:history="1">
            <w:r w:rsidRPr="00AE411E">
              <w:rPr>
                <w:rStyle w:val="Hyperlink"/>
                <w:rFonts w:ascii="Arial" w:hAnsi="Arial" w:cs="Arial"/>
                <w:b/>
                <w:bCs/>
                <w:noProof/>
              </w:rPr>
              <w:t>3.9.2</w:t>
            </w:r>
            <w:r w:rsidR="002976C9">
              <w:rPr>
                <w:rStyle w:val="Hyperlink"/>
                <w:rFonts w:ascii="Arial" w:hAnsi="Arial" w:cs="Arial"/>
                <w:b/>
                <w:bCs/>
                <w:noProof/>
              </w:rPr>
              <w:t xml:space="preserve"> </w:t>
            </w:r>
            <w:r w:rsidRPr="00AE411E">
              <w:rPr>
                <w:rStyle w:val="Hyperlink"/>
                <w:rFonts w:ascii="Arial" w:hAnsi="Arial" w:cs="Arial"/>
                <w:b/>
                <w:bCs/>
                <w:noProof/>
                <w:lang w:val="en-GB"/>
              </w:rPr>
              <w:t>Thematic Synthesis Steps</w:t>
            </w:r>
            <w:r w:rsidRPr="00AE411E">
              <w:rPr>
                <w:rStyle w:val="Hyperlink"/>
                <w:rFonts w:ascii="Arial" w:hAnsi="Arial" w:cs="Arial"/>
                <w:b/>
                <w:bCs/>
                <w:noProof/>
                <w:webHidden/>
              </w:rPr>
              <w:tab/>
            </w:r>
            <w:r w:rsidRPr="00AE411E">
              <w:rPr>
                <w:rStyle w:val="Hyperlink"/>
                <w:rFonts w:ascii="Arial" w:hAnsi="Arial" w:cs="Arial"/>
                <w:b/>
                <w:bCs/>
                <w:noProof/>
                <w:webHidden/>
              </w:rPr>
              <w:fldChar w:fldCharType="begin"/>
            </w:r>
            <w:r w:rsidRPr="00AE411E">
              <w:rPr>
                <w:rStyle w:val="Hyperlink"/>
                <w:rFonts w:ascii="Arial" w:hAnsi="Arial" w:cs="Arial"/>
                <w:b/>
                <w:bCs/>
                <w:noProof/>
                <w:webHidden/>
              </w:rPr>
              <w:instrText xml:space="preserve"> PAGEREF _Toc167126245 \h </w:instrText>
            </w:r>
            <w:r w:rsidRPr="00AE411E">
              <w:rPr>
                <w:rStyle w:val="Hyperlink"/>
                <w:rFonts w:ascii="Arial" w:hAnsi="Arial" w:cs="Arial"/>
                <w:b/>
                <w:bCs/>
                <w:noProof/>
                <w:webHidden/>
              </w:rPr>
            </w:r>
            <w:r w:rsidRPr="00AE411E">
              <w:rPr>
                <w:rStyle w:val="Hyperlink"/>
                <w:rFonts w:ascii="Arial" w:hAnsi="Arial" w:cs="Arial"/>
                <w:b/>
                <w:bCs/>
                <w:noProof/>
                <w:webHidden/>
              </w:rPr>
              <w:fldChar w:fldCharType="separate"/>
            </w:r>
            <w:r w:rsidRPr="00AE411E">
              <w:rPr>
                <w:rStyle w:val="Hyperlink"/>
                <w:rFonts w:ascii="Arial" w:hAnsi="Arial" w:cs="Arial"/>
                <w:b/>
                <w:bCs/>
                <w:noProof/>
                <w:webHidden/>
              </w:rPr>
              <w:t>3</w:t>
            </w:r>
            <w:r w:rsidR="006B03D2">
              <w:rPr>
                <w:rStyle w:val="Hyperlink"/>
                <w:rFonts w:ascii="Arial" w:hAnsi="Arial" w:cs="Arial"/>
                <w:b/>
                <w:bCs/>
                <w:noProof/>
                <w:webHidden/>
              </w:rPr>
              <w:t>2</w:t>
            </w:r>
            <w:r w:rsidRPr="00AE411E">
              <w:rPr>
                <w:rStyle w:val="Hyperlink"/>
                <w:rFonts w:ascii="Arial" w:hAnsi="Arial" w:cs="Arial"/>
                <w:b/>
                <w:bCs/>
                <w:noProof/>
                <w:webHidden/>
              </w:rPr>
              <w:fldChar w:fldCharType="end"/>
            </w:r>
          </w:hyperlink>
        </w:p>
        <w:p w14:paraId="29FED52F" w14:textId="323283EE" w:rsidR="00CC7E1F" w:rsidRPr="00AE411E" w:rsidRDefault="00CC7E1F" w:rsidP="00E80543">
          <w:pPr>
            <w:pStyle w:val="TOC2"/>
            <w:rPr>
              <w:rFonts w:eastAsiaTheme="minorEastAsia"/>
              <w:b/>
              <w:bCs/>
            </w:rPr>
          </w:pPr>
          <w:hyperlink w:anchor="_Toc167126240" w:history="1">
            <w:r w:rsidRPr="00AE411E">
              <w:rPr>
                <w:rStyle w:val="Hyperlink"/>
                <w:b/>
                <w:bCs/>
              </w:rPr>
              <w:t>3.10</w:t>
            </w:r>
            <w:r w:rsidRPr="00AE411E">
              <w:rPr>
                <w:rStyle w:val="Hyperlink"/>
                <w:rFonts w:eastAsiaTheme="minorEastAsia"/>
                <w:b/>
                <w:bCs/>
              </w:rPr>
              <w:tab/>
            </w:r>
            <w:r w:rsidR="00DA055B" w:rsidRPr="00AE411E">
              <w:rPr>
                <w:rStyle w:val="Hyperlink"/>
                <w:b/>
                <w:bCs/>
                <w:lang w:val="en-GB"/>
              </w:rPr>
              <w:t>Ethics, Reflexivity and Limitations</w:t>
            </w:r>
            <w:r w:rsidRPr="00AE411E">
              <w:rPr>
                <w:rStyle w:val="Hyperlink"/>
                <w:b/>
                <w:bCs/>
                <w:webHidden/>
              </w:rPr>
              <w:tab/>
            </w:r>
            <w:r w:rsidR="00DB06F9">
              <w:rPr>
                <w:rStyle w:val="Hyperlink"/>
                <w:b/>
                <w:bCs/>
                <w:webHidden/>
              </w:rPr>
              <w:t>3</w:t>
            </w:r>
            <w:r w:rsidR="006B03D2">
              <w:rPr>
                <w:rStyle w:val="Hyperlink"/>
                <w:b/>
                <w:bCs/>
                <w:webHidden/>
              </w:rPr>
              <w:t>2</w:t>
            </w:r>
          </w:hyperlink>
        </w:p>
        <w:p w14:paraId="30454684" w14:textId="20377014" w:rsidR="00CC7E1F" w:rsidRPr="00AE411E" w:rsidRDefault="00CC7E1F" w:rsidP="00CC7E1F">
          <w:pPr>
            <w:pStyle w:val="TOC1"/>
            <w:tabs>
              <w:tab w:val="left" w:pos="440"/>
              <w:tab w:val="right" w:leader="dot" w:pos="9350"/>
            </w:tabs>
            <w:rPr>
              <w:rFonts w:ascii="Arial" w:eastAsiaTheme="minorEastAsia" w:hAnsi="Arial" w:cs="Arial"/>
              <w:b/>
              <w:bCs/>
              <w:noProof/>
            </w:rPr>
          </w:pPr>
          <w:hyperlink w:anchor="_Toc167126241" w:history="1">
            <w:r w:rsidRPr="00AE411E">
              <w:rPr>
                <w:rStyle w:val="Hyperlink"/>
                <w:rFonts w:ascii="Arial" w:hAnsi="Arial" w:cs="Arial"/>
                <w:b/>
                <w:bCs/>
                <w:noProof/>
              </w:rPr>
              <w:t>4.</w:t>
            </w:r>
            <w:r w:rsidRPr="00AE411E">
              <w:rPr>
                <w:rFonts w:ascii="Arial" w:eastAsiaTheme="minorEastAsia" w:hAnsi="Arial" w:cs="Arial"/>
                <w:b/>
                <w:bCs/>
                <w:noProof/>
              </w:rPr>
              <w:tab/>
            </w:r>
            <w:r w:rsidRPr="00AE411E">
              <w:rPr>
                <w:rStyle w:val="Hyperlink"/>
                <w:rFonts w:ascii="Arial" w:hAnsi="Arial" w:cs="Arial"/>
                <w:b/>
                <w:bCs/>
                <w:noProof/>
              </w:rPr>
              <w:t>Result</w:t>
            </w:r>
            <w:r w:rsidR="00DA055B" w:rsidRPr="00AE411E">
              <w:rPr>
                <w:rStyle w:val="Hyperlink"/>
                <w:rFonts w:ascii="Arial" w:hAnsi="Arial" w:cs="Arial"/>
                <w:b/>
                <w:bCs/>
                <w:noProof/>
              </w:rPr>
              <w:t>s</w:t>
            </w:r>
            <w:r w:rsidRPr="00AE411E">
              <w:rPr>
                <w:rStyle w:val="Hyperlink"/>
                <w:rFonts w:ascii="Arial" w:hAnsi="Arial" w:cs="Arial"/>
                <w:b/>
                <w:bCs/>
                <w:noProof/>
              </w:rPr>
              <w:t xml:space="preserve"> and Discussion</w:t>
            </w:r>
            <w:r w:rsidRPr="00AE411E">
              <w:rPr>
                <w:rFonts w:ascii="Arial" w:hAnsi="Arial" w:cs="Arial"/>
                <w:b/>
                <w:bCs/>
                <w:noProof/>
                <w:webHidden/>
              </w:rPr>
              <w:tab/>
            </w:r>
            <w:r w:rsidR="000A4928">
              <w:rPr>
                <w:rFonts w:ascii="Arial" w:hAnsi="Arial" w:cs="Arial"/>
                <w:b/>
                <w:bCs/>
                <w:noProof/>
                <w:webHidden/>
              </w:rPr>
              <w:t>3</w:t>
            </w:r>
            <w:r w:rsidR="006B03D2">
              <w:rPr>
                <w:rFonts w:ascii="Arial" w:hAnsi="Arial" w:cs="Arial"/>
                <w:b/>
                <w:bCs/>
                <w:noProof/>
                <w:webHidden/>
              </w:rPr>
              <w:t>4</w:t>
            </w:r>
          </w:hyperlink>
        </w:p>
        <w:p w14:paraId="6CAEF2A5" w14:textId="105FC397" w:rsidR="00CC7E1F" w:rsidRPr="00AE411E" w:rsidRDefault="00CC7E1F" w:rsidP="00E80543">
          <w:pPr>
            <w:pStyle w:val="TOC2"/>
            <w:rPr>
              <w:rFonts w:eastAsiaTheme="minorEastAsia"/>
              <w:b/>
              <w:bCs/>
            </w:rPr>
          </w:pPr>
          <w:hyperlink w:anchor="_Toc167126242" w:history="1">
            <w:r w:rsidRPr="00AE411E">
              <w:rPr>
                <w:rStyle w:val="Hyperlink"/>
                <w:b/>
                <w:bCs/>
              </w:rPr>
              <w:t>4.1</w:t>
            </w:r>
            <w:r w:rsidRPr="00AE411E">
              <w:rPr>
                <w:rStyle w:val="Hyperlink"/>
                <w:rFonts w:eastAsiaTheme="minorEastAsia"/>
                <w:b/>
                <w:bCs/>
              </w:rPr>
              <w:tab/>
            </w:r>
            <w:r w:rsidR="00DA055B" w:rsidRPr="00AE411E">
              <w:rPr>
                <w:rStyle w:val="Hyperlink"/>
                <w:b/>
                <w:bCs/>
                <w:lang w:val="en-GB"/>
              </w:rPr>
              <w:t>Introduction</w:t>
            </w:r>
            <w:r w:rsidRPr="00AE411E">
              <w:rPr>
                <w:rStyle w:val="Hyperlink"/>
                <w:b/>
                <w:bCs/>
                <w:webHidden/>
              </w:rPr>
              <w:tab/>
            </w:r>
            <w:r w:rsidR="000A4928">
              <w:rPr>
                <w:rStyle w:val="Hyperlink"/>
                <w:b/>
                <w:bCs/>
                <w:webHidden/>
              </w:rPr>
              <w:t>3</w:t>
            </w:r>
            <w:r w:rsidR="006B03D2">
              <w:rPr>
                <w:rStyle w:val="Hyperlink"/>
                <w:b/>
                <w:bCs/>
                <w:webHidden/>
              </w:rPr>
              <w:t>4</w:t>
            </w:r>
          </w:hyperlink>
        </w:p>
        <w:p w14:paraId="0E9F82BB" w14:textId="435CCD38" w:rsidR="00CC7E1F" w:rsidRPr="00AE411E" w:rsidRDefault="00CC7E1F" w:rsidP="00E80543">
          <w:pPr>
            <w:pStyle w:val="TOC2"/>
            <w:rPr>
              <w:rFonts w:eastAsiaTheme="minorEastAsia"/>
              <w:b/>
              <w:bCs/>
            </w:rPr>
          </w:pPr>
          <w:hyperlink w:anchor="_Toc167126243" w:history="1">
            <w:r w:rsidRPr="00AE411E">
              <w:rPr>
                <w:rStyle w:val="Hyperlink"/>
                <w:b/>
                <w:bCs/>
              </w:rPr>
              <w:t>4.</w:t>
            </w:r>
            <w:r w:rsidR="00DA055B" w:rsidRPr="00AE411E">
              <w:rPr>
                <w:rStyle w:val="Hyperlink"/>
                <w:b/>
                <w:bCs/>
              </w:rPr>
              <w:t>2</w:t>
            </w:r>
            <w:r w:rsidRPr="00AE411E">
              <w:rPr>
                <w:rStyle w:val="Hyperlink"/>
                <w:rFonts w:eastAsiaTheme="minorEastAsia"/>
                <w:b/>
                <w:bCs/>
              </w:rPr>
              <w:tab/>
            </w:r>
            <w:r w:rsidR="00DA055B" w:rsidRPr="00AE411E">
              <w:rPr>
                <w:rStyle w:val="Hyperlink"/>
                <w:b/>
                <w:bCs/>
                <w:lang w:val="en-GB"/>
              </w:rPr>
              <w:t>Overview of the Included Evidence and Synthesis Approach</w:t>
            </w:r>
            <w:r w:rsidRPr="00AE411E">
              <w:rPr>
                <w:rStyle w:val="Hyperlink"/>
                <w:b/>
                <w:bCs/>
                <w:webHidden/>
              </w:rPr>
              <w:tab/>
            </w:r>
            <w:r w:rsidR="000A4928">
              <w:rPr>
                <w:rStyle w:val="Hyperlink"/>
                <w:b/>
                <w:bCs/>
                <w:webHidden/>
              </w:rPr>
              <w:t>3</w:t>
            </w:r>
            <w:r w:rsidR="006B03D2">
              <w:rPr>
                <w:rStyle w:val="Hyperlink"/>
                <w:b/>
                <w:bCs/>
                <w:webHidden/>
              </w:rPr>
              <w:t>4</w:t>
            </w:r>
          </w:hyperlink>
        </w:p>
        <w:p w14:paraId="3A24A994" w14:textId="73F8CEF3" w:rsidR="00DA055B" w:rsidRPr="00AE411E" w:rsidRDefault="00DA055B" w:rsidP="00DA055B">
          <w:pPr>
            <w:pStyle w:val="TOC2"/>
            <w:rPr>
              <w:rFonts w:eastAsiaTheme="minorEastAsia"/>
              <w:b/>
              <w:bCs/>
            </w:rPr>
          </w:pPr>
          <w:hyperlink w:anchor="_Toc167126256" w:history="1">
            <w:r w:rsidRPr="00AE411E">
              <w:rPr>
                <w:rStyle w:val="Hyperlink"/>
                <w:b/>
                <w:bCs/>
              </w:rPr>
              <w:t>4.3</w:t>
            </w:r>
            <w:r w:rsidRPr="00AE411E">
              <w:rPr>
                <w:rStyle w:val="Hyperlink"/>
                <w:rFonts w:eastAsiaTheme="minorEastAsia"/>
                <w:b/>
                <w:bCs/>
              </w:rPr>
              <w:tab/>
            </w:r>
            <w:r w:rsidRPr="00AE411E">
              <w:rPr>
                <w:rStyle w:val="Hyperlink"/>
                <w:b/>
                <w:bCs/>
                <w:lang w:val="en-GB"/>
              </w:rPr>
              <w:t>Theme 1: Epidemiological Burden and the Prevalence–Morbidity Paradox</w:t>
            </w:r>
            <w:r w:rsidRPr="00AE411E">
              <w:rPr>
                <w:rStyle w:val="Hyperlink"/>
                <w:b/>
                <w:bCs/>
                <w:webHidden/>
              </w:rPr>
              <w:tab/>
            </w:r>
            <w:r w:rsidR="000A4928">
              <w:rPr>
                <w:rStyle w:val="Hyperlink"/>
                <w:b/>
                <w:bCs/>
                <w:webHidden/>
              </w:rPr>
              <w:t>3</w:t>
            </w:r>
            <w:r w:rsidR="006B03D2">
              <w:rPr>
                <w:rStyle w:val="Hyperlink"/>
                <w:b/>
                <w:bCs/>
                <w:webHidden/>
              </w:rPr>
              <w:t>6</w:t>
            </w:r>
          </w:hyperlink>
        </w:p>
        <w:p w14:paraId="2B8A56CD" w14:textId="406CD562" w:rsidR="00DA055B" w:rsidRPr="00AE411E" w:rsidRDefault="00DA055B" w:rsidP="00DA055B">
          <w:pPr>
            <w:pStyle w:val="TOC2"/>
            <w:rPr>
              <w:rFonts w:eastAsiaTheme="minorEastAsia"/>
              <w:b/>
              <w:bCs/>
            </w:rPr>
          </w:pPr>
          <w:hyperlink w:anchor="_Toc167126257" w:history="1">
            <w:r w:rsidRPr="00AE411E">
              <w:rPr>
                <w:rStyle w:val="Hyperlink"/>
                <w:b/>
                <w:bCs/>
              </w:rPr>
              <w:t>4.4</w:t>
            </w:r>
            <w:r w:rsidRPr="00AE411E">
              <w:rPr>
                <w:rStyle w:val="Hyperlink"/>
                <w:rFonts w:eastAsiaTheme="minorEastAsia"/>
                <w:b/>
                <w:bCs/>
              </w:rPr>
              <w:tab/>
            </w:r>
            <w:r w:rsidRPr="00AE411E">
              <w:rPr>
                <w:rStyle w:val="Hyperlink"/>
                <w:b/>
                <w:bCs/>
                <w:lang w:val="en-GB"/>
              </w:rPr>
              <w:t>Theme 2: Awareness, Symptom Recognition and Diagnostic Inequity</w:t>
            </w:r>
            <w:r w:rsidRPr="00AE411E">
              <w:rPr>
                <w:rStyle w:val="Hyperlink"/>
                <w:b/>
                <w:bCs/>
                <w:webHidden/>
              </w:rPr>
              <w:tab/>
            </w:r>
            <w:r w:rsidR="000A4928">
              <w:rPr>
                <w:rStyle w:val="Hyperlink"/>
                <w:b/>
                <w:bCs/>
                <w:webHidden/>
              </w:rPr>
              <w:t>3</w:t>
            </w:r>
            <w:r w:rsidR="006B03D2">
              <w:rPr>
                <w:rStyle w:val="Hyperlink"/>
                <w:b/>
                <w:bCs/>
                <w:webHidden/>
              </w:rPr>
              <w:t>7</w:t>
            </w:r>
          </w:hyperlink>
        </w:p>
        <w:p w14:paraId="7530CD9D" w14:textId="61B33F0B" w:rsidR="00DA055B" w:rsidRPr="00AE411E" w:rsidRDefault="00DA055B" w:rsidP="00DA055B">
          <w:pPr>
            <w:pStyle w:val="TOC2"/>
            <w:rPr>
              <w:rFonts w:eastAsiaTheme="minorEastAsia"/>
              <w:b/>
              <w:bCs/>
            </w:rPr>
          </w:pPr>
          <w:hyperlink w:anchor="_Toc167126258" w:history="1">
            <w:r w:rsidRPr="00AE411E">
              <w:rPr>
                <w:rStyle w:val="Hyperlink"/>
                <w:rFonts w:eastAsia="Arial"/>
                <w:b/>
                <w:bCs/>
              </w:rPr>
              <w:t>4.5</w:t>
            </w:r>
            <w:r w:rsidRPr="00AE411E">
              <w:rPr>
                <w:rStyle w:val="Hyperlink"/>
                <w:rFonts w:eastAsiaTheme="minorEastAsia"/>
                <w:b/>
                <w:bCs/>
              </w:rPr>
              <w:tab/>
            </w:r>
            <w:r w:rsidRPr="00AE411E">
              <w:rPr>
                <w:rStyle w:val="Hyperlink"/>
                <w:rFonts w:eastAsia="Arial"/>
                <w:b/>
                <w:bCs/>
                <w:lang w:val="en-GB" w:eastAsia="en-IN"/>
              </w:rPr>
              <w:t>Theme 3: Environmental and Occupational Exposure Pathways</w:t>
            </w:r>
            <w:r w:rsidRPr="00AE411E">
              <w:rPr>
                <w:rStyle w:val="Hyperlink"/>
                <w:b/>
                <w:bCs/>
                <w:webHidden/>
              </w:rPr>
              <w:tab/>
            </w:r>
            <w:r w:rsidR="000A4928">
              <w:rPr>
                <w:rStyle w:val="Hyperlink"/>
                <w:b/>
                <w:bCs/>
                <w:webHidden/>
              </w:rPr>
              <w:t>3</w:t>
            </w:r>
            <w:r w:rsidR="006B03D2">
              <w:rPr>
                <w:rStyle w:val="Hyperlink"/>
                <w:b/>
                <w:bCs/>
                <w:webHidden/>
              </w:rPr>
              <w:t>9</w:t>
            </w:r>
          </w:hyperlink>
        </w:p>
        <w:p w14:paraId="6C4CE363" w14:textId="0050EE25" w:rsidR="00DA055B" w:rsidRPr="00AE411E" w:rsidRDefault="00DA055B" w:rsidP="00DA055B">
          <w:pPr>
            <w:pStyle w:val="TOC2"/>
            <w:rPr>
              <w:b/>
              <w:bCs/>
            </w:rPr>
          </w:pPr>
          <w:hyperlink w:anchor="_Toc167126259" w:history="1">
            <w:r w:rsidRPr="00AE411E">
              <w:rPr>
                <w:rStyle w:val="Hyperlink"/>
                <w:rFonts w:eastAsia="Arial"/>
                <w:b/>
                <w:bCs/>
                <w:lang w:val="en-GB" w:eastAsia="en-IN"/>
              </w:rPr>
              <w:t>4.6</w:t>
            </w:r>
            <w:r w:rsidRPr="00AE411E">
              <w:rPr>
                <w:rStyle w:val="Hyperlink"/>
                <w:rFonts w:eastAsiaTheme="minorEastAsia"/>
                <w:b/>
                <w:bCs/>
              </w:rPr>
              <w:tab/>
            </w:r>
            <w:r w:rsidRPr="00AE411E">
              <w:rPr>
                <w:rStyle w:val="Hyperlink"/>
                <w:rFonts w:eastAsia="Arial"/>
                <w:b/>
                <w:bCs/>
                <w:lang w:val="en-GB" w:eastAsia="en-IN"/>
              </w:rPr>
              <w:t>Theme 4: Healthcare Access, Pulmonary Rehabilitation and Management Inequalities</w:t>
            </w:r>
            <w:r w:rsidRPr="00AE411E">
              <w:rPr>
                <w:rStyle w:val="Hyperlink"/>
                <w:b/>
                <w:bCs/>
                <w:webHidden/>
              </w:rPr>
              <w:tab/>
            </w:r>
            <w:r w:rsidR="006B03D2">
              <w:rPr>
                <w:rStyle w:val="Hyperlink"/>
                <w:b/>
                <w:bCs/>
                <w:webHidden/>
              </w:rPr>
              <w:t>40</w:t>
            </w:r>
          </w:hyperlink>
        </w:p>
        <w:p w14:paraId="0872FFEC" w14:textId="12DD67E8" w:rsidR="00DA055B" w:rsidRPr="00AE411E" w:rsidRDefault="00DA055B" w:rsidP="00DA055B">
          <w:pPr>
            <w:pStyle w:val="TOC2"/>
            <w:rPr>
              <w:rFonts w:eastAsiaTheme="minorEastAsia"/>
              <w:b/>
              <w:bCs/>
            </w:rPr>
          </w:pPr>
          <w:hyperlink w:anchor="_Toc167126256" w:history="1">
            <w:r w:rsidRPr="00AE411E">
              <w:rPr>
                <w:rStyle w:val="Hyperlink"/>
                <w:b/>
                <w:bCs/>
              </w:rPr>
              <w:t>4.7</w:t>
            </w:r>
            <w:r w:rsidRPr="00AE411E">
              <w:rPr>
                <w:rStyle w:val="Hyperlink"/>
                <w:rFonts w:eastAsiaTheme="minorEastAsia"/>
                <w:b/>
                <w:bCs/>
              </w:rPr>
              <w:tab/>
            </w:r>
            <w:r w:rsidRPr="00AE411E">
              <w:rPr>
                <w:rStyle w:val="Hyperlink"/>
                <w:b/>
                <w:bCs/>
                <w:lang w:val="en-GB"/>
              </w:rPr>
              <w:t>Theme 5: Structural Racism, Segregation and Social Determinants</w:t>
            </w:r>
            <w:r w:rsidRPr="00AE411E">
              <w:rPr>
                <w:rStyle w:val="Hyperlink"/>
                <w:b/>
                <w:bCs/>
                <w:webHidden/>
              </w:rPr>
              <w:tab/>
            </w:r>
            <w:r w:rsidR="006B03D2">
              <w:rPr>
                <w:rStyle w:val="Hyperlink"/>
                <w:b/>
                <w:bCs/>
                <w:webHidden/>
              </w:rPr>
              <w:t>41</w:t>
            </w:r>
          </w:hyperlink>
        </w:p>
        <w:p w14:paraId="3ED0B93C" w14:textId="246064BF" w:rsidR="00DA055B" w:rsidRPr="00AE411E" w:rsidRDefault="00DA055B" w:rsidP="00DA055B">
          <w:pPr>
            <w:pStyle w:val="TOC2"/>
            <w:rPr>
              <w:rFonts w:eastAsiaTheme="minorEastAsia"/>
              <w:b/>
              <w:bCs/>
            </w:rPr>
          </w:pPr>
          <w:hyperlink w:anchor="_Toc167126257" w:history="1">
            <w:r w:rsidRPr="00AE411E">
              <w:rPr>
                <w:rStyle w:val="Hyperlink"/>
                <w:b/>
                <w:bCs/>
              </w:rPr>
              <w:t>4.8</w:t>
            </w:r>
            <w:r w:rsidRPr="00AE411E">
              <w:rPr>
                <w:rStyle w:val="Hyperlink"/>
                <w:rFonts w:eastAsiaTheme="minorEastAsia"/>
                <w:b/>
                <w:bCs/>
              </w:rPr>
              <w:tab/>
            </w:r>
            <w:r w:rsidRPr="00AE411E">
              <w:rPr>
                <w:rStyle w:val="Hyperlink"/>
                <w:b/>
                <w:bCs/>
                <w:lang w:val="en-GB"/>
              </w:rPr>
              <w:t>Methodological Quality and Limitations of the Evidence</w:t>
            </w:r>
            <w:r w:rsidRPr="00AE411E">
              <w:rPr>
                <w:rStyle w:val="Hyperlink"/>
                <w:b/>
                <w:bCs/>
                <w:webHidden/>
              </w:rPr>
              <w:tab/>
            </w:r>
            <w:r w:rsidR="000A4928">
              <w:rPr>
                <w:rStyle w:val="Hyperlink"/>
                <w:b/>
                <w:bCs/>
                <w:webHidden/>
              </w:rPr>
              <w:t>4</w:t>
            </w:r>
            <w:r w:rsidR="006B03D2">
              <w:rPr>
                <w:rStyle w:val="Hyperlink"/>
                <w:b/>
                <w:bCs/>
                <w:webHidden/>
              </w:rPr>
              <w:t>2</w:t>
            </w:r>
          </w:hyperlink>
        </w:p>
        <w:p w14:paraId="685EFB9E" w14:textId="738E3F0C" w:rsidR="00DA055B" w:rsidRPr="00AE411E" w:rsidRDefault="00DA055B" w:rsidP="00DA055B">
          <w:pPr>
            <w:pStyle w:val="TOC2"/>
            <w:rPr>
              <w:rFonts w:eastAsiaTheme="minorEastAsia"/>
              <w:b/>
              <w:bCs/>
            </w:rPr>
          </w:pPr>
          <w:hyperlink w:anchor="_Toc167126258" w:history="1">
            <w:r w:rsidRPr="00AE411E">
              <w:rPr>
                <w:rStyle w:val="Hyperlink"/>
                <w:rFonts w:eastAsia="Arial"/>
                <w:b/>
                <w:bCs/>
              </w:rPr>
              <w:t>4.9</w:t>
            </w:r>
            <w:r w:rsidRPr="00AE411E">
              <w:rPr>
                <w:rStyle w:val="Hyperlink"/>
                <w:rFonts w:eastAsiaTheme="minorEastAsia"/>
                <w:b/>
                <w:bCs/>
              </w:rPr>
              <w:tab/>
            </w:r>
            <w:r w:rsidRPr="00AE411E">
              <w:rPr>
                <w:rStyle w:val="Hyperlink"/>
                <w:rFonts w:eastAsia="Arial"/>
                <w:b/>
                <w:bCs/>
                <w:lang w:val="en-GB" w:eastAsia="en-IN"/>
              </w:rPr>
              <w:t>Integrated Discussion: Answering the Research Question</w:t>
            </w:r>
            <w:r w:rsidRPr="00AE411E">
              <w:rPr>
                <w:rStyle w:val="Hyperlink"/>
                <w:b/>
                <w:bCs/>
                <w:webHidden/>
              </w:rPr>
              <w:tab/>
            </w:r>
            <w:r w:rsidR="000A4928">
              <w:rPr>
                <w:rStyle w:val="Hyperlink"/>
                <w:b/>
                <w:bCs/>
                <w:webHidden/>
              </w:rPr>
              <w:t>4</w:t>
            </w:r>
            <w:r w:rsidR="006B03D2">
              <w:rPr>
                <w:rStyle w:val="Hyperlink"/>
                <w:b/>
                <w:bCs/>
                <w:webHidden/>
              </w:rPr>
              <w:t>3</w:t>
            </w:r>
          </w:hyperlink>
        </w:p>
        <w:p w14:paraId="020B5971" w14:textId="5E0C0660" w:rsidR="00DA055B" w:rsidRPr="00AE411E" w:rsidRDefault="00DA055B" w:rsidP="00DA055B">
          <w:pPr>
            <w:pStyle w:val="TOC2"/>
            <w:rPr>
              <w:rFonts w:eastAsiaTheme="minorEastAsia"/>
              <w:b/>
              <w:bCs/>
            </w:rPr>
          </w:pPr>
          <w:hyperlink w:anchor="_Toc167126258" w:history="1">
            <w:r w:rsidRPr="00AE411E">
              <w:rPr>
                <w:rStyle w:val="Hyperlink"/>
                <w:rFonts w:eastAsia="Arial"/>
                <w:b/>
                <w:bCs/>
              </w:rPr>
              <w:t>4.10</w:t>
            </w:r>
            <w:r w:rsidRPr="00AE411E">
              <w:rPr>
                <w:rStyle w:val="Hyperlink"/>
                <w:rFonts w:eastAsiaTheme="minorEastAsia"/>
                <w:b/>
                <w:bCs/>
              </w:rPr>
              <w:tab/>
            </w:r>
            <w:r w:rsidRPr="00AE411E">
              <w:rPr>
                <w:rStyle w:val="Hyperlink"/>
                <w:rFonts w:eastAsia="Arial"/>
                <w:b/>
                <w:bCs/>
                <w:lang w:val="en-GB" w:eastAsia="en-IN"/>
              </w:rPr>
              <w:t>Chapter Summary</w:t>
            </w:r>
            <w:r w:rsidRPr="00AE411E">
              <w:rPr>
                <w:rStyle w:val="Hyperlink"/>
                <w:b/>
                <w:bCs/>
                <w:webHidden/>
              </w:rPr>
              <w:tab/>
            </w:r>
            <w:r w:rsidR="000A4928">
              <w:rPr>
                <w:rStyle w:val="Hyperlink"/>
                <w:b/>
                <w:bCs/>
                <w:webHidden/>
              </w:rPr>
              <w:t>4</w:t>
            </w:r>
            <w:r w:rsidR="006B03D2">
              <w:rPr>
                <w:rStyle w:val="Hyperlink"/>
                <w:b/>
                <w:bCs/>
                <w:webHidden/>
              </w:rPr>
              <w:t>4</w:t>
            </w:r>
          </w:hyperlink>
        </w:p>
        <w:p w14:paraId="05F58BE5" w14:textId="34D0323E" w:rsidR="00CC7E1F" w:rsidRPr="00AE411E" w:rsidRDefault="00CC7E1F" w:rsidP="00CC7E1F">
          <w:pPr>
            <w:pStyle w:val="TOC1"/>
            <w:tabs>
              <w:tab w:val="left" w:pos="440"/>
              <w:tab w:val="right" w:leader="dot" w:pos="9350"/>
            </w:tabs>
            <w:rPr>
              <w:rFonts w:ascii="Arial" w:eastAsiaTheme="minorEastAsia" w:hAnsi="Arial" w:cs="Arial"/>
              <w:b/>
              <w:bCs/>
              <w:noProof/>
            </w:rPr>
          </w:pPr>
          <w:hyperlink w:anchor="_Toc167126250" w:history="1">
            <w:r w:rsidRPr="00AE411E">
              <w:rPr>
                <w:rStyle w:val="Hyperlink"/>
                <w:rFonts w:ascii="Arial" w:hAnsi="Arial" w:cs="Arial"/>
                <w:b/>
                <w:bCs/>
                <w:noProof/>
              </w:rPr>
              <w:t>5.</w:t>
            </w:r>
            <w:r w:rsidRPr="00AE411E">
              <w:rPr>
                <w:rFonts w:ascii="Arial" w:eastAsiaTheme="minorEastAsia" w:hAnsi="Arial" w:cs="Arial"/>
                <w:b/>
                <w:bCs/>
                <w:noProof/>
              </w:rPr>
              <w:tab/>
            </w:r>
            <w:r w:rsidRPr="00AE411E">
              <w:rPr>
                <w:rStyle w:val="Hyperlink"/>
                <w:rFonts w:ascii="Arial" w:hAnsi="Arial" w:cs="Arial"/>
                <w:b/>
                <w:bCs/>
                <w:noProof/>
              </w:rPr>
              <w:t xml:space="preserve">Conclusion </w:t>
            </w:r>
            <w:r w:rsidR="007A70EA">
              <w:rPr>
                <w:rStyle w:val="Hyperlink"/>
                <w:rFonts w:ascii="Arial" w:hAnsi="Arial" w:cs="Arial"/>
                <w:b/>
                <w:bCs/>
                <w:noProof/>
              </w:rPr>
              <w:t>and</w:t>
            </w:r>
            <w:r w:rsidRPr="00AE411E">
              <w:rPr>
                <w:rStyle w:val="Hyperlink"/>
                <w:rFonts w:ascii="Arial" w:hAnsi="Arial" w:cs="Arial"/>
                <w:b/>
                <w:bCs/>
                <w:noProof/>
              </w:rPr>
              <w:t xml:space="preserve"> Recommendations</w:t>
            </w:r>
            <w:r w:rsidRPr="00AE411E">
              <w:rPr>
                <w:rFonts w:ascii="Arial" w:hAnsi="Arial" w:cs="Arial"/>
                <w:b/>
                <w:bCs/>
                <w:noProof/>
                <w:webHidden/>
              </w:rPr>
              <w:tab/>
            </w:r>
            <w:r w:rsidR="000A4928">
              <w:rPr>
                <w:rFonts w:ascii="Arial" w:hAnsi="Arial" w:cs="Arial"/>
                <w:b/>
                <w:bCs/>
                <w:noProof/>
                <w:webHidden/>
              </w:rPr>
              <w:t>4</w:t>
            </w:r>
            <w:r w:rsidR="006B03D2">
              <w:rPr>
                <w:rFonts w:ascii="Arial" w:hAnsi="Arial" w:cs="Arial"/>
                <w:b/>
                <w:bCs/>
                <w:noProof/>
                <w:webHidden/>
              </w:rPr>
              <w:t>5</w:t>
            </w:r>
          </w:hyperlink>
        </w:p>
        <w:p w14:paraId="38048ADC" w14:textId="35078128" w:rsidR="00CC7E1F" w:rsidRPr="00AE411E" w:rsidRDefault="00CC7E1F" w:rsidP="00E80543">
          <w:pPr>
            <w:pStyle w:val="TOC2"/>
            <w:rPr>
              <w:rFonts w:eastAsiaTheme="minorEastAsia"/>
              <w:b/>
              <w:bCs/>
            </w:rPr>
          </w:pPr>
          <w:hyperlink w:anchor="_Toc167126251" w:history="1">
            <w:r w:rsidRPr="00AE411E">
              <w:rPr>
                <w:rStyle w:val="Hyperlink"/>
                <w:b/>
                <w:bCs/>
              </w:rPr>
              <w:t>5.1</w:t>
            </w:r>
            <w:r w:rsidRPr="00AE411E">
              <w:rPr>
                <w:rStyle w:val="Hyperlink"/>
                <w:rFonts w:eastAsiaTheme="minorEastAsia"/>
                <w:b/>
                <w:bCs/>
              </w:rPr>
              <w:tab/>
            </w:r>
            <w:r w:rsidR="00DA055B" w:rsidRPr="00AE411E">
              <w:rPr>
                <w:rStyle w:val="Hyperlink"/>
                <w:b/>
                <w:bCs/>
                <w:lang w:val="en-GB"/>
              </w:rPr>
              <w:t>Introduction</w:t>
            </w:r>
            <w:r w:rsidRPr="00AE411E">
              <w:rPr>
                <w:rStyle w:val="Hyperlink"/>
                <w:b/>
                <w:bCs/>
                <w:webHidden/>
              </w:rPr>
              <w:tab/>
            </w:r>
            <w:r w:rsidR="000A4928">
              <w:rPr>
                <w:rStyle w:val="Hyperlink"/>
                <w:b/>
                <w:bCs/>
                <w:webHidden/>
              </w:rPr>
              <w:t>4</w:t>
            </w:r>
            <w:r w:rsidR="006B03D2">
              <w:rPr>
                <w:rStyle w:val="Hyperlink"/>
                <w:b/>
                <w:bCs/>
                <w:webHidden/>
              </w:rPr>
              <w:t>5</w:t>
            </w:r>
          </w:hyperlink>
        </w:p>
        <w:p w14:paraId="214FFC61" w14:textId="2966EC36" w:rsidR="00CC7E1F" w:rsidRPr="00AE411E" w:rsidRDefault="00CC7E1F" w:rsidP="00E80543">
          <w:pPr>
            <w:pStyle w:val="TOC2"/>
            <w:rPr>
              <w:rFonts w:eastAsiaTheme="minorEastAsia"/>
              <w:b/>
              <w:bCs/>
            </w:rPr>
          </w:pPr>
          <w:hyperlink w:anchor="_Toc167126252" w:history="1">
            <w:r w:rsidRPr="00AE411E">
              <w:rPr>
                <w:rStyle w:val="Hyperlink"/>
                <w:b/>
                <w:bCs/>
              </w:rPr>
              <w:t>5.2</w:t>
            </w:r>
            <w:r w:rsidRPr="00AE411E">
              <w:rPr>
                <w:rStyle w:val="Hyperlink"/>
                <w:rFonts w:eastAsiaTheme="minorEastAsia"/>
                <w:b/>
                <w:bCs/>
              </w:rPr>
              <w:tab/>
            </w:r>
            <w:r w:rsidR="00DA055B" w:rsidRPr="00AE411E">
              <w:rPr>
                <w:rStyle w:val="Hyperlink"/>
                <w:b/>
                <w:bCs/>
                <w:lang w:val="en-GB"/>
              </w:rPr>
              <w:t>Overall Conclusion</w:t>
            </w:r>
            <w:r w:rsidRPr="00AE411E">
              <w:rPr>
                <w:rStyle w:val="Hyperlink"/>
                <w:b/>
                <w:bCs/>
                <w:webHidden/>
              </w:rPr>
              <w:tab/>
            </w:r>
            <w:r w:rsidR="000A4928">
              <w:rPr>
                <w:rStyle w:val="Hyperlink"/>
                <w:b/>
                <w:bCs/>
                <w:webHidden/>
              </w:rPr>
              <w:t>4</w:t>
            </w:r>
            <w:r w:rsidR="006B03D2">
              <w:rPr>
                <w:rStyle w:val="Hyperlink"/>
                <w:b/>
                <w:bCs/>
                <w:webHidden/>
              </w:rPr>
              <w:t>5</w:t>
            </w:r>
          </w:hyperlink>
        </w:p>
        <w:p w14:paraId="1491E2A4" w14:textId="1CC812FE" w:rsidR="00CC7E1F" w:rsidRPr="00AE411E" w:rsidRDefault="00CC7E1F" w:rsidP="00E80543">
          <w:pPr>
            <w:pStyle w:val="TOC2"/>
            <w:rPr>
              <w:b/>
              <w:bCs/>
            </w:rPr>
          </w:pPr>
          <w:hyperlink w:anchor="_Toc167126253" w:history="1">
            <w:r w:rsidRPr="00AE411E">
              <w:rPr>
                <w:rStyle w:val="Hyperlink"/>
                <w:b/>
                <w:bCs/>
              </w:rPr>
              <w:t>5.3</w:t>
            </w:r>
            <w:r w:rsidRPr="00AE411E">
              <w:rPr>
                <w:rStyle w:val="Hyperlink"/>
                <w:rFonts w:eastAsiaTheme="minorEastAsia"/>
                <w:b/>
                <w:bCs/>
              </w:rPr>
              <w:tab/>
            </w:r>
            <w:r w:rsidR="00DA055B" w:rsidRPr="00AE411E">
              <w:rPr>
                <w:rStyle w:val="Hyperlink"/>
                <w:b/>
                <w:bCs/>
                <w:lang w:val="en-GB"/>
              </w:rPr>
              <w:t>Recommendations for Public Health Practice and Healthcare Policy</w:t>
            </w:r>
            <w:r w:rsidRPr="00AE411E">
              <w:rPr>
                <w:rStyle w:val="Hyperlink"/>
                <w:b/>
                <w:bCs/>
                <w:webHidden/>
              </w:rPr>
              <w:tab/>
            </w:r>
            <w:r w:rsidR="000A4928">
              <w:rPr>
                <w:rStyle w:val="Hyperlink"/>
                <w:b/>
                <w:bCs/>
                <w:webHidden/>
              </w:rPr>
              <w:t>4</w:t>
            </w:r>
            <w:r w:rsidR="006B03D2">
              <w:rPr>
                <w:rStyle w:val="Hyperlink"/>
                <w:b/>
                <w:bCs/>
                <w:webHidden/>
              </w:rPr>
              <w:t>6</w:t>
            </w:r>
          </w:hyperlink>
        </w:p>
        <w:p w14:paraId="77B8D6E2" w14:textId="444DF501" w:rsidR="00DA055B" w:rsidRPr="00AE411E" w:rsidRDefault="00DA055B" w:rsidP="00DA055B">
          <w:pPr>
            <w:pStyle w:val="TOC2"/>
            <w:rPr>
              <w:rFonts w:eastAsiaTheme="minorEastAsia"/>
              <w:b/>
              <w:bCs/>
            </w:rPr>
          </w:pPr>
          <w:hyperlink w:anchor="_Toc167126251" w:history="1">
            <w:r w:rsidRPr="00AE411E">
              <w:rPr>
                <w:rStyle w:val="Hyperlink"/>
                <w:b/>
                <w:bCs/>
              </w:rPr>
              <w:t>5.</w:t>
            </w:r>
            <w:r w:rsidR="00AF1AE5" w:rsidRPr="00AE411E">
              <w:rPr>
                <w:rStyle w:val="Hyperlink"/>
                <w:b/>
                <w:bCs/>
              </w:rPr>
              <w:t>4</w:t>
            </w:r>
            <w:r w:rsidRPr="00AE411E">
              <w:rPr>
                <w:rStyle w:val="Hyperlink"/>
                <w:rFonts w:eastAsiaTheme="minorEastAsia"/>
                <w:b/>
                <w:bCs/>
              </w:rPr>
              <w:tab/>
            </w:r>
            <w:r w:rsidRPr="00AE411E">
              <w:rPr>
                <w:rStyle w:val="Hyperlink"/>
                <w:b/>
                <w:bCs/>
                <w:lang w:val="en-GB"/>
              </w:rPr>
              <w:t>Recommendations for Future Research</w:t>
            </w:r>
            <w:r w:rsidRPr="00AE411E">
              <w:rPr>
                <w:rStyle w:val="Hyperlink"/>
                <w:b/>
                <w:bCs/>
                <w:webHidden/>
              </w:rPr>
              <w:tab/>
            </w:r>
            <w:r w:rsidR="000A4928">
              <w:rPr>
                <w:rStyle w:val="Hyperlink"/>
                <w:b/>
                <w:bCs/>
                <w:webHidden/>
              </w:rPr>
              <w:t>4</w:t>
            </w:r>
            <w:r w:rsidR="006B03D2">
              <w:rPr>
                <w:rStyle w:val="Hyperlink"/>
                <w:b/>
                <w:bCs/>
                <w:webHidden/>
              </w:rPr>
              <w:t>7</w:t>
            </w:r>
          </w:hyperlink>
        </w:p>
        <w:p w14:paraId="68F0C4C0" w14:textId="58202B56" w:rsidR="00DA055B" w:rsidRPr="00AE411E" w:rsidRDefault="00DA055B" w:rsidP="00DA055B">
          <w:pPr>
            <w:pStyle w:val="TOC2"/>
            <w:rPr>
              <w:rFonts w:eastAsiaTheme="minorEastAsia"/>
              <w:b/>
              <w:bCs/>
            </w:rPr>
          </w:pPr>
          <w:hyperlink w:anchor="_Toc167126252" w:history="1">
            <w:r w:rsidRPr="00AE411E">
              <w:rPr>
                <w:rStyle w:val="Hyperlink"/>
                <w:b/>
                <w:bCs/>
              </w:rPr>
              <w:t>5.</w:t>
            </w:r>
            <w:r w:rsidR="00AF1AE5" w:rsidRPr="00AE411E">
              <w:rPr>
                <w:rStyle w:val="Hyperlink"/>
                <w:b/>
                <w:bCs/>
              </w:rPr>
              <w:t>5</w:t>
            </w:r>
            <w:r w:rsidRPr="00AE411E">
              <w:rPr>
                <w:rStyle w:val="Hyperlink"/>
                <w:rFonts w:eastAsiaTheme="minorEastAsia"/>
                <w:b/>
                <w:bCs/>
              </w:rPr>
              <w:tab/>
            </w:r>
            <w:r w:rsidRPr="00AE411E">
              <w:rPr>
                <w:rStyle w:val="Hyperlink"/>
                <w:b/>
                <w:bCs/>
                <w:lang w:val="en-GB"/>
              </w:rPr>
              <w:t>Final Conclusion</w:t>
            </w:r>
            <w:r w:rsidRPr="00AE411E">
              <w:rPr>
                <w:rStyle w:val="Hyperlink"/>
                <w:b/>
                <w:bCs/>
                <w:webHidden/>
              </w:rPr>
              <w:tab/>
            </w:r>
            <w:r w:rsidR="000A4928">
              <w:rPr>
                <w:rStyle w:val="Hyperlink"/>
                <w:b/>
                <w:bCs/>
                <w:webHidden/>
              </w:rPr>
              <w:t>4</w:t>
            </w:r>
            <w:r w:rsidR="006B03D2">
              <w:rPr>
                <w:rStyle w:val="Hyperlink"/>
                <w:b/>
                <w:bCs/>
                <w:webHidden/>
              </w:rPr>
              <w:t>8</w:t>
            </w:r>
          </w:hyperlink>
        </w:p>
        <w:p w14:paraId="3BB07968" w14:textId="4C7557EB" w:rsidR="00CC7E1F" w:rsidRPr="00AE411E" w:rsidRDefault="00CC7E1F" w:rsidP="00CC7E1F">
          <w:pPr>
            <w:pStyle w:val="TOC1"/>
            <w:tabs>
              <w:tab w:val="left" w:pos="440"/>
              <w:tab w:val="right" w:leader="dot" w:pos="9350"/>
            </w:tabs>
            <w:rPr>
              <w:rFonts w:ascii="Arial" w:eastAsiaTheme="minorEastAsia" w:hAnsi="Arial" w:cs="Arial"/>
              <w:b/>
              <w:bCs/>
              <w:noProof/>
            </w:rPr>
          </w:pPr>
          <w:hyperlink w:anchor="_Toc167126254" w:history="1">
            <w:r w:rsidRPr="00AE411E">
              <w:rPr>
                <w:rStyle w:val="Hyperlink"/>
                <w:rFonts w:ascii="Arial" w:hAnsi="Arial" w:cs="Arial"/>
                <w:b/>
                <w:bCs/>
                <w:noProof/>
              </w:rPr>
              <w:t>6.</w:t>
            </w:r>
            <w:r w:rsidRPr="00AE411E">
              <w:rPr>
                <w:rFonts w:ascii="Arial" w:eastAsiaTheme="minorEastAsia" w:hAnsi="Arial" w:cs="Arial"/>
                <w:b/>
                <w:bCs/>
                <w:noProof/>
              </w:rPr>
              <w:tab/>
            </w:r>
            <w:r w:rsidR="00DA055B" w:rsidRPr="00AE411E">
              <w:rPr>
                <w:rStyle w:val="Hyperlink"/>
                <w:rFonts w:ascii="Arial" w:hAnsi="Arial" w:cs="Arial"/>
                <w:b/>
                <w:bCs/>
                <w:noProof/>
              </w:rPr>
              <w:t>Reference List</w:t>
            </w:r>
            <w:r w:rsidRPr="00AE411E">
              <w:rPr>
                <w:rFonts w:ascii="Arial" w:hAnsi="Arial" w:cs="Arial"/>
                <w:b/>
                <w:bCs/>
                <w:noProof/>
                <w:webHidden/>
              </w:rPr>
              <w:tab/>
            </w:r>
            <w:r w:rsidR="000A4928">
              <w:rPr>
                <w:rFonts w:ascii="Arial" w:hAnsi="Arial" w:cs="Arial"/>
                <w:b/>
                <w:bCs/>
                <w:noProof/>
                <w:webHidden/>
              </w:rPr>
              <w:t>4</w:t>
            </w:r>
            <w:r w:rsidR="006B03D2">
              <w:rPr>
                <w:rFonts w:ascii="Arial" w:hAnsi="Arial" w:cs="Arial"/>
                <w:b/>
                <w:bCs/>
                <w:noProof/>
                <w:webHidden/>
              </w:rPr>
              <w:t>9</w:t>
            </w:r>
          </w:hyperlink>
        </w:p>
        <w:p w14:paraId="72CFDB56" w14:textId="338101DB" w:rsidR="00CC7E1F" w:rsidRPr="00AE411E" w:rsidRDefault="003C4C21" w:rsidP="003C4C21">
          <w:pPr>
            <w:pStyle w:val="TOC1"/>
            <w:tabs>
              <w:tab w:val="left" w:pos="440"/>
              <w:tab w:val="right" w:leader="dot" w:pos="9350"/>
            </w:tabs>
            <w:rPr>
              <w:rFonts w:ascii="Arial" w:hAnsi="Arial" w:cs="Arial"/>
              <w:b/>
              <w:bCs/>
            </w:rPr>
          </w:pPr>
          <w:r w:rsidRPr="00AE411E">
            <w:rPr>
              <w:rFonts w:ascii="Arial" w:hAnsi="Arial" w:cs="Arial"/>
              <w:b/>
              <w:bCs/>
            </w:rPr>
            <w:t>Appendix 1: PRI</w:t>
          </w:r>
          <w:r w:rsidR="00CE415F" w:rsidRPr="00AE411E">
            <w:rPr>
              <w:rFonts w:ascii="Arial" w:hAnsi="Arial" w:cs="Arial"/>
              <w:b/>
              <w:bCs/>
            </w:rPr>
            <w:t>SM</w:t>
          </w:r>
          <w:r w:rsidRPr="00AE411E">
            <w:rPr>
              <w:rFonts w:ascii="Arial" w:hAnsi="Arial" w:cs="Arial"/>
              <w:b/>
              <w:bCs/>
            </w:rPr>
            <w:t>A Framework</w:t>
          </w:r>
          <w:r w:rsidRPr="00AE411E">
            <w:rPr>
              <w:rFonts w:ascii="Arial" w:hAnsi="Arial" w:cs="Arial"/>
              <w:b/>
              <w:bCs/>
            </w:rPr>
            <w:tab/>
          </w:r>
          <w:r w:rsidR="000A4928">
            <w:rPr>
              <w:rFonts w:ascii="Arial" w:hAnsi="Arial" w:cs="Arial"/>
              <w:b/>
              <w:bCs/>
            </w:rPr>
            <w:t>5</w:t>
          </w:r>
          <w:r w:rsidR="006B03D2">
            <w:rPr>
              <w:rFonts w:ascii="Arial" w:hAnsi="Arial" w:cs="Arial"/>
              <w:b/>
              <w:bCs/>
            </w:rPr>
            <w:t>9</w:t>
          </w:r>
        </w:p>
        <w:p w14:paraId="1D9028BB" w14:textId="29EB240A" w:rsidR="003C4C21" w:rsidRPr="00AE411E" w:rsidRDefault="003C4C21" w:rsidP="003C4C21">
          <w:pPr>
            <w:pStyle w:val="TOC1"/>
            <w:tabs>
              <w:tab w:val="left" w:pos="440"/>
              <w:tab w:val="right" w:leader="dot" w:pos="9350"/>
            </w:tabs>
            <w:rPr>
              <w:rFonts w:ascii="Arial" w:eastAsiaTheme="minorEastAsia" w:hAnsi="Arial" w:cs="Arial"/>
              <w:b/>
              <w:bCs/>
              <w:noProof/>
            </w:rPr>
          </w:pPr>
          <w:r w:rsidRPr="00AE411E">
            <w:rPr>
              <w:rFonts w:ascii="Arial" w:hAnsi="Arial" w:cs="Arial"/>
              <w:b/>
              <w:bCs/>
            </w:rPr>
            <w:t>Appendix 2: CASP</w:t>
          </w:r>
          <w:r w:rsidRPr="00AE411E">
            <w:rPr>
              <w:rFonts w:ascii="Arial" w:hAnsi="Arial" w:cs="Arial"/>
              <w:b/>
              <w:bCs/>
            </w:rPr>
            <w:tab/>
          </w:r>
          <w:r w:rsidR="006B03D2">
            <w:rPr>
              <w:rFonts w:ascii="Arial" w:hAnsi="Arial" w:cs="Arial"/>
              <w:b/>
              <w:bCs/>
            </w:rPr>
            <w:t>60</w:t>
          </w:r>
        </w:p>
        <w:p w14:paraId="1F33F1E7" w14:textId="2FFC84AC" w:rsidR="009F64C5" w:rsidRPr="003C4C21" w:rsidRDefault="00CC7E1F" w:rsidP="003C4C21">
          <w:pPr>
            <w:rPr>
              <w:rFonts w:asciiTheme="minorBidi" w:eastAsia="Times New Roman" w:hAnsiTheme="minorBidi"/>
              <w:b/>
              <w:color w:val="000000"/>
              <w:sz w:val="24"/>
            </w:rPr>
          </w:pPr>
          <w:r w:rsidRPr="00AE411E">
            <w:rPr>
              <w:rFonts w:ascii="Arial" w:hAnsi="Arial" w:cs="Arial"/>
              <w:b/>
              <w:bCs/>
              <w:noProof/>
            </w:rPr>
            <w:fldChar w:fldCharType="end"/>
          </w:r>
        </w:p>
      </w:sdtContent>
    </w:sdt>
    <w:bookmarkEnd w:id="0" w:displacedByCustomXml="prev"/>
    <w:p w14:paraId="1028A266" w14:textId="77777777" w:rsidR="000555DE" w:rsidRPr="007F1C8A" w:rsidRDefault="000555DE">
      <w:pPr>
        <w:rPr>
          <w:rFonts w:asciiTheme="minorBidi" w:eastAsia="Times New Roman" w:hAnsiTheme="minorBidi"/>
          <w:b/>
          <w:color w:val="000000"/>
          <w:sz w:val="24"/>
        </w:rPr>
      </w:pPr>
      <w:bookmarkStart w:id="1" w:name="_Toc12213"/>
      <w:r w:rsidRPr="007F1C8A">
        <w:rPr>
          <w:rFonts w:asciiTheme="minorBidi" w:hAnsiTheme="minorBidi"/>
        </w:rPr>
        <w:br w:type="page"/>
      </w:r>
    </w:p>
    <w:p w14:paraId="26D3E5D0" w14:textId="79669518" w:rsidR="009F64C5" w:rsidRPr="00AE411E" w:rsidRDefault="009F64C5">
      <w:pPr>
        <w:pStyle w:val="Heading1"/>
        <w:ind w:left="12" w:right="4"/>
        <w:rPr>
          <w:rFonts w:asciiTheme="minorBidi" w:hAnsiTheme="minorBidi" w:cstheme="minorBidi"/>
          <w:sz w:val="28"/>
          <w:szCs w:val="28"/>
        </w:rPr>
      </w:pPr>
      <w:r w:rsidRPr="00AE411E">
        <w:rPr>
          <w:rFonts w:asciiTheme="minorBidi" w:hAnsiTheme="minorBidi" w:cstheme="minorBidi"/>
          <w:sz w:val="28"/>
          <w:szCs w:val="28"/>
        </w:rPr>
        <w:lastRenderedPageBreak/>
        <w:t xml:space="preserve">List of </w:t>
      </w:r>
      <w:r w:rsidR="00D02567">
        <w:rPr>
          <w:rFonts w:asciiTheme="minorBidi" w:hAnsiTheme="minorBidi" w:cstheme="minorBidi"/>
          <w:sz w:val="28"/>
          <w:szCs w:val="28"/>
        </w:rPr>
        <w:t>T</w:t>
      </w:r>
      <w:r w:rsidRPr="00AE411E">
        <w:rPr>
          <w:rFonts w:asciiTheme="minorBidi" w:hAnsiTheme="minorBidi" w:cstheme="minorBidi"/>
          <w:sz w:val="28"/>
          <w:szCs w:val="28"/>
        </w:rPr>
        <w:t xml:space="preserve">ables </w:t>
      </w:r>
      <w:bookmarkEnd w:id="1"/>
    </w:p>
    <w:p w14:paraId="6DD17FA5" w14:textId="120CDE32" w:rsidR="009F64C5" w:rsidRPr="007F1C8A" w:rsidRDefault="009F64C5" w:rsidP="003C4C21">
      <w:pPr>
        <w:spacing w:after="172"/>
        <w:rPr>
          <w:rFonts w:asciiTheme="minorBidi" w:hAnsiTheme="minorBidi"/>
        </w:rPr>
      </w:pPr>
      <w:r w:rsidRPr="007F1C8A">
        <w:rPr>
          <w:rFonts w:asciiTheme="minorBidi" w:eastAsia="Calibri" w:hAnsiTheme="minorBidi"/>
        </w:rPr>
        <w:t xml:space="preserve"> </w:t>
      </w:r>
    </w:p>
    <w:p w14:paraId="0E4637B8" w14:textId="68E6997D" w:rsidR="00AE411E" w:rsidRPr="00AE411E" w:rsidRDefault="00AE411E" w:rsidP="00AE411E">
      <w:pPr>
        <w:pStyle w:val="TOC1"/>
        <w:tabs>
          <w:tab w:val="left" w:pos="440"/>
          <w:tab w:val="right" w:leader="dot" w:pos="9350"/>
        </w:tabs>
        <w:rPr>
          <w:rFonts w:ascii="Arial" w:hAnsi="Arial" w:cs="Arial"/>
          <w:b/>
          <w:bCs/>
        </w:rPr>
      </w:pPr>
      <w:bookmarkStart w:id="2" w:name="_Toc12214"/>
      <w:r w:rsidRPr="00AE411E">
        <w:rPr>
          <w:rFonts w:ascii="Arial" w:hAnsi="Arial" w:cs="Arial"/>
          <w:b/>
          <w:bCs/>
        </w:rPr>
        <w:t>Table 3.1: Search Strategy and Terms by Database</w:t>
      </w:r>
      <w:r w:rsidRPr="00AE411E">
        <w:rPr>
          <w:rFonts w:ascii="Arial" w:hAnsi="Arial" w:cs="Arial"/>
          <w:b/>
          <w:bCs/>
        </w:rPr>
        <w:tab/>
      </w:r>
      <w:r>
        <w:rPr>
          <w:rFonts w:ascii="Arial" w:hAnsi="Arial" w:cs="Arial"/>
          <w:b/>
          <w:bCs/>
        </w:rPr>
        <w:t>26</w:t>
      </w:r>
    </w:p>
    <w:p w14:paraId="36D457CD" w14:textId="472FA866" w:rsidR="00AE411E" w:rsidRDefault="00AE411E" w:rsidP="00AE411E">
      <w:pPr>
        <w:pStyle w:val="TOC1"/>
        <w:tabs>
          <w:tab w:val="left" w:pos="440"/>
          <w:tab w:val="right" w:leader="dot" w:pos="9350"/>
        </w:tabs>
        <w:rPr>
          <w:rFonts w:ascii="Arial" w:hAnsi="Arial" w:cs="Arial"/>
          <w:b/>
          <w:bCs/>
        </w:rPr>
      </w:pPr>
      <w:r w:rsidRPr="00AE411E">
        <w:rPr>
          <w:rFonts w:ascii="Arial" w:hAnsi="Arial" w:cs="Arial"/>
          <w:b/>
          <w:bCs/>
        </w:rPr>
        <w:t>Table 3.2: PICOS Eligibility Framework</w:t>
      </w:r>
      <w:r w:rsidRPr="00AE411E">
        <w:rPr>
          <w:rFonts w:ascii="Arial" w:hAnsi="Arial" w:cs="Arial"/>
          <w:b/>
          <w:bCs/>
        </w:rPr>
        <w:tab/>
      </w:r>
      <w:r>
        <w:rPr>
          <w:rFonts w:ascii="Arial" w:hAnsi="Arial" w:cs="Arial"/>
          <w:b/>
          <w:bCs/>
        </w:rPr>
        <w:t>28</w:t>
      </w:r>
    </w:p>
    <w:p w14:paraId="1FE28121" w14:textId="65F9B918" w:rsidR="00BE2BFA" w:rsidRPr="00AE411E" w:rsidRDefault="00BE2BFA" w:rsidP="00AE411E">
      <w:pPr>
        <w:pStyle w:val="TOC1"/>
        <w:tabs>
          <w:tab w:val="left" w:pos="440"/>
          <w:tab w:val="right" w:leader="dot" w:pos="9350"/>
        </w:tabs>
        <w:rPr>
          <w:rFonts w:ascii="Arial" w:eastAsiaTheme="minorEastAsia" w:hAnsi="Arial" w:cs="Arial"/>
          <w:b/>
          <w:bCs/>
          <w:noProof/>
        </w:rPr>
      </w:pPr>
      <w:r w:rsidRPr="00BE2BFA">
        <w:rPr>
          <w:rFonts w:ascii="Arial" w:eastAsiaTheme="minorEastAsia" w:hAnsi="Arial" w:cs="Arial"/>
          <w:b/>
          <w:bCs/>
          <w:noProof/>
        </w:rPr>
        <w:t>Table 3.3: Data Extraction Table for Final Selected Articles</w:t>
      </w:r>
      <w:r w:rsidRPr="00AE411E">
        <w:rPr>
          <w:rFonts w:ascii="Arial" w:hAnsi="Arial" w:cs="Arial"/>
          <w:b/>
          <w:bCs/>
        </w:rPr>
        <w:tab/>
      </w:r>
      <w:r w:rsidR="008B21F2">
        <w:rPr>
          <w:rFonts w:ascii="Arial" w:hAnsi="Arial" w:cs="Arial"/>
          <w:b/>
          <w:bCs/>
        </w:rPr>
        <w:t>30</w:t>
      </w:r>
    </w:p>
    <w:p w14:paraId="1A698488" w14:textId="79D652AD" w:rsidR="00AE411E" w:rsidRDefault="00AE411E" w:rsidP="00AE411E">
      <w:pPr>
        <w:pStyle w:val="TOC1"/>
        <w:tabs>
          <w:tab w:val="left" w:pos="440"/>
          <w:tab w:val="right" w:leader="dot" w:pos="9350"/>
        </w:tabs>
        <w:rPr>
          <w:rFonts w:ascii="Arial" w:hAnsi="Arial" w:cs="Arial"/>
          <w:b/>
          <w:bCs/>
        </w:rPr>
      </w:pPr>
      <w:r w:rsidRPr="00AE411E">
        <w:rPr>
          <w:rFonts w:ascii="Arial" w:hAnsi="Arial" w:cs="Arial"/>
          <w:b/>
          <w:bCs/>
        </w:rPr>
        <w:t xml:space="preserve">Table 4.1: Summary of Evidence Themes Identified in the Narrative </w:t>
      </w:r>
      <w:r>
        <w:rPr>
          <w:rFonts w:ascii="Arial" w:hAnsi="Arial" w:cs="Arial"/>
          <w:b/>
          <w:bCs/>
        </w:rPr>
        <w:t xml:space="preserve">    </w:t>
      </w:r>
      <w:r w:rsidRPr="00AE411E">
        <w:rPr>
          <w:rFonts w:ascii="Arial" w:hAnsi="Arial" w:cs="Arial"/>
          <w:b/>
          <w:bCs/>
        </w:rPr>
        <w:t>Synthesis</w:t>
      </w:r>
      <w:r w:rsidRPr="00AE411E">
        <w:rPr>
          <w:rFonts w:ascii="Arial" w:hAnsi="Arial" w:cs="Arial"/>
          <w:b/>
          <w:bCs/>
        </w:rPr>
        <w:tab/>
      </w:r>
      <w:r>
        <w:rPr>
          <w:rFonts w:ascii="Arial" w:hAnsi="Arial" w:cs="Arial"/>
          <w:b/>
          <w:bCs/>
        </w:rPr>
        <w:t>3</w:t>
      </w:r>
      <w:r w:rsidR="001A1063">
        <w:rPr>
          <w:rFonts w:ascii="Arial" w:hAnsi="Arial" w:cs="Arial"/>
          <w:b/>
          <w:bCs/>
        </w:rPr>
        <w:t>4</w:t>
      </w:r>
    </w:p>
    <w:p w14:paraId="69352C88" w14:textId="5EC4AD2B" w:rsidR="00AE411E" w:rsidRDefault="00AE411E" w:rsidP="00AE411E">
      <w:pPr>
        <w:pStyle w:val="TOC1"/>
        <w:tabs>
          <w:tab w:val="left" w:pos="440"/>
          <w:tab w:val="right" w:leader="dot" w:pos="9350"/>
        </w:tabs>
        <w:rPr>
          <w:rFonts w:ascii="Arial" w:hAnsi="Arial" w:cs="Arial"/>
          <w:b/>
          <w:bCs/>
        </w:rPr>
      </w:pPr>
      <w:r w:rsidRPr="00AE411E">
        <w:rPr>
          <w:rFonts w:ascii="Arial" w:hAnsi="Arial" w:cs="Arial"/>
          <w:b/>
          <w:bCs/>
        </w:rPr>
        <w:t>Table A2.1: CASP Quality Appraisal of Included Studies</w:t>
      </w:r>
      <w:r w:rsidRPr="00AE411E">
        <w:rPr>
          <w:rFonts w:ascii="Arial" w:hAnsi="Arial" w:cs="Arial"/>
          <w:b/>
          <w:bCs/>
        </w:rPr>
        <w:tab/>
      </w:r>
      <w:r w:rsidR="006B03D2">
        <w:rPr>
          <w:rFonts w:ascii="Arial" w:hAnsi="Arial" w:cs="Arial"/>
          <w:b/>
          <w:bCs/>
        </w:rPr>
        <w:t>60</w:t>
      </w:r>
    </w:p>
    <w:p w14:paraId="01EA1013" w14:textId="77777777" w:rsidR="00AE411E" w:rsidRDefault="00AE411E" w:rsidP="00AE411E">
      <w:pPr>
        <w:pStyle w:val="TOC1"/>
        <w:tabs>
          <w:tab w:val="left" w:pos="440"/>
          <w:tab w:val="right" w:leader="dot" w:pos="9350"/>
        </w:tabs>
        <w:rPr>
          <w:rFonts w:ascii="Arial" w:hAnsi="Arial" w:cs="Arial"/>
          <w:b/>
          <w:bCs/>
        </w:rPr>
      </w:pPr>
    </w:p>
    <w:p w14:paraId="7D2E2643" w14:textId="77777777" w:rsidR="00AE411E" w:rsidRDefault="00AE411E" w:rsidP="00AE411E">
      <w:pPr>
        <w:pStyle w:val="TOC1"/>
        <w:tabs>
          <w:tab w:val="left" w:pos="440"/>
          <w:tab w:val="right" w:leader="dot" w:pos="9350"/>
        </w:tabs>
        <w:rPr>
          <w:rFonts w:ascii="Arial" w:hAnsi="Arial" w:cs="Arial"/>
          <w:b/>
          <w:bCs/>
        </w:rPr>
      </w:pPr>
    </w:p>
    <w:p w14:paraId="13907EDF" w14:textId="77777777" w:rsidR="00AE411E" w:rsidRDefault="00AE411E" w:rsidP="00AE411E">
      <w:pPr>
        <w:pStyle w:val="TOC1"/>
        <w:tabs>
          <w:tab w:val="left" w:pos="440"/>
          <w:tab w:val="right" w:leader="dot" w:pos="9350"/>
        </w:tabs>
        <w:rPr>
          <w:rFonts w:ascii="Arial" w:hAnsi="Arial" w:cs="Arial"/>
          <w:b/>
          <w:bCs/>
        </w:rPr>
      </w:pPr>
    </w:p>
    <w:p w14:paraId="60AA8B9D" w14:textId="77777777" w:rsidR="00AE411E" w:rsidRDefault="00AE411E" w:rsidP="00AE411E">
      <w:pPr>
        <w:pStyle w:val="TOC1"/>
        <w:tabs>
          <w:tab w:val="left" w:pos="440"/>
          <w:tab w:val="right" w:leader="dot" w:pos="9350"/>
        </w:tabs>
        <w:rPr>
          <w:rFonts w:ascii="Arial" w:hAnsi="Arial" w:cs="Arial"/>
          <w:b/>
          <w:bCs/>
        </w:rPr>
      </w:pPr>
    </w:p>
    <w:p w14:paraId="62115BB3" w14:textId="77777777" w:rsidR="00AE411E" w:rsidRDefault="00AE411E" w:rsidP="00AE411E">
      <w:pPr>
        <w:pStyle w:val="TOC1"/>
        <w:tabs>
          <w:tab w:val="left" w:pos="440"/>
          <w:tab w:val="right" w:leader="dot" w:pos="9350"/>
        </w:tabs>
        <w:rPr>
          <w:rFonts w:ascii="Arial" w:hAnsi="Arial" w:cs="Arial"/>
          <w:b/>
          <w:bCs/>
        </w:rPr>
      </w:pPr>
    </w:p>
    <w:p w14:paraId="1333AB33" w14:textId="77777777" w:rsidR="00AE411E" w:rsidRDefault="00AE411E" w:rsidP="00AE411E">
      <w:pPr>
        <w:pStyle w:val="TOC1"/>
        <w:tabs>
          <w:tab w:val="left" w:pos="440"/>
          <w:tab w:val="right" w:leader="dot" w:pos="9350"/>
        </w:tabs>
        <w:rPr>
          <w:rFonts w:ascii="Arial" w:hAnsi="Arial" w:cs="Arial"/>
          <w:b/>
          <w:bCs/>
        </w:rPr>
      </w:pPr>
    </w:p>
    <w:p w14:paraId="45FA9FE5" w14:textId="77777777" w:rsidR="00AE411E" w:rsidRDefault="00AE411E" w:rsidP="00AE411E">
      <w:pPr>
        <w:pStyle w:val="TOC1"/>
        <w:tabs>
          <w:tab w:val="left" w:pos="440"/>
          <w:tab w:val="right" w:leader="dot" w:pos="9350"/>
        </w:tabs>
        <w:rPr>
          <w:rFonts w:ascii="Arial" w:hAnsi="Arial" w:cs="Arial"/>
          <w:b/>
          <w:bCs/>
        </w:rPr>
      </w:pPr>
    </w:p>
    <w:p w14:paraId="1640B4A2" w14:textId="77777777" w:rsidR="00AE411E" w:rsidRDefault="00AE411E" w:rsidP="00AE411E">
      <w:pPr>
        <w:pStyle w:val="TOC1"/>
        <w:tabs>
          <w:tab w:val="left" w:pos="440"/>
          <w:tab w:val="right" w:leader="dot" w:pos="9350"/>
        </w:tabs>
        <w:rPr>
          <w:rFonts w:ascii="Arial" w:hAnsi="Arial" w:cs="Arial"/>
          <w:b/>
          <w:bCs/>
        </w:rPr>
      </w:pPr>
    </w:p>
    <w:p w14:paraId="7E9A8B15" w14:textId="77777777" w:rsidR="00AE411E" w:rsidRDefault="00AE411E" w:rsidP="00AE411E">
      <w:pPr>
        <w:pStyle w:val="TOC1"/>
        <w:tabs>
          <w:tab w:val="left" w:pos="440"/>
          <w:tab w:val="right" w:leader="dot" w:pos="9350"/>
        </w:tabs>
        <w:rPr>
          <w:rFonts w:ascii="Arial" w:hAnsi="Arial" w:cs="Arial"/>
          <w:b/>
          <w:bCs/>
        </w:rPr>
      </w:pPr>
    </w:p>
    <w:p w14:paraId="071A3830" w14:textId="77777777" w:rsidR="00AE411E" w:rsidRDefault="00AE411E" w:rsidP="00AE411E">
      <w:pPr>
        <w:pStyle w:val="TOC1"/>
        <w:tabs>
          <w:tab w:val="left" w:pos="440"/>
          <w:tab w:val="right" w:leader="dot" w:pos="9350"/>
        </w:tabs>
        <w:rPr>
          <w:rFonts w:ascii="Arial" w:hAnsi="Arial" w:cs="Arial"/>
          <w:b/>
          <w:bCs/>
        </w:rPr>
      </w:pPr>
    </w:p>
    <w:p w14:paraId="19F3A86B" w14:textId="0F218D36" w:rsidR="00AE411E" w:rsidRDefault="00AE411E" w:rsidP="00AE411E">
      <w:pPr>
        <w:pStyle w:val="TOC1"/>
        <w:tabs>
          <w:tab w:val="left" w:pos="440"/>
          <w:tab w:val="right" w:leader="dot" w:pos="9350"/>
        </w:tabs>
        <w:rPr>
          <w:rFonts w:ascii="Arial" w:hAnsi="Arial" w:cs="Arial"/>
          <w:b/>
          <w:bCs/>
        </w:rPr>
      </w:pPr>
    </w:p>
    <w:p w14:paraId="60258A6B" w14:textId="77777777" w:rsidR="00AE411E" w:rsidRDefault="00AE411E" w:rsidP="00AE411E">
      <w:pPr>
        <w:pStyle w:val="TOC1"/>
        <w:tabs>
          <w:tab w:val="left" w:pos="440"/>
          <w:tab w:val="right" w:leader="dot" w:pos="9350"/>
        </w:tabs>
        <w:rPr>
          <w:rFonts w:ascii="Arial" w:hAnsi="Arial" w:cs="Arial"/>
          <w:b/>
          <w:bCs/>
        </w:rPr>
      </w:pPr>
    </w:p>
    <w:p w14:paraId="55E2E3D2" w14:textId="77777777" w:rsidR="00AE411E" w:rsidRDefault="00AE411E" w:rsidP="00AE411E">
      <w:pPr>
        <w:pStyle w:val="TOC1"/>
        <w:tabs>
          <w:tab w:val="left" w:pos="440"/>
          <w:tab w:val="right" w:leader="dot" w:pos="9350"/>
        </w:tabs>
        <w:rPr>
          <w:rFonts w:ascii="Arial" w:hAnsi="Arial" w:cs="Arial"/>
          <w:b/>
          <w:bCs/>
        </w:rPr>
      </w:pPr>
    </w:p>
    <w:p w14:paraId="5B802F41" w14:textId="77777777" w:rsidR="00AE411E" w:rsidRDefault="00AE411E" w:rsidP="00AE411E">
      <w:pPr>
        <w:pStyle w:val="TOC1"/>
        <w:tabs>
          <w:tab w:val="left" w:pos="440"/>
          <w:tab w:val="right" w:leader="dot" w:pos="9350"/>
        </w:tabs>
        <w:rPr>
          <w:rFonts w:ascii="Arial" w:hAnsi="Arial" w:cs="Arial"/>
          <w:b/>
          <w:bCs/>
        </w:rPr>
      </w:pPr>
    </w:p>
    <w:p w14:paraId="5AC6D6C6" w14:textId="77777777" w:rsidR="00AE411E" w:rsidRDefault="00AE411E" w:rsidP="00AE411E">
      <w:pPr>
        <w:pStyle w:val="TOC1"/>
        <w:tabs>
          <w:tab w:val="left" w:pos="440"/>
          <w:tab w:val="right" w:leader="dot" w:pos="9350"/>
        </w:tabs>
        <w:rPr>
          <w:rFonts w:ascii="Arial" w:hAnsi="Arial" w:cs="Arial"/>
          <w:b/>
          <w:bCs/>
        </w:rPr>
      </w:pPr>
    </w:p>
    <w:p w14:paraId="06A76089" w14:textId="77777777" w:rsidR="00AE411E" w:rsidRDefault="00AE411E" w:rsidP="00AE411E">
      <w:pPr>
        <w:pStyle w:val="TOC1"/>
        <w:tabs>
          <w:tab w:val="left" w:pos="440"/>
          <w:tab w:val="right" w:leader="dot" w:pos="9350"/>
        </w:tabs>
        <w:rPr>
          <w:rFonts w:ascii="Arial" w:hAnsi="Arial" w:cs="Arial"/>
          <w:b/>
          <w:bCs/>
        </w:rPr>
      </w:pPr>
    </w:p>
    <w:p w14:paraId="4DEAABF1" w14:textId="77777777" w:rsidR="00AE411E" w:rsidRDefault="00AE411E" w:rsidP="00AE411E">
      <w:pPr>
        <w:pStyle w:val="TOC1"/>
        <w:tabs>
          <w:tab w:val="left" w:pos="440"/>
          <w:tab w:val="right" w:leader="dot" w:pos="9350"/>
        </w:tabs>
        <w:rPr>
          <w:rFonts w:ascii="Arial" w:hAnsi="Arial" w:cs="Arial"/>
          <w:b/>
          <w:bCs/>
        </w:rPr>
      </w:pPr>
    </w:p>
    <w:p w14:paraId="427F1277" w14:textId="77777777" w:rsidR="00AE411E" w:rsidRDefault="00AE411E" w:rsidP="00AE411E">
      <w:pPr>
        <w:pStyle w:val="TOC1"/>
        <w:tabs>
          <w:tab w:val="left" w:pos="440"/>
          <w:tab w:val="right" w:leader="dot" w:pos="9350"/>
        </w:tabs>
        <w:rPr>
          <w:rFonts w:ascii="Arial" w:hAnsi="Arial" w:cs="Arial"/>
          <w:b/>
          <w:bCs/>
        </w:rPr>
      </w:pPr>
    </w:p>
    <w:p w14:paraId="794F2169" w14:textId="77777777" w:rsidR="00AE411E" w:rsidRDefault="00AE411E" w:rsidP="00AE411E">
      <w:pPr>
        <w:pStyle w:val="TOC1"/>
        <w:tabs>
          <w:tab w:val="left" w:pos="440"/>
          <w:tab w:val="right" w:leader="dot" w:pos="9350"/>
        </w:tabs>
        <w:rPr>
          <w:rFonts w:ascii="Arial" w:hAnsi="Arial" w:cs="Arial"/>
          <w:b/>
          <w:bCs/>
        </w:rPr>
      </w:pPr>
    </w:p>
    <w:p w14:paraId="03380E57" w14:textId="77777777" w:rsidR="00AE411E" w:rsidRDefault="00AE411E" w:rsidP="00AE411E">
      <w:pPr>
        <w:pStyle w:val="TOC1"/>
        <w:tabs>
          <w:tab w:val="left" w:pos="440"/>
          <w:tab w:val="right" w:leader="dot" w:pos="9350"/>
        </w:tabs>
        <w:rPr>
          <w:rFonts w:ascii="Arial" w:hAnsi="Arial" w:cs="Arial"/>
          <w:b/>
          <w:bCs/>
        </w:rPr>
      </w:pPr>
    </w:p>
    <w:p w14:paraId="20636338" w14:textId="77777777" w:rsidR="00AE411E" w:rsidRDefault="00AE411E" w:rsidP="00AE411E">
      <w:pPr>
        <w:pStyle w:val="TOC1"/>
        <w:tabs>
          <w:tab w:val="left" w:pos="440"/>
          <w:tab w:val="right" w:leader="dot" w:pos="9350"/>
        </w:tabs>
        <w:rPr>
          <w:rFonts w:ascii="Arial" w:hAnsi="Arial" w:cs="Arial"/>
          <w:b/>
          <w:bCs/>
        </w:rPr>
      </w:pPr>
    </w:p>
    <w:p w14:paraId="4239539A" w14:textId="77777777" w:rsidR="00AE411E" w:rsidRDefault="00AE411E" w:rsidP="00AE411E">
      <w:pPr>
        <w:pStyle w:val="TOC1"/>
        <w:tabs>
          <w:tab w:val="left" w:pos="440"/>
          <w:tab w:val="right" w:leader="dot" w:pos="9350"/>
        </w:tabs>
        <w:rPr>
          <w:rFonts w:ascii="Arial" w:hAnsi="Arial" w:cs="Arial"/>
          <w:b/>
          <w:bCs/>
        </w:rPr>
      </w:pPr>
    </w:p>
    <w:p w14:paraId="0B810B41" w14:textId="77777777" w:rsidR="00AE411E" w:rsidRDefault="00AE411E" w:rsidP="00AE411E">
      <w:pPr>
        <w:pStyle w:val="TOC1"/>
        <w:tabs>
          <w:tab w:val="left" w:pos="440"/>
          <w:tab w:val="right" w:leader="dot" w:pos="9350"/>
        </w:tabs>
        <w:rPr>
          <w:rFonts w:ascii="Arial" w:hAnsi="Arial" w:cs="Arial"/>
          <w:b/>
          <w:bCs/>
        </w:rPr>
      </w:pPr>
    </w:p>
    <w:p w14:paraId="4A458A54" w14:textId="77777777" w:rsidR="00AE411E" w:rsidRDefault="00AE411E" w:rsidP="00AE411E">
      <w:pPr>
        <w:pStyle w:val="TOC1"/>
        <w:tabs>
          <w:tab w:val="left" w:pos="440"/>
          <w:tab w:val="right" w:leader="dot" w:pos="9350"/>
        </w:tabs>
        <w:rPr>
          <w:rFonts w:ascii="Arial" w:hAnsi="Arial" w:cs="Arial"/>
          <w:b/>
          <w:bCs/>
        </w:rPr>
      </w:pPr>
    </w:p>
    <w:p w14:paraId="730214D5" w14:textId="77777777" w:rsidR="00AE411E" w:rsidRDefault="00AE411E" w:rsidP="00AE411E">
      <w:pPr>
        <w:pStyle w:val="TOC1"/>
        <w:tabs>
          <w:tab w:val="left" w:pos="440"/>
          <w:tab w:val="right" w:leader="dot" w:pos="9350"/>
        </w:tabs>
        <w:ind w:left="0" w:firstLine="0"/>
        <w:rPr>
          <w:rFonts w:ascii="Arial" w:hAnsi="Arial" w:cs="Arial"/>
          <w:b/>
          <w:bCs/>
        </w:rPr>
      </w:pPr>
    </w:p>
    <w:p w14:paraId="1911706D" w14:textId="77777777" w:rsidR="00AE411E" w:rsidRDefault="00AE411E" w:rsidP="00AE411E">
      <w:pPr>
        <w:pStyle w:val="TOC1"/>
        <w:tabs>
          <w:tab w:val="left" w:pos="440"/>
          <w:tab w:val="right" w:leader="dot" w:pos="9350"/>
        </w:tabs>
        <w:ind w:left="0" w:firstLine="0"/>
        <w:rPr>
          <w:rFonts w:ascii="Arial" w:hAnsi="Arial" w:cs="Arial"/>
          <w:b/>
          <w:bCs/>
        </w:rPr>
      </w:pPr>
    </w:p>
    <w:p w14:paraId="66F89615" w14:textId="77777777" w:rsidR="00AE411E" w:rsidRDefault="00AE411E" w:rsidP="00AE411E">
      <w:pPr>
        <w:pStyle w:val="TOC1"/>
        <w:tabs>
          <w:tab w:val="left" w:pos="440"/>
          <w:tab w:val="right" w:leader="dot" w:pos="9350"/>
        </w:tabs>
        <w:rPr>
          <w:rFonts w:ascii="Arial" w:hAnsi="Arial" w:cs="Arial"/>
          <w:b/>
          <w:bCs/>
        </w:rPr>
      </w:pPr>
    </w:p>
    <w:p w14:paraId="1F13810B" w14:textId="1E08640D" w:rsidR="00AE411E" w:rsidRPr="00AE411E" w:rsidRDefault="00AE411E" w:rsidP="00AE411E">
      <w:pPr>
        <w:pStyle w:val="Heading1"/>
        <w:ind w:left="12" w:right="4"/>
        <w:rPr>
          <w:rFonts w:asciiTheme="minorBidi" w:hAnsiTheme="minorBidi" w:cstheme="minorBidi"/>
          <w:sz w:val="28"/>
          <w:szCs w:val="28"/>
        </w:rPr>
      </w:pPr>
      <w:r w:rsidRPr="00AE411E">
        <w:rPr>
          <w:rFonts w:asciiTheme="minorBidi" w:hAnsiTheme="minorBidi" w:cstheme="minorBidi"/>
          <w:sz w:val="28"/>
          <w:szCs w:val="28"/>
        </w:rPr>
        <w:lastRenderedPageBreak/>
        <w:t xml:space="preserve">List of Figures </w:t>
      </w:r>
    </w:p>
    <w:p w14:paraId="4A4A3F03" w14:textId="77777777" w:rsidR="00AE411E" w:rsidRPr="007F1C8A" w:rsidRDefault="00AE411E" w:rsidP="00AE411E">
      <w:pPr>
        <w:spacing w:after="172"/>
        <w:rPr>
          <w:rFonts w:asciiTheme="minorBidi" w:hAnsiTheme="minorBidi"/>
        </w:rPr>
      </w:pPr>
      <w:r w:rsidRPr="007F1C8A">
        <w:rPr>
          <w:rFonts w:asciiTheme="minorBidi" w:eastAsia="Calibri" w:hAnsiTheme="minorBidi"/>
        </w:rPr>
        <w:t xml:space="preserve"> </w:t>
      </w:r>
    </w:p>
    <w:p w14:paraId="1B03616F" w14:textId="034B3BF1" w:rsidR="00AE411E" w:rsidRDefault="00AE411E" w:rsidP="00AE411E">
      <w:pPr>
        <w:pStyle w:val="TOC1"/>
        <w:tabs>
          <w:tab w:val="left" w:pos="440"/>
          <w:tab w:val="right" w:leader="dot" w:pos="9350"/>
        </w:tabs>
        <w:rPr>
          <w:rFonts w:ascii="Arial" w:hAnsi="Arial" w:cs="Arial"/>
          <w:b/>
          <w:bCs/>
        </w:rPr>
      </w:pPr>
      <w:r w:rsidRPr="00AE411E">
        <w:rPr>
          <w:rFonts w:ascii="Arial" w:hAnsi="Arial" w:cs="Arial"/>
          <w:b/>
          <w:bCs/>
        </w:rPr>
        <w:t>Figure 4.1: Diagnosed COPD Prevalence by Age Group in the United States, 2023</w:t>
      </w:r>
      <w:r w:rsidRPr="00AE411E">
        <w:rPr>
          <w:rFonts w:ascii="Arial" w:hAnsi="Arial" w:cs="Arial"/>
          <w:b/>
          <w:bCs/>
        </w:rPr>
        <w:tab/>
      </w:r>
      <w:r w:rsidR="004B7DAB">
        <w:rPr>
          <w:rFonts w:ascii="Arial" w:hAnsi="Arial" w:cs="Arial"/>
          <w:b/>
          <w:bCs/>
        </w:rPr>
        <w:t>3</w:t>
      </w:r>
      <w:r w:rsidR="006B03D2">
        <w:rPr>
          <w:rFonts w:ascii="Arial" w:hAnsi="Arial" w:cs="Arial"/>
          <w:b/>
          <w:bCs/>
        </w:rPr>
        <w:t>7</w:t>
      </w:r>
    </w:p>
    <w:p w14:paraId="279143F6" w14:textId="0263DB1F" w:rsidR="000555DE" w:rsidRPr="00AE411E" w:rsidRDefault="00AE411E" w:rsidP="00AE411E">
      <w:pPr>
        <w:pStyle w:val="TOC1"/>
        <w:tabs>
          <w:tab w:val="left" w:pos="440"/>
          <w:tab w:val="right" w:leader="dot" w:pos="9350"/>
        </w:tabs>
        <w:rPr>
          <w:rFonts w:ascii="Arial" w:hAnsi="Arial" w:cs="Arial"/>
          <w:b/>
          <w:bCs/>
        </w:rPr>
      </w:pPr>
      <w:r w:rsidRPr="00AE411E">
        <w:rPr>
          <w:rFonts w:ascii="Arial" w:hAnsi="Arial" w:cs="Arial"/>
          <w:b/>
          <w:bCs/>
        </w:rPr>
        <w:t>Figure A1.1: PRISMA Flow Diagram of Study Identification, Screening and Inclusion</w:t>
      </w:r>
      <w:r w:rsidRPr="00AE411E">
        <w:rPr>
          <w:rFonts w:ascii="Arial" w:hAnsi="Arial" w:cs="Arial"/>
          <w:b/>
          <w:bCs/>
        </w:rPr>
        <w:tab/>
      </w:r>
      <w:r w:rsidR="004B7DAB">
        <w:rPr>
          <w:rFonts w:ascii="Arial" w:hAnsi="Arial" w:cs="Arial"/>
          <w:b/>
          <w:bCs/>
        </w:rPr>
        <w:t>5</w:t>
      </w:r>
      <w:r w:rsidR="006B03D2">
        <w:rPr>
          <w:rFonts w:ascii="Arial" w:hAnsi="Arial" w:cs="Arial"/>
          <w:b/>
          <w:bCs/>
        </w:rPr>
        <w:t>9</w:t>
      </w:r>
      <w:r w:rsidR="000555DE" w:rsidRPr="007F1C8A">
        <w:rPr>
          <w:rFonts w:asciiTheme="minorBidi" w:hAnsiTheme="minorBidi"/>
        </w:rPr>
        <w:br w:type="page"/>
      </w:r>
    </w:p>
    <w:p w14:paraId="3ABADF24" w14:textId="4B72A0A9" w:rsidR="009F64C5" w:rsidRPr="007F1C8A" w:rsidRDefault="009F64C5" w:rsidP="002B523E">
      <w:pPr>
        <w:pStyle w:val="Heading1"/>
        <w:spacing w:after="169" w:line="249" w:lineRule="auto"/>
        <w:ind w:right="0"/>
        <w:rPr>
          <w:rFonts w:asciiTheme="minorBidi" w:hAnsiTheme="minorBidi" w:cstheme="minorBidi"/>
        </w:rPr>
      </w:pPr>
      <w:r w:rsidRPr="007F1C8A">
        <w:rPr>
          <w:rFonts w:asciiTheme="minorBidi" w:hAnsiTheme="minorBidi" w:cstheme="minorBidi"/>
        </w:rPr>
        <w:lastRenderedPageBreak/>
        <w:t xml:space="preserve">List of </w:t>
      </w:r>
      <w:r w:rsidR="00D02567">
        <w:rPr>
          <w:rFonts w:asciiTheme="minorBidi" w:hAnsiTheme="minorBidi" w:cstheme="minorBidi"/>
        </w:rPr>
        <w:t>A</w:t>
      </w:r>
      <w:r w:rsidRPr="007F1C8A">
        <w:rPr>
          <w:rFonts w:asciiTheme="minorBidi" w:hAnsiTheme="minorBidi" w:cstheme="minorBidi"/>
        </w:rPr>
        <w:t>bbreviations</w:t>
      </w:r>
      <w:bookmarkEnd w:id="2"/>
    </w:p>
    <w:p w14:paraId="31F6A5CC" w14:textId="53FE17EB" w:rsidR="009F64C5" w:rsidRPr="007F1C8A" w:rsidRDefault="009F64C5" w:rsidP="00476C51">
      <w:pPr>
        <w:spacing w:after="158"/>
        <w:ind w:left="59"/>
        <w:jc w:val="center"/>
        <w:rPr>
          <w:rFonts w:asciiTheme="minorBidi" w:hAnsiTheme="minorBidi"/>
        </w:rPr>
      </w:pPr>
      <w:r w:rsidRPr="007F1C8A">
        <w:rPr>
          <w:rFonts w:asciiTheme="minorBidi" w:eastAsia="Times New Roman" w:hAnsiTheme="minorBidi"/>
          <w:b/>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7"/>
        <w:gridCol w:w="3408"/>
      </w:tblGrid>
      <w:tr w:rsidR="008A1CF5" w:rsidRPr="008A1CF5" w14:paraId="3D3246EC" w14:textId="77777777">
        <w:trPr>
          <w:tblCellSpacing w:w="15" w:type="dxa"/>
        </w:trPr>
        <w:tc>
          <w:tcPr>
            <w:tcW w:w="0" w:type="auto"/>
            <w:vAlign w:val="center"/>
            <w:hideMark/>
          </w:tcPr>
          <w:p w14:paraId="094EB3F3"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ATS</w:t>
            </w:r>
          </w:p>
        </w:tc>
        <w:tc>
          <w:tcPr>
            <w:tcW w:w="0" w:type="auto"/>
            <w:vAlign w:val="center"/>
            <w:hideMark/>
          </w:tcPr>
          <w:p w14:paraId="2B5A2B0C" w14:textId="505C234C"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American Thoracic Society</w:t>
            </w:r>
          </w:p>
        </w:tc>
      </w:tr>
    </w:tbl>
    <w:p w14:paraId="4CD7A439"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9"/>
        <w:gridCol w:w="5185"/>
      </w:tblGrid>
      <w:tr w:rsidR="008A1CF5" w:rsidRPr="008A1CF5" w14:paraId="7089ABD2" w14:textId="77777777">
        <w:trPr>
          <w:tblCellSpacing w:w="15" w:type="dxa"/>
        </w:trPr>
        <w:tc>
          <w:tcPr>
            <w:tcW w:w="0" w:type="auto"/>
            <w:vAlign w:val="center"/>
            <w:hideMark/>
          </w:tcPr>
          <w:p w14:paraId="07C40C68"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BRFSS</w:t>
            </w:r>
          </w:p>
        </w:tc>
        <w:tc>
          <w:tcPr>
            <w:tcW w:w="0" w:type="auto"/>
            <w:vAlign w:val="center"/>
            <w:hideMark/>
          </w:tcPr>
          <w:p w14:paraId="071CA243" w14:textId="35B4415B"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Behavioural Risk Factor Surveillance System</w:t>
            </w:r>
          </w:p>
        </w:tc>
      </w:tr>
    </w:tbl>
    <w:p w14:paraId="6C917C11"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5"/>
        <w:gridCol w:w="4219"/>
      </w:tblGrid>
      <w:tr w:rsidR="008A1CF5" w:rsidRPr="008A1CF5" w14:paraId="2F68409C" w14:textId="77777777">
        <w:trPr>
          <w:tblCellSpacing w:w="15" w:type="dxa"/>
        </w:trPr>
        <w:tc>
          <w:tcPr>
            <w:tcW w:w="0" w:type="auto"/>
            <w:vAlign w:val="center"/>
            <w:hideMark/>
          </w:tcPr>
          <w:p w14:paraId="24517DDB"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CASP</w:t>
            </w:r>
          </w:p>
        </w:tc>
        <w:tc>
          <w:tcPr>
            <w:tcW w:w="0" w:type="auto"/>
            <w:vAlign w:val="center"/>
            <w:hideMark/>
          </w:tcPr>
          <w:p w14:paraId="655600C4" w14:textId="54C27381"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Critical Appraisal Skills Programme</w:t>
            </w:r>
          </w:p>
        </w:tc>
      </w:tr>
    </w:tbl>
    <w:p w14:paraId="4D837F9B"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1"/>
        <w:gridCol w:w="4696"/>
      </w:tblGrid>
      <w:tr w:rsidR="008A1CF5" w:rsidRPr="008A1CF5" w14:paraId="0FB345F3" w14:textId="77777777">
        <w:trPr>
          <w:tblCellSpacing w:w="15" w:type="dxa"/>
        </w:trPr>
        <w:tc>
          <w:tcPr>
            <w:tcW w:w="0" w:type="auto"/>
            <w:vAlign w:val="center"/>
            <w:hideMark/>
          </w:tcPr>
          <w:p w14:paraId="48C33C78"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COPD</w:t>
            </w:r>
          </w:p>
        </w:tc>
        <w:tc>
          <w:tcPr>
            <w:tcW w:w="0" w:type="auto"/>
            <w:vAlign w:val="center"/>
            <w:hideMark/>
          </w:tcPr>
          <w:p w14:paraId="04F3954C" w14:textId="1ABC223F"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Chronic Obstructive Pulmonary Disease</w:t>
            </w:r>
          </w:p>
        </w:tc>
      </w:tr>
    </w:tbl>
    <w:p w14:paraId="6B8F3DBD"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
        <w:gridCol w:w="3078"/>
      </w:tblGrid>
      <w:tr w:rsidR="008A1CF5" w:rsidRPr="008A1CF5" w14:paraId="753755BC" w14:textId="77777777">
        <w:trPr>
          <w:tblCellSpacing w:w="15" w:type="dxa"/>
        </w:trPr>
        <w:tc>
          <w:tcPr>
            <w:tcW w:w="0" w:type="auto"/>
            <w:vAlign w:val="center"/>
            <w:hideMark/>
          </w:tcPr>
          <w:p w14:paraId="714059EB"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CT</w:t>
            </w:r>
          </w:p>
        </w:tc>
        <w:tc>
          <w:tcPr>
            <w:tcW w:w="0" w:type="auto"/>
            <w:vAlign w:val="center"/>
            <w:hideMark/>
          </w:tcPr>
          <w:p w14:paraId="4CC679B1" w14:textId="19A3EA96"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Computed Tomography</w:t>
            </w:r>
          </w:p>
        </w:tc>
      </w:tr>
    </w:tbl>
    <w:p w14:paraId="66E116B7"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3"/>
        <w:gridCol w:w="4843"/>
      </w:tblGrid>
      <w:tr w:rsidR="008A1CF5" w:rsidRPr="008A1CF5" w14:paraId="3DD5DBD2" w14:textId="77777777">
        <w:trPr>
          <w:tblCellSpacing w:w="15" w:type="dxa"/>
        </w:trPr>
        <w:tc>
          <w:tcPr>
            <w:tcW w:w="0" w:type="auto"/>
            <w:vAlign w:val="center"/>
            <w:hideMark/>
          </w:tcPr>
          <w:p w14:paraId="6431496A"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FEV</w:t>
            </w:r>
            <w:r w:rsidRPr="008A1CF5">
              <w:rPr>
                <w:rFonts w:ascii="Cambria Math" w:eastAsia="Times New Roman" w:hAnsi="Cambria Math" w:cs="Cambria Math"/>
                <w:i/>
              </w:rPr>
              <w:t>₁</w:t>
            </w:r>
          </w:p>
        </w:tc>
        <w:tc>
          <w:tcPr>
            <w:tcW w:w="0" w:type="auto"/>
            <w:vAlign w:val="center"/>
            <w:hideMark/>
          </w:tcPr>
          <w:p w14:paraId="51DA46AA" w14:textId="7253A235"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Forced Expiratory Volume in One Second</w:t>
            </w:r>
          </w:p>
        </w:tc>
      </w:tr>
    </w:tbl>
    <w:p w14:paraId="505EEEFD"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5"/>
        <w:gridCol w:w="2882"/>
      </w:tblGrid>
      <w:tr w:rsidR="008A1CF5" w:rsidRPr="008A1CF5" w14:paraId="04425EC3" w14:textId="77777777">
        <w:trPr>
          <w:tblCellSpacing w:w="15" w:type="dxa"/>
        </w:trPr>
        <w:tc>
          <w:tcPr>
            <w:tcW w:w="0" w:type="auto"/>
            <w:vAlign w:val="center"/>
            <w:hideMark/>
          </w:tcPr>
          <w:p w14:paraId="650348BC"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FVC</w:t>
            </w:r>
          </w:p>
        </w:tc>
        <w:tc>
          <w:tcPr>
            <w:tcW w:w="0" w:type="auto"/>
            <w:vAlign w:val="center"/>
            <w:hideMark/>
          </w:tcPr>
          <w:p w14:paraId="4A0A328E" w14:textId="7B61DAC2"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Forced Vital Capacity</w:t>
            </w:r>
          </w:p>
        </w:tc>
      </w:tr>
    </w:tbl>
    <w:p w14:paraId="013A04E8"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9"/>
        <w:gridCol w:w="6017"/>
      </w:tblGrid>
      <w:tr w:rsidR="008A1CF5" w:rsidRPr="008A1CF5" w14:paraId="5105D663" w14:textId="77777777">
        <w:trPr>
          <w:tblCellSpacing w:w="15" w:type="dxa"/>
        </w:trPr>
        <w:tc>
          <w:tcPr>
            <w:tcW w:w="0" w:type="auto"/>
            <w:vAlign w:val="center"/>
            <w:hideMark/>
          </w:tcPr>
          <w:p w14:paraId="29DAF640"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GOLD</w:t>
            </w:r>
          </w:p>
        </w:tc>
        <w:tc>
          <w:tcPr>
            <w:tcW w:w="0" w:type="auto"/>
            <w:vAlign w:val="center"/>
            <w:hideMark/>
          </w:tcPr>
          <w:p w14:paraId="5025B10B" w14:textId="0EBD1738"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Global Initiative for Chronic Obstructive Lung Disease</w:t>
            </w:r>
          </w:p>
        </w:tc>
      </w:tr>
    </w:tbl>
    <w:p w14:paraId="67FE7EF6"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1"/>
        <w:gridCol w:w="3987"/>
      </w:tblGrid>
      <w:tr w:rsidR="008A1CF5" w:rsidRPr="008A1CF5" w14:paraId="3FFC0F0F" w14:textId="77777777">
        <w:trPr>
          <w:tblCellSpacing w:w="15" w:type="dxa"/>
        </w:trPr>
        <w:tc>
          <w:tcPr>
            <w:tcW w:w="0" w:type="auto"/>
            <w:vAlign w:val="center"/>
            <w:hideMark/>
          </w:tcPr>
          <w:p w14:paraId="29598BE5"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NHIS</w:t>
            </w:r>
          </w:p>
        </w:tc>
        <w:tc>
          <w:tcPr>
            <w:tcW w:w="0" w:type="auto"/>
            <w:vAlign w:val="center"/>
            <w:hideMark/>
          </w:tcPr>
          <w:p w14:paraId="6B589293" w14:textId="21A9718B"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National Health Interview Survey</w:t>
            </w:r>
          </w:p>
        </w:tc>
      </w:tr>
    </w:tbl>
    <w:p w14:paraId="43DA7D74"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3"/>
        <w:gridCol w:w="4758"/>
      </w:tblGrid>
      <w:tr w:rsidR="008A1CF5" w:rsidRPr="008A1CF5" w14:paraId="7303C0E5" w14:textId="77777777">
        <w:trPr>
          <w:tblCellSpacing w:w="15" w:type="dxa"/>
        </w:trPr>
        <w:tc>
          <w:tcPr>
            <w:tcW w:w="0" w:type="auto"/>
            <w:vAlign w:val="center"/>
            <w:hideMark/>
          </w:tcPr>
          <w:p w14:paraId="300B9E2A"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NHLBI</w:t>
            </w:r>
          </w:p>
        </w:tc>
        <w:tc>
          <w:tcPr>
            <w:tcW w:w="0" w:type="auto"/>
            <w:vAlign w:val="center"/>
            <w:hideMark/>
          </w:tcPr>
          <w:p w14:paraId="48BF6EA0" w14:textId="40B24186"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National Heart, Lung, and Blood Institute</w:t>
            </w:r>
          </w:p>
        </w:tc>
      </w:tr>
    </w:tbl>
    <w:p w14:paraId="720C0A0C"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0"/>
        <w:gridCol w:w="7301"/>
      </w:tblGrid>
      <w:tr w:rsidR="008A1CF5" w:rsidRPr="008A1CF5" w14:paraId="3B521077" w14:textId="77777777">
        <w:trPr>
          <w:tblCellSpacing w:w="15" w:type="dxa"/>
        </w:trPr>
        <w:tc>
          <w:tcPr>
            <w:tcW w:w="0" w:type="auto"/>
            <w:vAlign w:val="center"/>
            <w:hideMark/>
          </w:tcPr>
          <w:p w14:paraId="52EA6E1C"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PICOS</w:t>
            </w:r>
          </w:p>
        </w:tc>
        <w:tc>
          <w:tcPr>
            <w:tcW w:w="0" w:type="auto"/>
            <w:vAlign w:val="center"/>
            <w:hideMark/>
          </w:tcPr>
          <w:p w14:paraId="068F1CD7" w14:textId="767A6DD4"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Population, Intervention, Comparator, Outcomes and Study Design</w:t>
            </w:r>
          </w:p>
        </w:tc>
      </w:tr>
    </w:tbl>
    <w:p w14:paraId="564E6D16"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9"/>
        <w:gridCol w:w="7618"/>
      </w:tblGrid>
      <w:tr w:rsidR="008A1CF5" w:rsidRPr="008A1CF5" w14:paraId="55469649" w14:textId="77777777">
        <w:trPr>
          <w:tblCellSpacing w:w="15" w:type="dxa"/>
        </w:trPr>
        <w:tc>
          <w:tcPr>
            <w:tcW w:w="0" w:type="auto"/>
            <w:vAlign w:val="center"/>
            <w:hideMark/>
          </w:tcPr>
          <w:p w14:paraId="19BBC640"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PRISMA</w:t>
            </w:r>
          </w:p>
        </w:tc>
        <w:tc>
          <w:tcPr>
            <w:tcW w:w="0" w:type="auto"/>
            <w:vAlign w:val="center"/>
            <w:hideMark/>
          </w:tcPr>
          <w:p w14:paraId="53B1563F" w14:textId="0B3CC894"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Preferred Reporting Items for Systematic Reviews and Meta-Analyses</w:t>
            </w:r>
          </w:p>
        </w:tc>
      </w:tr>
    </w:tbl>
    <w:p w14:paraId="100061D6"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9"/>
        <w:gridCol w:w="3412"/>
      </w:tblGrid>
      <w:tr w:rsidR="008A1CF5" w:rsidRPr="008A1CF5" w14:paraId="33E50A6A" w14:textId="77777777">
        <w:trPr>
          <w:tblCellSpacing w:w="15" w:type="dxa"/>
        </w:trPr>
        <w:tc>
          <w:tcPr>
            <w:tcW w:w="0" w:type="auto"/>
            <w:vAlign w:val="center"/>
            <w:hideMark/>
          </w:tcPr>
          <w:p w14:paraId="79B6171F"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PRISMA-S</w:t>
            </w:r>
          </w:p>
        </w:tc>
        <w:tc>
          <w:tcPr>
            <w:tcW w:w="0" w:type="auto"/>
            <w:vAlign w:val="center"/>
            <w:hideMark/>
          </w:tcPr>
          <w:p w14:paraId="59A1EBEF" w14:textId="53BED8B4"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PRISMA Search Extension</w:t>
            </w:r>
          </w:p>
        </w:tc>
      </w:tr>
    </w:tbl>
    <w:p w14:paraId="74CD4F22"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6"/>
        <w:gridCol w:w="3120"/>
      </w:tblGrid>
      <w:tr w:rsidR="008A1CF5" w:rsidRPr="008A1CF5" w14:paraId="61BFE20C" w14:textId="77777777">
        <w:trPr>
          <w:tblCellSpacing w:w="15" w:type="dxa"/>
        </w:trPr>
        <w:tc>
          <w:tcPr>
            <w:tcW w:w="0" w:type="auto"/>
            <w:vAlign w:val="center"/>
            <w:hideMark/>
          </w:tcPr>
          <w:p w14:paraId="0361C843"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SES</w:t>
            </w:r>
          </w:p>
        </w:tc>
        <w:tc>
          <w:tcPr>
            <w:tcW w:w="0" w:type="auto"/>
            <w:vAlign w:val="center"/>
            <w:hideMark/>
          </w:tcPr>
          <w:p w14:paraId="594C5E06" w14:textId="4EA98AC0" w:rsidR="008A1CF5" w:rsidRPr="008A1CF5" w:rsidRDefault="008A1CF5" w:rsidP="008A1CF5">
            <w:pPr>
              <w:spacing w:after="0"/>
              <w:rPr>
                <w:rFonts w:asciiTheme="minorBidi" w:eastAsia="Times New Roman" w:hAnsiTheme="minorBidi"/>
                <w:iCs/>
              </w:rPr>
            </w:pPr>
            <w:r w:rsidRPr="008A1CF5">
              <w:rPr>
                <w:rFonts w:asciiTheme="minorBidi" w:eastAsia="Times New Roman" w:hAnsiTheme="minorBidi"/>
                <w:iCs/>
              </w:rPr>
              <w:t xml:space="preserve">  </w:t>
            </w:r>
            <w:r>
              <w:rPr>
                <w:rFonts w:asciiTheme="minorBidi" w:eastAsia="Times New Roman" w:hAnsiTheme="minorBidi"/>
                <w:iCs/>
              </w:rPr>
              <w:t xml:space="preserve"> </w:t>
            </w:r>
            <w:r w:rsidRPr="008A1CF5">
              <w:rPr>
                <w:rFonts w:asciiTheme="minorBidi" w:eastAsia="Times New Roman" w:hAnsiTheme="minorBidi"/>
                <w:iCs/>
              </w:rPr>
              <w:t xml:space="preserve"> </w:t>
            </w:r>
            <w:r>
              <w:rPr>
                <w:rFonts w:asciiTheme="minorBidi" w:eastAsia="Times New Roman" w:hAnsiTheme="minorBidi"/>
                <w:iCs/>
              </w:rPr>
              <w:t xml:space="preserve"> </w:t>
            </w:r>
            <w:r w:rsidRPr="008A1CF5">
              <w:rPr>
                <w:rFonts w:asciiTheme="minorBidi" w:eastAsia="Times New Roman" w:hAnsiTheme="minorBidi"/>
                <w:iCs/>
              </w:rPr>
              <w:t xml:space="preserve"> -     </w:t>
            </w:r>
            <w:r>
              <w:rPr>
                <w:rFonts w:asciiTheme="minorBidi" w:eastAsia="Times New Roman" w:hAnsiTheme="minorBidi"/>
                <w:iCs/>
              </w:rPr>
              <w:t xml:space="preserve">  </w:t>
            </w:r>
            <w:r w:rsidRPr="008A1CF5">
              <w:rPr>
                <w:rFonts w:asciiTheme="minorBidi" w:eastAsia="Times New Roman" w:hAnsiTheme="minorBidi"/>
                <w:iCs/>
              </w:rPr>
              <w:t>Socioeconomic Status</w:t>
            </w:r>
          </w:p>
        </w:tc>
      </w:tr>
    </w:tbl>
    <w:p w14:paraId="194FC658"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0"/>
        <w:gridCol w:w="7558"/>
      </w:tblGrid>
      <w:tr w:rsidR="008A1CF5" w:rsidRPr="008A1CF5" w14:paraId="7F5E8538" w14:textId="77777777">
        <w:trPr>
          <w:tblCellSpacing w:w="15" w:type="dxa"/>
        </w:trPr>
        <w:tc>
          <w:tcPr>
            <w:tcW w:w="0" w:type="auto"/>
            <w:vAlign w:val="center"/>
            <w:hideMark/>
          </w:tcPr>
          <w:p w14:paraId="2478EB99"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SPIROMICS</w:t>
            </w:r>
          </w:p>
        </w:tc>
        <w:tc>
          <w:tcPr>
            <w:tcW w:w="0" w:type="auto"/>
            <w:vAlign w:val="center"/>
            <w:hideMark/>
          </w:tcPr>
          <w:p w14:paraId="4DF306F3" w14:textId="48B7CBB7"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 xml:space="preserve">Subpopulations and Intermediate Outcome Measures </w:t>
            </w:r>
            <w:r w:rsidR="005749C8" w:rsidRPr="008A1CF5">
              <w:rPr>
                <w:rFonts w:asciiTheme="minorBidi" w:eastAsia="Times New Roman" w:hAnsiTheme="minorBidi"/>
                <w:iCs/>
              </w:rPr>
              <w:t>in</w:t>
            </w:r>
            <w:r w:rsidRPr="008A1CF5">
              <w:rPr>
                <w:rFonts w:asciiTheme="minorBidi" w:eastAsia="Times New Roman" w:hAnsiTheme="minorBidi"/>
                <w:iCs/>
              </w:rPr>
              <w:t xml:space="preserve"> COPD Study</w:t>
            </w:r>
          </w:p>
        </w:tc>
      </w:tr>
    </w:tbl>
    <w:p w14:paraId="6829B997"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9"/>
        <w:gridCol w:w="4502"/>
      </w:tblGrid>
      <w:tr w:rsidR="008A1CF5" w:rsidRPr="008A1CF5" w14:paraId="47967C2D" w14:textId="77777777">
        <w:trPr>
          <w:tblCellSpacing w:w="15" w:type="dxa"/>
        </w:trPr>
        <w:tc>
          <w:tcPr>
            <w:tcW w:w="0" w:type="auto"/>
            <w:vAlign w:val="center"/>
            <w:hideMark/>
          </w:tcPr>
          <w:p w14:paraId="23C1C6A0"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U.S. / USA</w:t>
            </w:r>
          </w:p>
        </w:tc>
        <w:tc>
          <w:tcPr>
            <w:tcW w:w="0" w:type="auto"/>
            <w:vAlign w:val="center"/>
            <w:hideMark/>
          </w:tcPr>
          <w:p w14:paraId="5BEDA9C3" w14:textId="054E62B0" w:rsidR="008A1CF5" w:rsidRPr="008A1CF5" w:rsidRDefault="008A1CF5" w:rsidP="008A1CF5">
            <w:pPr>
              <w:spacing w:after="0"/>
              <w:rPr>
                <w:rFonts w:asciiTheme="minorBidi" w:eastAsia="Times New Roman" w:hAnsiTheme="minorBidi"/>
                <w:iCs/>
              </w:rPr>
            </w:pPr>
            <w:r>
              <w:rPr>
                <w:rFonts w:asciiTheme="minorBidi" w:eastAsia="Times New Roman" w:hAnsiTheme="minorBidi"/>
                <w:iCs/>
              </w:rPr>
              <w:t xml:space="preserve">   </w:t>
            </w:r>
            <w:r w:rsidRPr="008A1CF5">
              <w:rPr>
                <w:rFonts w:asciiTheme="minorBidi" w:eastAsia="Times New Roman" w:hAnsiTheme="minorBidi"/>
                <w:iCs/>
              </w:rPr>
              <w:t>-</w:t>
            </w:r>
            <w:r>
              <w:rPr>
                <w:rFonts w:asciiTheme="minorBidi" w:eastAsia="Times New Roman" w:hAnsiTheme="minorBidi"/>
                <w:iCs/>
              </w:rPr>
              <w:t xml:space="preserve">   </w:t>
            </w:r>
            <w:r w:rsidRPr="008A1CF5">
              <w:rPr>
                <w:rFonts w:asciiTheme="minorBidi" w:eastAsia="Times New Roman" w:hAnsiTheme="minorBidi"/>
                <w:iCs/>
              </w:rPr>
              <w:t xml:space="preserve"> United States / United States of America</w:t>
            </w:r>
          </w:p>
        </w:tc>
      </w:tr>
    </w:tbl>
    <w:p w14:paraId="7326981F"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3"/>
        <w:gridCol w:w="5254"/>
      </w:tblGrid>
      <w:tr w:rsidR="008A1CF5" w:rsidRPr="008A1CF5" w14:paraId="46C85FC3" w14:textId="77777777">
        <w:trPr>
          <w:tblCellSpacing w:w="15" w:type="dxa"/>
        </w:trPr>
        <w:tc>
          <w:tcPr>
            <w:tcW w:w="0" w:type="auto"/>
            <w:vAlign w:val="center"/>
            <w:hideMark/>
          </w:tcPr>
          <w:p w14:paraId="2AA6CBEF"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USPSTF</w:t>
            </w:r>
          </w:p>
        </w:tc>
        <w:tc>
          <w:tcPr>
            <w:tcW w:w="0" w:type="auto"/>
            <w:vAlign w:val="center"/>
            <w:hideMark/>
          </w:tcPr>
          <w:p w14:paraId="5BEA4E3D" w14:textId="1239A0E8"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United States Preventive Services Task Force</w:t>
            </w:r>
          </w:p>
        </w:tc>
      </w:tr>
    </w:tbl>
    <w:p w14:paraId="100EA15F" w14:textId="77777777" w:rsidR="008A1CF5" w:rsidRPr="008A1CF5" w:rsidRDefault="008A1CF5" w:rsidP="008A1CF5">
      <w:pPr>
        <w:spacing w:after="0"/>
        <w:rPr>
          <w:rFonts w:asciiTheme="minorBidi" w:eastAsia="Times New Roman" w:hAnsiTheme="minorBidi"/>
          <w: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3"/>
        <w:gridCol w:w="3372"/>
      </w:tblGrid>
      <w:tr w:rsidR="008A1CF5" w:rsidRPr="008A1CF5" w14:paraId="1450F7A2" w14:textId="77777777">
        <w:trPr>
          <w:tblCellSpacing w:w="15" w:type="dxa"/>
        </w:trPr>
        <w:tc>
          <w:tcPr>
            <w:tcW w:w="0" w:type="auto"/>
            <w:vAlign w:val="center"/>
            <w:hideMark/>
          </w:tcPr>
          <w:p w14:paraId="1C5171B6" w14:textId="77777777" w:rsidR="008A1CF5" w:rsidRPr="008A1CF5" w:rsidRDefault="008A1CF5" w:rsidP="008A1CF5">
            <w:pPr>
              <w:spacing w:after="0"/>
              <w:rPr>
                <w:rFonts w:asciiTheme="minorBidi" w:eastAsia="Times New Roman" w:hAnsiTheme="minorBidi"/>
                <w:i/>
              </w:rPr>
            </w:pPr>
            <w:r w:rsidRPr="008A1CF5">
              <w:rPr>
                <w:rFonts w:asciiTheme="minorBidi" w:eastAsia="Times New Roman" w:hAnsiTheme="minorBidi"/>
                <w:i/>
              </w:rPr>
              <w:t>WHO</w:t>
            </w:r>
          </w:p>
        </w:tc>
        <w:tc>
          <w:tcPr>
            <w:tcW w:w="0" w:type="auto"/>
            <w:vAlign w:val="center"/>
            <w:hideMark/>
          </w:tcPr>
          <w:p w14:paraId="7B840F6E" w14:textId="12949D73" w:rsidR="008A1CF5" w:rsidRPr="008A1CF5" w:rsidRDefault="008A1CF5" w:rsidP="008A1CF5">
            <w:pPr>
              <w:pStyle w:val="ListParagraph"/>
              <w:numPr>
                <w:ilvl w:val="0"/>
                <w:numId w:val="22"/>
              </w:numPr>
              <w:spacing w:after="0"/>
              <w:rPr>
                <w:rFonts w:asciiTheme="minorBidi" w:eastAsia="Times New Roman" w:hAnsiTheme="minorBidi"/>
                <w:iCs/>
              </w:rPr>
            </w:pPr>
            <w:r w:rsidRPr="008A1CF5">
              <w:rPr>
                <w:rFonts w:asciiTheme="minorBidi" w:eastAsia="Times New Roman" w:hAnsiTheme="minorBidi"/>
                <w:iCs/>
              </w:rPr>
              <w:t>World Health Organization</w:t>
            </w:r>
          </w:p>
        </w:tc>
      </w:tr>
    </w:tbl>
    <w:p w14:paraId="0A8DF892" w14:textId="1B6E513B" w:rsidR="009F64C5" w:rsidRPr="007F1C8A" w:rsidRDefault="009F64C5">
      <w:pPr>
        <w:spacing w:after="0"/>
        <w:rPr>
          <w:rFonts w:asciiTheme="minorBidi" w:hAnsiTheme="minorBidi"/>
        </w:rPr>
      </w:pPr>
      <w:r w:rsidRPr="007F1C8A">
        <w:rPr>
          <w:rFonts w:asciiTheme="minorBidi" w:eastAsia="Times New Roman" w:hAnsiTheme="minorBidi"/>
          <w:b/>
          <w:i/>
        </w:rPr>
        <w:t xml:space="preserve"> </w:t>
      </w:r>
      <w:r w:rsidRPr="007F1C8A">
        <w:rPr>
          <w:rFonts w:asciiTheme="minorBidi" w:eastAsia="Times New Roman" w:hAnsiTheme="minorBidi"/>
          <w:b/>
          <w:i/>
        </w:rPr>
        <w:tab/>
        <w:t xml:space="preserve"> </w:t>
      </w:r>
    </w:p>
    <w:p w14:paraId="27F005A8" w14:textId="77777777" w:rsidR="000555DE" w:rsidRPr="007F1C8A" w:rsidRDefault="000555DE">
      <w:pPr>
        <w:rPr>
          <w:rFonts w:asciiTheme="minorBidi" w:eastAsia="Times New Roman" w:hAnsiTheme="minorBidi"/>
          <w:b/>
          <w:color w:val="000000"/>
          <w:sz w:val="24"/>
        </w:rPr>
      </w:pPr>
      <w:bookmarkStart w:id="3" w:name="_Toc12215"/>
      <w:r w:rsidRPr="007F1C8A">
        <w:rPr>
          <w:rFonts w:asciiTheme="minorBidi" w:hAnsiTheme="minorBidi"/>
        </w:rPr>
        <w:br w:type="page"/>
      </w:r>
    </w:p>
    <w:p w14:paraId="008546C2" w14:textId="77777777" w:rsidR="00CD69CF" w:rsidRPr="00231375" w:rsidRDefault="00CD69CF" w:rsidP="00CD69CF">
      <w:pPr>
        <w:pStyle w:val="Heading1"/>
        <w:spacing w:after="649"/>
        <w:ind w:left="12" w:right="3"/>
        <w:rPr>
          <w:rFonts w:ascii="Arial" w:hAnsi="Arial" w:cs="Arial"/>
          <w:b w:val="0"/>
          <w:bCs/>
          <w:color w:val="auto"/>
          <w:sz w:val="28"/>
          <w:szCs w:val="28"/>
        </w:rPr>
      </w:pPr>
      <w:bookmarkStart w:id="4" w:name="_Toc12216"/>
      <w:bookmarkEnd w:id="3"/>
      <w:r w:rsidRPr="00231375">
        <w:rPr>
          <w:rFonts w:ascii="Arial" w:hAnsi="Arial" w:cs="Arial"/>
          <w:bCs/>
          <w:color w:val="auto"/>
          <w:sz w:val="28"/>
          <w:szCs w:val="28"/>
        </w:rPr>
        <w:lastRenderedPageBreak/>
        <w:t>Chapter 1: Introduction</w:t>
      </w:r>
      <w:bookmarkEnd w:id="4"/>
    </w:p>
    <w:p w14:paraId="13F843D7" w14:textId="77777777" w:rsidR="00CD69CF" w:rsidRPr="00231375" w:rsidRDefault="00CD69CF" w:rsidP="00CD69CF">
      <w:pPr>
        <w:spacing w:after="0"/>
        <w:rPr>
          <w:rFonts w:ascii="Arial" w:hAnsi="Arial" w:cs="Arial"/>
          <w:b/>
          <w:bCs/>
          <w:sz w:val="24"/>
          <w:szCs w:val="24"/>
        </w:rPr>
      </w:pPr>
      <w:r w:rsidRPr="00231375">
        <w:rPr>
          <w:rFonts w:ascii="Arial" w:hAnsi="Arial" w:cs="Arial"/>
          <w:b/>
          <w:bCs/>
          <w:sz w:val="24"/>
          <w:szCs w:val="24"/>
        </w:rPr>
        <w:t>1.1 Introduction</w:t>
      </w:r>
    </w:p>
    <w:p w14:paraId="364F4DE6" w14:textId="77777777" w:rsidR="00CD69CF" w:rsidRPr="00231375" w:rsidRDefault="00CD69CF" w:rsidP="00CD69CF">
      <w:pPr>
        <w:spacing w:after="0"/>
        <w:rPr>
          <w:rFonts w:ascii="Arial" w:hAnsi="Arial" w:cs="Arial"/>
          <w:b/>
          <w:bCs/>
          <w:sz w:val="24"/>
          <w:szCs w:val="24"/>
        </w:rPr>
      </w:pPr>
    </w:p>
    <w:p w14:paraId="1B6C37C7" w14:textId="77777777" w:rsidR="00CD69CF" w:rsidRPr="00231375" w:rsidRDefault="00CD69CF" w:rsidP="00CD69CF">
      <w:pPr>
        <w:spacing w:after="0"/>
        <w:rPr>
          <w:rFonts w:ascii="Arial" w:hAnsi="Arial" w:cs="Arial"/>
        </w:rPr>
      </w:pPr>
      <w:r w:rsidRPr="00231375">
        <w:rPr>
          <w:rFonts w:ascii="Arial" w:hAnsi="Arial" w:cs="Arial"/>
        </w:rPr>
        <w:t>Chronic obstructive pulmonary disease (COPD) is a progressive, heterogeneous respiratory condition associated with substantial disability, premature mortality and avoidable health-system use (Mannino and Buist, 2007; Celli and Wedzicha, 2019; GBD Chronic Respiratory Disease Collaborators, 2020; Quaderi and Hurst, 2018; Zafari et al., 2021). It commonly becomes clinically apparent from mid-life onwards, making adults aged 40–65 a crucial group for prevention, timely diagnosis and early disease management (WHO, 2024; Weeks and Elgaddal, 2025). In the United States, population surveillance indicates that diagnosed COPD prevalence increases steeply across mid-life age bands (e.g., 2.9% in ages 45–54 and 7.4% in ages 55–64 in 2023), while broader behavioural surveillance suggests that prevalence among adults aged 45–64 increased from 2011 to 2018 and then stabilised through 2021 (Weeks and Elgaddal, 2025; Liu et al., 2023).</w:t>
      </w:r>
    </w:p>
    <w:p w14:paraId="21A4868A" w14:textId="77777777" w:rsidR="00CD69CF" w:rsidRPr="00231375" w:rsidRDefault="00CD69CF" w:rsidP="00CD69CF">
      <w:pPr>
        <w:spacing w:after="0"/>
        <w:rPr>
          <w:rFonts w:ascii="Arial" w:hAnsi="Arial" w:cs="Arial"/>
        </w:rPr>
      </w:pPr>
    </w:p>
    <w:p w14:paraId="3FCA2D48" w14:textId="77777777" w:rsidR="00CD69CF" w:rsidRPr="00231375" w:rsidRDefault="00CD69CF" w:rsidP="00CD69CF">
      <w:pPr>
        <w:spacing w:after="0"/>
        <w:rPr>
          <w:rFonts w:ascii="Arial" w:hAnsi="Arial" w:cs="Arial"/>
        </w:rPr>
      </w:pPr>
      <w:r w:rsidRPr="00231375">
        <w:rPr>
          <w:rFonts w:ascii="Arial" w:hAnsi="Arial" w:cs="Arial"/>
        </w:rPr>
        <w:t>Accordingly, this systematic review synthesises and critically evaluates contemporary evidence on COPD awareness, diagnosis, prevention and management among African American adults aged 40–65 in the United States, and how structural, environmental and healthcare system factors influence these outcomes.</w:t>
      </w:r>
    </w:p>
    <w:p w14:paraId="4A37F221" w14:textId="77777777" w:rsidR="00CD69CF" w:rsidRPr="00231375" w:rsidRDefault="00CD69CF" w:rsidP="00CD69CF">
      <w:pPr>
        <w:spacing w:after="0"/>
        <w:rPr>
          <w:rFonts w:ascii="Arial" w:hAnsi="Arial" w:cs="Arial"/>
        </w:rPr>
      </w:pPr>
    </w:p>
    <w:p w14:paraId="5F50C70F" w14:textId="77777777" w:rsidR="00CD69CF" w:rsidRPr="00231375" w:rsidRDefault="00CD69CF" w:rsidP="00CD69CF">
      <w:pPr>
        <w:spacing w:after="0"/>
        <w:rPr>
          <w:rFonts w:ascii="Arial" w:hAnsi="Arial" w:cs="Arial"/>
        </w:rPr>
      </w:pPr>
    </w:p>
    <w:p w14:paraId="38F179F1" w14:textId="77777777" w:rsidR="00CD69CF" w:rsidRPr="00231375" w:rsidRDefault="00CD69CF" w:rsidP="00CD69CF">
      <w:pPr>
        <w:spacing w:after="0"/>
        <w:rPr>
          <w:rFonts w:ascii="Arial" w:hAnsi="Arial" w:cs="Arial"/>
          <w:b/>
          <w:bCs/>
          <w:sz w:val="24"/>
          <w:szCs w:val="24"/>
        </w:rPr>
      </w:pPr>
      <w:r w:rsidRPr="00231375">
        <w:rPr>
          <w:rFonts w:ascii="Arial" w:hAnsi="Arial" w:cs="Arial"/>
          <w:b/>
          <w:bCs/>
          <w:sz w:val="24"/>
          <w:szCs w:val="24"/>
        </w:rPr>
        <w:t>1.2 Background to COPD</w:t>
      </w:r>
    </w:p>
    <w:p w14:paraId="22DFF72E" w14:textId="77777777" w:rsidR="00CD69CF" w:rsidRPr="00231375" w:rsidRDefault="00CD69CF" w:rsidP="00CD69CF">
      <w:pPr>
        <w:spacing w:after="0"/>
        <w:rPr>
          <w:rFonts w:ascii="Arial" w:hAnsi="Arial" w:cs="Arial"/>
          <w:b/>
          <w:bCs/>
        </w:rPr>
      </w:pPr>
    </w:p>
    <w:p w14:paraId="051A7762" w14:textId="77777777" w:rsidR="00CD69CF" w:rsidRPr="00231375" w:rsidRDefault="00CD69CF" w:rsidP="00CD69CF">
      <w:pPr>
        <w:spacing w:after="0"/>
        <w:rPr>
          <w:rFonts w:ascii="Arial" w:hAnsi="Arial" w:cs="Arial"/>
        </w:rPr>
      </w:pPr>
      <w:r w:rsidRPr="00231375">
        <w:rPr>
          <w:rFonts w:ascii="Arial" w:hAnsi="Arial" w:cs="Arial"/>
        </w:rPr>
        <w:t>COPD is a chronic lung disease characterised by persistent respiratory symptoms and airflow limitation, typically developing gradually and progressing over time. It encompasses clinical syndromes commonly labelled emphysema and chronic bronchitis, and it is frequently complicated by exacerbations (“flare-ups”) that accelerate functional decline, worsen quality of life and increase risk of hospitalisation and death (WHO, 2024; GOLD, 2024).</w:t>
      </w:r>
    </w:p>
    <w:p w14:paraId="63628BA5" w14:textId="77777777" w:rsidR="00CD69CF" w:rsidRPr="00231375" w:rsidRDefault="00CD69CF" w:rsidP="00CD69CF">
      <w:pPr>
        <w:spacing w:after="0"/>
        <w:rPr>
          <w:rFonts w:ascii="Arial" w:hAnsi="Arial" w:cs="Arial"/>
        </w:rPr>
      </w:pPr>
      <w:r w:rsidRPr="00231375">
        <w:rPr>
          <w:rFonts w:ascii="Arial" w:hAnsi="Arial" w:cs="Arial"/>
        </w:rPr>
        <w:tab/>
      </w:r>
    </w:p>
    <w:p w14:paraId="569416C0" w14:textId="77777777" w:rsidR="00CD69CF" w:rsidRPr="00231375" w:rsidRDefault="00CD69CF" w:rsidP="00CD69CF">
      <w:pPr>
        <w:spacing w:after="0"/>
        <w:rPr>
          <w:rFonts w:ascii="Arial" w:hAnsi="Arial" w:cs="Arial"/>
        </w:rPr>
      </w:pPr>
      <w:r w:rsidRPr="00231375">
        <w:rPr>
          <w:rFonts w:ascii="Arial" w:hAnsi="Arial" w:cs="Arial"/>
        </w:rPr>
        <w:t>Although smoking remains a major risk factor, COPD is increasingly understood as a life-course condition shaped by cumulative exposures, including second-hand smoke, occupational dusts and fumes, ambient pollution, early-life respiratory factors and genetic susceptibility (WHO, 2024; NHLBI, 2024; Martinez et al., 2017). This broader framing reflects a shift in the literature towards recognising COPD as a heterogeneous disease shaped by multiple interacting risk factors rather than a single-cause condition (Vestbo et al., 2013). COPD is also increasingly understood through disease mechanisms involving airway inflammation, small-airway disease, emphysema, abnormal lung development and exacerbation susceptibility, rather than through smoking exposure alone (Agustí and Hogg, 2019; Celli and Wedzicha, 2019).</w:t>
      </w:r>
    </w:p>
    <w:p w14:paraId="0A39AD7A" w14:textId="77777777" w:rsidR="00CD69CF" w:rsidRPr="00231375" w:rsidRDefault="00CD69CF" w:rsidP="00CD69CF">
      <w:pPr>
        <w:spacing w:after="0"/>
        <w:rPr>
          <w:rFonts w:ascii="Arial" w:hAnsi="Arial" w:cs="Arial"/>
        </w:rPr>
      </w:pPr>
    </w:p>
    <w:p w14:paraId="61C0E01C" w14:textId="77777777" w:rsidR="00CD69CF" w:rsidRPr="00231375" w:rsidRDefault="00CD69CF" w:rsidP="00CD69CF">
      <w:pPr>
        <w:spacing w:after="0"/>
        <w:rPr>
          <w:rFonts w:ascii="Arial" w:hAnsi="Arial" w:cs="Arial"/>
        </w:rPr>
      </w:pPr>
      <w:r w:rsidRPr="00231375">
        <w:rPr>
          <w:rFonts w:ascii="Arial" w:hAnsi="Arial" w:cs="Arial"/>
        </w:rPr>
        <w:t xml:space="preserve">Clinically, COPD diagnosis relies on the demonstration of persistent airflow limitation, typically confirmed through spirometry. International guidelines emphasise that spirometry is essential for accurate diagnosis, yet its use in routine practice remains inconsistent, particularly in primary care and underserved populations (GOLD, 2024). As a result, COPD is frequently misdiagnosed or underdiagnosed, especially in its early stages when symptoms may be mild or attributed to ageing, smoking or other conditions (Baldomero et al., 2022; Labaki and Han, 2019). </w:t>
      </w:r>
    </w:p>
    <w:p w14:paraId="3F627441" w14:textId="77777777" w:rsidR="00CD69CF" w:rsidRPr="00231375" w:rsidRDefault="00CD69CF" w:rsidP="00CD69CF">
      <w:pPr>
        <w:spacing w:after="0"/>
        <w:rPr>
          <w:rFonts w:ascii="Arial" w:hAnsi="Arial" w:cs="Arial"/>
        </w:rPr>
      </w:pPr>
    </w:p>
    <w:p w14:paraId="3F12B289" w14:textId="77777777" w:rsidR="00CD69CF" w:rsidRPr="00231375" w:rsidRDefault="00CD69CF" w:rsidP="00CD69CF">
      <w:pPr>
        <w:spacing w:after="0"/>
        <w:rPr>
          <w:rFonts w:ascii="Arial" w:hAnsi="Arial" w:cs="Arial"/>
        </w:rPr>
      </w:pPr>
      <w:r w:rsidRPr="00231375">
        <w:rPr>
          <w:rFonts w:ascii="Arial" w:hAnsi="Arial" w:cs="Arial"/>
        </w:rPr>
        <w:t xml:space="preserve">Importantly, the pathway from symptom recognition to spirometry testing and accurate interpretation is not uniform across populations. It is shaped by healthcare access, clinician awareness, patient health literacy and broader structural factors influencing engagement with healthcare systems (Gershon et al., 2018; Labaki and Han, 2019). </w:t>
      </w:r>
    </w:p>
    <w:p w14:paraId="4B581234" w14:textId="77777777" w:rsidR="00CD69CF" w:rsidRDefault="00CD69CF" w:rsidP="00CD69CF">
      <w:pPr>
        <w:spacing w:after="0"/>
        <w:rPr>
          <w:rFonts w:ascii="Arial" w:hAnsi="Arial" w:cs="Arial"/>
        </w:rPr>
      </w:pPr>
    </w:p>
    <w:p w14:paraId="17A14901" w14:textId="77777777" w:rsidR="00180F86" w:rsidRPr="00231375" w:rsidRDefault="00180F86" w:rsidP="00CD69CF">
      <w:pPr>
        <w:spacing w:after="0"/>
        <w:rPr>
          <w:rFonts w:ascii="Arial" w:hAnsi="Arial" w:cs="Arial"/>
        </w:rPr>
      </w:pPr>
    </w:p>
    <w:p w14:paraId="0CBF25F7" w14:textId="77777777" w:rsidR="00CD69CF" w:rsidRPr="00231375" w:rsidRDefault="00CD69CF" w:rsidP="00CD69CF">
      <w:pPr>
        <w:spacing w:after="0"/>
        <w:rPr>
          <w:rFonts w:ascii="Arial" w:hAnsi="Arial" w:cs="Arial"/>
          <w:b/>
          <w:bCs/>
          <w:sz w:val="24"/>
          <w:szCs w:val="24"/>
        </w:rPr>
      </w:pPr>
      <w:r w:rsidRPr="00231375">
        <w:rPr>
          <w:rFonts w:ascii="Arial" w:hAnsi="Arial" w:cs="Arial"/>
          <w:b/>
          <w:bCs/>
          <w:sz w:val="24"/>
          <w:szCs w:val="24"/>
        </w:rPr>
        <w:t>1.3 US epidemiology with an age focus on 40–65</w:t>
      </w:r>
    </w:p>
    <w:p w14:paraId="1C203CBD" w14:textId="77777777" w:rsidR="00CD69CF" w:rsidRPr="00231375" w:rsidRDefault="00CD69CF" w:rsidP="00CD69CF">
      <w:pPr>
        <w:spacing w:after="0"/>
        <w:rPr>
          <w:rFonts w:ascii="Arial" w:hAnsi="Arial" w:cs="Arial"/>
          <w:b/>
          <w:bCs/>
        </w:rPr>
      </w:pPr>
    </w:p>
    <w:p w14:paraId="1BC6E77E" w14:textId="77777777" w:rsidR="00CD69CF" w:rsidRPr="00231375" w:rsidRDefault="00CD69CF" w:rsidP="00CD69CF">
      <w:pPr>
        <w:spacing w:after="0"/>
        <w:rPr>
          <w:rFonts w:ascii="Arial" w:hAnsi="Arial" w:cs="Arial"/>
        </w:rPr>
      </w:pPr>
      <w:r w:rsidRPr="00231375">
        <w:rPr>
          <w:rFonts w:ascii="Arial" w:hAnsi="Arial" w:cs="Arial"/>
        </w:rPr>
        <w:t>In the United States, COPD remains a major public health problem and continues to contribute substantially to morbidity, healthcare utilisation and premature mortality. The economic burden is also substantial, with long-term projections suggesting that COPD will continue to generate major healthcare costs in the United States if prevention, diagnosis and management are not strengthened (Zafari et al., 2021). The National Health Interview Survey (NHIS) Data Brief for 2023 reports an age-adjusted prevalence of diagnosed COPD of 3.8% among adults aged ≥18, with strong age gradients: 2.9% among those aged 45–54 and 7.4% among those aged 55–64, rising further in older age groups (Weeks and Elgaddal, 2025). These estimates are based on self-reported clinician diagnosis, which is useful for understanding healthcare contact but may underestimate true disease burden in populations where diagnosis is delayed, missed or inaccessible (Weeks and Elgaddal, 2025; Gershon et al., 2018).</w:t>
      </w:r>
    </w:p>
    <w:p w14:paraId="38AB9588" w14:textId="77777777" w:rsidR="00CD69CF" w:rsidRPr="00231375" w:rsidRDefault="00CD69CF" w:rsidP="00CD69CF">
      <w:pPr>
        <w:spacing w:after="0"/>
        <w:rPr>
          <w:rFonts w:ascii="Arial" w:hAnsi="Arial" w:cs="Arial"/>
        </w:rPr>
      </w:pPr>
    </w:p>
    <w:p w14:paraId="29944432" w14:textId="77777777" w:rsidR="00CD69CF" w:rsidRPr="00231375" w:rsidRDefault="00CD69CF" w:rsidP="00CD69CF">
      <w:pPr>
        <w:spacing w:after="0"/>
        <w:rPr>
          <w:rFonts w:ascii="Arial" w:hAnsi="Arial" w:cs="Arial"/>
        </w:rPr>
      </w:pPr>
      <w:r w:rsidRPr="00231375">
        <w:rPr>
          <w:rFonts w:ascii="Arial" w:hAnsi="Arial" w:cs="Arial"/>
        </w:rPr>
        <w:t>Complementary behavioural surveillance using the Behavioural Risk Factor Surveillance System (BRFSS) found that overall age-standardised COPD prevalence remained relatively stable between 2011 and 2021. However, a more detailed analysis revealed that prevalence increased between 2011 and 2018 and then stabilised from 2018 to 2021 among adults aged 45–64 (Liu et al., 2023). Similar trends have been observed in other epidemiological studies, which highlight that lung function decline and symptom onset often begin in midlife, reflecting cumulative exposure to risk factors over time (Ford et al., 2013; Lange et al., 2015).</w:t>
      </w:r>
    </w:p>
    <w:p w14:paraId="3808F813" w14:textId="77777777" w:rsidR="00CD69CF" w:rsidRPr="00231375" w:rsidRDefault="00CD69CF" w:rsidP="00CD69CF">
      <w:pPr>
        <w:spacing w:after="0"/>
        <w:rPr>
          <w:rFonts w:ascii="Arial" w:hAnsi="Arial" w:cs="Arial"/>
        </w:rPr>
      </w:pPr>
    </w:p>
    <w:p w14:paraId="4B21B66F" w14:textId="77777777" w:rsidR="00CD69CF" w:rsidRDefault="00CD69CF" w:rsidP="00CD69CF">
      <w:pPr>
        <w:spacing w:after="0"/>
        <w:rPr>
          <w:rFonts w:ascii="Arial" w:hAnsi="Arial" w:cs="Arial"/>
        </w:rPr>
      </w:pPr>
      <w:r w:rsidRPr="00231375">
        <w:rPr>
          <w:rFonts w:ascii="Arial" w:hAnsi="Arial" w:cs="Arial"/>
        </w:rPr>
        <w:t xml:space="preserve">Furthermore, reliance on diagnosed prevalence alone can obscure important patterns of inequality. Epidemiological data based on healthcare contact inherently reflect access to services, diagnostic practices and patient engagement, rather than purely underlying disease occurrence. As a result, populations experiencing barriers to care may appear to have lower prevalence despite potentially higher undiagnosed burden (Gershon et al., 2018; Labaki and Han, 2019). </w:t>
      </w:r>
    </w:p>
    <w:p w14:paraId="25549B95" w14:textId="77777777" w:rsidR="00180F86" w:rsidRPr="00231375" w:rsidRDefault="00180F86" w:rsidP="00CD69CF">
      <w:pPr>
        <w:spacing w:after="0"/>
        <w:rPr>
          <w:rFonts w:ascii="Arial" w:hAnsi="Arial" w:cs="Arial"/>
        </w:rPr>
      </w:pPr>
    </w:p>
    <w:p w14:paraId="6760AFBE" w14:textId="77777777" w:rsidR="00CD69CF" w:rsidRPr="00231375" w:rsidRDefault="00CD69CF" w:rsidP="00CD69CF">
      <w:pPr>
        <w:spacing w:after="0"/>
        <w:rPr>
          <w:rFonts w:ascii="Arial" w:hAnsi="Arial" w:cs="Arial"/>
        </w:rPr>
      </w:pPr>
    </w:p>
    <w:p w14:paraId="0342E9B0" w14:textId="77777777" w:rsidR="00CD69CF" w:rsidRPr="00231375" w:rsidRDefault="00CD69CF" w:rsidP="00CD69CF">
      <w:pPr>
        <w:spacing w:after="0"/>
        <w:rPr>
          <w:rFonts w:ascii="Arial" w:hAnsi="Arial" w:cs="Arial"/>
          <w:b/>
          <w:bCs/>
          <w:sz w:val="24"/>
          <w:szCs w:val="24"/>
        </w:rPr>
      </w:pPr>
      <w:r w:rsidRPr="00231375">
        <w:rPr>
          <w:rFonts w:ascii="Arial" w:hAnsi="Arial" w:cs="Arial"/>
          <w:b/>
          <w:bCs/>
          <w:sz w:val="24"/>
          <w:szCs w:val="24"/>
        </w:rPr>
        <w:t>1.4 Racial disparities across awareness, diagnosis, prevention and management</w:t>
      </w:r>
    </w:p>
    <w:p w14:paraId="390BBA5D" w14:textId="77777777" w:rsidR="00CD69CF" w:rsidRPr="00231375" w:rsidRDefault="00CD69CF" w:rsidP="00CD69CF">
      <w:pPr>
        <w:spacing w:after="0"/>
        <w:rPr>
          <w:rFonts w:ascii="Arial" w:hAnsi="Arial" w:cs="Arial"/>
          <w:b/>
          <w:bCs/>
        </w:rPr>
      </w:pPr>
    </w:p>
    <w:p w14:paraId="11F948D3" w14:textId="77777777" w:rsidR="00CD69CF" w:rsidRPr="00231375" w:rsidRDefault="00CD69CF" w:rsidP="00CD69CF">
      <w:pPr>
        <w:spacing w:after="0"/>
        <w:rPr>
          <w:rFonts w:ascii="Arial" w:hAnsi="Arial" w:cs="Arial"/>
        </w:rPr>
      </w:pPr>
      <w:r w:rsidRPr="00231375">
        <w:rPr>
          <w:rFonts w:ascii="Arial" w:hAnsi="Arial" w:cs="Arial"/>
        </w:rPr>
        <w:t xml:space="preserve">This dissertation focuses on African American adults because COPD inequities are repeatedly documented but not always coherently synthesised across the full care pathway, from exposure and diagnosis to management and outcomes. In NHIS 2023, non-Hispanic Black adults had lower age-adjusted diagnosed COPD prevalence than non-Hispanic White adults (3.5% vs 4.4%) (Weeks and Elgaddal, 2025). However, the U.S. Preventive Services Task Force clinician summary highlights that Black adults experience higher rates of hospitalisation and worse COPD-related quality of life despite lower reported prevalence, a </w:t>
      </w:r>
      <w:r w:rsidRPr="00231375">
        <w:rPr>
          <w:rFonts w:ascii="Arial" w:hAnsi="Arial" w:cs="Arial"/>
        </w:rPr>
        <w:lastRenderedPageBreak/>
        <w:t>pattern commonly described as a “prevalence–morbidity paradox” (USPSTF, 2022; Dransfield and Bailey, 2006).</w:t>
      </w:r>
    </w:p>
    <w:p w14:paraId="236B7243" w14:textId="77777777" w:rsidR="00CD69CF" w:rsidRPr="00231375" w:rsidRDefault="00CD69CF" w:rsidP="00CD69CF">
      <w:pPr>
        <w:spacing w:after="0"/>
        <w:rPr>
          <w:rFonts w:ascii="Arial" w:hAnsi="Arial" w:cs="Arial"/>
        </w:rPr>
      </w:pPr>
    </w:p>
    <w:p w14:paraId="6C0B433D" w14:textId="77777777" w:rsidR="00CD69CF" w:rsidRPr="00231375" w:rsidRDefault="00CD69CF" w:rsidP="00CD69CF">
      <w:pPr>
        <w:spacing w:after="0"/>
        <w:rPr>
          <w:rFonts w:ascii="Arial" w:hAnsi="Arial" w:cs="Arial"/>
        </w:rPr>
      </w:pPr>
      <w:r w:rsidRPr="00231375">
        <w:rPr>
          <w:rFonts w:ascii="Arial" w:hAnsi="Arial" w:cs="Arial"/>
        </w:rPr>
        <w:t>High-quality cohort evidence supports this paradox and demonstrates that differences in outcomes cannot be explained solely by smoking exposure or lung function. In the SPIROMICS cohort, Black participants with a heavy smoking history experienced worse COPD-related outcomes, including more severe respiratory symptoms, poorer quality of life, reduced functional capacity, higher exacerbation rates and more adverse imaging findings, even after adjustment for smoking history and spirometry-confirmed obstruction (Ejike et al., 2021; Han et al., 2011).</w:t>
      </w:r>
    </w:p>
    <w:p w14:paraId="071F5F45" w14:textId="77777777" w:rsidR="00CD69CF" w:rsidRPr="00231375" w:rsidRDefault="00CD69CF" w:rsidP="00CD69CF">
      <w:pPr>
        <w:spacing w:after="0"/>
        <w:rPr>
          <w:rFonts w:ascii="Arial" w:hAnsi="Arial" w:cs="Arial"/>
        </w:rPr>
      </w:pPr>
    </w:p>
    <w:p w14:paraId="599680F4" w14:textId="285D5B66" w:rsidR="00CD69CF" w:rsidRPr="00231375" w:rsidRDefault="00CD69CF" w:rsidP="00CD69CF">
      <w:pPr>
        <w:spacing w:after="0"/>
        <w:rPr>
          <w:rFonts w:ascii="Arial" w:hAnsi="Arial" w:cs="Arial"/>
        </w:rPr>
      </w:pPr>
      <w:r w:rsidRPr="00231375">
        <w:rPr>
          <w:rFonts w:ascii="Arial" w:hAnsi="Arial" w:cs="Arial"/>
        </w:rPr>
        <w:t>A critical question arising from these findings is whether lower diagnosed prevalence reflects genuinely lower disease occurrence or whether it is influenced by diagnostic and measurement processes that obscure true burden.</w:t>
      </w:r>
      <w:r w:rsidR="00733847">
        <w:rPr>
          <w:rFonts w:ascii="Arial" w:hAnsi="Arial" w:cs="Arial"/>
        </w:rPr>
        <w:t xml:space="preserve"> </w:t>
      </w:r>
      <w:r w:rsidRPr="00231375">
        <w:rPr>
          <w:rFonts w:ascii="Arial" w:hAnsi="Arial" w:cs="Arial"/>
        </w:rPr>
        <w:t>This highlights that epidemiological estimates based on diagnosed cases are shaped by healthcare access, testing availability and clinician recognition, rather than reflecting underlying disease alone (Gershon et al., 2018; Labaki and Han, 2019).</w:t>
      </w:r>
    </w:p>
    <w:p w14:paraId="7DDDF4E4" w14:textId="77777777" w:rsidR="00CD69CF" w:rsidRPr="00231375" w:rsidRDefault="00CD69CF" w:rsidP="00CD69CF">
      <w:pPr>
        <w:spacing w:after="0"/>
        <w:rPr>
          <w:rFonts w:ascii="Arial" w:hAnsi="Arial" w:cs="Arial"/>
        </w:rPr>
      </w:pPr>
    </w:p>
    <w:p w14:paraId="4708D061" w14:textId="77777777" w:rsidR="00CD69CF" w:rsidRDefault="00CD69CF" w:rsidP="00CD69CF">
      <w:pPr>
        <w:spacing w:after="0"/>
        <w:rPr>
          <w:rFonts w:ascii="Arial" w:hAnsi="Arial" w:cs="Arial"/>
        </w:rPr>
      </w:pPr>
      <w:r w:rsidRPr="00231375">
        <w:rPr>
          <w:rFonts w:ascii="Arial" w:hAnsi="Arial" w:cs="Arial"/>
        </w:rPr>
        <w:t xml:space="preserve">Awareness and health literacy also play a role in shaping diagnosis and management pathways. For instance, a community-based educational intervention among Black adults with asthma or COPD demonstrated short-term improvements in disease knowledge and self-management behaviours, but these gains declined over time without sustained support (Odhiambo et al., 2023). </w:t>
      </w:r>
    </w:p>
    <w:p w14:paraId="7201E855" w14:textId="77777777" w:rsidR="00180F86" w:rsidRPr="00231375" w:rsidRDefault="00180F86" w:rsidP="00CD69CF">
      <w:pPr>
        <w:spacing w:after="0"/>
        <w:rPr>
          <w:rFonts w:ascii="Arial" w:hAnsi="Arial" w:cs="Arial"/>
        </w:rPr>
      </w:pPr>
    </w:p>
    <w:p w14:paraId="382EF553" w14:textId="77777777" w:rsidR="00CD69CF" w:rsidRPr="00231375" w:rsidRDefault="00CD69CF" w:rsidP="00CD69CF">
      <w:pPr>
        <w:spacing w:after="0"/>
        <w:rPr>
          <w:rFonts w:ascii="Arial" w:hAnsi="Arial" w:cs="Arial"/>
        </w:rPr>
      </w:pPr>
    </w:p>
    <w:p w14:paraId="7C86540E" w14:textId="77777777" w:rsidR="00CD69CF" w:rsidRPr="00231375" w:rsidRDefault="00CD69CF" w:rsidP="00CD69CF">
      <w:pPr>
        <w:spacing w:after="0"/>
        <w:rPr>
          <w:rFonts w:ascii="Arial" w:hAnsi="Arial" w:cs="Arial"/>
          <w:b/>
          <w:bCs/>
          <w:sz w:val="24"/>
          <w:szCs w:val="24"/>
        </w:rPr>
      </w:pPr>
      <w:r w:rsidRPr="00231375">
        <w:rPr>
          <w:rFonts w:ascii="Arial" w:hAnsi="Arial" w:cs="Arial"/>
          <w:b/>
          <w:bCs/>
          <w:sz w:val="24"/>
          <w:szCs w:val="24"/>
        </w:rPr>
        <w:t>1.5 Structural, environmental and healthcare system determinants</w:t>
      </w:r>
    </w:p>
    <w:p w14:paraId="4853944C" w14:textId="77777777" w:rsidR="00CD69CF" w:rsidRPr="00231375" w:rsidRDefault="00CD69CF" w:rsidP="00CD69CF">
      <w:pPr>
        <w:spacing w:after="0"/>
        <w:rPr>
          <w:rFonts w:ascii="Arial" w:hAnsi="Arial" w:cs="Arial"/>
          <w:b/>
          <w:bCs/>
        </w:rPr>
      </w:pPr>
    </w:p>
    <w:p w14:paraId="496D0126" w14:textId="79D76286" w:rsidR="00CD69CF" w:rsidRPr="00231375" w:rsidRDefault="00CD69CF" w:rsidP="00CD69CF">
      <w:pPr>
        <w:spacing w:after="0"/>
        <w:rPr>
          <w:rFonts w:ascii="Arial" w:hAnsi="Arial" w:cs="Arial"/>
        </w:rPr>
      </w:pPr>
      <w:r w:rsidRPr="00231375">
        <w:rPr>
          <w:rFonts w:ascii="Arial" w:hAnsi="Arial" w:cs="Arial"/>
        </w:rPr>
        <w:t xml:space="preserve">A key analytic commitment of this dissertation is to interpret COPD inequities through a </w:t>
      </w:r>
      <w:r w:rsidR="00DC40CD" w:rsidRPr="00231375">
        <w:rPr>
          <w:rFonts w:ascii="Arial" w:hAnsi="Arial" w:cs="Arial"/>
        </w:rPr>
        <w:t>determinant’s</w:t>
      </w:r>
      <w:r w:rsidRPr="00231375">
        <w:rPr>
          <w:rFonts w:ascii="Arial" w:hAnsi="Arial" w:cs="Arial"/>
        </w:rPr>
        <w:t xml:space="preserve"> lens, rather than attributing disparities primarily to individual behaviour. Structural racism is widely conceptualised as a set of mutually reinforcing systems—such as housing, employment, education, healthcare and criminal justice—that distribute resources and exposures unequally and thereby shape population health outcomes (Bailey et al., 2017; Williams and Mohammed, 2013). This perspective aligns with broader social determinants frameworks, which emphasise that health inequalities arise from the conditions in which people are born, live and work, rather than from isolated individual choices (Marmot, 2015; Solar and Irwin, 2010). </w:t>
      </w:r>
    </w:p>
    <w:p w14:paraId="75D1EAF7" w14:textId="77777777" w:rsidR="00CD69CF" w:rsidRPr="00231375" w:rsidRDefault="00CD69CF" w:rsidP="00CD69CF">
      <w:pPr>
        <w:spacing w:after="0"/>
        <w:rPr>
          <w:rFonts w:ascii="Arial" w:hAnsi="Arial" w:cs="Arial"/>
        </w:rPr>
      </w:pPr>
    </w:p>
    <w:p w14:paraId="112FEF9B" w14:textId="77777777" w:rsidR="00CD69CF" w:rsidRPr="00231375" w:rsidRDefault="00CD69CF" w:rsidP="00CD69CF">
      <w:pPr>
        <w:spacing w:after="0"/>
        <w:rPr>
          <w:rFonts w:ascii="Arial" w:hAnsi="Arial" w:cs="Arial"/>
        </w:rPr>
      </w:pPr>
      <w:r w:rsidRPr="00231375">
        <w:rPr>
          <w:rFonts w:ascii="Arial" w:hAnsi="Arial" w:cs="Arial"/>
        </w:rPr>
        <w:t xml:space="preserve">Environmental pathways are especially important in understanding COPD disparities. Residential segregation has been identified as a central mechanism linking structural racism to respiratory outcomes through differential exposure to environmental hazards, psychosocial stressors, economic deprivation and unequal healthcare access (Woo et al., 2021; Krieger, 2014). Communities characterised by socioeconomic disadvantage are more likely to be located near sources of pollution, experience poorer housing conditions and have reduced access to green space, all of which contribute to respiratory risk (Schraufnagel et al., 2019). These findings are consistent with the environmental justice perspective, which argues that unequal exposure to environmental risk is systematically produced through policy decisions and institutional practices rather than occurring randomly (National Academies, 2017; Braveman et al., 2011). </w:t>
      </w:r>
    </w:p>
    <w:p w14:paraId="7707DA1B" w14:textId="77777777" w:rsidR="00CD69CF" w:rsidRPr="00231375" w:rsidRDefault="00CD69CF" w:rsidP="00CD69CF">
      <w:pPr>
        <w:spacing w:after="0"/>
        <w:rPr>
          <w:rFonts w:ascii="Arial" w:hAnsi="Arial" w:cs="Arial"/>
        </w:rPr>
      </w:pPr>
    </w:p>
    <w:p w14:paraId="034744FC" w14:textId="77777777" w:rsidR="00CD69CF" w:rsidRPr="00231375" w:rsidRDefault="00CD69CF" w:rsidP="00CD69CF">
      <w:pPr>
        <w:spacing w:after="0"/>
        <w:rPr>
          <w:rFonts w:ascii="Arial" w:hAnsi="Arial" w:cs="Arial"/>
        </w:rPr>
      </w:pPr>
      <w:r w:rsidRPr="00231375">
        <w:rPr>
          <w:rFonts w:ascii="Arial" w:hAnsi="Arial" w:cs="Arial"/>
        </w:rPr>
        <w:t xml:space="preserve">Health-system determinants operate through both access and interpretation. Access barriers include gaps in insurance coverage, high out-of-pocket costs, restrictive formularies and </w:t>
      </w:r>
      <w:r w:rsidRPr="00231375">
        <w:rPr>
          <w:rFonts w:ascii="Arial" w:hAnsi="Arial" w:cs="Arial"/>
        </w:rPr>
        <w:lastRenderedPageBreak/>
        <w:t xml:space="preserve">limited availability or reimbursement of services such as pulmonary rehabilitation (Siu </w:t>
      </w:r>
      <w:r w:rsidRPr="00231375">
        <w:rPr>
          <w:rFonts w:ascii="Arial" w:hAnsi="Arial" w:cs="Arial"/>
          <w:i/>
          <w:iCs/>
        </w:rPr>
        <w:t>et al</w:t>
      </w:r>
      <w:r w:rsidRPr="00231375">
        <w:rPr>
          <w:rFonts w:ascii="Arial" w:hAnsi="Arial" w:cs="Arial"/>
        </w:rPr>
        <w:t>., 2024). Evidence suggests that disparities in care may persist even when services are theoretically available, reflecting differences in referral patterns, clinical decision-making and patient–provider interactions (Williams et al., 2019).</w:t>
      </w:r>
    </w:p>
    <w:p w14:paraId="602E1EBC" w14:textId="77777777" w:rsidR="00CD69CF" w:rsidRPr="00231375" w:rsidRDefault="00CD69CF" w:rsidP="00CD69CF">
      <w:pPr>
        <w:spacing w:after="0"/>
        <w:rPr>
          <w:rFonts w:ascii="Arial" w:hAnsi="Arial" w:cs="Arial"/>
        </w:rPr>
      </w:pPr>
    </w:p>
    <w:p w14:paraId="26C79A3B" w14:textId="5F2D304B" w:rsidR="00CD69CF" w:rsidRPr="00231375" w:rsidRDefault="00CD69CF" w:rsidP="00CD69CF">
      <w:pPr>
        <w:spacing w:after="0"/>
        <w:rPr>
          <w:rFonts w:ascii="Arial" w:hAnsi="Arial" w:cs="Arial"/>
        </w:rPr>
      </w:pPr>
      <w:r w:rsidRPr="00231375">
        <w:rPr>
          <w:rFonts w:ascii="Arial" w:hAnsi="Arial" w:cs="Arial"/>
        </w:rPr>
        <w:t>Finally, diagnostic pathways are shaped by guideline and policy environments. While spirometry-confirmed diagnosis is widely recommended for symptomatic individuals, the U.S. Preventive Services Task Force advises against routine screening of asymptomatic adults due to insufficient evidence of net benefit (USPSTF, 2022). Without complementary strategies such as proactive case-finding, culturally appropriate communication and improved access to diagnostic services, these structural conditions may widen existing disparities in disease recognition and management (Labaki and Han, 2019; Gershon et al., 2018).</w:t>
      </w:r>
    </w:p>
    <w:p w14:paraId="5274A0F3" w14:textId="77777777" w:rsidR="00CD69CF" w:rsidRPr="00231375" w:rsidRDefault="00CD69CF" w:rsidP="00CD69CF">
      <w:pPr>
        <w:spacing w:after="0"/>
        <w:rPr>
          <w:rFonts w:ascii="Arial" w:hAnsi="Arial" w:cs="Arial"/>
        </w:rPr>
      </w:pPr>
    </w:p>
    <w:p w14:paraId="5F4F6A1C" w14:textId="77777777" w:rsidR="00CD69CF" w:rsidRPr="00231375" w:rsidRDefault="00CD69CF" w:rsidP="00CD69CF">
      <w:pPr>
        <w:spacing w:after="0"/>
        <w:rPr>
          <w:rFonts w:ascii="Arial" w:hAnsi="Arial" w:cs="Arial"/>
        </w:rPr>
      </w:pPr>
    </w:p>
    <w:p w14:paraId="04A69A3A" w14:textId="77777777" w:rsidR="00CD69CF" w:rsidRPr="00231375" w:rsidRDefault="00CD69CF" w:rsidP="00CD69CF">
      <w:pPr>
        <w:spacing w:after="0"/>
        <w:rPr>
          <w:rFonts w:ascii="Arial" w:hAnsi="Arial" w:cs="Arial"/>
          <w:b/>
          <w:bCs/>
          <w:sz w:val="24"/>
          <w:szCs w:val="24"/>
        </w:rPr>
      </w:pPr>
      <w:r w:rsidRPr="00231375">
        <w:rPr>
          <w:rFonts w:ascii="Arial" w:hAnsi="Arial" w:cs="Arial"/>
          <w:b/>
          <w:bCs/>
          <w:sz w:val="24"/>
          <w:szCs w:val="24"/>
        </w:rPr>
        <w:t>1.6 Rationale for a systematic review and study purpose</w:t>
      </w:r>
    </w:p>
    <w:p w14:paraId="067765AF" w14:textId="77777777" w:rsidR="00CD69CF" w:rsidRPr="00231375" w:rsidRDefault="00CD69CF" w:rsidP="00CD69CF">
      <w:pPr>
        <w:spacing w:after="0"/>
        <w:rPr>
          <w:rFonts w:ascii="Arial" w:hAnsi="Arial" w:cs="Arial"/>
          <w:b/>
          <w:bCs/>
        </w:rPr>
      </w:pPr>
    </w:p>
    <w:p w14:paraId="31BA954B" w14:textId="63A28642" w:rsidR="00CD69CF" w:rsidRPr="00231375" w:rsidRDefault="00CD69CF" w:rsidP="001170D1">
      <w:pPr>
        <w:spacing w:after="0"/>
        <w:rPr>
          <w:rFonts w:ascii="Arial" w:hAnsi="Arial" w:cs="Arial"/>
        </w:rPr>
      </w:pPr>
      <w:r w:rsidRPr="00231375">
        <w:rPr>
          <w:rFonts w:ascii="Arial" w:hAnsi="Arial" w:cs="Arial"/>
        </w:rPr>
        <w:t>Although COPD disparities are documented, the evidence is dispersed across epidemiology, health services research, diagnostic studies and environmental health. A systematic review is therefore justified because it can integrate evidence on awareness, diagnosis, prevention and management for African American adults aged 40–65 (Spitzer et al., 2020; Weeks and Elgaddal, 2025).</w:t>
      </w:r>
    </w:p>
    <w:p w14:paraId="5DFE3B88" w14:textId="77777777" w:rsidR="00CD69CF" w:rsidRPr="00231375" w:rsidRDefault="00CD69CF" w:rsidP="00CD69CF">
      <w:pPr>
        <w:spacing w:after="0"/>
        <w:jc w:val="center"/>
        <w:rPr>
          <w:rFonts w:ascii="Arial" w:hAnsi="Arial" w:cs="Arial"/>
        </w:rPr>
      </w:pPr>
    </w:p>
    <w:p w14:paraId="7D3EAFB6" w14:textId="77777777" w:rsidR="00CD69CF" w:rsidRPr="00231375" w:rsidRDefault="00CD69CF" w:rsidP="00CD69CF">
      <w:pPr>
        <w:spacing w:after="0"/>
        <w:rPr>
          <w:rFonts w:ascii="Arial" w:hAnsi="Arial" w:cs="Arial"/>
        </w:rPr>
      </w:pPr>
      <w:r w:rsidRPr="00231375">
        <w:rPr>
          <w:rFonts w:ascii="Arial" w:hAnsi="Arial" w:cs="Arial"/>
        </w:rPr>
        <w:t>This logic is aligned with national policy framing, including the COPD National Action Plan, which positions COPD as requiring coordinated action across awareness, healthcare professional practice, surveillance data, research, and translation into public health action (NHLBI, 2017).</w:t>
      </w:r>
    </w:p>
    <w:p w14:paraId="68E7DB1E" w14:textId="77777777" w:rsidR="00CD69CF" w:rsidRPr="00231375" w:rsidRDefault="00CD69CF" w:rsidP="00CD69CF">
      <w:pPr>
        <w:spacing w:after="0"/>
        <w:rPr>
          <w:rFonts w:ascii="Arial" w:hAnsi="Arial" w:cs="Arial"/>
        </w:rPr>
      </w:pPr>
    </w:p>
    <w:p w14:paraId="21CDED6F" w14:textId="77777777" w:rsidR="00CD69CF" w:rsidRPr="00231375" w:rsidRDefault="00CD69CF" w:rsidP="00CD69CF">
      <w:pPr>
        <w:spacing w:after="0"/>
        <w:rPr>
          <w:rFonts w:ascii="Arial" w:hAnsi="Arial" w:cs="Arial"/>
          <w:b/>
          <w:bCs/>
          <w:sz w:val="24"/>
          <w:szCs w:val="24"/>
        </w:rPr>
      </w:pPr>
      <w:r w:rsidRPr="00231375">
        <w:rPr>
          <w:rFonts w:ascii="Arial" w:hAnsi="Arial" w:cs="Arial"/>
          <w:b/>
          <w:bCs/>
          <w:sz w:val="24"/>
          <w:szCs w:val="24"/>
        </w:rPr>
        <w:t>1.7 Aim</w:t>
      </w:r>
    </w:p>
    <w:p w14:paraId="741A8580" w14:textId="77777777" w:rsidR="00CD69CF" w:rsidRPr="00231375" w:rsidRDefault="00CD69CF" w:rsidP="00CD69CF">
      <w:pPr>
        <w:spacing w:after="0"/>
        <w:rPr>
          <w:rFonts w:ascii="Arial" w:hAnsi="Arial" w:cs="Arial"/>
          <w:b/>
          <w:bCs/>
        </w:rPr>
      </w:pPr>
    </w:p>
    <w:p w14:paraId="388078F6" w14:textId="77777777" w:rsidR="00CD69CF" w:rsidRPr="00231375" w:rsidRDefault="00CD69CF" w:rsidP="00CD69CF">
      <w:pPr>
        <w:spacing w:after="0"/>
        <w:rPr>
          <w:rFonts w:ascii="Arial" w:hAnsi="Arial" w:cs="Arial"/>
        </w:rPr>
      </w:pPr>
      <w:r w:rsidRPr="00231375">
        <w:rPr>
          <w:rFonts w:ascii="Arial" w:hAnsi="Arial" w:cs="Arial"/>
        </w:rPr>
        <w:t xml:space="preserve">The aim of this review is to synthesise and critically evaluate evidence on COPD awareness, prevention, diagnosis and management among African American adults aged 40–65. </w:t>
      </w:r>
    </w:p>
    <w:p w14:paraId="33AD39C7" w14:textId="77777777" w:rsidR="00CD69CF" w:rsidRPr="00231375" w:rsidRDefault="00CD69CF" w:rsidP="00CD69CF">
      <w:pPr>
        <w:spacing w:after="0"/>
        <w:rPr>
          <w:rFonts w:ascii="Arial" w:hAnsi="Arial" w:cs="Arial"/>
        </w:rPr>
      </w:pPr>
    </w:p>
    <w:p w14:paraId="178E5AEA" w14:textId="77777777" w:rsidR="00CD69CF" w:rsidRPr="00231375" w:rsidRDefault="00CD69CF" w:rsidP="00CD69CF">
      <w:pPr>
        <w:spacing w:after="0"/>
        <w:rPr>
          <w:rFonts w:ascii="Arial" w:hAnsi="Arial" w:cs="Arial"/>
          <w:b/>
          <w:bCs/>
          <w:sz w:val="24"/>
          <w:szCs w:val="24"/>
        </w:rPr>
      </w:pPr>
      <w:r w:rsidRPr="00231375">
        <w:rPr>
          <w:rFonts w:ascii="Arial" w:hAnsi="Arial" w:cs="Arial"/>
          <w:b/>
          <w:bCs/>
          <w:sz w:val="24"/>
          <w:szCs w:val="24"/>
        </w:rPr>
        <w:t>1.8 Research question</w:t>
      </w:r>
    </w:p>
    <w:p w14:paraId="4B4291C2" w14:textId="77777777" w:rsidR="00CD69CF" w:rsidRPr="00231375" w:rsidRDefault="00CD69CF" w:rsidP="00CD69CF">
      <w:pPr>
        <w:spacing w:after="0"/>
        <w:rPr>
          <w:rFonts w:ascii="Arial" w:hAnsi="Arial" w:cs="Arial"/>
          <w:b/>
          <w:bCs/>
        </w:rPr>
      </w:pPr>
    </w:p>
    <w:p w14:paraId="53DE95A5" w14:textId="77777777" w:rsidR="00CD69CF" w:rsidRPr="00231375" w:rsidRDefault="00CD69CF" w:rsidP="00CD69CF">
      <w:pPr>
        <w:spacing w:after="0"/>
        <w:rPr>
          <w:rFonts w:ascii="Arial" w:hAnsi="Arial" w:cs="Arial"/>
        </w:rPr>
      </w:pPr>
      <w:r w:rsidRPr="00231375">
        <w:rPr>
          <w:rFonts w:ascii="Arial" w:hAnsi="Arial" w:cs="Arial"/>
        </w:rPr>
        <w:t>What does current evidence reveal about awareness, diagnosis, prevention and management of COPD among African American adults aged 40–65 in the United States, and how do structural, environmental and healthcare system factors influence these outcomes?</w:t>
      </w:r>
    </w:p>
    <w:p w14:paraId="1D1FB070" w14:textId="77777777" w:rsidR="00CD69CF" w:rsidRPr="00231375" w:rsidRDefault="00CD69CF" w:rsidP="00CD69CF">
      <w:pPr>
        <w:spacing w:after="0"/>
        <w:rPr>
          <w:rFonts w:ascii="Arial" w:hAnsi="Arial" w:cs="Arial"/>
        </w:rPr>
      </w:pPr>
    </w:p>
    <w:p w14:paraId="63C075D4" w14:textId="77777777" w:rsidR="00CD69CF" w:rsidRPr="00231375" w:rsidRDefault="00CD69CF" w:rsidP="00CD69CF">
      <w:pPr>
        <w:spacing w:after="0"/>
        <w:rPr>
          <w:rFonts w:ascii="Arial" w:hAnsi="Arial" w:cs="Arial"/>
          <w:b/>
          <w:bCs/>
          <w:sz w:val="24"/>
          <w:szCs w:val="24"/>
        </w:rPr>
      </w:pPr>
      <w:r w:rsidRPr="00231375">
        <w:rPr>
          <w:rFonts w:ascii="Arial" w:hAnsi="Arial" w:cs="Arial"/>
          <w:b/>
          <w:bCs/>
          <w:sz w:val="24"/>
          <w:szCs w:val="24"/>
        </w:rPr>
        <w:t>1.9 Objectives</w:t>
      </w:r>
    </w:p>
    <w:p w14:paraId="6975283F" w14:textId="77777777" w:rsidR="00CD69CF" w:rsidRPr="00231375" w:rsidRDefault="00CD69CF" w:rsidP="00CD69CF">
      <w:pPr>
        <w:spacing w:after="0"/>
        <w:rPr>
          <w:rFonts w:ascii="Arial" w:hAnsi="Arial" w:cs="Arial"/>
          <w:b/>
          <w:bCs/>
        </w:rPr>
      </w:pPr>
    </w:p>
    <w:p w14:paraId="4E95D7BF" w14:textId="77777777" w:rsidR="00CD69CF" w:rsidRPr="00231375" w:rsidRDefault="00CD69CF" w:rsidP="00CD69CF">
      <w:pPr>
        <w:pStyle w:val="ListParagraph"/>
        <w:numPr>
          <w:ilvl w:val="0"/>
          <w:numId w:val="10"/>
        </w:numPr>
        <w:spacing w:after="0"/>
        <w:rPr>
          <w:rFonts w:ascii="Arial" w:hAnsi="Arial" w:cs="Arial"/>
        </w:rPr>
      </w:pPr>
      <w:r w:rsidRPr="00231375">
        <w:rPr>
          <w:rFonts w:ascii="Arial" w:hAnsi="Arial" w:cs="Arial"/>
        </w:rPr>
        <w:t>To assess the level of awareness among African American adults aged 40–65 and healthcare professionals about the causes, symptoms, and prevention of COPD.</w:t>
      </w:r>
    </w:p>
    <w:p w14:paraId="65829293" w14:textId="77777777" w:rsidR="00CD69CF" w:rsidRPr="00231375" w:rsidRDefault="00CD69CF" w:rsidP="00CD69CF">
      <w:pPr>
        <w:pStyle w:val="ListParagraph"/>
        <w:spacing w:after="0"/>
        <w:rPr>
          <w:rFonts w:ascii="Arial" w:hAnsi="Arial" w:cs="Arial"/>
        </w:rPr>
      </w:pPr>
    </w:p>
    <w:p w14:paraId="5D3E0996" w14:textId="77777777" w:rsidR="00CD69CF" w:rsidRPr="00231375" w:rsidRDefault="00CD69CF" w:rsidP="00CD69CF">
      <w:pPr>
        <w:pStyle w:val="ListParagraph"/>
        <w:numPr>
          <w:ilvl w:val="0"/>
          <w:numId w:val="10"/>
        </w:numPr>
        <w:spacing w:after="0"/>
        <w:rPr>
          <w:rFonts w:ascii="Arial" w:hAnsi="Arial" w:cs="Arial"/>
        </w:rPr>
      </w:pPr>
      <w:r w:rsidRPr="00231375">
        <w:rPr>
          <w:rFonts w:ascii="Arial" w:hAnsi="Arial" w:cs="Arial"/>
        </w:rPr>
        <w:t>To identify gaps and challenges in current healthcare services and policies related to the diagnosis, treatment, and support of COPD patients within this population.</w:t>
      </w:r>
    </w:p>
    <w:p w14:paraId="3002A6D2" w14:textId="77777777" w:rsidR="00CD69CF" w:rsidRPr="00231375" w:rsidRDefault="00CD69CF" w:rsidP="00CD69CF">
      <w:pPr>
        <w:spacing w:after="0"/>
        <w:rPr>
          <w:rFonts w:ascii="Arial" w:hAnsi="Arial" w:cs="Arial"/>
        </w:rPr>
      </w:pPr>
    </w:p>
    <w:p w14:paraId="0C0025EF" w14:textId="2B2D673F" w:rsidR="00CD69CF" w:rsidRPr="00180F86" w:rsidRDefault="00CD69CF" w:rsidP="00180F86">
      <w:pPr>
        <w:pStyle w:val="ListParagraph"/>
        <w:numPr>
          <w:ilvl w:val="0"/>
          <w:numId w:val="10"/>
        </w:numPr>
        <w:spacing w:after="0"/>
        <w:rPr>
          <w:rFonts w:ascii="Arial" w:hAnsi="Arial" w:cs="Arial"/>
        </w:rPr>
      </w:pPr>
      <w:r w:rsidRPr="00231375">
        <w:rPr>
          <w:rFonts w:ascii="Arial" w:hAnsi="Arial" w:cs="Arial"/>
        </w:rPr>
        <w:t>To evaluate the effectiveness of existing COPD management programs for African American adults aged 40–65 and recommend strategies for improving patient outcomes and quality of life.</w:t>
      </w:r>
      <w:bookmarkStart w:id="5" w:name="_Toc12217"/>
    </w:p>
    <w:p w14:paraId="5B51C9BF" w14:textId="7F3CAC95" w:rsidR="00CD69CF" w:rsidRPr="00231375" w:rsidRDefault="00CD69CF" w:rsidP="00180F86">
      <w:pPr>
        <w:pStyle w:val="Heading1"/>
        <w:spacing w:after="610"/>
        <w:ind w:left="0" w:right="6" w:firstLine="0"/>
        <w:rPr>
          <w:rFonts w:ascii="Arial" w:hAnsi="Arial" w:cs="Arial"/>
          <w:b w:val="0"/>
          <w:bCs/>
          <w:color w:val="auto"/>
          <w:sz w:val="28"/>
          <w:szCs w:val="28"/>
        </w:rPr>
      </w:pPr>
      <w:r w:rsidRPr="00231375">
        <w:rPr>
          <w:rFonts w:ascii="Arial" w:hAnsi="Arial" w:cs="Arial"/>
          <w:bCs/>
          <w:color w:val="auto"/>
          <w:sz w:val="28"/>
          <w:szCs w:val="28"/>
        </w:rPr>
        <w:lastRenderedPageBreak/>
        <w:t xml:space="preserve">Chapter 2: Literature </w:t>
      </w:r>
      <w:r w:rsidR="00095C72">
        <w:rPr>
          <w:rFonts w:ascii="Arial" w:hAnsi="Arial" w:cs="Arial"/>
          <w:bCs/>
          <w:color w:val="auto"/>
          <w:sz w:val="28"/>
          <w:szCs w:val="28"/>
        </w:rPr>
        <w:t>R</w:t>
      </w:r>
      <w:r w:rsidRPr="00231375">
        <w:rPr>
          <w:rFonts w:ascii="Arial" w:hAnsi="Arial" w:cs="Arial"/>
          <w:bCs/>
          <w:color w:val="auto"/>
          <w:sz w:val="28"/>
          <w:szCs w:val="28"/>
        </w:rPr>
        <w:t>eview</w:t>
      </w:r>
      <w:r w:rsidR="00095C72">
        <w:rPr>
          <w:rFonts w:ascii="Arial" w:hAnsi="Arial" w:cs="Arial"/>
          <w:bCs/>
          <w:color w:val="auto"/>
          <w:sz w:val="28"/>
          <w:szCs w:val="28"/>
        </w:rPr>
        <w:t xml:space="preserve"> and T</w:t>
      </w:r>
      <w:r w:rsidRPr="00231375">
        <w:rPr>
          <w:rFonts w:ascii="Arial" w:hAnsi="Arial" w:cs="Arial"/>
          <w:bCs/>
          <w:color w:val="auto"/>
          <w:sz w:val="28"/>
          <w:szCs w:val="28"/>
        </w:rPr>
        <w:t xml:space="preserve">heoretical </w:t>
      </w:r>
      <w:r w:rsidR="00095C72">
        <w:rPr>
          <w:rFonts w:ascii="Arial" w:hAnsi="Arial" w:cs="Arial"/>
          <w:bCs/>
          <w:color w:val="auto"/>
          <w:sz w:val="28"/>
          <w:szCs w:val="28"/>
        </w:rPr>
        <w:t>F</w:t>
      </w:r>
      <w:r w:rsidRPr="00231375">
        <w:rPr>
          <w:rFonts w:ascii="Arial" w:hAnsi="Arial" w:cs="Arial"/>
          <w:bCs/>
          <w:color w:val="auto"/>
          <w:sz w:val="28"/>
          <w:szCs w:val="28"/>
        </w:rPr>
        <w:t>ramework</w:t>
      </w:r>
      <w:bookmarkEnd w:id="5"/>
    </w:p>
    <w:p w14:paraId="3DCE954D" w14:textId="1DADCE54" w:rsidR="004B7DAB" w:rsidRPr="004B7DAB" w:rsidRDefault="004B7DAB" w:rsidP="00CD69CF">
      <w:pPr>
        <w:spacing w:after="14" w:line="249" w:lineRule="auto"/>
        <w:ind w:left="345"/>
        <w:rPr>
          <w:rFonts w:ascii="Arial" w:hAnsi="Arial" w:cs="Arial"/>
          <w:b/>
          <w:bCs/>
          <w:sz w:val="24"/>
          <w:szCs w:val="24"/>
        </w:rPr>
      </w:pPr>
      <w:r w:rsidRPr="004B7DAB">
        <w:rPr>
          <w:rFonts w:ascii="Arial" w:hAnsi="Arial" w:cs="Arial"/>
          <w:b/>
          <w:bCs/>
          <w:sz w:val="24"/>
          <w:szCs w:val="24"/>
        </w:rPr>
        <w:t>2.1 Introduction</w:t>
      </w:r>
    </w:p>
    <w:p w14:paraId="44C63593" w14:textId="77777777" w:rsidR="004B7DAB" w:rsidRDefault="004B7DAB" w:rsidP="00CD69CF">
      <w:pPr>
        <w:spacing w:after="14" w:line="249" w:lineRule="auto"/>
        <w:ind w:left="345"/>
        <w:rPr>
          <w:rFonts w:ascii="Arial" w:hAnsi="Arial" w:cs="Arial"/>
        </w:rPr>
      </w:pPr>
    </w:p>
    <w:p w14:paraId="6BB57D8D" w14:textId="66C5655D" w:rsidR="00CD69CF" w:rsidRPr="00231375" w:rsidRDefault="00CD69CF" w:rsidP="00CD69CF">
      <w:pPr>
        <w:spacing w:after="14" w:line="249" w:lineRule="auto"/>
        <w:ind w:left="345"/>
        <w:rPr>
          <w:rFonts w:ascii="Arial" w:hAnsi="Arial" w:cs="Arial"/>
        </w:rPr>
      </w:pPr>
      <w:r w:rsidRPr="00231375">
        <w:rPr>
          <w:rFonts w:ascii="Arial" w:hAnsi="Arial" w:cs="Arial"/>
        </w:rPr>
        <w:t>Chronic obstructive pulmonary disease (COPD) represents a major cause of morbidity and premature mortality globally and remains a significant public health challenge within the United States (WHO, 2024; Adeloye et al., 2015). While traditionally conceptualised as a disease of older age, increasing evidence suggests that midlife (40–65 years) is a critical period during which cumulative exposures manifest clinically and opportunities for early intervention remain viable (Lange et al., 2015).</w:t>
      </w:r>
    </w:p>
    <w:p w14:paraId="2C9E69E8" w14:textId="77777777" w:rsidR="00CD69CF" w:rsidRPr="00231375" w:rsidRDefault="00CD69CF" w:rsidP="00CD69CF">
      <w:pPr>
        <w:spacing w:after="14" w:line="249" w:lineRule="auto"/>
        <w:ind w:left="345"/>
        <w:rPr>
          <w:rFonts w:ascii="Arial" w:hAnsi="Arial" w:cs="Arial"/>
        </w:rPr>
      </w:pPr>
    </w:p>
    <w:p w14:paraId="5451C179" w14:textId="77777777" w:rsidR="00CD69CF" w:rsidRPr="00231375" w:rsidRDefault="00CD69CF" w:rsidP="00CD69CF">
      <w:pPr>
        <w:spacing w:after="14" w:line="249" w:lineRule="auto"/>
        <w:ind w:left="345"/>
        <w:rPr>
          <w:rFonts w:ascii="Arial" w:hAnsi="Arial" w:cs="Arial"/>
        </w:rPr>
      </w:pPr>
      <w:r w:rsidRPr="00231375">
        <w:rPr>
          <w:rFonts w:ascii="Arial" w:hAnsi="Arial" w:cs="Arial"/>
        </w:rPr>
        <w:t>For African American populations, COPD cannot be adequately explained through individual-level risk factors such as smoking alone. Instead, contemporary literature increasingly frames disparities as the outcome of interacting structural, environmental, and healthcare system determinants (Bailey et al., 2017; Williams et al., 2019; Rea et al., 2024). This shifts the analytical focus from biological difference to social production of disease risk and unequal recognition within healthcare systems (Marmot, 2015).</w:t>
      </w:r>
    </w:p>
    <w:p w14:paraId="5F7810C7" w14:textId="77777777" w:rsidR="00CD69CF" w:rsidRPr="00231375" w:rsidRDefault="00CD69CF" w:rsidP="00CD69CF">
      <w:pPr>
        <w:spacing w:after="14" w:line="249" w:lineRule="auto"/>
        <w:ind w:left="345"/>
        <w:rPr>
          <w:rFonts w:ascii="Arial" w:hAnsi="Arial" w:cs="Arial"/>
        </w:rPr>
      </w:pPr>
    </w:p>
    <w:p w14:paraId="1C28899F" w14:textId="77777777" w:rsidR="00CD69CF" w:rsidRPr="00231375" w:rsidRDefault="00CD69CF" w:rsidP="00CD69CF">
      <w:pPr>
        <w:spacing w:after="14" w:line="249" w:lineRule="auto"/>
        <w:ind w:left="345"/>
        <w:rPr>
          <w:rFonts w:ascii="Arial" w:hAnsi="Arial" w:cs="Arial"/>
        </w:rPr>
      </w:pPr>
      <w:r w:rsidRPr="00231375">
        <w:rPr>
          <w:rFonts w:ascii="Arial" w:hAnsi="Arial" w:cs="Arial"/>
        </w:rPr>
        <w:t>This chapter critically synthesises literature across five interrelated domains: epidemiology; awareness and diagnostic disparities; environmental and occupational exposures; healthcare access and management; and structural determinants. The central argument is that COPD inequities among African American adults in midlife are not isolated phenomena, but are produced through interconnected systems of exposure, underdiagnosis, and unequal access to care (Gershon et al., 2018; Labaki and Han, 2019).</w:t>
      </w:r>
    </w:p>
    <w:p w14:paraId="5A345EBE" w14:textId="77777777" w:rsidR="00CD69CF" w:rsidRPr="00231375" w:rsidRDefault="00CD69CF" w:rsidP="00CD69CF">
      <w:pPr>
        <w:spacing w:after="14" w:line="249" w:lineRule="auto"/>
        <w:ind w:left="345"/>
        <w:rPr>
          <w:rFonts w:ascii="Arial" w:hAnsi="Arial" w:cs="Arial"/>
        </w:rPr>
      </w:pPr>
    </w:p>
    <w:p w14:paraId="262391E4" w14:textId="77777777" w:rsidR="00CD69CF" w:rsidRPr="00231375" w:rsidRDefault="00CD69CF" w:rsidP="00CD69CF">
      <w:pPr>
        <w:spacing w:after="14" w:line="249" w:lineRule="auto"/>
        <w:ind w:left="345"/>
        <w:rPr>
          <w:rFonts w:ascii="Arial" w:hAnsi="Arial" w:cs="Arial"/>
        </w:rPr>
      </w:pPr>
    </w:p>
    <w:p w14:paraId="3DA09CC3" w14:textId="77777777" w:rsidR="00CD69CF" w:rsidRPr="004B7DAB" w:rsidRDefault="00CD69CF" w:rsidP="00CD69CF">
      <w:pPr>
        <w:spacing w:after="14" w:line="249" w:lineRule="auto"/>
        <w:ind w:left="345"/>
        <w:rPr>
          <w:rFonts w:ascii="Arial" w:hAnsi="Arial" w:cs="Arial"/>
          <w:b/>
          <w:bCs/>
          <w:sz w:val="24"/>
          <w:szCs w:val="24"/>
        </w:rPr>
      </w:pPr>
      <w:r w:rsidRPr="004B7DAB">
        <w:rPr>
          <w:rFonts w:ascii="Arial" w:hAnsi="Arial" w:cs="Arial"/>
          <w:b/>
          <w:bCs/>
          <w:sz w:val="24"/>
          <w:szCs w:val="24"/>
        </w:rPr>
        <w:t>2.2 Epidemiology</w:t>
      </w:r>
    </w:p>
    <w:p w14:paraId="55AAC2E0" w14:textId="77777777" w:rsidR="00CD69CF" w:rsidRPr="00231375" w:rsidRDefault="00CD69CF" w:rsidP="00CD69CF">
      <w:pPr>
        <w:spacing w:after="14" w:line="249" w:lineRule="auto"/>
        <w:ind w:left="345"/>
        <w:rPr>
          <w:rFonts w:ascii="Arial" w:hAnsi="Arial" w:cs="Arial"/>
          <w:b/>
          <w:bCs/>
        </w:rPr>
      </w:pPr>
    </w:p>
    <w:p w14:paraId="1302E3A5" w14:textId="77777777" w:rsidR="00CD69CF" w:rsidRPr="00231375" w:rsidRDefault="00CD69CF" w:rsidP="00CD69CF">
      <w:pPr>
        <w:spacing w:after="14" w:line="249" w:lineRule="auto"/>
        <w:ind w:left="345"/>
        <w:rPr>
          <w:rFonts w:ascii="Arial" w:hAnsi="Arial" w:cs="Arial"/>
        </w:rPr>
      </w:pPr>
      <w:r w:rsidRPr="00231375">
        <w:rPr>
          <w:rFonts w:ascii="Arial" w:hAnsi="Arial" w:cs="Arial"/>
        </w:rPr>
        <w:t>Epidemiological evidence on COPD among African American populations presents a complex and, at times, paradoxical picture. While surveillance data often indicate lower diagnosed prevalence compared to White populations, this finding is increasingly contested. Mamary et al. (2018) demonstrated that African American individuals were significantly more likely to have undiagnosed airflow obstruction, suggesting that prevalence estimates based on clinician diagnosis may substantially underestimate true burden (Gershon et al., 2018; Labaki and Han, 2019).</w:t>
      </w:r>
    </w:p>
    <w:p w14:paraId="70E3E35E" w14:textId="77777777" w:rsidR="00CD69CF" w:rsidRPr="00231375" w:rsidRDefault="00CD69CF" w:rsidP="00CD69CF">
      <w:pPr>
        <w:spacing w:after="14" w:line="249" w:lineRule="auto"/>
        <w:ind w:left="345"/>
        <w:rPr>
          <w:rFonts w:ascii="Arial" w:hAnsi="Arial" w:cs="Arial"/>
        </w:rPr>
      </w:pPr>
    </w:p>
    <w:p w14:paraId="7196705A" w14:textId="77777777" w:rsidR="00CD69CF" w:rsidRPr="00231375" w:rsidRDefault="00CD69CF" w:rsidP="00CD69CF">
      <w:pPr>
        <w:spacing w:after="14" w:line="249" w:lineRule="auto"/>
        <w:ind w:left="345"/>
        <w:rPr>
          <w:rFonts w:ascii="Arial" w:hAnsi="Arial" w:cs="Arial"/>
        </w:rPr>
      </w:pPr>
      <w:r w:rsidRPr="00231375">
        <w:rPr>
          <w:rFonts w:ascii="Arial" w:hAnsi="Arial" w:cs="Arial"/>
        </w:rPr>
        <w:t>This highlights a critical limitation of epidemiological data: disease prevalence is not purely a reflection of biological occurrence but is shaped by healthcare access, diagnostic practices, and system-level recognition (Ford et al., 2013). As such, lower reported prevalence cannot be interpreted uncritically as lower disease burden.</w:t>
      </w:r>
    </w:p>
    <w:p w14:paraId="3361196B" w14:textId="77777777" w:rsidR="00CD69CF" w:rsidRPr="00231375" w:rsidRDefault="00CD69CF" w:rsidP="00CD69CF">
      <w:pPr>
        <w:spacing w:after="14" w:line="249" w:lineRule="auto"/>
        <w:ind w:left="345"/>
        <w:rPr>
          <w:rFonts w:ascii="Arial" w:hAnsi="Arial" w:cs="Arial"/>
        </w:rPr>
      </w:pPr>
      <w:r w:rsidRPr="00231375">
        <w:rPr>
          <w:rFonts w:ascii="Arial" w:hAnsi="Arial" w:cs="Arial"/>
        </w:rPr>
        <w:t>Midlife represents a particularly important stage in this context. Individuals aged 40–65 may experience early symptoms such as dyspnoea or chronic cough but may not seek care due to competing priorities, limited healthcare access, or symptom normalisation (Lange et al., 2015). Consequently, disease may remain undiagnosed until later stages, reinforcing disparities in outcomes.</w:t>
      </w:r>
    </w:p>
    <w:p w14:paraId="2F18E6ED" w14:textId="77777777" w:rsidR="00CD69CF" w:rsidRPr="00231375" w:rsidRDefault="00CD69CF" w:rsidP="00CD69CF">
      <w:pPr>
        <w:spacing w:after="14" w:line="249" w:lineRule="auto"/>
        <w:ind w:left="345"/>
        <w:rPr>
          <w:rFonts w:ascii="Arial" w:hAnsi="Arial" w:cs="Arial"/>
        </w:rPr>
      </w:pPr>
    </w:p>
    <w:p w14:paraId="695FEFC1" w14:textId="77777777" w:rsidR="00CD69CF" w:rsidRPr="00231375" w:rsidRDefault="00CD69CF" w:rsidP="00CD69CF">
      <w:pPr>
        <w:spacing w:after="14" w:line="249" w:lineRule="auto"/>
        <w:ind w:left="345"/>
        <w:rPr>
          <w:rFonts w:ascii="Arial" w:hAnsi="Arial" w:cs="Arial"/>
        </w:rPr>
      </w:pPr>
      <w:r w:rsidRPr="00231375">
        <w:rPr>
          <w:rFonts w:ascii="Arial" w:hAnsi="Arial" w:cs="Arial"/>
        </w:rPr>
        <w:t xml:space="preserve">Additionally, ecological evidence demonstrates that COPD burden is geographically patterned. Khadke et al. (2025) found that higher COPD prevalence is associated with increased environmental and social vulnerability at neighbourhood level (Adeloye et al., </w:t>
      </w:r>
      <w:r w:rsidRPr="00231375">
        <w:rPr>
          <w:rFonts w:ascii="Arial" w:hAnsi="Arial" w:cs="Arial"/>
        </w:rPr>
        <w:lastRenderedPageBreak/>
        <w:t>2015). However, ecological designs are inherently limited by potential ecological fallacy and cannot attribute risk directly to individuals. Therefore, while such studies strengthen the structural argument, they must be interpreted alongside individual-level cohort data.</w:t>
      </w:r>
    </w:p>
    <w:p w14:paraId="207DC144" w14:textId="77777777" w:rsidR="00CD69CF" w:rsidRPr="00231375" w:rsidRDefault="00CD69CF" w:rsidP="00CD69CF">
      <w:pPr>
        <w:spacing w:after="14" w:line="249" w:lineRule="auto"/>
        <w:ind w:left="345"/>
        <w:rPr>
          <w:rFonts w:ascii="Arial" w:hAnsi="Arial" w:cs="Arial"/>
        </w:rPr>
      </w:pPr>
    </w:p>
    <w:p w14:paraId="136C14BD" w14:textId="77777777" w:rsidR="00CD69CF" w:rsidRPr="00231375" w:rsidRDefault="00CD69CF" w:rsidP="00CD69CF">
      <w:pPr>
        <w:spacing w:after="14" w:line="249" w:lineRule="auto"/>
        <w:ind w:left="345"/>
        <w:rPr>
          <w:rFonts w:ascii="Arial" w:hAnsi="Arial" w:cs="Arial"/>
        </w:rPr>
      </w:pPr>
      <w:r w:rsidRPr="00231375">
        <w:rPr>
          <w:rFonts w:ascii="Arial" w:hAnsi="Arial" w:cs="Arial"/>
        </w:rPr>
        <w:t>Overall, the epidemiological literature suggests that COPD disparities among African American adults reflect both true differences in exposure and systematic under-recognition within healthcare systems, rather than differences in disease biology alone (Bailey et al., 2017).</w:t>
      </w:r>
    </w:p>
    <w:p w14:paraId="346451A1" w14:textId="77777777" w:rsidR="00CD69CF" w:rsidRPr="00231375" w:rsidRDefault="00CD69CF" w:rsidP="00CD69CF">
      <w:pPr>
        <w:spacing w:after="14" w:line="249" w:lineRule="auto"/>
        <w:ind w:left="345"/>
        <w:rPr>
          <w:rFonts w:ascii="Arial" w:hAnsi="Arial" w:cs="Arial"/>
        </w:rPr>
      </w:pPr>
    </w:p>
    <w:p w14:paraId="079C6575" w14:textId="77777777" w:rsidR="00CD69CF" w:rsidRPr="00231375" w:rsidRDefault="00CD69CF" w:rsidP="00CD69CF">
      <w:pPr>
        <w:spacing w:after="14" w:line="249" w:lineRule="auto"/>
        <w:ind w:left="345"/>
        <w:rPr>
          <w:rFonts w:ascii="Arial" w:hAnsi="Arial" w:cs="Arial"/>
        </w:rPr>
      </w:pPr>
    </w:p>
    <w:p w14:paraId="15ECF66C" w14:textId="77777777" w:rsidR="00CD69CF" w:rsidRPr="004B7DAB" w:rsidRDefault="00CD69CF" w:rsidP="00CD69CF">
      <w:pPr>
        <w:spacing w:after="14" w:line="249" w:lineRule="auto"/>
        <w:ind w:left="345"/>
        <w:rPr>
          <w:rFonts w:ascii="Arial" w:hAnsi="Arial" w:cs="Arial"/>
          <w:b/>
          <w:bCs/>
          <w:sz w:val="24"/>
          <w:szCs w:val="24"/>
        </w:rPr>
      </w:pPr>
      <w:r w:rsidRPr="004B7DAB">
        <w:rPr>
          <w:rFonts w:ascii="Arial" w:hAnsi="Arial" w:cs="Arial"/>
          <w:b/>
          <w:bCs/>
          <w:sz w:val="24"/>
          <w:szCs w:val="24"/>
        </w:rPr>
        <w:t>2.3 Awareness and Diagnostic Disparities</w:t>
      </w:r>
    </w:p>
    <w:p w14:paraId="3EB65A90" w14:textId="77777777" w:rsidR="00CD69CF" w:rsidRPr="00231375" w:rsidRDefault="00CD69CF" w:rsidP="00CD69CF">
      <w:pPr>
        <w:spacing w:after="14" w:line="249" w:lineRule="auto"/>
        <w:ind w:left="345"/>
        <w:rPr>
          <w:rFonts w:ascii="Arial" w:hAnsi="Arial" w:cs="Arial"/>
          <w:b/>
          <w:bCs/>
        </w:rPr>
      </w:pPr>
    </w:p>
    <w:p w14:paraId="74BD0B2B" w14:textId="77777777" w:rsidR="00CD69CF" w:rsidRPr="00231375" w:rsidRDefault="00CD69CF" w:rsidP="00CD69CF">
      <w:pPr>
        <w:spacing w:after="14" w:line="249" w:lineRule="auto"/>
        <w:ind w:left="345"/>
        <w:rPr>
          <w:rFonts w:ascii="Arial" w:hAnsi="Arial" w:cs="Arial"/>
        </w:rPr>
      </w:pPr>
      <w:r w:rsidRPr="00231375">
        <w:rPr>
          <w:rFonts w:ascii="Arial" w:hAnsi="Arial" w:cs="Arial"/>
        </w:rPr>
        <w:t>Diagnostic disparity is one of the most important themes in the literature because it represents the point at which structural disadvantage becomes clinically actionable. If COPD is not recognised, opportunities for smoking cessation support, vaccination, inhaled therapy, pulmonary rehabilitation and exacerbation prevention are delayed. In this way, underdiagnosis functions not merely as a measurement issue but as a mechanism through which inequity worsens over time (Labaki and Han, 2019).</w:t>
      </w:r>
    </w:p>
    <w:p w14:paraId="13626E0E" w14:textId="77777777" w:rsidR="00CD69CF" w:rsidRPr="00231375" w:rsidRDefault="00CD69CF" w:rsidP="00CD69CF">
      <w:pPr>
        <w:spacing w:after="14" w:line="249" w:lineRule="auto"/>
        <w:ind w:left="345"/>
        <w:rPr>
          <w:rFonts w:ascii="Arial" w:hAnsi="Arial" w:cs="Arial"/>
        </w:rPr>
      </w:pPr>
    </w:p>
    <w:p w14:paraId="4224C542" w14:textId="77777777" w:rsidR="00CD69CF" w:rsidRPr="00231375" w:rsidRDefault="00CD69CF" w:rsidP="00CD69CF">
      <w:pPr>
        <w:spacing w:after="14" w:line="249" w:lineRule="auto"/>
        <w:ind w:left="345"/>
        <w:rPr>
          <w:rFonts w:ascii="Arial" w:hAnsi="Arial" w:cs="Arial"/>
        </w:rPr>
      </w:pPr>
      <w:r w:rsidRPr="00231375">
        <w:rPr>
          <w:rFonts w:ascii="Arial" w:hAnsi="Arial" w:cs="Arial"/>
        </w:rPr>
        <w:t>Mamary et al. (2018) provide some of the strongest evidence on this issue. Their analysis showed that African American participants had higher odds of lacking a prior COPD diagnosis at every GOLD stage of airflow obstruction (Mamary et al., 2018). This finding is especially important because it refutes the idea that underdiagnosis affects only those with mild disease. Even where obstruction was more severe, African American participants were still less likely to have been diagnosed. The problem therefore appears to extend across the spectrum of disease severity. This suggests that underdiagnosis is not accidental or limited to early clinical uncertainty, but systemic (Gershon et al., 2018).</w:t>
      </w:r>
    </w:p>
    <w:p w14:paraId="17B05B55" w14:textId="77777777" w:rsidR="00CD69CF" w:rsidRPr="00231375" w:rsidRDefault="00CD69CF" w:rsidP="00CD69CF">
      <w:pPr>
        <w:spacing w:after="14" w:line="249" w:lineRule="auto"/>
        <w:ind w:left="345"/>
        <w:rPr>
          <w:rFonts w:ascii="Arial" w:hAnsi="Arial" w:cs="Arial"/>
        </w:rPr>
      </w:pPr>
    </w:p>
    <w:p w14:paraId="63AC8400" w14:textId="77777777" w:rsidR="00CD69CF" w:rsidRPr="00231375" w:rsidRDefault="00CD69CF" w:rsidP="00CD69CF">
      <w:pPr>
        <w:spacing w:after="14" w:line="249" w:lineRule="auto"/>
        <w:ind w:left="345"/>
        <w:rPr>
          <w:rFonts w:ascii="Arial" w:hAnsi="Arial" w:cs="Arial"/>
        </w:rPr>
      </w:pPr>
      <w:r w:rsidRPr="00231375">
        <w:rPr>
          <w:rFonts w:ascii="Arial" w:hAnsi="Arial" w:cs="Arial"/>
        </w:rPr>
        <w:t>The same study also found evidence of diagnostic substitution, where some participants had an asthma diagnosis without a COPD diagnosis despite fixed airflow obstruction (Mamary et al., 2018). This raises further concerns about how respiratory symptoms are interpreted in clinical practice. Misclassification matters because asthma and COPD follow different management pathways, and failure to identify COPD may reduce access to guideline-based interventions (Vestbo et al., 2013). For African American adults in midlife, misclassification may have particularly serious effects because it can delay the transition from symptom management to structured chronic disease care.</w:t>
      </w:r>
    </w:p>
    <w:p w14:paraId="6C50CFB6" w14:textId="77777777" w:rsidR="00CD69CF" w:rsidRPr="00231375" w:rsidRDefault="00CD69CF" w:rsidP="00CD69CF">
      <w:pPr>
        <w:spacing w:after="14" w:line="249" w:lineRule="auto"/>
        <w:ind w:left="345"/>
        <w:rPr>
          <w:rFonts w:ascii="Arial" w:hAnsi="Arial" w:cs="Arial"/>
        </w:rPr>
      </w:pPr>
    </w:p>
    <w:p w14:paraId="733D5F8B" w14:textId="77777777" w:rsidR="00CD69CF" w:rsidRPr="00231375" w:rsidRDefault="00CD69CF" w:rsidP="00CD69CF">
      <w:pPr>
        <w:spacing w:after="14" w:line="249" w:lineRule="auto"/>
        <w:ind w:left="345"/>
        <w:rPr>
          <w:rFonts w:ascii="Arial" w:hAnsi="Arial" w:cs="Arial"/>
        </w:rPr>
      </w:pPr>
      <w:r w:rsidRPr="00231375">
        <w:rPr>
          <w:rFonts w:ascii="Arial" w:hAnsi="Arial" w:cs="Arial"/>
        </w:rPr>
        <w:t>Further research deepens this discussion by showing that diagnostic inequity may also be embedded within spirometry criteria themselves (Regan et al., 2023). Their study found that the conventional fixed-ratio threshold could underdiagnose COPD among African American participants compared with broader diagnostic approaches. The authors linked this to reductions in FVC relative to FEV</w:t>
      </w:r>
      <w:r w:rsidRPr="00231375">
        <w:rPr>
          <w:rFonts w:ascii="Cambria Math" w:hAnsi="Cambria Math" w:cs="Cambria Math"/>
        </w:rPr>
        <w:t>₁</w:t>
      </w:r>
      <w:r w:rsidRPr="00231375">
        <w:rPr>
          <w:rFonts w:ascii="Arial" w:hAnsi="Arial" w:cs="Arial"/>
        </w:rPr>
        <w:t xml:space="preserve"> and to deprivation-related physiology patterns. This is a powerful finding because it shifts the discussion beyond clinician behaviour and towards the design of diagnostic standards. If the dominant threshold systematically under-identifies disease in one population, then disparity becomes partly a property of the measurement system. In other words, inequity can be built into the rules of diagnosis as well as into access to testing (Vestbo et al., 2013).</w:t>
      </w:r>
    </w:p>
    <w:p w14:paraId="14873D07" w14:textId="77777777" w:rsidR="00CD69CF" w:rsidRPr="00231375" w:rsidRDefault="00CD69CF" w:rsidP="00CD69CF">
      <w:pPr>
        <w:spacing w:after="14" w:line="249" w:lineRule="auto"/>
        <w:ind w:left="345"/>
        <w:rPr>
          <w:rFonts w:ascii="Arial" w:hAnsi="Arial" w:cs="Arial"/>
        </w:rPr>
      </w:pPr>
    </w:p>
    <w:p w14:paraId="233CEDD1" w14:textId="77777777" w:rsidR="00CD69CF" w:rsidRPr="00231375" w:rsidRDefault="00CD69CF" w:rsidP="00CD69CF">
      <w:pPr>
        <w:spacing w:after="14" w:line="249" w:lineRule="auto"/>
        <w:ind w:left="345"/>
        <w:rPr>
          <w:rFonts w:ascii="Arial" w:hAnsi="Arial" w:cs="Arial"/>
        </w:rPr>
      </w:pPr>
      <w:r w:rsidRPr="00231375">
        <w:rPr>
          <w:rFonts w:ascii="Arial" w:hAnsi="Arial" w:cs="Arial"/>
        </w:rPr>
        <w:t xml:space="preserve">For this dissertation, the implications are substantial. COPD diagnosis is often treated as an objective, neutral outcome, but the evidence suggests it is socially mediated. Technical standards for spirometry are essential for diagnostic reliability, but interpretation also depends on reference equations, threshold choices and clinical </w:t>
      </w:r>
      <w:r w:rsidRPr="00231375">
        <w:rPr>
          <w:rFonts w:ascii="Arial" w:hAnsi="Arial" w:cs="Arial"/>
        </w:rPr>
        <w:lastRenderedPageBreak/>
        <w:t>context (Miller et al., 2005; Quanjer et al., 2012; Graham et al., 2019; Bhakta et al., 2023). It depends on whether symptoms are acknowledged, whether testing is available, whether the right interpretation is applied and whether patients are positioned as credible participants in clinical encounters (Williams et al., 2019). The work indicates that measurement conventions themselves require critical scrutiny when studying racial disparities (Regan et al., 2023).</w:t>
      </w:r>
    </w:p>
    <w:p w14:paraId="737C2E35" w14:textId="77777777" w:rsidR="00CD69CF" w:rsidRPr="00231375" w:rsidRDefault="00CD69CF" w:rsidP="00CD69CF">
      <w:pPr>
        <w:spacing w:after="14" w:line="249" w:lineRule="auto"/>
        <w:ind w:left="345"/>
        <w:rPr>
          <w:rFonts w:ascii="Arial" w:hAnsi="Arial" w:cs="Arial"/>
        </w:rPr>
      </w:pPr>
    </w:p>
    <w:p w14:paraId="7E05ABCC" w14:textId="77777777" w:rsidR="00CD69CF" w:rsidRPr="00231375" w:rsidRDefault="00CD69CF" w:rsidP="00CD69CF">
      <w:pPr>
        <w:spacing w:after="14" w:line="249" w:lineRule="auto"/>
        <w:ind w:left="345"/>
        <w:rPr>
          <w:rFonts w:ascii="Arial" w:hAnsi="Arial" w:cs="Arial"/>
        </w:rPr>
      </w:pPr>
      <w:r w:rsidRPr="00231375">
        <w:rPr>
          <w:rFonts w:ascii="Arial" w:hAnsi="Arial" w:cs="Arial"/>
        </w:rPr>
        <w:t>Studies provide useful complementary evidence from a community setting. By using a two-step case-finding approach in African American churches, the study showed that probable COPD and high-risk cases could be identified outside conventional healthcare environments (Odhiambo et al., 2023). This is important because it demonstrates that the undiagnosed burden is not theoretical. It exists in community populations and can be reached through trusted local institutions. The church-based model also highlights that diagnosis is not simply a technical event but a social process. Trust, familiarity, cultural fit and convenience influence whether individuals accept screening, report symptoms and move into further care (Bailey et al., 2017).</w:t>
      </w:r>
    </w:p>
    <w:p w14:paraId="3A9CBDC0" w14:textId="77777777" w:rsidR="00CD69CF" w:rsidRPr="00231375" w:rsidRDefault="00CD69CF" w:rsidP="00CD69CF">
      <w:pPr>
        <w:spacing w:after="14" w:line="249" w:lineRule="auto"/>
        <w:ind w:left="345"/>
        <w:rPr>
          <w:rFonts w:ascii="Arial" w:hAnsi="Arial" w:cs="Arial"/>
        </w:rPr>
      </w:pPr>
    </w:p>
    <w:p w14:paraId="2A284658" w14:textId="77777777" w:rsidR="00CD69CF" w:rsidRPr="00231375" w:rsidRDefault="00CD69CF" w:rsidP="00CD69CF">
      <w:pPr>
        <w:spacing w:after="14" w:line="249" w:lineRule="auto"/>
        <w:ind w:left="345"/>
        <w:rPr>
          <w:rFonts w:ascii="Arial" w:hAnsi="Arial" w:cs="Arial"/>
        </w:rPr>
      </w:pPr>
      <w:r w:rsidRPr="00231375">
        <w:rPr>
          <w:rFonts w:ascii="Arial" w:hAnsi="Arial" w:cs="Arial"/>
        </w:rPr>
        <w:t>Taken together, these studies suggest that diagnostic disparity is multi-level. At one level, it reflects access to spirometry, continuity of care and clinician attention. At another, it reflects the social conditions under which symptoms become medicalised. At a third, it reflects how diagnostic standards are themselves constructed. A strong literature review must therefore resist reducing underdiagnosis to a single cause. It is not only a matter of poor service use, nor only a matter of measurement bias. It is the product of health system design, social relations, structural inequality and interpretive conventions working together (Marmot, 2015).</w:t>
      </w:r>
    </w:p>
    <w:p w14:paraId="661F5E68" w14:textId="77777777" w:rsidR="00CD69CF" w:rsidRPr="00231375" w:rsidRDefault="00CD69CF" w:rsidP="00CD69CF">
      <w:pPr>
        <w:spacing w:after="14" w:line="249" w:lineRule="auto"/>
        <w:rPr>
          <w:rFonts w:ascii="Arial" w:hAnsi="Arial" w:cs="Arial"/>
        </w:rPr>
      </w:pPr>
    </w:p>
    <w:p w14:paraId="5C759DB6" w14:textId="77777777" w:rsidR="00CD69CF" w:rsidRPr="00231375" w:rsidRDefault="00CD69CF" w:rsidP="00CD69CF">
      <w:pPr>
        <w:spacing w:after="14" w:line="249" w:lineRule="auto"/>
        <w:ind w:left="345"/>
        <w:rPr>
          <w:rFonts w:ascii="Arial" w:hAnsi="Arial" w:cs="Arial"/>
        </w:rPr>
      </w:pPr>
    </w:p>
    <w:p w14:paraId="27303878" w14:textId="77777777" w:rsidR="00CD69CF" w:rsidRPr="004B7DAB" w:rsidRDefault="00CD69CF" w:rsidP="00CD69CF">
      <w:pPr>
        <w:spacing w:after="14" w:line="249" w:lineRule="auto"/>
        <w:ind w:left="345"/>
        <w:rPr>
          <w:rFonts w:ascii="Arial" w:hAnsi="Arial" w:cs="Arial"/>
          <w:b/>
          <w:bCs/>
          <w:sz w:val="24"/>
          <w:szCs w:val="24"/>
        </w:rPr>
      </w:pPr>
      <w:r w:rsidRPr="004B7DAB">
        <w:rPr>
          <w:rFonts w:ascii="Arial" w:hAnsi="Arial" w:cs="Arial"/>
          <w:b/>
          <w:bCs/>
          <w:sz w:val="24"/>
          <w:szCs w:val="24"/>
        </w:rPr>
        <w:t>2.4 Environmental and Occupational Risk Factors</w:t>
      </w:r>
    </w:p>
    <w:p w14:paraId="7FF315E7" w14:textId="77777777" w:rsidR="00CD69CF" w:rsidRPr="00231375" w:rsidRDefault="00CD69CF" w:rsidP="00CD69CF">
      <w:pPr>
        <w:spacing w:after="14" w:line="249" w:lineRule="auto"/>
        <w:ind w:left="345"/>
        <w:rPr>
          <w:rFonts w:ascii="Arial" w:hAnsi="Arial" w:cs="Arial"/>
          <w:b/>
          <w:bCs/>
        </w:rPr>
      </w:pPr>
    </w:p>
    <w:p w14:paraId="2B9C359B" w14:textId="77777777" w:rsidR="00CD69CF" w:rsidRPr="00231375" w:rsidRDefault="00CD69CF" w:rsidP="00CD69CF">
      <w:pPr>
        <w:spacing w:after="14" w:line="249" w:lineRule="auto"/>
        <w:ind w:left="345"/>
        <w:rPr>
          <w:rFonts w:ascii="Arial" w:hAnsi="Arial" w:cs="Arial"/>
        </w:rPr>
      </w:pPr>
      <w:r w:rsidRPr="00231375">
        <w:rPr>
          <w:rFonts w:ascii="Arial" w:hAnsi="Arial" w:cs="Arial"/>
        </w:rPr>
        <w:t>The literature on COPD risk increasingly shows that smoking alone cannot explain observed racial and socioeconomic differences. For African American adults in particular, exposure must be understood as structured by neighbourhood, work and cumulative disadvantage. This does not mean that smoking is unimportant. Rather, it means that smoking must be located within a broader exposure system in which environmental and occupational conditions are socially distributed (Marmot, 2015; Phelan and Link, 2015).</w:t>
      </w:r>
    </w:p>
    <w:p w14:paraId="22C14A5C" w14:textId="77777777" w:rsidR="00CD69CF" w:rsidRPr="00231375" w:rsidRDefault="00CD69CF" w:rsidP="00CD69CF">
      <w:pPr>
        <w:spacing w:after="14" w:line="249" w:lineRule="auto"/>
        <w:ind w:left="345"/>
        <w:rPr>
          <w:rFonts w:ascii="Arial" w:hAnsi="Arial" w:cs="Arial"/>
        </w:rPr>
      </w:pPr>
      <w:r w:rsidRPr="00231375">
        <w:rPr>
          <w:rFonts w:ascii="Arial" w:hAnsi="Arial" w:cs="Arial"/>
        </w:rPr>
        <w:t xml:space="preserve">Khadke et al. (2025) offer important evidence that neighbourhood socio-environmental burden is associated with higher COPD prevalence. Their findings indicate that environmental burden remains relevant even after adjustment for social vulnerability, suggesting that environmental risk is not fully reducible to poverty or deprivation alone (Khadke et al., 2025; Adeloye et al., 2015). This matters because African American communities have historically been more likely to experience residential proximity to pollution sources, disinvestment, poor housing conditions and weaker environmental protections. Environmental exposure in this sense is not random. It is shaped by policy, zoning and patterns of segregation, which is why environmental justice and structural racism are closely linked in the COPD literature (Bailey et al., 2017). Further research strengthens this argument through occupational evidence, including studies showing that workplace vapours, gases, dusts and fumes are associated with chronic airflow limitation and COPD, including among never-smokers (Doney et al., 2014; Torén et al., 2017; Syamlal et al., 2019). This is crucial because it demonstrates that meaningful COPD-related pathology can arise through inhalational exposures outside tobacco use. It also supports a structural interpretation of occupational risk. Jobs involving hazardous exposures are not distributed equally, and labour market inequalities may channel some </w:t>
      </w:r>
      <w:r w:rsidRPr="00231375">
        <w:rPr>
          <w:rFonts w:ascii="Arial" w:hAnsi="Arial" w:cs="Arial"/>
        </w:rPr>
        <w:lastRenderedPageBreak/>
        <w:t>groups into higher-risk work with fewer protections (Blanc et al., 2019). Thus, occupational exposure can be understood as another way structural inequality becomes biologically embodied.</w:t>
      </w:r>
    </w:p>
    <w:p w14:paraId="6C4E7719" w14:textId="77777777" w:rsidR="00CD69CF" w:rsidRPr="00231375" w:rsidRDefault="00CD69CF" w:rsidP="00CD69CF">
      <w:pPr>
        <w:spacing w:after="14" w:line="249" w:lineRule="auto"/>
        <w:ind w:left="345"/>
        <w:rPr>
          <w:rFonts w:ascii="Arial" w:hAnsi="Arial" w:cs="Arial"/>
        </w:rPr>
      </w:pPr>
    </w:p>
    <w:p w14:paraId="193BE575" w14:textId="77777777" w:rsidR="00CD69CF" w:rsidRPr="00231375" w:rsidRDefault="00CD69CF" w:rsidP="00CD69CF">
      <w:pPr>
        <w:spacing w:after="14" w:line="249" w:lineRule="auto"/>
        <w:ind w:left="345"/>
        <w:rPr>
          <w:rFonts w:ascii="Arial" w:hAnsi="Arial" w:cs="Arial"/>
        </w:rPr>
      </w:pPr>
      <w:r w:rsidRPr="00231375">
        <w:rPr>
          <w:rFonts w:ascii="Arial" w:hAnsi="Arial" w:cs="Arial"/>
        </w:rPr>
        <w:t>An important methodological contribution is their examination of smoking alongside occupational exposure. Their findings suggest that combined exposures may compound risk, even where interaction terms are not always statistically significant (Doney et al., 2014). This is useful for critical appraisal because it warns against using smoking as a confounder that simply explains away disparity. Smoking itself is socially patterned. It may co-occur with high-risk work, neighbourhood pollution and psychosocial stress (Phelan and Link, 2015). Communities facing heavier exposure burdens may experience more symptoms, more frequent exacerbations and poorer health status, but may remain underdiagnosed if healthcare access is limited and spirometry is underused. This creates a double burden: higher exposure and lower recognition. It also explains why environmental justice should not be treated as separate from clinical inequality. Exposure, diagnosis and treatment are all part of the same causal chain (Labaki and Han, 2019). Respiratory health disparities also need to be interpreted as a public health equity issue because environmental and occupational exposures are distributed unequally across populations and are shaped by policy, workplace protection and neighbourhood conditions (Schraufnagel et al., 2013; Hansel et al., 2017).</w:t>
      </w:r>
    </w:p>
    <w:p w14:paraId="29DE7838" w14:textId="77777777" w:rsidR="00CD69CF" w:rsidRPr="00231375" w:rsidRDefault="00CD69CF" w:rsidP="00CD69CF">
      <w:pPr>
        <w:spacing w:after="14" w:line="249" w:lineRule="auto"/>
        <w:ind w:left="345"/>
        <w:rPr>
          <w:rFonts w:ascii="Arial" w:hAnsi="Arial" w:cs="Arial"/>
        </w:rPr>
      </w:pPr>
    </w:p>
    <w:p w14:paraId="56B6D775" w14:textId="77777777" w:rsidR="00CD69CF" w:rsidRPr="00231375" w:rsidRDefault="00CD69CF" w:rsidP="00CD69CF">
      <w:pPr>
        <w:spacing w:after="14" w:line="249" w:lineRule="auto"/>
        <w:ind w:left="345"/>
        <w:rPr>
          <w:rFonts w:ascii="Arial" w:hAnsi="Arial" w:cs="Arial"/>
        </w:rPr>
      </w:pPr>
      <w:r w:rsidRPr="00231375">
        <w:rPr>
          <w:rFonts w:ascii="Arial" w:hAnsi="Arial" w:cs="Arial"/>
        </w:rPr>
        <w:t>Another important issue is temporality. Environmental and occupational exposures often act over many years, which again reinforces the importance of the 40–65 age group. Midlife is when long-term exposure histories may begin to express themselves clinically, but before the more advanced disability associated with later disease stages (Lange et al., 2015). The literature therefore supports the view that African American midlife adults may occupy a particularly vulnerable position: old enough for cumulative exposure to have produced measurable respiratory harm, but still young enough for disease to remain under-recognised or misattributed.</w:t>
      </w:r>
    </w:p>
    <w:p w14:paraId="3F74788C" w14:textId="77777777" w:rsidR="00CD69CF" w:rsidRPr="00231375" w:rsidRDefault="00CD69CF" w:rsidP="00CD69CF">
      <w:pPr>
        <w:spacing w:after="14" w:line="249" w:lineRule="auto"/>
        <w:ind w:left="345"/>
        <w:rPr>
          <w:rFonts w:ascii="Arial" w:hAnsi="Arial" w:cs="Arial"/>
        </w:rPr>
      </w:pPr>
    </w:p>
    <w:p w14:paraId="724172EA" w14:textId="77777777" w:rsidR="00CD69CF" w:rsidRPr="00231375" w:rsidRDefault="00CD69CF" w:rsidP="00CD69CF">
      <w:pPr>
        <w:spacing w:after="14" w:line="249" w:lineRule="auto"/>
        <w:ind w:left="345"/>
        <w:rPr>
          <w:rFonts w:ascii="Arial" w:hAnsi="Arial" w:cs="Arial"/>
        </w:rPr>
      </w:pPr>
    </w:p>
    <w:p w14:paraId="53E275F7" w14:textId="77777777" w:rsidR="00CD69CF" w:rsidRPr="004B7DAB" w:rsidRDefault="00CD69CF" w:rsidP="00CD69CF">
      <w:pPr>
        <w:spacing w:after="14" w:line="249" w:lineRule="auto"/>
        <w:ind w:left="345"/>
        <w:rPr>
          <w:rFonts w:ascii="Arial" w:hAnsi="Arial" w:cs="Arial"/>
          <w:b/>
          <w:bCs/>
          <w:sz w:val="24"/>
          <w:szCs w:val="24"/>
        </w:rPr>
      </w:pPr>
      <w:r w:rsidRPr="004B7DAB">
        <w:rPr>
          <w:rFonts w:ascii="Arial" w:hAnsi="Arial" w:cs="Arial"/>
          <w:b/>
          <w:bCs/>
          <w:sz w:val="24"/>
          <w:szCs w:val="24"/>
        </w:rPr>
        <w:t>2.5 Healthcare Access and Management Inequalities</w:t>
      </w:r>
    </w:p>
    <w:p w14:paraId="31D4616B" w14:textId="77777777" w:rsidR="00CD69CF" w:rsidRPr="00231375" w:rsidRDefault="00CD69CF" w:rsidP="00CD69CF">
      <w:pPr>
        <w:spacing w:after="14" w:line="249" w:lineRule="auto"/>
        <w:ind w:left="345"/>
        <w:rPr>
          <w:rFonts w:ascii="Arial" w:hAnsi="Arial" w:cs="Arial"/>
          <w:b/>
          <w:bCs/>
        </w:rPr>
      </w:pPr>
    </w:p>
    <w:p w14:paraId="3BAA13CC" w14:textId="77777777" w:rsidR="00CD69CF" w:rsidRPr="00231375" w:rsidRDefault="00CD69CF" w:rsidP="00CD69CF">
      <w:pPr>
        <w:spacing w:after="14" w:line="249" w:lineRule="auto"/>
        <w:ind w:left="345"/>
        <w:rPr>
          <w:rFonts w:ascii="Arial" w:hAnsi="Arial" w:cs="Arial"/>
        </w:rPr>
      </w:pPr>
      <w:r w:rsidRPr="00231375">
        <w:rPr>
          <w:rFonts w:ascii="Arial" w:hAnsi="Arial" w:cs="Arial"/>
        </w:rPr>
        <w:t>The literature shows clearly that inequity in COPD does not end with diagnosis. Even after disease is recognised, access to effective treatment and post-acute care remains uneven. This is especially important because management pathways such as pulmonary rehabilitation, chronic inhaled therapy and coordinated care can reduce symptom burden and improve quality of life (Vestbo et al., 2013).</w:t>
      </w:r>
    </w:p>
    <w:p w14:paraId="06C64F5B" w14:textId="77777777" w:rsidR="00CD69CF" w:rsidRPr="00231375" w:rsidRDefault="00CD69CF" w:rsidP="00CD69CF">
      <w:pPr>
        <w:spacing w:after="14" w:line="249" w:lineRule="auto"/>
        <w:ind w:left="345"/>
        <w:rPr>
          <w:rFonts w:ascii="Arial" w:hAnsi="Arial" w:cs="Arial"/>
        </w:rPr>
      </w:pPr>
    </w:p>
    <w:p w14:paraId="00DF0C29" w14:textId="77777777" w:rsidR="00CD69CF" w:rsidRPr="00231375" w:rsidRDefault="00CD69CF" w:rsidP="00CD69CF">
      <w:pPr>
        <w:spacing w:after="14" w:line="249" w:lineRule="auto"/>
        <w:ind w:left="345"/>
        <w:rPr>
          <w:rFonts w:ascii="Arial" w:hAnsi="Arial" w:cs="Arial"/>
        </w:rPr>
      </w:pPr>
      <w:r w:rsidRPr="00231375">
        <w:rPr>
          <w:rFonts w:ascii="Arial" w:hAnsi="Arial" w:cs="Arial"/>
        </w:rPr>
        <w:t xml:space="preserve">Studies provide strong evidence of racial and geographic disparities in the use of pulmonary rehabilitation after hospitalisation for COPD exacerbation (Spitzer et al., 2020). Geographic disparities in COPD hospitalisation have also been reported in US Medicare populations, suggesting that place and service distribution influence not only rehabilitation access but also acute healthcare use (Holt et al., 2011). This study is particularly valuable because pulmonary rehabilitation is an evidence-based intervention with known clinical benefit. Where racial disparity is observed in access to such a service, the problem cannot easily be explained away by uncertainty over treatment value. Instead, it points towards structural barriers such as programme distribution, referral practices, travel time, insurance design and institutional inequity (Marmot, 2015). Although the study population was Medicare-based and therefore older than the primary age band in this dissertation, its relevance remains high because it reveals the architecture of access barriers in the US system. Evidence from Medicaid populations </w:t>
      </w:r>
      <w:r w:rsidRPr="00231375">
        <w:rPr>
          <w:rFonts w:ascii="Arial" w:hAnsi="Arial" w:cs="Arial"/>
        </w:rPr>
        <w:lastRenderedPageBreak/>
        <w:t>also suggests that COPD and asthma-related burdens are unequally distributed by race, reinforcing the importance of insurance status and socioeconomic context in respiratory health disparities (Shaya et al., 2009). Similar mechanisms are likely to affect younger adults with disability, unstable work patterns or inconsistent insurance coverage (Putcha et al., 2014).</w:t>
      </w:r>
    </w:p>
    <w:p w14:paraId="07E239EB" w14:textId="77777777" w:rsidR="00CD69CF" w:rsidRPr="00231375" w:rsidRDefault="00CD69CF" w:rsidP="00CD69CF">
      <w:pPr>
        <w:spacing w:after="14" w:line="249" w:lineRule="auto"/>
        <w:ind w:left="345"/>
        <w:rPr>
          <w:rFonts w:ascii="Arial" w:hAnsi="Arial" w:cs="Arial"/>
        </w:rPr>
      </w:pPr>
    </w:p>
    <w:p w14:paraId="0CD4A89E" w14:textId="77777777" w:rsidR="00CD69CF" w:rsidRPr="00231375" w:rsidRDefault="00CD69CF" w:rsidP="00CD69CF">
      <w:pPr>
        <w:spacing w:after="14" w:line="249" w:lineRule="auto"/>
        <w:ind w:left="345"/>
        <w:rPr>
          <w:rFonts w:ascii="Arial" w:hAnsi="Arial" w:cs="Arial"/>
        </w:rPr>
      </w:pPr>
      <w:r w:rsidRPr="00231375">
        <w:rPr>
          <w:rFonts w:ascii="Arial" w:hAnsi="Arial" w:cs="Arial"/>
        </w:rPr>
        <w:t>Putcha et al. (2014) add another layer by showing that comorbidities have major impact on COPD outcomes and that this burden is particularly important in African Americans. This is a significant contribution because it challenges narrowly respiratory models of care. Patients do not experience COPD in isolation. Dyspnoea, exercise intolerance and health status are shaped by multimorbidity, including cardiovascular and metabolic conditions (Barnett et al., 2012). If African American patients experience greater comorbidity burden or receive less coordinated management, then COPD outcomes may worsen even where lung function appears similar. This suggests that equitable COPD care must be integrated and person-centred rather than focused only on pulmonary measures.</w:t>
      </w:r>
    </w:p>
    <w:p w14:paraId="555575E0" w14:textId="77777777" w:rsidR="00CD69CF" w:rsidRPr="00231375" w:rsidRDefault="00CD69CF" w:rsidP="00CD69CF">
      <w:pPr>
        <w:spacing w:after="14" w:line="249" w:lineRule="auto"/>
        <w:ind w:left="345"/>
        <w:rPr>
          <w:rFonts w:ascii="Arial" w:hAnsi="Arial" w:cs="Arial"/>
        </w:rPr>
      </w:pPr>
    </w:p>
    <w:p w14:paraId="4A97E49C" w14:textId="77777777" w:rsidR="00CD69CF" w:rsidRPr="00231375" w:rsidRDefault="00CD69CF" w:rsidP="00CD69CF">
      <w:pPr>
        <w:spacing w:after="14" w:line="249" w:lineRule="auto"/>
        <w:ind w:left="345"/>
        <w:rPr>
          <w:rFonts w:ascii="Arial" w:hAnsi="Arial" w:cs="Arial"/>
        </w:rPr>
      </w:pPr>
      <w:r w:rsidRPr="00231375">
        <w:rPr>
          <w:rFonts w:ascii="Arial" w:hAnsi="Arial" w:cs="Arial"/>
        </w:rPr>
        <w:t>Recent literature reinforces this by showing that the current inequities evidence base is strongest in documenting disparities and weaker in evaluating interventions to reduce them (Rea et al., 2024). This is an important finding for the dissertation because it highlights the gap between description and action. The literature recognises that race, ethnicity, income and geography matter, but there is far less evidence on which service models or policies most effectively reduce these differences (Williams et al., 2019). This means that COPD inequity remains, to some extent, a well-described but insufficiently addressed problem.</w:t>
      </w:r>
    </w:p>
    <w:p w14:paraId="402A08BE" w14:textId="77777777" w:rsidR="00CD69CF" w:rsidRPr="00231375" w:rsidRDefault="00CD69CF" w:rsidP="00CD69CF">
      <w:pPr>
        <w:spacing w:after="14" w:line="249" w:lineRule="auto"/>
        <w:ind w:left="345"/>
        <w:rPr>
          <w:rFonts w:ascii="Arial" w:hAnsi="Arial" w:cs="Arial"/>
        </w:rPr>
      </w:pPr>
    </w:p>
    <w:p w14:paraId="279E3339" w14:textId="77777777" w:rsidR="00CD69CF" w:rsidRPr="00231375" w:rsidRDefault="00CD69CF" w:rsidP="00CD69CF">
      <w:pPr>
        <w:spacing w:after="14" w:line="249" w:lineRule="auto"/>
        <w:ind w:left="345"/>
        <w:rPr>
          <w:rFonts w:ascii="Arial" w:hAnsi="Arial" w:cs="Arial"/>
        </w:rPr>
      </w:pPr>
      <w:r w:rsidRPr="00231375">
        <w:rPr>
          <w:rFonts w:ascii="Arial" w:hAnsi="Arial" w:cs="Arial"/>
        </w:rPr>
        <w:t>A further strength of the healthcare access literature is that it helps unpack “access” into multiple mechanisms. Access may fail because services are unavailable, unaffordable, culturally unacceptable or inappropriately delivered (Levesque et al., 2013). These mechanisms do not always overlap. A patient may live near a service but still not receive referral. Another may receive referral but be unable to attend because of transport, work commitments or cost. Another may distrust the system or have had previous discriminatory encounters (Bailey et al., 2017). These distinctions are important for critical synthesis because different studies illuminate different points in the pathway. Claims data may capture utilisation but not trust or preference. Community studies may reveal willingness to engage but not long-term continuity. Cohort studies may show outcome disparity but not the institutional decisions that produced it.</w:t>
      </w:r>
    </w:p>
    <w:p w14:paraId="7B1FCF25" w14:textId="77777777" w:rsidR="00CD69CF" w:rsidRPr="00231375" w:rsidRDefault="00CD69CF" w:rsidP="00CD69CF">
      <w:pPr>
        <w:spacing w:after="14" w:line="249" w:lineRule="auto"/>
        <w:ind w:left="345"/>
        <w:rPr>
          <w:rFonts w:ascii="Arial" w:hAnsi="Arial" w:cs="Arial"/>
        </w:rPr>
      </w:pPr>
    </w:p>
    <w:p w14:paraId="0E5ABC8D" w14:textId="77777777" w:rsidR="00CD69CF" w:rsidRPr="00231375" w:rsidRDefault="00CD69CF" w:rsidP="00CD69CF">
      <w:pPr>
        <w:spacing w:after="14" w:line="249" w:lineRule="auto"/>
        <w:ind w:left="345"/>
        <w:rPr>
          <w:rFonts w:ascii="Arial" w:hAnsi="Arial" w:cs="Arial"/>
        </w:rPr>
      </w:pPr>
      <w:r w:rsidRPr="00231375">
        <w:rPr>
          <w:rFonts w:ascii="Arial" w:hAnsi="Arial" w:cs="Arial"/>
        </w:rPr>
        <w:t>For midlife adults, the issue is even more complex. Adults aged 40–65 often occupy a transitional policy position. They may not yet be old enough for Medicare by age alone, may rely on employment-linked insurance and may face competing responsibilities such as caregiving or paid work. These factors can constrain access in ways that differ from older retired populations (Marmot, 2015). Yet relatively few COPD disparity studies examine this midlife context directly. This strengthens the argument for an age-specific systematic review.</w:t>
      </w:r>
    </w:p>
    <w:p w14:paraId="4A00154F" w14:textId="77777777" w:rsidR="00CD69CF" w:rsidRPr="00231375" w:rsidRDefault="00CD69CF" w:rsidP="00CD69CF">
      <w:pPr>
        <w:spacing w:after="14" w:line="249" w:lineRule="auto"/>
        <w:ind w:left="345"/>
        <w:rPr>
          <w:rFonts w:ascii="Arial" w:hAnsi="Arial" w:cs="Arial"/>
        </w:rPr>
      </w:pPr>
    </w:p>
    <w:p w14:paraId="003E585C" w14:textId="77777777" w:rsidR="00CD69CF" w:rsidRPr="00231375" w:rsidRDefault="00CD69CF" w:rsidP="00CD69CF">
      <w:pPr>
        <w:spacing w:after="14" w:line="249" w:lineRule="auto"/>
        <w:ind w:left="345"/>
        <w:rPr>
          <w:rFonts w:ascii="Arial" w:hAnsi="Arial" w:cs="Arial"/>
        </w:rPr>
      </w:pPr>
    </w:p>
    <w:p w14:paraId="72D08109" w14:textId="77777777" w:rsidR="00CD69CF" w:rsidRPr="004B7DAB" w:rsidRDefault="00CD69CF" w:rsidP="00CD69CF">
      <w:pPr>
        <w:spacing w:after="14" w:line="249" w:lineRule="auto"/>
        <w:ind w:left="345"/>
        <w:rPr>
          <w:rFonts w:ascii="Arial" w:hAnsi="Arial" w:cs="Arial"/>
          <w:b/>
          <w:bCs/>
          <w:sz w:val="24"/>
          <w:szCs w:val="24"/>
        </w:rPr>
      </w:pPr>
      <w:r w:rsidRPr="004B7DAB">
        <w:rPr>
          <w:rFonts w:ascii="Arial" w:hAnsi="Arial" w:cs="Arial"/>
          <w:b/>
          <w:bCs/>
          <w:sz w:val="24"/>
          <w:szCs w:val="24"/>
        </w:rPr>
        <w:t>2.6 Structural Racism and Social Determinants</w:t>
      </w:r>
    </w:p>
    <w:p w14:paraId="43F31847" w14:textId="77777777" w:rsidR="00CD69CF" w:rsidRPr="00231375" w:rsidRDefault="00CD69CF" w:rsidP="00CD69CF">
      <w:pPr>
        <w:spacing w:after="14" w:line="249" w:lineRule="auto"/>
        <w:ind w:left="345"/>
        <w:rPr>
          <w:rFonts w:ascii="Arial" w:hAnsi="Arial" w:cs="Arial"/>
          <w:b/>
          <w:bCs/>
        </w:rPr>
      </w:pPr>
    </w:p>
    <w:p w14:paraId="5FF73422" w14:textId="77777777" w:rsidR="00CD69CF" w:rsidRPr="00231375" w:rsidRDefault="00CD69CF" w:rsidP="00CD69CF">
      <w:pPr>
        <w:spacing w:after="14" w:line="249" w:lineRule="auto"/>
        <w:ind w:left="345"/>
        <w:rPr>
          <w:rFonts w:ascii="Arial" w:hAnsi="Arial" w:cs="Arial"/>
        </w:rPr>
      </w:pPr>
      <w:r w:rsidRPr="00231375">
        <w:rPr>
          <w:rFonts w:ascii="Arial" w:hAnsi="Arial" w:cs="Arial"/>
        </w:rPr>
        <w:t xml:space="preserve">The strongest interpretive framework across the selected literature is that race should be understood primarily as a marker of structural exposure rather than biological difference. This interpretation is supported by foundational public health literature showing that </w:t>
      </w:r>
      <w:r w:rsidRPr="00231375">
        <w:rPr>
          <w:rFonts w:ascii="Arial" w:hAnsi="Arial" w:cs="Arial"/>
        </w:rPr>
        <w:lastRenderedPageBreak/>
        <w:t>racism operates at multiple levels, including institutional structures, neighbourhood segregation, differential access to resources and unequal exposure to health risks (Jones, 2000; Williams and Collins, 2001; Gee and Ford, 2011; Braveman and Gottlieb, 2014). The clearest articulation of this perspective defines structural racism as the totality of mutually reinforcing systems that produce and maintain racial inequality (Bailey et al., 2017). This framework is particularly useful for COPD because it explains how unequal housing, employment, education, environmental quality and healthcare access can produce respiratory disparities without requiring a biological racial explanation (Marmot, 2015; Williams et al., 2019).</w:t>
      </w:r>
    </w:p>
    <w:p w14:paraId="2997DC1D" w14:textId="77777777" w:rsidR="00CD69CF" w:rsidRPr="00231375" w:rsidRDefault="00CD69CF" w:rsidP="00CD69CF">
      <w:pPr>
        <w:spacing w:after="14" w:line="249" w:lineRule="auto"/>
        <w:ind w:left="345"/>
        <w:rPr>
          <w:rFonts w:ascii="Arial" w:hAnsi="Arial" w:cs="Arial"/>
        </w:rPr>
      </w:pPr>
    </w:p>
    <w:p w14:paraId="41E3FD42" w14:textId="77777777" w:rsidR="00CD69CF" w:rsidRPr="00231375" w:rsidRDefault="00CD69CF" w:rsidP="00CD69CF">
      <w:pPr>
        <w:spacing w:after="14" w:line="249" w:lineRule="auto"/>
        <w:ind w:left="345"/>
        <w:rPr>
          <w:rFonts w:ascii="Arial" w:hAnsi="Arial" w:cs="Arial"/>
        </w:rPr>
      </w:pPr>
      <w:r w:rsidRPr="00231375">
        <w:rPr>
          <w:rFonts w:ascii="Arial" w:hAnsi="Arial" w:cs="Arial"/>
        </w:rPr>
        <w:t>Empirical studies demonstrate how this framework can be operationalised. By examining racial residential segregation among urban Black residents with and at risk of COPD, research shows that greater segregation is associated with worse symptoms, lower lung function, more exacerbations and worse CT findings, even after adjusting for established risk factors (Woo et al., 2021). This is a powerful study because it focuses within a Black population rather than merely comparing Black and White groups. It therefore avoids the common analytic problem of treating “race difference” as self-explanatory. Instead, it shows that place-based inequality within Black populations itself predicts respiratory morbidity.</w:t>
      </w:r>
    </w:p>
    <w:p w14:paraId="627793B5" w14:textId="77777777" w:rsidR="00CD69CF" w:rsidRPr="00231375" w:rsidRDefault="00CD69CF" w:rsidP="00CD69CF">
      <w:pPr>
        <w:spacing w:after="14" w:line="249" w:lineRule="auto"/>
        <w:ind w:left="345"/>
        <w:rPr>
          <w:rFonts w:ascii="Arial" w:hAnsi="Arial" w:cs="Arial"/>
        </w:rPr>
      </w:pPr>
    </w:p>
    <w:p w14:paraId="206A7294" w14:textId="77777777" w:rsidR="00CD69CF" w:rsidRPr="00231375" w:rsidRDefault="00CD69CF" w:rsidP="00CD69CF">
      <w:pPr>
        <w:spacing w:after="14" w:line="249" w:lineRule="auto"/>
        <w:ind w:left="345"/>
        <w:rPr>
          <w:rFonts w:ascii="Arial" w:hAnsi="Arial" w:cs="Arial"/>
        </w:rPr>
      </w:pPr>
      <w:r w:rsidRPr="00231375">
        <w:rPr>
          <w:rFonts w:ascii="Arial" w:hAnsi="Arial" w:cs="Arial"/>
        </w:rPr>
        <w:t>Other studies complement this by quantifying the contribution of both individual and neighbourhood socioeconomic factors to racial disparities in respiratory outcomes (Ejike et al., 2021). Their sequential modelling approach is methodologically important because it reveals that neighbourhood and individual-level disadvantage explain meaningful but incomplete portions of disparity. This partial explanation is critical. It suggests that socioeconomic disadvantage matters greatly, but that standard SES measures do not fully capture the processes through which racism operates (Phelan and Link, 2015). Residual disparity may reflect unmeasured exposures, healthcare bias, chronic stress or other pathways not captured in conventional models.</w:t>
      </w:r>
    </w:p>
    <w:p w14:paraId="2EBA59DB" w14:textId="77777777" w:rsidR="00CD69CF" w:rsidRPr="00231375" w:rsidRDefault="00CD69CF" w:rsidP="00CD69CF">
      <w:pPr>
        <w:spacing w:after="14" w:line="249" w:lineRule="auto"/>
        <w:ind w:left="345"/>
        <w:rPr>
          <w:rFonts w:ascii="Arial" w:hAnsi="Arial" w:cs="Arial"/>
        </w:rPr>
      </w:pPr>
    </w:p>
    <w:p w14:paraId="3E15E1FA" w14:textId="77777777" w:rsidR="00CD69CF" w:rsidRPr="00231375" w:rsidRDefault="00CD69CF" w:rsidP="00CD69CF">
      <w:pPr>
        <w:spacing w:after="14" w:line="249" w:lineRule="auto"/>
        <w:ind w:left="345"/>
        <w:rPr>
          <w:rFonts w:ascii="Arial" w:hAnsi="Arial" w:cs="Arial"/>
        </w:rPr>
      </w:pPr>
      <w:r w:rsidRPr="00231375">
        <w:rPr>
          <w:rFonts w:ascii="Arial" w:hAnsi="Arial" w:cs="Arial"/>
        </w:rPr>
        <w:t>Neighbourhood disadvantage and socio-environmental burden are associated with worse COPD outcomes and higher prevalence, indicating that context is not a background factor but part of disease causation (Galiatsatos et al., 2020; Khadke et al., 2025; Adeloye et al., 2015). These studies together imply that clinical management programmes should treat neighbourhood disadvantage as relevant clinical information rather than as merely social background.</w:t>
      </w:r>
    </w:p>
    <w:p w14:paraId="688B0F3B" w14:textId="77777777" w:rsidR="00CD69CF" w:rsidRPr="00231375" w:rsidRDefault="00CD69CF" w:rsidP="00CD69CF">
      <w:pPr>
        <w:spacing w:after="14" w:line="249" w:lineRule="auto"/>
        <w:ind w:left="345"/>
        <w:rPr>
          <w:rFonts w:ascii="Arial" w:hAnsi="Arial" w:cs="Arial"/>
        </w:rPr>
      </w:pPr>
    </w:p>
    <w:p w14:paraId="39D43B5A" w14:textId="77777777" w:rsidR="00CD69CF" w:rsidRPr="00231375" w:rsidRDefault="00CD69CF" w:rsidP="00CD69CF">
      <w:pPr>
        <w:spacing w:after="14" w:line="249" w:lineRule="auto"/>
        <w:ind w:left="345"/>
        <w:rPr>
          <w:rFonts w:ascii="Arial" w:hAnsi="Arial" w:cs="Arial"/>
        </w:rPr>
      </w:pPr>
      <w:r w:rsidRPr="00231375">
        <w:rPr>
          <w:rFonts w:ascii="Arial" w:hAnsi="Arial" w:cs="Arial"/>
        </w:rPr>
        <w:t>A key strength of the structural racism framework is that it integrates what might otherwise appear as separate findings. Exposure concentration, underdiagnosis, treatment inequality and poor outcomes are not isolated problems. They are interconnected expressions of systems that distribute risk and resources unequally (Marmot, 2015). This dissertation therefore adopts the position that structural racism operates through at least five mechanisms supported by the selected papers: concentration of hazardous exposure; unequal diagnostic access and interpretive standards; inequitable care pathways; psychosocial and material stress; and unequal community-system interfaces (Bailey et al., 2017; Doney et al., 2014; Mamary et al., 2018; Regan et al., 2023; Spitzer et al., 2020; Odhiambo et al., 2023).</w:t>
      </w:r>
    </w:p>
    <w:p w14:paraId="1DF5BB46" w14:textId="77777777" w:rsidR="00CD69CF" w:rsidRPr="00231375" w:rsidRDefault="00CD69CF" w:rsidP="00CD69CF">
      <w:pPr>
        <w:spacing w:after="14" w:line="249" w:lineRule="auto"/>
        <w:ind w:left="345"/>
        <w:rPr>
          <w:rFonts w:ascii="Arial" w:hAnsi="Arial" w:cs="Arial"/>
        </w:rPr>
      </w:pPr>
    </w:p>
    <w:p w14:paraId="51207CEF" w14:textId="77777777" w:rsidR="004B7DAB" w:rsidRDefault="004B7DAB" w:rsidP="00CD69CF">
      <w:pPr>
        <w:spacing w:after="14" w:line="249" w:lineRule="auto"/>
        <w:ind w:left="345"/>
        <w:rPr>
          <w:rFonts w:ascii="Arial" w:hAnsi="Arial" w:cs="Arial"/>
        </w:rPr>
      </w:pPr>
    </w:p>
    <w:p w14:paraId="664B92DE" w14:textId="77777777" w:rsidR="004B7DAB" w:rsidRDefault="004B7DAB" w:rsidP="00CD69CF">
      <w:pPr>
        <w:spacing w:after="14" w:line="249" w:lineRule="auto"/>
        <w:ind w:left="345"/>
        <w:rPr>
          <w:rFonts w:ascii="Arial" w:hAnsi="Arial" w:cs="Arial"/>
        </w:rPr>
      </w:pPr>
    </w:p>
    <w:p w14:paraId="6239BE1E" w14:textId="77777777" w:rsidR="004B7DAB" w:rsidRDefault="004B7DAB" w:rsidP="00CD69CF">
      <w:pPr>
        <w:spacing w:after="14" w:line="249" w:lineRule="auto"/>
        <w:ind w:left="345"/>
        <w:rPr>
          <w:rFonts w:ascii="Arial" w:hAnsi="Arial" w:cs="Arial"/>
        </w:rPr>
      </w:pPr>
    </w:p>
    <w:p w14:paraId="771E1C28" w14:textId="7C4E4854" w:rsidR="00CD69CF" w:rsidRPr="004B7DAB" w:rsidRDefault="00CD69CF" w:rsidP="00CD69CF">
      <w:pPr>
        <w:spacing w:after="14" w:line="249" w:lineRule="auto"/>
        <w:ind w:left="345"/>
        <w:rPr>
          <w:rFonts w:ascii="Arial" w:hAnsi="Arial" w:cs="Arial"/>
          <w:b/>
          <w:bCs/>
          <w:sz w:val="24"/>
          <w:szCs w:val="24"/>
        </w:rPr>
      </w:pPr>
      <w:r w:rsidRPr="00231375">
        <w:rPr>
          <w:rFonts w:ascii="Arial" w:hAnsi="Arial" w:cs="Arial"/>
        </w:rPr>
        <w:lastRenderedPageBreak/>
        <w:br/>
      </w:r>
      <w:r w:rsidRPr="004B7DAB">
        <w:rPr>
          <w:rFonts w:ascii="Arial" w:hAnsi="Arial" w:cs="Arial"/>
          <w:b/>
          <w:bCs/>
          <w:sz w:val="24"/>
          <w:szCs w:val="24"/>
        </w:rPr>
        <w:t>2.6.1 Integration of Evidence Across Themes</w:t>
      </w:r>
    </w:p>
    <w:p w14:paraId="592B1F6B" w14:textId="77777777" w:rsidR="00CD69CF" w:rsidRPr="00231375" w:rsidRDefault="00CD69CF" w:rsidP="00CD69CF">
      <w:pPr>
        <w:spacing w:after="14" w:line="249" w:lineRule="auto"/>
        <w:ind w:left="345"/>
        <w:rPr>
          <w:rFonts w:ascii="Arial" w:hAnsi="Arial" w:cs="Arial"/>
          <w:b/>
          <w:bCs/>
        </w:rPr>
      </w:pPr>
    </w:p>
    <w:p w14:paraId="6661337F" w14:textId="77777777" w:rsidR="00CD69CF" w:rsidRPr="00231375" w:rsidRDefault="00CD69CF" w:rsidP="00CD69CF">
      <w:pPr>
        <w:spacing w:after="14" w:line="249" w:lineRule="auto"/>
        <w:ind w:left="345"/>
        <w:rPr>
          <w:rFonts w:ascii="Arial" w:hAnsi="Arial" w:cs="Arial"/>
        </w:rPr>
      </w:pPr>
      <w:r w:rsidRPr="00231375">
        <w:rPr>
          <w:rFonts w:ascii="Arial" w:hAnsi="Arial" w:cs="Arial"/>
        </w:rPr>
        <w:t>While the literature reviewed has been presented in thematic categories, an important analytical step is to consider how these themes interact rather than operate independently. A key limitation of many studies is that they isolate individual factors such as diagnosis, environment, or healthcare access without fully examining their interdependence (Marmot, 2015). However, for African American adults in midlife, COPD inequity is better understood as the result of overlapping and reinforcing processes rather than discrete variables.</w:t>
      </w:r>
    </w:p>
    <w:p w14:paraId="3A0170FE" w14:textId="77777777" w:rsidR="00CD69CF" w:rsidRPr="00231375" w:rsidRDefault="00CD69CF" w:rsidP="00CD69CF">
      <w:pPr>
        <w:spacing w:after="14" w:line="249" w:lineRule="auto"/>
        <w:ind w:left="345"/>
        <w:rPr>
          <w:rFonts w:ascii="Arial" w:hAnsi="Arial" w:cs="Arial"/>
        </w:rPr>
      </w:pPr>
    </w:p>
    <w:p w14:paraId="6458A2A7" w14:textId="77777777" w:rsidR="00CD69CF" w:rsidRPr="00231375" w:rsidRDefault="00CD69CF" w:rsidP="00CD69CF">
      <w:pPr>
        <w:spacing w:after="14" w:line="249" w:lineRule="auto"/>
        <w:ind w:left="345"/>
        <w:rPr>
          <w:rFonts w:ascii="Arial" w:hAnsi="Arial" w:cs="Arial"/>
        </w:rPr>
      </w:pPr>
      <w:r w:rsidRPr="00231375">
        <w:rPr>
          <w:rFonts w:ascii="Arial" w:hAnsi="Arial" w:cs="Arial"/>
        </w:rPr>
        <w:t>For example, environmental and occupational exposures are not only direct risk factors for disease development but also indirectly influence diagnostic pathways. Individuals living in high-burden environments may experience more severe or earlier symptoms, yet these same environments are often associated with reduced healthcare access, lower availability of diagnostic services, and increased structural barriers (Bailey et al., 2017; Khadke et al., 2025). As a result, those at greatest risk of COPD may paradoxically be those least likely to receive timely diagnosis. This reflects a pattern of cumulative disadvantage, where risk exposure and healthcare access are aligned in ways that amplify inequity rather than mitigate it (Phelan and Link, 2015).</w:t>
      </w:r>
    </w:p>
    <w:p w14:paraId="3764CD77" w14:textId="77777777" w:rsidR="00CD69CF" w:rsidRPr="00231375" w:rsidRDefault="00CD69CF" w:rsidP="00CD69CF">
      <w:pPr>
        <w:spacing w:after="14" w:line="249" w:lineRule="auto"/>
        <w:ind w:left="345"/>
        <w:rPr>
          <w:rFonts w:ascii="Arial" w:hAnsi="Arial" w:cs="Arial"/>
        </w:rPr>
      </w:pPr>
      <w:r w:rsidRPr="00231375">
        <w:rPr>
          <w:rFonts w:ascii="Arial" w:hAnsi="Arial" w:cs="Arial"/>
        </w:rPr>
        <w:t>Similarly, diagnostic disparities cannot be fully understood without considering their relationship with structural racism and healthcare access. The evidence suggests that underdiagnosis is not simply a technical failure but is shaped by broader systemic factors, including clinician bias, differential access to spirometry, and the application of diagnostic thresholds that may not adequately account for population-level variation (Mamary et al., 2018; Regan et al., 2023; Williams et al., 2019). When these factors are combined with environmental exposure and socioeconomic disadvantage, they contribute to a delayed entry into care that has long-term consequences for disease progression.</w:t>
      </w:r>
    </w:p>
    <w:p w14:paraId="312B1E2E" w14:textId="77777777" w:rsidR="00CD69CF" w:rsidRPr="00231375" w:rsidRDefault="00CD69CF" w:rsidP="00CD69CF">
      <w:pPr>
        <w:spacing w:after="14" w:line="249" w:lineRule="auto"/>
        <w:ind w:left="345"/>
        <w:rPr>
          <w:rFonts w:ascii="Arial" w:hAnsi="Arial" w:cs="Arial"/>
        </w:rPr>
      </w:pPr>
    </w:p>
    <w:p w14:paraId="5E319D48" w14:textId="77777777" w:rsidR="00CD69CF" w:rsidRPr="00231375" w:rsidRDefault="00CD69CF" w:rsidP="00CD69CF">
      <w:pPr>
        <w:spacing w:after="14" w:line="249" w:lineRule="auto"/>
        <w:ind w:left="345"/>
        <w:rPr>
          <w:rFonts w:ascii="Arial" w:hAnsi="Arial" w:cs="Arial"/>
        </w:rPr>
      </w:pPr>
      <w:r w:rsidRPr="00231375">
        <w:rPr>
          <w:rFonts w:ascii="Arial" w:hAnsi="Arial" w:cs="Arial"/>
        </w:rPr>
        <w:t>Healthcare access and management inequalities further reinforce these patterns. Even when diagnosis occurs, access to effective interventions such as pulmonary rehabilitation remains uneven (Spitzer et al., 2020). This creates a situation in which early opportunities for intervention are missed, and later-stage care is delivered in a more reactive rather than preventive manner (Vestbo et al., 2013). For midlife populations, this delay is particularly significant because it reduces the window in which lifestyle modification, treatment adherence, and rehabilitation can meaningfully alter disease trajectory.</w:t>
      </w:r>
    </w:p>
    <w:p w14:paraId="306BB371" w14:textId="77777777" w:rsidR="00CD69CF" w:rsidRPr="00231375" w:rsidRDefault="00CD69CF" w:rsidP="00CD69CF">
      <w:pPr>
        <w:spacing w:after="14" w:line="249" w:lineRule="auto"/>
        <w:ind w:left="345"/>
        <w:rPr>
          <w:rFonts w:ascii="Arial" w:hAnsi="Arial" w:cs="Arial"/>
        </w:rPr>
      </w:pPr>
    </w:p>
    <w:p w14:paraId="2ECFB930" w14:textId="77777777" w:rsidR="00CD69CF" w:rsidRPr="00231375" w:rsidRDefault="00CD69CF" w:rsidP="00CD69CF">
      <w:pPr>
        <w:spacing w:after="14" w:line="249" w:lineRule="auto"/>
        <w:ind w:left="345"/>
        <w:rPr>
          <w:rFonts w:ascii="Arial" w:hAnsi="Arial" w:cs="Arial"/>
        </w:rPr>
      </w:pPr>
      <w:r w:rsidRPr="00231375">
        <w:rPr>
          <w:rFonts w:ascii="Arial" w:hAnsi="Arial" w:cs="Arial"/>
        </w:rPr>
        <w:t>Another important point of integration is the role of comorbidity. As highlighted, COPD does not occur in isolation, and its outcomes are strongly influenced by the presence of other chronic conditions (Putcha et al., 2014). These comorbidities are themselves socially patterned and may be more prevalent or less well-managed in African American populations due to structural barriers (Barnett et al., 2012). This creates a compounded effect, where multiple conditions interact to worsen overall health outcomes, further reinforcing inequality.</w:t>
      </w:r>
    </w:p>
    <w:p w14:paraId="720036AF" w14:textId="77777777" w:rsidR="00CD69CF" w:rsidRPr="00231375" w:rsidRDefault="00CD69CF" w:rsidP="00CD69CF">
      <w:pPr>
        <w:spacing w:after="14" w:line="249" w:lineRule="auto"/>
        <w:ind w:left="345"/>
        <w:rPr>
          <w:rFonts w:ascii="Arial" w:hAnsi="Arial" w:cs="Arial"/>
        </w:rPr>
      </w:pPr>
    </w:p>
    <w:p w14:paraId="0D3EC606" w14:textId="307EBA3A" w:rsidR="00CD69CF" w:rsidRPr="00231375" w:rsidRDefault="00CD69CF" w:rsidP="00CD69CF">
      <w:pPr>
        <w:spacing w:after="14" w:line="249" w:lineRule="auto"/>
        <w:ind w:left="345"/>
        <w:rPr>
          <w:rFonts w:ascii="Arial" w:hAnsi="Arial" w:cs="Arial"/>
        </w:rPr>
      </w:pPr>
      <w:r w:rsidRPr="00231375">
        <w:rPr>
          <w:rFonts w:ascii="Arial" w:hAnsi="Arial" w:cs="Arial"/>
        </w:rPr>
        <w:t xml:space="preserve">From a theoretical perspective, these interactions support the argument that COPD inequities are best understood through a systems-based approach. Structural racism operates not as a single factor but as a framework that shapes multiple dimensions of risk simultaneously (Bailey et al., 2017; Marmot, 2015). It influences where individuals live, the type of work they perform, the environmental exposures they face, the quality of </w:t>
      </w:r>
      <w:r w:rsidRPr="00231375">
        <w:rPr>
          <w:rFonts w:ascii="Arial" w:hAnsi="Arial" w:cs="Arial"/>
        </w:rPr>
        <w:lastRenderedPageBreak/>
        <w:t xml:space="preserve">healthcare they receive, and the likelihood that their symptoms </w:t>
      </w:r>
      <w:r w:rsidR="00AF1AE5">
        <w:rPr>
          <w:rFonts w:ascii="Arial" w:hAnsi="Arial" w:cs="Arial"/>
        </w:rPr>
        <w:t>w</w:t>
      </w:r>
      <w:r w:rsidR="00BB486C">
        <w:rPr>
          <w:rFonts w:ascii="Arial" w:hAnsi="Arial" w:cs="Arial"/>
        </w:rPr>
        <w:t>ere</w:t>
      </w:r>
      <w:r w:rsidRPr="00231375">
        <w:rPr>
          <w:rFonts w:ascii="Arial" w:hAnsi="Arial" w:cs="Arial"/>
        </w:rPr>
        <w:t xml:space="preserve"> recognised and acted upon. This interconnected system means that interventions targeting only one aspect, such as smoking cessation or clinical diagnosis, may have limited impact if broader structural conditions remain unchanged (Williams et al., 2019).</w:t>
      </w:r>
    </w:p>
    <w:p w14:paraId="3C3F7DC4" w14:textId="77777777" w:rsidR="00CD69CF" w:rsidRPr="00231375" w:rsidRDefault="00CD69CF" w:rsidP="00CD69CF">
      <w:pPr>
        <w:spacing w:after="14" w:line="249" w:lineRule="auto"/>
        <w:ind w:left="345"/>
        <w:rPr>
          <w:rFonts w:ascii="Arial" w:hAnsi="Arial" w:cs="Arial"/>
        </w:rPr>
      </w:pPr>
    </w:p>
    <w:p w14:paraId="6AC89AC6" w14:textId="77777777" w:rsidR="00CD69CF" w:rsidRPr="00231375" w:rsidRDefault="00CD69CF" w:rsidP="00CD69CF">
      <w:pPr>
        <w:spacing w:after="14" w:line="249" w:lineRule="auto"/>
        <w:ind w:left="345"/>
        <w:rPr>
          <w:rFonts w:ascii="Arial" w:hAnsi="Arial" w:cs="Arial"/>
        </w:rPr>
      </w:pPr>
      <w:r w:rsidRPr="00231375">
        <w:rPr>
          <w:rFonts w:ascii="Arial" w:hAnsi="Arial" w:cs="Arial"/>
        </w:rPr>
        <w:t>The midlife focus of this dissertation adds further significance to this integrated perspective. Adults aged 40–65 represent a group in which the cumulative effects of structural disadvantage are becoming clinically visible, yet where opportunities for intervention still exist (Lange et al., 2015). However, the literature suggests that this group may fall between traditional policy priorities, which often focus either on younger populations for prevention or older populations for disease management. As a result, midlife adults may be underserved in both domains, highlighting the need for more targeted research and intervention strategies.</w:t>
      </w:r>
    </w:p>
    <w:p w14:paraId="2CE67E37" w14:textId="77777777" w:rsidR="00CD69CF" w:rsidRPr="00231375" w:rsidRDefault="00CD69CF" w:rsidP="00CD69CF">
      <w:pPr>
        <w:spacing w:after="14" w:line="249" w:lineRule="auto"/>
        <w:ind w:left="345"/>
        <w:rPr>
          <w:rFonts w:ascii="Arial" w:hAnsi="Arial" w:cs="Arial"/>
        </w:rPr>
      </w:pPr>
    </w:p>
    <w:p w14:paraId="2184C731" w14:textId="77777777" w:rsidR="00CD69CF" w:rsidRPr="00231375" w:rsidRDefault="00CD69CF" w:rsidP="00CD69CF">
      <w:pPr>
        <w:spacing w:after="14" w:line="249" w:lineRule="auto"/>
        <w:ind w:left="345"/>
        <w:rPr>
          <w:rFonts w:ascii="Arial" w:hAnsi="Arial" w:cs="Arial"/>
        </w:rPr>
      </w:pPr>
      <w:r w:rsidRPr="00231375">
        <w:rPr>
          <w:rFonts w:ascii="Arial" w:hAnsi="Arial" w:cs="Arial"/>
        </w:rPr>
        <w:t>Understanding these relationships is essential for developing effective responses, as it shifts the focus from individual behaviour to structural conditions and from single-point interventions to multi-level strategies (Rea et al., 2024).</w:t>
      </w:r>
    </w:p>
    <w:p w14:paraId="4BF01061" w14:textId="77777777" w:rsidR="00CD69CF" w:rsidRPr="00231375" w:rsidRDefault="00CD69CF" w:rsidP="00CD69CF">
      <w:pPr>
        <w:spacing w:after="14" w:line="249" w:lineRule="auto"/>
        <w:ind w:left="345"/>
        <w:rPr>
          <w:rFonts w:ascii="Arial" w:hAnsi="Arial" w:cs="Arial"/>
        </w:rPr>
      </w:pPr>
    </w:p>
    <w:p w14:paraId="7DDA7A04" w14:textId="77777777" w:rsidR="00CD69CF" w:rsidRPr="00231375" w:rsidRDefault="00CD69CF" w:rsidP="00CD69CF">
      <w:pPr>
        <w:spacing w:after="14" w:line="249" w:lineRule="auto"/>
        <w:ind w:left="345"/>
        <w:rPr>
          <w:rFonts w:ascii="Arial" w:hAnsi="Arial" w:cs="Arial"/>
        </w:rPr>
      </w:pPr>
    </w:p>
    <w:p w14:paraId="4187D5C7" w14:textId="77777777" w:rsidR="00CD69CF" w:rsidRPr="004B7DAB" w:rsidRDefault="00CD69CF" w:rsidP="00CD69CF">
      <w:pPr>
        <w:spacing w:after="14" w:line="249" w:lineRule="auto"/>
        <w:ind w:left="345"/>
        <w:rPr>
          <w:rFonts w:ascii="Arial" w:hAnsi="Arial" w:cs="Arial"/>
          <w:sz w:val="24"/>
          <w:szCs w:val="24"/>
        </w:rPr>
      </w:pPr>
      <w:r w:rsidRPr="004B7DAB">
        <w:rPr>
          <w:rFonts w:ascii="Arial" w:hAnsi="Arial" w:cs="Arial"/>
          <w:b/>
          <w:bCs/>
          <w:sz w:val="24"/>
          <w:szCs w:val="24"/>
        </w:rPr>
        <w:t>2.7 Theoretical Framework</w:t>
      </w:r>
    </w:p>
    <w:p w14:paraId="1321038B" w14:textId="77777777" w:rsidR="00CD69CF" w:rsidRPr="00231375" w:rsidRDefault="00CD69CF" w:rsidP="00CD69CF">
      <w:pPr>
        <w:spacing w:after="14" w:line="249" w:lineRule="auto"/>
        <w:ind w:left="345"/>
        <w:rPr>
          <w:rFonts w:ascii="Arial" w:hAnsi="Arial" w:cs="Arial"/>
          <w:b/>
          <w:bCs/>
        </w:rPr>
      </w:pPr>
    </w:p>
    <w:p w14:paraId="7491B393" w14:textId="77777777" w:rsidR="00CD69CF" w:rsidRPr="00231375" w:rsidRDefault="00CD69CF" w:rsidP="00CD69CF">
      <w:pPr>
        <w:spacing w:after="14" w:line="249" w:lineRule="auto"/>
        <w:ind w:left="345"/>
        <w:rPr>
          <w:rFonts w:ascii="Arial" w:hAnsi="Arial" w:cs="Arial"/>
        </w:rPr>
      </w:pPr>
      <w:r w:rsidRPr="00231375">
        <w:rPr>
          <w:rFonts w:ascii="Arial" w:hAnsi="Arial" w:cs="Arial"/>
        </w:rPr>
        <w:t>A coherent theoretical framework for this dissertation combines three complementary lenses. The first is structural racism as a fundamental cause. Bailey et al. (2017) argue that structural racism shapes access to flexible resources such as knowledge, money, status and beneficial social networks. These resources protect health across changing disease patterns and treatment environments (Phelan and Link, 2015; Marmot, 2015). Applied to COPD, this means that new therapies or rehabilitation programmes may not reduce inequity unless access to them is equitable.</w:t>
      </w:r>
    </w:p>
    <w:p w14:paraId="14A30491" w14:textId="77777777" w:rsidR="00CD69CF" w:rsidRPr="00231375" w:rsidRDefault="00CD69CF" w:rsidP="00CD69CF">
      <w:pPr>
        <w:spacing w:after="14" w:line="249" w:lineRule="auto"/>
        <w:ind w:left="345"/>
        <w:rPr>
          <w:rFonts w:ascii="Arial" w:hAnsi="Arial" w:cs="Arial"/>
        </w:rPr>
      </w:pPr>
    </w:p>
    <w:p w14:paraId="4CF2F362" w14:textId="77777777" w:rsidR="00CD69CF" w:rsidRPr="00231375" w:rsidRDefault="00CD69CF" w:rsidP="00CD69CF">
      <w:pPr>
        <w:spacing w:after="14" w:line="249" w:lineRule="auto"/>
        <w:ind w:left="345"/>
        <w:rPr>
          <w:rFonts w:ascii="Arial" w:hAnsi="Arial" w:cs="Arial"/>
        </w:rPr>
      </w:pPr>
      <w:r w:rsidRPr="00231375">
        <w:rPr>
          <w:rFonts w:ascii="Arial" w:hAnsi="Arial" w:cs="Arial"/>
        </w:rPr>
        <w:t>The second is a place-based causal framework. Place affects exposure, stress, care access and even the practical possibility of participating in treatment, making neighbourhood context an active determinant of respiratory health rather than a neutral background variable (Diez Roux and Mair, 2010; Balmes, 2021; Woo et al., 2021)</w:t>
      </w:r>
      <w:r w:rsidRPr="00231375">
        <w:rPr>
          <w:rFonts w:ascii="Arial" w:hAnsi="Arial" w:cs="Arial"/>
        </w:rPr>
        <w:tab/>
        <w:t>. Place is therefore not simply confounding; it is part of the mechanism (Woo et al., 2021; Ejike et al., 2021; Galiatsatos et al., 2020; Khadke et al., 2025; Williams et al., 2019).</w:t>
      </w:r>
    </w:p>
    <w:p w14:paraId="1F6FE619" w14:textId="77777777" w:rsidR="00CD69CF" w:rsidRPr="00231375" w:rsidRDefault="00CD69CF" w:rsidP="00CD69CF">
      <w:pPr>
        <w:spacing w:after="14" w:line="249" w:lineRule="auto"/>
        <w:ind w:left="345"/>
        <w:rPr>
          <w:rFonts w:ascii="Arial" w:hAnsi="Arial" w:cs="Arial"/>
        </w:rPr>
      </w:pPr>
    </w:p>
    <w:p w14:paraId="22DB0B59" w14:textId="77777777" w:rsidR="00CD69CF" w:rsidRPr="00231375" w:rsidRDefault="00CD69CF" w:rsidP="00CD69CF">
      <w:pPr>
        <w:spacing w:after="14" w:line="249" w:lineRule="auto"/>
        <w:ind w:left="345"/>
        <w:rPr>
          <w:rFonts w:ascii="Arial" w:hAnsi="Arial" w:cs="Arial"/>
        </w:rPr>
      </w:pPr>
      <w:r w:rsidRPr="00231375">
        <w:rPr>
          <w:rFonts w:ascii="Arial" w:hAnsi="Arial" w:cs="Arial"/>
        </w:rPr>
        <w:t>The third is an access-to-care and care quality inequality framework. Evidence shows that inequities continue through referral, uptake, multimorbidity management and sustained participation in effective care (Spitzer et al., 2020; Putcha et al., 2014; Rea et al., 2024; Levesque et al., 2013). This framework makes it possible to analyse not only whether COPD is more common or more severe, but whether health systems respond differently to the same disease burden across groups.</w:t>
      </w:r>
    </w:p>
    <w:p w14:paraId="484F2CFF" w14:textId="77777777" w:rsidR="00CD69CF" w:rsidRPr="00231375" w:rsidRDefault="00CD69CF" w:rsidP="00CD69CF">
      <w:pPr>
        <w:spacing w:after="14" w:line="249" w:lineRule="auto"/>
        <w:ind w:left="345"/>
        <w:rPr>
          <w:rFonts w:ascii="Arial" w:hAnsi="Arial" w:cs="Arial"/>
        </w:rPr>
      </w:pPr>
    </w:p>
    <w:p w14:paraId="207E2069" w14:textId="77777777" w:rsidR="00CD69CF" w:rsidRPr="00231375" w:rsidRDefault="00CD69CF" w:rsidP="00CD69CF">
      <w:pPr>
        <w:spacing w:after="14" w:line="249" w:lineRule="auto"/>
        <w:ind w:left="345"/>
        <w:rPr>
          <w:rFonts w:ascii="Arial" w:hAnsi="Arial" w:cs="Arial"/>
        </w:rPr>
      </w:pPr>
      <w:r w:rsidRPr="00231375">
        <w:rPr>
          <w:rFonts w:ascii="Arial" w:hAnsi="Arial" w:cs="Arial"/>
        </w:rPr>
        <w:t>Together, these frameworks provide a strong conceptual foundation for the dissertation. They also help explain why a systematic review focused on African American adults aged 40–65 is justified: it allows the evidence on exposure, diagnosis and management to be brought together under one coherent interpretive structure (Marmot, 2015).</w:t>
      </w:r>
    </w:p>
    <w:p w14:paraId="21AE1398" w14:textId="77777777" w:rsidR="00CD69CF" w:rsidRPr="00231375" w:rsidRDefault="00CD69CF" w:rsidP="00CD69CF">
      <w:pPr>
        <w:spacing w:after="14" w:line="249" w:lineRule="auto"/>
        <w:ind w:left="345"/>
        <w:rPr>
          <w:rFonts w:ascii="Arial" w:hAnsi="Arial" w:cs="Arial"/>
        </w:rPr>
      </w:pPr>
    </w:p>
    <w:p w14:paraId="2E327195" w14:textId="77777777" w:rsidR="00CD69CF" w:rsidRPr="00231375" w:rsidRDefault="00CD69CF" w:rsidP="00CD69CF">
      <w:pPr>
        <w:spacing w:after="14" w:line="249" w:lineRule="auto"/>
        <w:rPr>
          <w:rFonts w:ascii="Arial" w:hAnsi="Arial" w:cs="Arial"/>
        </w:rPr>
      </w:pPr>
    </w:p>
    <w:p w14:paraId="603C1FEB" w14:textId="77777777" w:rsidR="00CD69CF" w:rsidRDefault="00CD69CF" w:rsidP="00CD69CF">
      <w:pPr>
        <w:spacing w:after="14" w:line="249" w:lineRule="auto"/>
        <w:ind w:left="345"/>
        <w:rPr>
          <w:rFonts w:ascii="Arial" w:hAnsi="Arial" w:cs="Arial"/>
        </w:rPr>
      </w:pPr>
    </w:p>
    <w:p w14:paraId="0810B417" w14:textId="77777777" w:rsidR="004B7DAB" w:rsidRDefault="004B7DAB" w:rsidP="00CD69CF">
      <w:pPr>
        <w:spacing w:after="14" w:line="249" w:lineRule="auto"/>
        <w:ind w:left="345"/>
        <w:rPr>
          <w:rFonts w:ascii="Arial" w:hAnsi="Arial" w:cs="Arial"/>
        </w:rPr>
      </w:pPr>
    </w:p>
    <w:p w14:paraId="4E7AA02B" w14:textId="77777777" w:rsidR="004B7DAB" w:rsidRPr="00231375" w:rsidRDefault="004B7DAB" w:rsidP="00CD69CF">
      <w:pPr>
        <w:spacing w:after="14" w:line="249" w:lineRule="auto"/>
        <w:ind w:left="345"/>
        <w:rPr>
          <w:rFonts w:ascii="Arial" w:hAnsi="Arial" w:cs="Arial"/>
        </w:rPr>
      </w:pPr>
    </w:p>
    <w:p w14:paraId="7DA15C73" w14:textId="77777777" w:rsidR="00CD69CF" w:rsidRPr="004B7DAB" w:rsidRDefault="00CD69CF" w:rsidP="00CD69CF">
      <w:pPr>
        <w:spacing w:after="14" w:line="249" w:lineRule="auto"/>
        <w:ind w:left="345"/>
        <w:rPr>
          <w:rFonts w:ascii="Arial" w:hAnsi="Arial" w:cs="Arial"/>
          <w:b/>
          <w:bCs/>
          <w:sz w:val="24"/>
          <w:szCs w:val="24"/>
        </w:rPr>
      </w:pPr>
      <w:r w:rsidRPr="004B7DAB">
        <w:rPr>
          <w:rFonts w:ascii="Arial" w:hAnsi="Arial" w:cs="Arial"/>
          <w:b/>
          <w:bCs/>
          <w:sz w:val="24"/>
          <w:szCs w:val="24"/>
        </w:rPr>
        <w:lastRenderedPageBreak/>
        <w:t>2.8 Research Gap</w:t>
      </w:r>
    </w:p>
    <w:p w14:paraId="32649F10" w14:textId="77777777" w:rsidR="00CD69CF" w:rsidRPr="00231375" w:rsidRDefault="00CD69CF" w:rsidP="00CD69CF">
      <w:pPr>
        <w:spacing w:after="14" w:line="249" w:lineRule="auto"/>
        <w:ind w:left="345"/>
        <w:rPr>
          <w:rFonts w:ascii="Arial" w:hAnsi="Arial" w:cs="Arial"/>
          <w:b/>
          <w:bCs/>
        </w:rPr>
      </w:pPr>
    </w:p>
    <w:p w14:paraId="5937093E" w14:textId="77777777" w:rsidR="00CD69CF" w:rsidRPr="00231375" w:rsidRDefault="00CD69CF" w:rsidP="00CD69CF">
      <w:pPr>
        <w:spacing w:after="14" w:line="249" w:lineRule="auto"/>
        <w:ind w:left="345"/>
        <w:rPr>
          <w:rFonts w:ascii="Arial" w:hAnsi="Arial" w:cs="Arial"/>
        </w:rPr>
      </w:pPr>
      <w:r w:rsidRPr="00231375">
        <w:rPr>
          <w:rFonts w:ascii="Arial" w:hAnsi="Arial" w:cs="Arial"/>
        </w:rPr>
        <w:t>Despite growing literature on COPD disparity, several important gaps remain. First, midlife specificity is limited. Many studies include broad adult age ranges or focus on older populations. Yet adults aged 40–65 are likely to face distinctive forms of vulnerability linked to employment, insurance and family responsibilities (Marmot, 2015). This is particularly relevant because education, income and disability are closely linked among African American adults, which may influence both disease risk and access to continuing care (Thorpe et al., 2013).</w:t>
      </w:r>
    </w:p>
    <w:p w14:paraId="2F6A86F6" w14:textId="77777777" w:rsidR="00CD69CF" w:rsidRPr="00231375" w:rsidRDefault="00CD69CF" w:rsidP="00CD69CF">
      <w:pPr>
        <w:spacing w:after="14" w:line="249" w:lineRule="auto"/>
        <w:ind w:left="345"/>
        <w:rPr>
          <w:rFonts w:ascii="Arial" w:hAnsi="Arial" w:cs="Arial"/>
        </w:rPr>
      </w:pPr>
    </w:p>
    <w:p w14:paraId="24C85360" w14:textId="77777777" w:rsidR="00CD69CF" w:rsidRPr="00231375" w:rsidRDefault="00CD69CF" w:rsidP="00CD69CF">
      <w:pPr>
        <w:spacing w:after="14" w:line="249" w:lineRule="auto"/>
        <w:ind w:left="345"/>
        <w:rPr>
          <w:rFonts w:ascii="Arial" w:hAnsi="Arial" w:cs="Arial"/>
        </w:rPr>
      </w:pPr>
      <w:r w:rsidRPr="00231375">
        <w:rPr>
          <w:rFonts w:ascii="Arial" w:hAnsi="Arial" w:cs="Arial"/>
        </w:rPr>
        <w:t>Second, diagnostic criteria remain contested. Studies show that conventional spirometry thresholds may under-identify COPD in African American populations (Regan et al., 2023). This raises the possibility that some observed disparities are partly disparities in disease classification (Vestbo et al., 2013).</w:t>
      </w:r>
    </w:p>
    <w:p w14:paraId="343352B5" w14:textId="77777777" w:rsidR="00CD69CF" w:rsidRPr="00231375" w:rsidRDefault="00CD69CF" w:rsidP="00CD69CF">
      <w:pPr>
        <w:spacing w:after="14" w:line="249" w:lineRule="auto"/>
        <w:ind w:left="345"/>
        <w:rPr>
          <w:rFonts w:ascii="Arial" w:hAnsi="Arial" w:cs="Arial"/>
        </w:rPr>
      </w:pPr>
    </w:p>
    <w:p w14:paraId="2FF8B283" w14:textId="77777777" w:rsidR="00CD69CF" w:rsidRPr="00231375" w:rsidRDefault="00CD69CF" w:rsidP="00CD69CF">
      <w:pPr>
        <w:spacing w:after="14" w:line="249" w:lineRule="auto"/>
        <w:ind w:left="345"/>
        <w:rPr>
          <w:rFonts w:ascii="Arial" w:hAnsi="Arial" w:cs="Arial"/>
        </w:rPr>
      </w:pPr>
      <w:r w:rsidRPr="00231375">
        <w:rPr>
          <w:rFonts w:ascii="Arial" w:hAnsi="Arial" w:cs="Arial"/>
        </w:rPr>
        <w:t>Third, structural determinants are measured inconsistently. Studies use different indicators such as segregation indices, area deprivation measures and composite environmental justice scores (Woo et al., 2021; Galiatsatos et al., 2020; Khadke et al., 2025). While all point in a similar direction, differences in operationalisation complicate comparison and synthesis.</w:t>
      </w:r>
    </w:p>
    <w:p w14:paraId="72E50D60" w14:textId="77777777" w:rsidR="00CD69CF" w:rsidRPr="00231375" w:rsidRDefault="00CD69CF" w:rsidP="00CD69CF">
      <w:pPr>
        <w:spacing w:after="14" w:line="249" w:lineRule="auto"/>
        <w:ind w:left="345"/>
        <w:rPr>
          <w:rFonts w:ascii="Arial" w:hAnsi="Arial" w:cs="Arial"/>
        </w:rPr>
      </w:pPr>
    </w:p>
    <w:p w14:paraId="583F0825" w14:textId="77777777" w:rsidR="00CD69CF" w:rsidRPr="00231375" w:rsidRDefault="00CD69CF" w:rsidP="00CD69CF">
      <w:pPr>
        <w:spacing w:after="14" w:line="249" w:lineRule="auto"/>
        <w:ind w:left="345"/>
        <w:rPr>
          <w:rFonts w:ascii="Arial" w:hAnsi="Arial" w:cs="Arial"/>
        </w:rPr>
      </w:pPr>
      <w:r w:rsidRPr="00231375">
        <w:rPr>
          <w:rFonts w:ascii="Arial" w:hAnsi="Arial" w:cs="Arial"/>
        </w:rPr>
        <w:t>Fourth, exposure attribution remains incomplete. Even where neighbourhood disadvantage is associated with COPD, the precise mechanisms are often inferred rather than directly measured (Adeloye et al., 2015). More linked individual-level and spatial data are needed.</w:t>
      </w:r>
    </w:p>
    <w:p w14:paraId="05285F6B" w14:textId="77777777" w:rsidR="00CD69CF" w:rsidRPr="00231375" w:rsidRDefault="00CD69CF" w:rsidP="00CD69CF">
      <w:pPr>
        <w:spacing w:after="14" w:line="249" w:lineRule="auto"/>
        <w:ind w:left="345"/>
        <w:rPr>
          <w:rFonts w:ascii="Arial" w:hAnsi="Arial" w:cs="Arial"/>
        </w:rPr>
      </w:pPr>
    </w:p>
    <w:p w14:paraId="78E13587" w14:textId="77777777" w:rsidR="00CD69CF" w:rsidRPr="00231375" w:rsidRDefault="00CD69CF" w:rsidP="00CD69CF">
      <w:pPr>
        <w:spacing w:after="14" w:line="249" w:lineRule="auto"/>
        <w:ind w:left="345"/>
        <w:rPr>
          <w:rFonts w:ascii="Arial" w:hAnsi="Arial" w:cs="Arial"/>
        </w:rPr>
      </w:pPr>
      <w:r w:rsidRPr="00231375">
        <w:rPr>
          <w:rFonts w:ascii="Arial" w:hAnsi="Arial" w:cs="Arial"/>
        </w:rPr>
        <w:t>Finally, intervention evidence is weak relative to descriptive evidence. The literature has become increasingly clear about the existence of inequity, but less clear about what works to reduce it (Rea et al., 2024). Community case-finding models are promising, but broader implementation evidence remains limited (Odhiambo et al., 2023).</w:t>
      </w:r>
    </w:p>
    <w:p w14:paraId="72CF7BF1" w14:textId="77777777" w:rsidR="00CD69CF" w:rsidRPr="00231375" w:rsidRDefault="00CD69CF" w:rsidP="00CD69CF">
      <w:pPr>
        <w:spacing w:after="14" w:line="249" w:lineRule="auto"/>
        <w:ind w:left="345"/>
        <w:rPr>
          <w:rFonts w:ascii="Arial" w:hAnsi="Arial" w:cs="Arial"/>
        </w:rPr>
      </w:pPr>
    </w:p>
    <w:p w14:paraId="1CD2CF27" w14:textId="77777777" w:rsidR="00CD69CF" w:rsidRPr="00231375" w:rsidRDefault="00CD69CF" w:rsidP="00CD69CF">
      <w:pPr>
        <w:spacing w:after="14" w:line="249" w:lineRule="auto"/>
        <w:ind w:left="345"/>
        <w:rPr>
          <w:rFonts w:ascii="Arial" w:hAnsi="Arial" w:cs="Arial"/>
        </w:rPr>
      </w:pPr>
    </w:p>
    <w:p w14:paraId="5E61D5B8" w14:textId="77777777" w:rsidR="00CD69CF" w:rsidRPr="004B7DAB" w:rsidRDefault="00CD69CF" w:rsidP="00CD69CF">
      <w:pPr>
        <w:spacing w:after="14" w:line="249" w:lineRule="auto"/>
        <w:ind w:left="345"/>
        <w:rPr>
          <w:rFonts w:ascii="Arial" w:hAnsi="Arial" w:cs="Arial"/>
          <w:b/>
          <w:bCs/>
          <w:sz w:val="24"/>
          <w:szCs w:val="24"/>
        </w:rPr>
      </w:pPr>
      <w:r w:rsidRPr="004B7DAB">
        <w:rPr>
          <w:rFonts w:ascii="Arial" w:hAnsi="Arial" w:cs="Arial"/>
          <w:b/>
          <w:bCs/>
          <w:sz w:val="24"/>
          <w:szCs w:val="24"/>
        </w:rPr>
        <w:t>2.9 Conclusion</w:t>
      </w:r>
    </w:p>
    <w:p w14:paraId="6A50E9C7" w14:textId="77777777" w:rsidR="00CD69CF" w:rsidRPr="00231375" w:rsidRDefault="00CD69CF" w:rsidP="00CD69CF">
      <w:pPr>
        <w:spacing w:after="14" w:line="249" w:lineRule="auto"/>
        <w:ind w:left="345"/>
        <w:rPr>
          <w:rFonts w:ascii="Arial" w:hAnsi="Arial" w:cs="Arial"/>
          <w:b/>
          <w:bCs/>
        </w:rPr>
      </w:pPr>
    </w:p>
    <w:p w14:paraId="3D2573C0" w14:textId="77777777" w:rsidR="00CD69CF" w:rsidRPr="00231375" w:rsidRDefault="00CD69CF" w:rsidP="00CD69CF">
      <w:pPr>
        <w:spacing w:after="14" w:line="249" w:lineRule="auto"/>
        <w:ind w:left="345"/>
        <w:rPr>
          <w:rFonts w:ascii="Arial" w:hAnsi="Arial" w:cs="Arial"/>
        </w:rPr>
      </w:pPr>
      <w:r w:rsidRPr="00231375">
        <w:rPr>
          <w:rFonts w:ascii="Arial" w:hAnsi="Arial" w:cs="Arial"/>
        </w:rPr>
        <w:t>The reviewed literature supports a clear conclusion: COPD inequities among African American adults aged 40–65 are produced through a system in which exposure, diagnosis and treatment are all socially patterned (Bailey et al., 2017; Marmot, 2015). Epidemiological burden is shaped not only by disease occurrence but also by underdiagnosis and the geography of structural disadvantage. Diagnostic disparities arise through unequal access to spirometry, social processes of recognition and potentially biased measurement conventions (Mamary et al., 2018; Regan et al., 2023). Environmental and occupational exposures are concentrated through unequal neighbourhood and labour conditions, reinforcing patterns of cumulative disadvantage across the life course (Doney et al., 2014; Khadke et al., 2025).</w:t>
      </w:r>
    </w:p>
    <w:p w14:paraId="60D65B46" w14:textId="77777777" w:rsidR="00CD69CF" w:rsidRPr="00231375" w:rsidRDefault="00CD69CF" w:rsidP="00CD69CF">
      <w:pPr>
        <w:spacing w:after="14" w:line="249" w:lineRule="auto"/>
        <w:ind w:left="345"/>
        <w:rPr>
          <w:rFonts w:ascii="Arial" w:hAnsi="Arial" w:cs="Arial"/>
        </w:rPr>
      </w:pPr>
    </w:p>
    <w:p w14:paraId="1A78740F" w14:textId="20881A85" w:rsidR="00CD69CF" w:rsidRPr="00231375" w:rsidRDefault="00CD69CF" w:rsidP="00CD69CF">
      <w:pPr>
        <w:spacing w:after="14" w:line="249" w:lineRule="auto"/>
        <w:ind w:left="345"/>
        <w:rPr>
          <w:rFonts w:ascii="Arial" w:hAnsi="Arial" w:cs="Arial"/>
        </w:rPr>
      </w:pPr>
      <w:r w:rsidRPr="00231375">
        <w:rPr>
          <w:rFonts w:ascii="Arial" w:hAnsi="Arial" w:cs="Arial"/>
        </w:rPr>
        <w:t>Healthcare inequalities persist beyond diagnosis into rehabilitation, chronic management and multimorbidity care (Spitzer et al., 2020; Putcha et al., 2014). These inequalities highlight that even where effective treatments exist, access remains uneven and often structured by broader socioeconomic and institutional factors. As a result, African American adults may experience a trajectory in which disease is both under-recognised in earlier stages and suboptimally managed in later stages, contributing to worse overall outcomes (Rea et al., 2024).</w:t>
      </w:r>
    </w:p>
    <w:p w14:paraId="1A091EF2" w14:textId="77777777" w:rsidR="00CD69CF" w:rsidRPr="00231375" w:rsidRDefault="00CD69CF" w:rsidP="00CD69CF">
      <w:pPr>
        <w:spacing w:after="14" w:line="249" w:lineRule="auto"/>
        <w:ind w:left="345"/>
        <w:rPr>
          <w:rFonts w:ascii="Arial" w:hAnsi="Arial" w:cs="Arial"/>
        </w:rPr>
      </w:pPr>
    </w:p>
    <w:p w14:paraId="6AF4E5EE" w14:textId="77777777" w:rsidR="00CD69CF" w:rsidRPr="00231375" w:rsidRDefault="00CD69CF" w:rsidP="00CD69CF">
      <w:pPr>
        <w:spacing w:after="14" w:line="249" w:lineRule="auto"/>
        <w:ind w:left="345"/>
        <w:rPr>
          <w:rFonts w:ascii="Arial" w:hAnsi="Arial" w:cs="Arial"/>
        </w:rPr>
      </w:pPr>
      <w:r w:rsidRPr="00231375">
        <w:rPr>
          <w:rFonts w:ascii="Arial" w:hAnsi="Arial" w:cs="Arial"/>
        </w:rPr>
        <w:t>Structural racism provides the most coherent framework for integrating these findings, because it explains how unequal exposure and unequal access to resources are produced and maintained across the life course (Bailey et al., 2017; Williams et al., 2019).</w:t>
      </w:r>
    </w:p>
    <w:p w14:paraId="5025C842" w14:textId="77777777" w:rsidR="00CD69CF" w:rsidRPr="00231375" w:rsidRDefault="00CD69CF" w:rsidP="00CD69CF">
      <w:pPr>
        <w:spacing w:after="14" w:line="249" w:lineRule="auto"/>
        <w:ind w:left="345"/>
        <w:rPr>
          <w:rFonts w:ascii="Arial" w:hAnsi="Arial" w:cs="Arial"/>
        </w:rPr>
      </w:pPr>
    </w:p>
    <w:p w14:paraId="54805BED" w14:textId="77777777" w:rsidR="00CD69CF" w:rsidRPr="00231375" w:rsidRDefault="00CD69CF" w:rsidP="00CD69CF">
      <w:pPr>
        <w:spacing w:after="14" w:line="249" w:lineRule="auto"/>
        <w:ind w:left="345"/>
        <w:rPr>
          <w:rFonts w:ascii="Arial" w:hAnsi="Arial" w:cs="Arial"/>
        </w:rPr>
      </w:pPr>
      <w:r w:rsidRPr="00231375">
        <w:rPr>
          <w:rFonts w:ascii="Arial" w:hAnsi="Arial" w:cs="Arial"/>
        </w:rPr>
        <w:t>This dissertation therefore proceeds from the view that race is not a biological explanation for COPD disparity, but a signal of unequal structural positioning. Importantly, adopting this perspective shifts the focus of research and policy away from individual behaviour alone and towards the conditions that shape health opportunities and constraints (Phelan and Link, 2015). It also emphasises the need for interventions that operate across multiple levels, including community-based case finding, improved diagnostic access, equitable service provision and broader structural reforms.</w:t>
      </w:r>
    </w:p>
    <w:p w14:paraId="5B5365AB" w14:textId="77777777" w:rsidR="00CD69CF" w:rsidRPr="00231375" w:rsidRDefault="00CD69CF" w:rsidP="00CD69CF">
      <w:pPr>
        <w:spacing w:after="14" w:line="249" w:lineRule="auto"/>
        <w:ind w:left="345"/>
        <w:rPr>
          <w:rFonts w:ascii="Arial" w:hAnsi="Arial" w:cs="Arial"/>
        </w:rPr>
      </w:pPr>
      <w:r w:rsidRPr="00231375">
        <w:rPr>
          <w:rFonts w:ascii="Arial" w:hAnsi="Arial" w:cs="Arial"/>
        </w:rPr>
        <w:t>A systematic review centred on African American adults in midlife can contribute by clarifying the most strongly supported mechanisms, identifying where evidence remains limited and pointing towards more equitable future research and practice. In particular, the midlife focus highlights a critical window in which earlier diagnosis and intervention may still alter disease progression, yet where current systems may fail to engage individuals effectively (Lange et al., 2015). Addressing these gaps is essential for reducing long-term COPD burden and advancing health equity.</w:t>
      </w:r>
    </w:p>
    <w:p w14:paraId="29703168" w14:textId="77777777" w:rsidR="00CD69CF" w:rsidRPr="00231375" w:rsidRDefault="00CD69CF" w:rsidP="00CD69CF">
      <w:pPr>
        <w:spacing w:after="14" w:line="249" w:lineRule="auto"/>
        <w:ind w:left="345"/>
        <w:rPr>
          <w:rFonts w:ascii="Arial" w:hAnsi="Arial" w:cs="Arial"/>
        </w:rPr>
      </w:pPr>
      <w:r w:rsidRPr="00231375">
        <w:rPr>
          <w:rFonts w:ascii="Arial" w:hAnsi="Arial" w:cs="Arial"/>
        </w:rPr>
        <w:tab/>
        <w:t xml:space="preserve"> </w:t>
      </w:r>
    </w:p>
    <w:p w14:paraId="664E0FC0" w14:textId="77777777" w:rsidR="00CD69CF" w:rsidRPr="00231375" w:rsidRDefault="00CD69CF" w:rsidP="00CD69CF">
      <w:pPr>
        <w:rPr>
          <w:rFonts w:ascii="Arial" w:hAnsi="Arial" w:cs="Arial"/>
        </w:rPr>
      </w:pPr>
      <w:bookmarkStart w:id="6" w:name="_Toc12218"/>
    </w:p>
    <w:p w14:paraId="088F4E5B" w14:textId="77777777" w:rsidR="001170D1" w:rsidRPr="00231375" w:rsidRDefault="001170D1" w:rsidP="00CD69CF">
      <w:pPr>
        <w:rPr>
          <w:rFonts w:ascii="Arial" w:hAnsi="Arial" w:cs="Arial"/>
        </w:rPr>
      </w:pPr>
    </w:p>
    <w:p w14:paraId="113AF058" w14:textId="77777777" w:rsidR="001170D1" w:rsidRPr="00231375" w:rsidRDefault="001170D1" w:rsidP="00CD69CF">
      <w:pPr>
        <w:rPr>
          <w:rFonts w:ascii="Arial" w:hAnsi="Arial" w:cs="Arial"/>
        </w:rPr>
      </w:pPr>
    </w:p>
    <w:p w14:paraId="679C37D7" w14:textId="77777777" w:rsidR="001170D1" w:rsidRPr="00231375" w:rsidRDefault="001170D1" w:rsidP="00CD69CF">
      <w:pPr>
        <w:rPr>
          <w:rFonts w:ascii="Arial" w:hAnsi="Arial" w:cs="Arial"/>
        </w:rPr>
      </w:pPr>
    </w:p>
    <w:p w14:paraId="65498FB3" w14:textId="77777777" w:rsidR="001170D1" w:rsidRPr="00231375" w:rsidRDefault="001170D1" w:rsidP="00CD69CF">
      <w:pPr>
        <w:rPr>
          <w:rFonts w:ascii="Arial" w:hAnsi="Arial" w:cs="Arial"/>
        </w:rPr>
      </w:pPr>
    </w:p>
    <w:p w14:paraId="674DA173" w14:textId="77777777" w:rsidR="001170D1" w:rsidRPr="00231375" w:rsidRDefault="001170D1" w:rsidP="00CD69CF">
      <w:pPr>
        <w:rPr>
          <w:rFonts w:ascii="Arial" w:hAnsi="Arial" w:cs="Arial"/>
        </w:rPr>
      </w:pPr>
    </w:p>
    <w:p w14:paraId="7A592287" w14:textId="77777777" w:rsidR="001170D1" w:rsidRPr="00231375" w:rsidRDefault="001170D1" w:rsidP="00CD69CF">
      <w:pPr>
        <w:rPr>
          <w:rFonts w:ascii="Arial" w:hAnsi="Arial" w:cs="Arial"/>
        </w:rPr>
      </w:pPr>
    </w:p>
    <w:p w14:paraId="20DDE530" w14:textId="77777777" w:rsidR="001170D1" w:rsidRPr="00231375" w:rsidRDefault="001170D1" w:rsidP="00CD69CF">
      <w:pPr>
        <w:rPr>
          <w:rFonts w:ascii="Arial" w:hAnsi="Arial" w:cs="Arial"/>
        </w:rPr>
      </w:pPr>
    </w:p>
    <w:p w14:paraId="632F0549" w14:textId="77777777" w:rsidR="001170D1" w:rsidRPr="00231375" w:rsidRDefault="001170D1" w:rsidP="00CD69CF">
      <w:pPr>
        <w:rPr>
          <w:rFonts w:ascii="Arial" w:hAnsi="Arial" w:cs="Arial"/>
        </w:rPr>
      </w:pPr>
    </w:p>
    <w:p w14:paraId="50A0F8B1" w14:textId="77777777" w:rsidR="001170D1" w:rsidRPr="00231375" w:rsidRDefault="001170D1" w:rsidP="00CD69CF">
      <w:pPr>
        <w:rPr>
          <w:rFonts w:ascii="Arial" w:hAnsi="Arial" w:cs="Arial"/>
        </w:rPr>
      </w:pPr>
    </w:p>
    <w:p w14:paraId="7DD5D1DA" w14:textId="77777777" w:rsidR="001170D1" w:rsidRPr="00231375" w:rsidRDefault="001170D1" w:rsidP="00CD69CF">
      <w:pPr>
        <w:rPr>
          <w:rFonts w:ascii="Arial" w:hAnsi="Arial" w:cs="Arial"/>
        </w:rPr>
      </w:pPr>
    </w:p>
    <w:p w14:paraId="56C52F83" w14:textId="77777777" w:rsidR="001170D1" w:rsidRPr="00231375" w:rsidRDefault="001170D1" w:rsidP="00CD69CF">
      <w:pPr>
        <w:rPr>
          <w:rFonts w:ascii="Arial" w:hAnsi="Arial" w:cs="Arial"/>
        </w:rPr>
      </w:pPr>
    </w:p>
    <w:p w14:paraId="0DCAC279" w14:textId="77777777" w:rsidR="001170D1" w:rsidRPr="00231375" w:rsidRDefault="001170D1" w:rsidP="00CD69CF">
      <w:pPr>
        <w:rPr>
          <w:rFonts w:ascii="Arial" w:hAnsi="Arial" w:cs="Arial"/>
        </w:rPr>
      </w:pPr>
    </w:p>
    <w:p w14:paraId="4C7AC593" w14:textId="77777777" w:rsidR="001170D1" w:rsidRPr="00231375" w:rsidRDefault="001170D1" w:rsidP="00CD69CF">
      <w:pPr>
        <w:rPr>
          <w:rFonts w:ascii="Arial" w:hAnsi="Arial" w:cs="Arial"/>
        </w:rPr>
      </w:pPr>
    </w:p>
    <w:p w14:paraId="4DE0F2FF" w14:textId="77777777" w:rsidR="001170D1" w:rsidRPr="00231375" w:rsidRDefault="001170D1" w:rsidP="00CD69CF">
      <w:pPr>
        <w:rPr>
          <w:rFonts w:ascii="Arial" w:hAnsi="Arial" w:cs="Arial"/>
        </w:rPr>
      </w:pPr>
    </w:p>
    <w:p w14:paraId="5BBF3222" w14:textId="53C469E2" w:rsidR="00CD69CF" w:rsidRDefault="00CD69CF" w:rsidP="00CD69CF">
      <w:pPr>
        <w:rPr>
          <w:rFonts w:ascii="Arial" w:hAnsi="Arial" w:cs="Arial"/>
        </w:rPr>
      </w:pPr>
    </w:p>
    <w:p w14:paraId="0B6774B0" w14:textId="77777777" w:rsidR="004B7DAB" w:rsidRPr="00231375" w:rsidRDefault="004B7DAB" w:rsidP="00CD69CF">
      <w:pPr>
        <w:rPr>
          <w:rFonts w:ascii="Arial" w:hAnsi="Arial" w:cs="Arial"/>
        </w:rPr>
      </w:pPr>
    </w:p>
    <w:p w14:paraId="50F32615" w14:textId="77777777" w:rsidR="00CD69CF" w:rsidRPr="00231375" w:rsidRDefault="00CD69CF" w:rsidP="00CD69CF">
      <w:pPr>
        <w:rPr>
          <w:rFonts w:ascii="Arial" w:hAnsi="Arial" w:cs="Arial"/>
        </w:rPr>
      </w:pPr>
    </w:p>
    <w:p w14:paraId="1B08C467" w14:textId="77777777" w:rsidR="00CD69CF" w:rsidRPr="00231375" w:rsidRDefault="00CD69CF" w:rsidP="00CD69CF">
      <w:pPr>
        <w:pStyle w:val="Heading1"/>
        <w:ind w:left="12" w:right="4"/>
        <w:rPr>
          <w:rFonts w:ascii="Arial" w:hAnsi="Arial" w:cs="Arial"/>
          <w:b w:val="0"/>
          <w:bCs/>
          <w:color w:val="auto"/>
          <w:sz w:val="28"/>
          <w:szCs w:val="28"/>
        </w:rPr>
      </w:pPr>
      <w:r w:rsidRPr="00231375">
        <w:rPr>
          <w:rFonts w:ascii="Arial" w:hAnsi="Arial" w:cs="Arial"/>
          <w:bCs/>
          <w:color w:val="auto"/>
          <w:sz w:val="28"/>
          <w:szCs w:val="28"/>
        </w:rPr>
        <w:lastRenderedPageBreak/>
        <w:t>Chapter 3: Research Methodology</w:t>
      </w:r>
      <w:bookmarkEnd w:id="6"/>
    </w:p>
    <w:p w14:paraId="3A6375EA" w14:textId="77777777" w:rsidR="00CD69CF" w:rsidRPr="00231375" w:rsidRDefault="00CD69CF" w:rsidP="00CD69CF">
      <w:pPr>
        <w:spacing w:after="158"/>
        <w:rPr>
          <w:rFonts w:ascii="Arial" w:eastAsia="Times New Roman" w:hAnsi="Arial" w:cs="Arial"/>
          <w:b/>
        </w:rPr>
      </w:pPr>
      <w:r w:rsidRPr="00231375">
        <w:rPr>
          <w:rFonts w:ascii="Arial" w:eastAsia="Times New Roman" w:hAnsi="Arial" w:cs="Arial"/>
          <w:b/>
        </w:rPr>
        <w:t xml:space="preserve"> </w:t>
      </w:r>
    </w:p>
    <w:p w14:paraId="2138BBFB" w14:textId="79864FED" w:rsidR="001629A1" w:rsidRPr="004B7DAB" w:rsidRDefault="001629A1" w:rsidP="00CD69CF">
      <w:pPr>
        <w:spacing w:after="158"/>
        <w:rPr>
          <w:rFonts w:ascii="Arial" w:hAnsi="Arial" w:cs="Arial"/>
          <w:b/>
          <w:bCs/>
          <w:sz w:val="24"/>
          <w:szCs w:val="24"/>
        </w:rPr>
      </w:pPr>
      <w:r w:rsidRPr="004B7DAB">
        <w:rPr>
          <w:rFonts w:ascii="Arial" w:hAnsi="Arial" w:cs="Arial"/>
          <w:b/>
          <w:bCs/>
          <w:sz w:val="24"/>
          <w:szCs w:val="24"/>
        </w:rPr>
        <w:t>3.1 Introduction</w:t>
      </w:r>
    </w:p>
    <w:p w14:paraId="14AF6B53" w14:textId="1458E1C3" w:rsidR="00CD69CF" w:rsidRPr="00231375" w:rsidRDefault="00BF47CB" w:rsidP="00CD69CF">
      <w:pPr>
        <w:spacing w:after="158"/>
        <w:rPr>
          <w:rFonts w:ascii="Arial" w:hAnsi="Arial" w:cs="Arial"/>
        </w:rPr>
      </w:pPr>
      <w:r w:rsidRPr="00BF47CB">
        <w:rPr>
          <w:rFonts w:ascii="Arial" w:hAnsi="Arial" w:cs="Arial"/>
        </w:rPr>
        <w:t>This chapter presented the method used for the systematic literature review on chronic obstructive pulmonary disease (COPD) among African American adults aged 40–65 in the United States. It specified the review design, databases and search strings, PICOS eligibility criteria, PRISMA-aligned screening and selection, standardised data extraction, CASP-guided quality appraisal, and thematic narrative synthesis</w:t>
      </w:r>
      <w:r w:rsidR="00CD69CF" w:rsidRPr="00231375">
        <w:rPr>
          <w:rFonts w:ascii="Arial" w:hAnsi="Arial" w:cs="Arial"/>
        </w:rPr>
        <w:t>. The chapter follows the structure of the dissertation draft while incorporating current methodological guidance, including PRISMA 2020, Cochrane guidance and Critical Appraisal Skills Programme tools.</w:t>
      </w:r>
    </w:p>
    <w:p w14:paraId="28B51669" w14:textId="77777777" w:rsidR="00CD69CF" w:rsidRPr="00231375" w:rsidRDefault="00CD69CF" w:rsidP="00CD69CF">
      <w:pPr>
        <w:spacing w:after="158"/>
        <w:rPr>
          <w:rFonts w:ascii="Arial" w:hAnsi="Arial" w:cs="Arial"/>
        </w:rPr>
      </w:pPr>
    </w:p>
    <w:p w14:paraId="46298A05" w14:textId="694AA941" w:rsidR="00CD69CF" w:rsidRPr="004B7DAB" w:rsidRDefault="001629A1" w:rsidP="00CD69CF">
      <w:pPr>
        <w:spacing w:after="158"/>
        <w:rPr>
          <w:rFonts w:ascii="Arial" w:hAnsi="Arial" w:cs="Arial"/>
          <w:b/>
          <w:bCs/>
          <w:sz w:val="24"/>
          <w:szCs w:val="24"/>
        </w:rPr>
      </w:pPr>
      <w:r w:rsidRPr="004B7DAB">
        <w:rPr>
          <w:rFonts w:ascii="Arial" w:hAnsi="Arial" w:cs="Arial"/>
          <w:b/>
          <w:bCs/>
          <w:sz w:val="24"/>
          <w:szCs w:val="24"/>
        </w:rPr>
        <w:t xml:space="preserve">3.2 </w:t>
      </w:r>
      <w:r w:rsidR="00CD69CF" w:rsidRPr="004B7DAB">
        <w:rPr>
          <w:rFonts w:ascii="Arial" w:hAnsi="Arial" w:cs="Arial"/>
          <w:b/>
          <w:bCs/>
          <w:sz w:val="24"/>
          <w:szCs w:val="24"/>
        </w:rPr>
        <w:t>Research design</w:t>
      </w:r>
    </w:p>
    <w:p w14:paraId="42A0AD6B" w14:textId="77777777" w:rsidR="00CD69CF" w:rsidRPr="00231375" w:rsidRDefault="00CD69CF" w:rsidP="00CD69CF">
      <w:pPr>
        <w:spacing w:after="158"/>
        <w:rPr>
          <w:rFonts w:ascii="Arial" w:hAnsi="Arial" w:cs="Arial"/>
        </w:rPr>
      </w:pPr>
      <w:r w:rsidRPr="00231375">
        <w:rPr>
          <w:rFonts w:ascii="Arial" w:hAnsi="Arial" w:cs="Arial"/>
        </w:rPr>
        <w:t>This dissertation used a systematic literature review design to identify, appraise and synthesise evidence on COPD epidemiology, awareness and diagnosis, risk exposures, and healthcare access and management among African American adults aged 40–65 in the United States. Systematic reviews apply explicit eligibility criteria and transparent procedures for searching and selecting studies, allowing readers to evaluate the completeness and trustworthiness of the evidence base. Reporting followed PRISMA 2020, which specifies essential items for transparent reporting of information sources, eligibility criteria, selection methods and synthesis methods (Page et al., 2021).</w:t>
      </w:r>
    </w:p>
    <w:p w14:paraId="2929C647" w14:textId="77777777" w:rsidR="00CD69CF" w:rsidRPr="00231375" w:rsidRDefault="00CD69CF" w:rsidP="00CD69CF">
      <w:pPr>
        <w:spacing w:after="158"/>
        <w:rPr>
          <w:rFonts w:ascii="Arial" w:hAnsi="Arial" w:cs="Arial"/>
        </w:rPr>
      </w:pPr>
      <w:r w:rsidRPr="00231375">
        <w:rPr>
          <w:rFonts w:ascii="Arial" w:hAnsi="Arial" w:cs="Arial"/>
        </w:rPr>
        <w:t>The review question was inequities-focused and mechanism-oriented. In practice, the review mapped evidence onto a pathway from exposure to disease, diagnosis and treatment, supporting critical synthesis of how COPD burden becomes unevenly distributed and unevenly recognised within healthcare systems. The review therefore included (i) diagnostic processes and conventions, including spirometry thresholds and underdiagnosis, (ii) environmental and occupational exposures, (iii) healthcare access and evidence-based management, including pulmonary rehabilitation, and (iv) structural determinants such as neighbourhood disadvantage and segregation.</w:t>
      </w:r>
    </w:p>
    <w:p w14:paraId="42A8548E" w14:textId="77777777" w:rsidR="00CD69CF" w:rsidRPr="00231375" w:rsidRDefault="00CD69CF" w:rsidP="00CD69CF">
      <w:pPr>
        <w:spacing w:after="158"/>
        <w:rPr>
          <w:rFonts w:ascii="Arial" w:hAnsi="Arial" w:cs="Arial"/>
        </w:rPr>
      </w:pPr>
      <w:r w:rsidRPr="00231375">
        <w:rPr>
          <w:rFonts w:ascii="Arial" w:hAnsi="Arial" w:cs="Arial"/>
        </w:rPr>
        <w:t>Because heterogeneity was expected across study designs and outcome measures, synthesis was conducted using a thematic narrative approach rather than meta-analysis. For quantitative findings that could not be pooled, reporting followed guidance on synthesis without meta-analysis and structured narrative synthesis, including transparent grouping and clear linkage between extracted data and conclusions (Campbell et al., 2020; Popay et al., 2006).</w:t>
      </w:r>
    </w:p>
    <w:p w14:paraId="4EC09F5B" w14:textId="77777777" w:rsidR="00CD69CF" w:rsidRPr="00231375" w:rsidRDefault="00CD69CF" w:rsidP="00CD69CF">
      <w:pPr>
        <w:spacing w:after="158"/>
        <w:rPr>
          <w:rFonts w:ascii="Arial" w:hAnsi="Arial" w:cs="Arial"/>
        </w:rPr>
      </w:pPr>
      <w:r w:rsidRPr="00231375">
        <w:rPr>
          <w:rFonts w:ascii="Arial" w:hAnsi="Arial" w:cs="Arial"/>
        </w:rPr>
        <w:t>To improve search sensitivity and transparency, the search strategy was piloted against a predefined set of sentinel papers used to confirm that key studies were retrievable. These included Bailey et al. (2017), Doney et al. (2014), Ejike et al. (2021), Galiatsatos et al. (2020), Khadke et al. (2025), Mamary et al. (2018), Odhiambo et al. (2023), Putcha et al. (2014), Rea et al. (2024), Regan et al. (2023), Spitzer et al. (2020) and Woo et al. (2021).</w:t>
      </w:r>
    </w:p>
    <w:p w14:paraId="4EAE42BF" w14:textId="77777777" w:rsidR="00CD69CF" w:rsidRPr="00231375" w:rsidRDefault="00CD69CF" w:rsidP="00CD69CF">
      <w:pPr>
        <w:spacing w:after="158"/>
        <w:rPr>
          <w:rFonts w:ascii="Arial" w:hAnsi="Arial" w:cs="Arial"/>
        </w:rPr>
      </w:pPr>
    </w:p>
    <w:p w14:paraId="0E436751" w14:textId="75FDB120" w:rsidR="00CD69CF" w:rsidRPr="00231375" w:rsidRDefault="001629A1" w:rsidP="00CD69CF">
      <w:pPr>
        <w:spacing w:after="158"/>
        <w:rPr>
          <w:rFonts w:ascii="Arial" w:hAnsi="Arial" w:cs="Arial"/>
        </w:rPr>
      </w:pPr>
      <w:r w:rsidRPr="00231375">
        <w:rPr>
          <w:rFonts w:ascii="Arial" w:hAnsi="Arial" w:cs="Arial"/>
          <w:b/>
          <w:bCs/>
          <w:sz w:val="24"/>
          <w:szCs w:val="24"/>
        </w:rPr>
        <w:t xml:space="preserve">3.3 </w:t>
      </w:r>
      <w:r w:rsidR="00CD69CF" w:rsidRPr="00231375">
        <w:rPr>
          <w:rFonts w:ascii="Arial" w:hAnsi="Arial" w:cs="Arial"/>
          <w:b/>
          <w:bCs/>
          <w:sz w:val="24"/>
          <w:szCs w:val="24"/>
        </w:rPr>
        <w:t>Search strategy</w:t>
      </w:r>
    </w:p>
    <w:p w14:paraId="4ADF3E4E" w14:textId="42AECDC4" w:rsidR="00CD69CF" w:rsidRPr="00231375" w:rsidRDefault="001629A1" w:rsidP="00CD69CF">
      <w:pPr>
        <w:spacing w:after="158"/>
        <w:rPr>
          <w:rFonts w:ascii="Arial" w:hAnsi="Arial" w:cs="Arial"/>
          <w:b/>
          <w:bCs/>
        </w:rPr>
      </w:pPr>
      <w:r w:rsidRPr="00231375">
        <w:rPr>
          <w:rFonts w:ascii="Arial" w:hAnsi="Arial" w:cs="Arial"/>
          <w:b/>
          <w:bCs/>
        </w:rPr>
        <w:t xml:space="preserve">3.3.1 </w:t>
      </w:r>
      <w:r w:rsidR="00CD69CF" w:rsidRPr="00231375">
        <w:rPr>
          <w:rFonts w:ascii="Arial" w:hAnsi="Arial" w:cs="Arial"/>
          <w:b/>
          <w:bCs/>
        </w:rPr>
        <w:t>Databases and coverage</w:t>
      </w:r>
      <w:r w:rsidR="00CD69CF" w:rsidRPr="00231375">
        <w:rPr>
          <w:rFonts w:ascii="Arial" w:hAnsi="Arial" w:cs="Arial"/>
        </w:rPr>
        <w:br/>
        <w:t xml:space="preserve">Searches were conducted in PubMed (MEDLINE), Web of Science Core Collection, and </w:t>
      </w:r>
      <w:r w:rsidR="00CD69CF" w:rsidRPr="00231375">
        <w:rPr>
          <w:rFonts w:ascii="Arial" w:hAnsi="Arial" w:cs="Arial"/>
        </w:rPr>
        <w:lastRenderedPageBreak/>
        <w:t>Google Scholar. This combination provided broad coverage across respiratory medicine, epidemiology, environmental health and health services research, and aligns with guidance from the Cochrane Handbook on comprehensive literature searching (Higgins et al., 2019).</w:t>
      </w:r>
    </w:p>
    <w:p w14:paraId="716612CB" w14:textId="77777777" w:rsidR="00CD69CF" w:rsidRPr="00231375" w:rsidRDefault="00CD69CF" w:rsidP="00CD69CF">
      <w:pPr>
        <w:spacing w:after="158"/>
        <w:rPr>
          <w:rFonts w:ascii="Arial" w:hAnsi="Arial" w:cs="Arial"/>
        </w:rPr>
      </w:pPr>
      <w:r w:rsidRPr="00231375">
        <w:rPr>
          <w:rFonts w:ascii="Arial" w:hAnsi="Arial" w:cs="Arial"/>
        </w:rPr>
        <w:t>To enhance completeness, backward citation searching (reference lists of included studies) and forward citation searching (studies citing included articles) were also undertaken. These approaches are recommended for topics spanning multiple disciplines where terminology may vary (Higgins et al., 2019).</w:t>
      </w:r>
    </w:p>
    <w:p w14:paraId="73EBFB7E" w14:textId="77777777" w:rsidR="00CD69CF" w:rsidRPr="00231375" w:rsidRDefault="00CD69CF" w:rsidP="00CD69CF">
      <w:pPr>
        <w:spacing w:after="158"/>
        <w:rPr>
          <w:rFonts w:ascii="Arial" w:hAnsi="Arial" w:cs="Arial"/>
        </w:rPr>
      </w:pPr>
    </w:p>
    <w:p w14:paraId="25DC30BC" w14:textId="77777777" w:rsidR="004B7DAB" w:rsidRDefault="001629A1" w:rsidP="00CD69CF">
      <w:pPr>
        <w:spacing w:after="158"/>
        <w:rPr>
          <w:rFonts w:ascii="Arial" w:hAnsi="Arial" w:cs="Arial"/>
          <w:b/>
          <w:bCs/>
        </w:rPr>
      </w:pPr>
      <w:r w:rsidRPr="00231375">
        <w:rPr>
          <w:rFonts w:ascii="Arial" w:hAnsi="Arial" w:cs="Arial"/>
          <w:b/>
          <w:bCs/>
        </w:rPr>
        <w:t xml:space="preserve">3.3.2 </w:t>
      </w:r>
      <w:r w:rsidR="00CD69CF" w:rsidRPr="00231375">
        <w:rPr>
          <w:rFonts w:ascii="Arial" w:hAnsi="Arial" w:cs="Arial"/>
          <w:b/>
          <w:bCs/>
        </w:rPr>
        <w:t>Date limits, language and publication type</w:t>
      </w:r>
    </w:p>
    <w:p w14:paraId="3F1BF374" w14:textId="1AF43684" w:rsidR="00CD69CF" w:rsidRPr="00231375" w:rsidRDefault="00CD69CF" w:rsidP="00CD69CF">
      <w:pPr>
        <w:spacing w:after="158"/>
        <w:rPr>
          <w:rFonts w:ascii="Arial" w:hAnsi="Arial" w:cs="Arial"/>
        </w:rPr>
      </w:pPr>
      <w:r w:rsidRPr="00231375">
        <w:rPr>
          <w:rFonts w:ascii="Arial" w:hAnsi="Arial" w:cs="Arial"/>
        </w:rPr>
        <w:br/>
        <w:t>The search was limited to studies published between 1 January 2011 and 12 April 2026 to ensure the inclusion of recent and relevant evidence. Only English-language studies were included due to time and resource constraints, and the potential for language bias was acknowledged (Page et al., 2021).</w:t>
      </w:r>
    </w:p>
    <w:p w14:paraId="2E578B86" w14:textId="77777777" w:rsidR="00CD69CF" w:rsidRPr="00231375" w:rsidRDefault="00CD69CF" w:rsidP="00CD69CF">
      <w:pPr>
        <w:spacing w:after="158"/>
        <w:rPr>
          <w:rFonts w:ascii="Arial" w:hAnsi="Arial" w:cs="Arial"/>
        </w:rPr>
      </w:pPr>
      <w:r w:rsidRPr="00231375">
        <w:rPr>
          <w:rFonts w:ascii="Arial" w:hAnsi="Arial" w:cs="Arial"/>
        </w:rPr>
        <w:t>Eligible studies included peer-reviewed empirical research (quantitative, qualitative and mixed-methods) and systematic or scoping reviews. Conference abstracts without full reports were excluded, as they could not be reliably appraised or extracted (Higgins et al., 2019).</w:t>
      </w:r>
    </w:p>
    <w:p w14:paraId="6F905A1C" w14:textId="77777777" w:rsidR="00CD69CF" w:rsidRPr="00231375" w:rsidRDefault="00CD69CF" w:rsidP="00CD69CF">
      <w:pPr>
        <w:spacing w:after="158"/>
        <w:rPr>
          <w:rFonts w:ascii="Arial" w:hAnsi="Arial" w:cs="Arial"/>
        </w:rPr>
      </w:pPr>
    </w:p>
    <w:p w14:paraId="25075E3D" w14:textId="26B719D0" w:rsidR="004B7DAB" w:rsidRDefault="001629A1" w:rsidP="00CD69CF">
      <w:pPr>
        <w:spacing w:after="158"/>
        <w:rPr>
          <w:rFonts w:ascii="Arial" w:hAnsi="Arial" w:cs="Arial"/>
          <w:b/>
          <w:bCs/>
        </w:rPr>
      </w:pPr>
      <w:r w:rsidRPr="00231375">
        <w:rPr>
          <w:rFonts w:ascii="Arial" w:hAnsi="Arial" w:cs="Arial"/>
          <w:b/>
          <w:bCs/>
        </w:rPr>
        <w:t xml:space="preserve">3.3.3 </w:t>
      </w:r>
      <w:r w:rsidR="00CD69CF" w:rsidRPr="00231375">
        <w:rPr>
          <w:rFonts w:ascii="Arial" w:hAnsi="Arial" w:cs="Arial"/>
          <w:b/>
          <w:bCs/>
        </w:rPr>
        <w:t>Search concepts and reporting standard</w:t>
      </w:r>
    </w:p>
    <w:p w14:paraId="37CB8FBF" w14:textId="77777777" w:rsidR="004B7DAB" w:rsidRPr="00231375" w:rsidRDefault="004B7DAB" w:rsidP="00CD69CF">
      <w:pPr>
        <w:spacing w:after="158"/>
        <w:rPr>
          <w:rFonts w:ascii="Arial" w:hAnsi="Arial" w:cs="Arial"/>
          <w:b/>
          <w:bCs/>
        </w:rPr>
      </w:pPr>
    </w:p>
    <w:p w14:paraId="4D1399B1" w14:textId="77777777" w:rsidR="00CD69CF" w:rsidRPr="00231375" w:rsidRDefault="00CD69CF" w:rsidP="00CD69CF">
      <w:pPr>
        <w:spacing w:after="158"/>
        <w:rPr>
          <w:rFonts w:ascii="Arial" w:hAnsi="Arial" w:cs="Arial"/>
        </w:rPr>
      </w:pPr>
      <w:r w:rsidRPr="00231375">
        <w:rPr>
          <w:rFonts w:ascii="Arial" w:hAnsi="Arial" w:cs="Arial"/>
        </w:rPr>
        <w:t>This study used a structured search strategy based on four main concepts: the condition, population, setting, and topic focus. The condition included chronic obstructive pulmonary disease (COPD), along with related terms such as emphysema and chronic bronchitis where these were discussed in the context of COPD. The population focused on African American adults, including terms such as Black and non-Hispanic Black. The setting was limited to studies conducted in the United States. The topic focus included key areas such as awareness and knowledge, diagnosis and underdiagnosis, spirometry, screening and case finding, management and treatment, pulmonary rehabilitation, access to healthcare, health inequalities and disparities, and broader structural determinants such as neighbourhood disadvantage, segregation, and environmental justice.</w:t>
      </w:r>
    </w:p>
    <w:p w14:paraId="03FC028E" w14:textId="77777777" w:rsidR="00CD69CF" w:rsidRPr="00231375" w:rsidRDefault="00CD69CF" w:rsidP="00CD69CF">
      <w:pPr>
        <w:spacing w:after="158"/>
        <w:rPr>
          <w:rFonts w:ascii="Arial" w:hAnsi="Arial" w:cs="Arial"/>
          <w:b/>
          <w:bCs/>
        </w:rPr>
      </w:pPr>
    </w:p>
    <w:p w14:paraId="75FAC099" w14:textId="2D4D4073" w:rsidR="00CD69CF" w:rsidRDefault="001629A1" w:rsidP="00CD69CF">
      <w:pPr>
        <w:spacing w:after="158"/>
        <w:rPr>
          <w:rFonts w:ascii="Arial" w:hAnsi="Arial" w:cs="Arial"/>
          <w:b/>
          <w:bCs/>
        </w:rPr>
      </w:pPr>
      <w:r w:rsidRPr="00231375">
        <w:rPr>
          <w:rFonts w:ascii="Arial" w:hAnsi="Arial" w:cs="Arial"/>
          <w:b/>
          <w:bCs/>
        </w:rPr>
        <w:t xml:space="preserve">3.3.4 </w:t>
      </w:r>
      <w:r w:rsidR="00CD69CF" w:rsidRPr="00231375">
        <w:rPr>
          <w:rFonts w:ascii="Arial" w:hAnsi="Arial" w:cs="Arial"/>
          <w:b/>
          <w:bCs/>
        </w:rPr>
        <w:t>Keywords and Boolean Operators</w:t>
      </w:r>
    </w:p>
    <w:p w14:paraId="65E24883" w14:textId="77777777" w:rsidR="004B7DAB" w:rsidRPr="00231375" w:rsidRDefault="004B7DAB" w:rsidP="00CD69CF">
      <w:pPr>
        <w:spacing w:after="158"/>
        <w:rPr>
          <w:rFonts w:ascii="Arial" w:hAnsi="Arial" w:cs="Arial"/>
          <w:b/>
          <w:bCs/>
        </w:rPr>
      </w:pPr>
    </w:p>
    <w:p w14:paraId="2FBBA492" w14:textId="77777777" w:rsidR="00CD69CF" w:rsidRPr="00231375" w:rsidRDefault="00CD69CF" w:rsidP="00CD69CF">
      <w:pPr>
        <w:spacing w:after="158"/>
        <w:rPr>
          <w:rFonts w:ascii="Arial" w:hAnsi="Arial" w:cs="Arial"/>
        </w:rPr>
      </w:pPr>
      <w:r w:rsidRPr="00231375">
        <w:rPr>
          <w:rFonts w:ascii="Arial" w:hAnsi="Arial" w:cs="Arial"/>
        </w:rPr>
        <w:t>A structured combination of keywords and Boolean operators was used to ensure a comprehensive and systematic search strategy. Keywords were grouped into four main concepts: disease, population, setting, and topic focus.</w:t>
      </w:r>
    </w:p>
    <w:p w14:paraId="4CA53999" w14:textId="77777777" w:rsidR="00CD69CF" w:rsidRPr="00231375" w:rsidRDefault="00CD69CF" w:rsidP="00CD69CF">
      <w:pPr>
        <w:spacing w:after="158"/>
        <w:rPr>
          <w:rFonts w:ascii="Arial" w:hAnsi="Arial" w:cs="Arial"/>
        </w:rPr>
      </w:pPr>
      <w:r w:rsidRPr="00231375">
        <w:rPr>
          <w:rFonts w:ascii="Arial" w:hAnsi="Arial" w:cs="Arial"/>
          <w:b/>
          <w:bCs/>
        </w:rPr>
        <w:t>Disease-related keywords included:</w:t>
      </w:r>
      <w:r w:rsidRPr="00231375">
        <w:rPr>
          <w:rFonts w:ascii="Arial" w:hAnsi="Arial" w:cs="Arial"/>
        </w:rPr>
        <w:t xml:space="preserve"> “COPD” OR “chronic obstructive pulmonary disease” OR “emphysema” OR “chronic bronchitis”.</w:t>
      </w:r>
    </w:p>
    <w:p w14:paraId="799F8423" w14:textId="77777777" w:rsidR="00CD69CF" w:rsidRPr="00231375" w:rsidRDefault="00CD69CF" w:rsidP="00CD69CF">
      <w:pPr>
        <w:spacing w:after="158"/>
        <w:rPr>
          <w:rFonts w:ascii="Arial" w:hAnsi="Arial" w:cs="Arial"/>
        </w:rPr>
      </w:pPr>
      <w:r w:rsidRPr="00231375">
        <w:rPr>
          <w:rFonts w:ascii="Arial" w:hAnsi="Arial" w:cs="Arial"/>
          <w:b/>
          <w:bCs/>
        </w:rPr>
        <w:t>Population-related keywords included:</w:t>
      </w:r>
      <w:r w:rsidRPr="00231375">
        <w:rPr>
          <w:rFonts w:ascii="Arial" w:hAnsi="Arial" w:cs="Arial"/>
        </w:rPr>
        <w:t xml:space="preserve"> “African American” OR “Black” OR “non-Hispanic Black”.</w:t>
      </w:r>
    </w:p>
    <w:p w14:paraId="779D1F95" w14:textId="77777777" w:rsidR="00CD69CF" w:rsidRPr="00231375" w:rsidRDefault="00CD69CF" w:rsidP="00CD69CF">
      <w:pPr>
        <w:spacing w:after="158"/>
        <w:rPr>
          <w:rFonts w:ascii="Arial" w:hAnsi="Arial" w:cs="Arial"/>
        </w:rPr>
      </w:pPr>
      <w:r w:rsidRPr="00231375">
        <w:rPr>
          <w:rFonts w:ascii="Arial" w:hAnsi="Arial" w:cs="Arial"/>
          <w:b/>
          <w:bCs/>
        </w:rPr>
        <w:lastRenderedPageBreak/>
        <w:t>Setting-related keywords included:</w:t>
      </w:r>
      <w:r w:rsidRPr="00231375">
        <w:rPr>
          <w:rFonts w:ascii="Arial" w:hAnsi="Arial" w:cs="Arial"/>
        </w:rPr>
        <w:t xml:space="preserve"> “United States” OR “USA”.</w:t>
      </w:r>
    </w:p>
    <w:p w14:paraId="61D1947B" w14:textId="77777777" w:rsidR="00CD69CF" w:rsidRPr="00231375" w:rsidRDefault="00CD69CF" w:rsidP="00CD69CF">
      <w:pPr>
        <w:spacing w:after="158"/>
        <w:rPr>
          <w:rFonts w:ascii="Arial" w:hAnsi="Arial" w:cs="Arial"/>
        </w:rPr>
      </w:pPr>
      <w:r w:rsidRPr="00231375">
        <w:rPr>
          <w:rFonts w:ascii="Arial" w:hAnsi="Arial" w:cs="Arial"/>
          <w:b/>
          <w:bCs/>
        </w:rPr>
        <w:t>Topic-related keywords included:</w:t>
      </w:r>
      <w:r w:rsidRPr="00231375">
        <w:rPr>
          <w:rFonts w:ascii="Arial" w:hAnsi="Arial" w:cs="Arial"/>
        </w:rPr>
        <w:t xml:space="preserve"> “diagnosis” OR “underdiagnosis” OR “spirometry” OR “screening” OR “awareness” OR “management” OR “treatment” OR “pulmonary rehabilitation” OR “healthcare access” OR “disparities” OR “inequalities” OR “segregation” OR “environmental justice”.</w:t>
      </w:r>
    </w:p>
    <w:p w14:paraId="403A2E8A" w14:textId="77777777" w:rsidR="00CD69CF" w:rsidRPr="00231375" w:rsidRDefault="00CD69CF" w:rsidP="00CD69CF">
      <w:pPr>
        <w:spacing w:after="158"/>
        <w:rPr>
          <w:rFonts w:ascii="Arial" w:hAnsi="Arial" w:cs="Arial"/>
        </w:rPr>
      </w:pPr>
      <w:r w:rsidRPr="00231375">
        <w:rPr>
          <w:rFonts w:ascii="Arial" w:hAnsi="Arial" w:cs="Arial"/>
        </w:rPr>
        <w:t>These keywords were combined using Boolean operators (AND, OR) to refine the search and ensure retrieval of relevant studies.</w:t>
      </w:r>
    </w:p>
    <w:p w14:paraId="131847A4" w14:textId="418F3B06" w:rsidR="00CD69CF" w:rsidRPr="00231375" w:rsidRDefault="00CD69CF" w:rsidP="00CD69CF">
      <w:pPr>
        <w:spacing w:after="158"/>
        <w:rPr>
          <w:rFonts w:ascii="Arial" w:hAnsi="Arial" w:cs="Arial"/>
        </w:rPr>
      </w:pPr>
      <w:r w:rsidRPr="00231375">
        <w:rPr>
          <w:rFonts w:ascii="Arial" w:hAnsi="Arial" w:cs="Arial"/>
        </w:rPr>
        <w:t xml:space="preserve">The full search strategies, including exact search terms, limits, and database details, </w:t>
      </w:r>
      <w:r w:rsidR="00AF1AE5">
        <w:rPr>
          <w:rFonts w:ascii="Arial" w:hAnsi="Arial" w:cs="Arial"/>
        </w:rPr>
        <w:t>w</w:t>
      </w:r>
      <w:r w:rsidR="00BB486C">
        <w:rPr>
          <w:rFonts w:ascii="Arial" w:hAnsi="Arial" w:cs="Arial"/>
        </w:rPr>
        <w:t>ere</w:t>
      </w:r>
      <w:r w:rsidRPr="00231375">
        <w:rPr>
          <w:rFonts w:ascii="Arial" w:hAnsi="Arial" w:cs="Arial"/>
        </w:rPr>
        <w:t xml:space="preserve"> documented for each database in line with PRISMA 2020 guidelines. In addition, PRISMA-S guidance w</w:t>
      </w:r>
      <w:r w:rsidR="00AF1AE5">
        <w:rPr>
          <w:rFonts w:ascii="Arial" w:hAnsi="Arial" w:cs="Arial"/>
        </w:rPr>
        <w:t>as</w:t>
      </w:r>
      <w:r w:rsidRPr="00231375">
        <w:rPr>
          <w:rFonts w:ascii="Arial" w:hAnsi="Arial" w:cs="Arial"/>
        </w:rPr>
        <w:t xml:space="preserve"> followed to ensure transparent and complete reporting of the search process (Page et al., 2021; Rethlefsen et al., 2021). Age filters were not applied during the database search stage because age indexing is often inconsistent and may lead to the exclusion of relevant studies. Instead, age eligibility (40–65 years) was applied during the full-text screening stage to ensure relevant inclusion (Higgins et al., 2019; Page et al., 2021).</w:t>
      </w:r>
    </w:p>
    <w:p w14:paraId="25811A73" w14:textId="77777777" w:rsidR="00CD69CF" w:rsidRPr="00231375" w:rsidRDefault="00CD69CF" w:rsidP="00CD69CF">
      <w:pPr>
        <w:spacing w:after="158"/>
        <w:rPr>
          <w:rFonts w:ascii="Arial" w:hAnsi="Arial" w:cs="Arial"/>
        </w:rPr>
      </w:pPr>
    </w:p>
    <w:p w14:paraId="64E06645" w14:textId="3544836B" w:rsidR="00CD69CF" w:rsidRPr="00231375" w:rsidRDefault="001629A1" w:rsidP="00CD69CF">
      <w:pPr>
        <w:spacing w:after="158"/>
        <w:rPr>
          <w:rFonts w:ascii="Arial" w:hAnsi="Arial" w:cs="Arial"/>
          <w:b/>
          <w:bCs/>
        </w:rPr>
      </w:pPr>
      <w:r w:rsidRPr="00231375">
        <w:rPr>
          <w:rFonts w:ascii="Arial" w:hAnsi="Arial" w:cs="Arial"/>
          <w:b/>
          <w:bCs/>
        </w:rPr>
        <w:t xml:space="preserve">3.3.5 </w:t>
      </w:r>
      <w:r w:rsidR="00CD69CF" w:rsidRPr="00231375">
        <w:rPr>
          <w:rFonts w:ascii="Arial" w:hAnsi="Arial" w:cs="Arial"/>
          <w:b/>
          <w:bCs/>
        </w:rPr>
        <w:t>Search Strings</w:t>
      </w:r>
    </w:p>
    <w:p w14:paraId="0FC063A0" w14:textId="77777777" w:rsidR="00CD69CF" w:rsidRPr="00231375" w:rsidRDefault="00CD69CF" w:rsidP="00CD69CF">
      <w:pPr>
        <w:spacing w:after="158"/>
        <w:rPr>
          <w:rFonts w:ascii="Arial" w:hAnsi="Arial" w:cs="Arial"/>
        </w:rPr>
      </w:pPr>
      <w:r w:rsidRPr="00231375">
        <w:rPr>
          <w:rFonts w:ascii="Arial" w:hAnsi="Arial" w:cs="Arial"/>
        </w:rPr>
        <w:t>A systematic literature search was conducted to identify relevant studies on COPD among African American adults aged 40–65 in the United States.</w:t>
      </w:r>
    </w:p>
    <w:p w14:paraId="62BA9C95" w14:textId="77777777" w:rsidR="00CD69CF" w:rsidRPr="00231375" w:rsidRDefault="00CD69CF" w:rsidP="00CD69CF">
      <w:pPr>
        <w:spacing w:after="158"/>
        <w:rPr>
          <w:rFonts w:ascii="Arial" w:hAnsi="Arial" w:cs="Arial"/>
        </w:rPr>
      </w:pPr>
      <w:r w:rsidRPr="00231375">
        <w:rPr>
          <w:rFonts w:ascii="Arial" w:hAnsi="Arial" w:cs="Arial"/>
        </w:rPr>
        <w:t>Three databases were used: PubMed (MEDLINE), Web of Science Core Collection, and Google Scholar.</w:t>
      </w:r>
    </w:p>
    <w:p w14:paraId="2C15E775" w14:textId="77777777" w:rsidR="00CD69CF" w:rsidRDefault="00CD69CF" w:rsidP="00CD69CF">
      <w:pPr>
        <w:spacing w:after="158"/>
        <w:rPr>
          <w:rFonts w:ascii="Arial" w:hAnsi="Arial" w:cs="Arial"/>
        </w:rPr>
      </w:pPr>
      <w:r w:rsidRPr="00231375">
        <w:rPr>
          <w:rFonts w:ascii="Arial" w:hAnsi="Arial" w:cs="Arial"/>
        </w:rPr>
        <w:t>Only studies published in English between 2011 and April 2026 were included to ensure that the evidence was recent and relevant. Where appropriate, additional refinement was applied during screening to focus specifically on middle-aged adults aged 40–65 years, in line with the study population.</w:t>
      </w:r>
    </w:p>
    <w:p w14:paraId="20E748A7" w14:textId="77777777" w:rsidR="008256B7" w:rsidRPr="00231375" w:rsidRDefault="008256B7" w:rsidP="00CD69CF">
      <w:pPr>
        <w:spacing w:after="158"/>
        <w:rPr>
          <w:rFonts w:ascii="Arial" w:hAnsi="Arial" w:cs="Arial"/>
        </w:rPr>
      </w:pPr>
    </w:p>
    <w:p w14:paraId="37C20F28" w14:textId="78FB699F" w:rsidR="00DA1247" w:rsidRPr="00231375" w:rsidRDefault="008256B7" w:rsidP="008256B7">
      <w:pPr>
        <w:spacing w:after="158"/>
        <w:jc w:val="center"/>
        <w:rPr>
          <w:rFonts w:ascii="Arial" w:hAnsi="Arial" w:cs="Arial"/>
        </w:rPr>
      </w:pPr>
      <w:r w:rsidRPr="008256B7">
        <w:rPr>
          <w:rFonts w:ascii="Arial" w:hAnsi="Arial" w:cs="Arial"/>
          <w:b/>
          <w:bCs/>
          <w:sz w:val="26"/>
          <w:szCs w:val="26"/>
        </w:rPr>
        <w:t>Table 3.1: Search Strategy and Terms by Database</w:t>
      </w:r>
    </w:p>
    <w:tbl>
      <w:tblPr>
        <w:tblStyle w:val="TableGrid"/>
        <w:tblW w:w="9634" w:type="dxa"/>
        <w:jc w:val="center"/>
        <w:tblLook w:val="04A0" w:firstRow="1" w:lastRow="0" w:firstColumn="1" w:lastColumn="0" w:noHBand="0" w:noVBand="1"/>
      </w:tblPr>
      <w:tblGrid>
        <w:gridCol w:w="2263"/>
        <w:gridCol w:w="4111"/>
        <w:gridCol w:w="3260"/>
      </w:tblGrid>
      <w:tr w:rsidR="00DA1247" w:rsidRPr="00231375" w14:paraId="1D7AEA9E" w14:textId="77777777" w:rsidTr="00DA1247">
        <w:trPr>
          <w:jc w:val="center"/>
        </w:trPr>
        <w:tc>
          <w:tcPr>
            <w:tcW w:w="2263" w:type="dxa"/>
            <w:shd w:val="clear" w:color="auto" w:fill="D9EAF7"/>
          </w:tcPr>
          <w:p w14:paraId="00D69C64" w14:textId="77777777" w:rsidR="00DA1247" w:rsidRPr="00231375" w:rsidRDefault="00DA1247" w:rsidP="008A1450">
            <w:pPr>
              <w:rPr>
                <w:sz w:val="24"/>
                <w:szCs w:val="24"/>
              </w:rPr>
            </w:pPr>
            <w:r w:rsidRPr="00231375">
              <w:rPr>
                <w:rFonts w:ascii="Aptos" w:hAnsi="Aptos"/>
                <w:b/>
                <w:sz w:val="24"/>
                <w:szCs w:val="24"/>
              </w:rPr>
              <w:t>Source</w:t>
            </w:r>
          </w:p>
        </w:tc>
        <w:tc>
          <w:tcPr>
            <w:tcW w:w="4111" w:type="dxa"/>
            <w:shd w:val="clear" w:color="auto" w:fill="D9EAF7"/>
          </w:tcPr>
          <w:p w14:paraId="443A6459" w14:textId="77777777" w:rsidR="00DA1247" w:rsidRPr="00231375" w:rsidRDefault="00DA1247" w:rsidP="008A1450">
            <w:pPr>
              <w:rPr>
                <w:sz w:val="24"/>
                <w:szCs w:val="24"/>
              </w:rPr>
            </w:pPr>
            <w:r w:rsidRPr="00231375">
              <w:rPr>
                <w:rFonts w:ascii="Aptos" w:hAnsi="Aptos"/>
                <w:b/>
                <w:sz w:val="24"/>
                <w:szCs w:val="24"/>
              </w:rPr>
              <w:t>Search strategy / terms</w:t>
            </w:r>
          </w:p>
        </w:tc>
        <w:tc>
          <w:tcPr>
            <w:tcW w:w="3260" w:type="dxa"/>
            <w:shd w:val="clear" w:color="auto" w:fill="D9EAF7"/>
          </w:tcPr>
          <w:p w14:paraId="0F2870C5" w14:textId="77777777" w:rsidR="00DA1247" w:rsidRPr="00231375" w:rsidRDefault="00DA1247" w:rsidP="008A1450">
            <w:pPr>
              <w:rPr>
                <w:sz w:val="24"/>
                <w:szCs w:val="24"/>
              </w:rPr>
            </w:pPr>
            <w:r w:rsidRPr="00231375">
              <w:rPr>
                <w:rFonts w:ascii="Aptos" w:hAnsi="Aptos"/>
                <w:b/>
                <w:sz w:val="24"/>
                <w:szCs w:val="24"/>
              </w:rPr>
              <w:t>Limits and notes</w:t>
            </w:r>
          </w:p>
        </w:tc>
      </w:tr>
      <w:tr w:rsidR="00DA1247" w:rsidRPr="00231375" w14:paraId="5F81A86D" w14:textId="77777777" w:rsidTr="00DA1247">
        <w:trPr>
          <w:jc w:val="center"/>
        </w:trPr>
        <w:tc>
          <w:tcPr>
            <w:tcW w:w="2263" w:type="dxa"/>
          </w:tcPr>
          <w:p w14:paraId="0F8779F5" w14:textId="77777777" w:rsidR="00DA1247" w:rsidRPr="00231375" w:rsidRDefault="00DA1247" w:rsidP="008A1450">
            <w:pPr>
              <w:rPr>
                <w:sz w:val="24"/>
                <w:szCs w:val="24"/>
              </w:rPr>
            </w:pPr>
            <w:r w:rsidRPr="00231375">
              <w:rPr>
                <w:rFonts w:ascii="Aptos" w:hAnsi="Aptos"/>
                <w:sz w:val="24"/>
                <w:szCs w:val="24"/>
              </w:rPr>
              <w:t>PubMed / MEDLINE</w:t>
            </w:r>
          </w:p>
        </w:tc>
        <w:tc>
          <w:tcPr>
            <w:tcW w:w="4111" w:type="dxa"/>
          </w:tcPr>
          <w:p w14:paraId="5B5E5537" w14:textId="77777777" w:rsidR="00DA1247" w:rsidRPr="00231375" w:rsidRDefault="00DA1247" w:rsidP="008A1450">
            <w:pPr>
              <w:rPr>
                <w:sz w:val="24"/>
                <w:szCs w:val="24"/>
              </w:rPr>
            </w:pPr>
            <w:r w:rsidRPr="00231375">
              <w:rPr>
                <w:rFonts w:ascii="Aptos" w:hAnsi="Aptos"/>
                <w:sz w:val="24"/>
                <w:szCs w:val="24"/>
              </w:rPr>
              <w:t>("COPD" OR "chronic obstructive pulmonary disease" OR "emphysema" OR "chronic bronchitis") AND ("African American" OR "Black" OR "non-Hispanic Black") AND ("United States" OR "USA") AND ("diagnosis" OR "underdiagnosis" OR "spirometry" OR "screening" OR "management" OR "healthcare access" OR "disparities" OR "environmental justice")</w:t>
            </w:r>
          </w:p>
        </w:tc>
        <w:tc>
          <w:tcPr>
            <w:tcW w:w="3260" w:type="dxa"/>
          </w:tcPr>
          <w:p w14:paraId="4CF7F513" w14:textId="3132ECA8" w:rsidR="00DA1247" w:rsidRPr="00231375" w:rsidRDefault="00BB2738" w:rsidP="008A1450">
            <w:pPr>
              <w:rPr>
                <w:sz w:val="24"/>
                <w:szCs w:val="24"/>
              </w:rPr>
            </w:pPr>
            <w:r w:rsidRPr="00BB2738">
              <w:rPr>
                <w:rFonts w:ascii="Aptos" w:hAnsi="Aptos"/>
                <w:sz w:val="24"/>
                <w:szCs w:val="24"/>
                <w:lang w:val="en-GB"/>
              </w:rPr>
              <w:t>English-language studies; publication date limited to 1 January 2011–12 April 2026. Final search conducted on 12 April 2026. Records retrieved from this database were included in the PRISMA identification total.</w:t>
            </w:r>
          </w:p>
        </w:tc>
      </w:tr>
      <w:tr w:rsidR="00DA1247" w:rsidRPr="00231375" w14:paraId="066A761A" w14:textId="77777777" w:rsidTr="00DA1247">
        <w:trPr>
          <w:jc w:val="center"/>
        </w:trPr>
        <w:tc>
          <w:tcPr>
            <w:tcW w:w="2263" w:type="dxa"/>
          </w:tcPr>
          <w:p w14:paraId="0C27453A" w14:textId="77777777" w:rsidR="00DA1247" w:rsidRPr="00231375" w:rsidRDefault="00DA1247" w:rsidP="008A1450">
            <w:pPr>
              <w:rPr>
                <w:sz w:val="24"/>
                <w:szCs w:val="24"/>
              </w:rPr>
            </w:pPr>
            <w:r w:rsidRPr="00231375">
              <w:rPr>
                <w:rFonts w:ascii="Aptos" w:hAnsi="Aptos"/>
                <w:sz w:val="24"/>
                <w:szCs w:val="24"/>
              </w:rPr>
              <w:t>Web of Science</w:t>
            </w:r>
          </w:p>
        </w:tc>
        <w:tc>
          <w:tcPr>
            <w:tcW w:w="4111" w:type="dxa"/>
          </w:tcPr>
          <w:p w14:paraId="59977D90" w14:textId="77777777" w:rsidR="00DA1247" w:rsidRPr="00231375" w:rsidRDefault="00DA1247" w:rsidP="008A1450">
            <w:pPr>
              <w:rPr>
                <w:sz w:val="24"/>
                <w:szCs w:val="24"/>
              </w:rPr>
            </w:pPr>
            <w:r w:rsidRPr="00231375">
              <w:rPr>
                <w:rFonts w:ascii="Aptos" w:hAnsi="Aptos"/>
                <w:sz w:val="24"/>
                <w:szCs w:val="24"/>
              </w:rPr>
              <w:t xml:space="preserve">COPD OR "chronic obstructive pulmonary disease" AND "African American" OR Black AND United States AND diagnosis OR </w:t>
            </w:r>
            <w:r w:rsidRPr="00231375">
              <w:rPr>
                <w:rFonts w:ascii="Aptos" w:hAnsi="Aptos"/>
                <w:sz w:val="24"/>
                <w:szCs w:val="24"/>
              </w:rPr>
              <w:lastRenderedPageBreak/>
              <w:t>management OR disparities OR spirometry OR environmental justice</w:t>
            </w:r>
          </w:p>
        </w:tc>
        <w:tc>
          <w:tcPr>
            <w:tcW w:w="3260" w:type="dxa"/>
          </w:tcPr>
          <w:p w14:paraId="23B8DFB2" w14:textId="0E72FEA9" w:rsidR="00DA1247" w:rsidRPr="00231375" w:rsidRDefault="00BB2738" w:rsidP="008A1450">
            <w:pPr>
              <w:rPr>
                <w:sz w:val="24"/>
                <w:szCs w:val="24"/>
              </w:rPr>
            </w:pPr>
            <w:r w:rsidRPr="00BB2738">
              <w:rPr>
                <w:rFonts w:ascii="Aptos" w:hAnsi="Aptos"/>
                <w:sz w:val="24"/>
                <w:szCs w:val="24"/>
                <w:lang w:val="en-GB"/>
              </w:rPr>
              <w:lastRenderedPageBreak/>
              <w:t xml:space="preserve">English-language studies; publication date limited to 1 January 2011–12 April 2026. Final search conducted on 12 April 2026. Records </w:t>
            </w:r>
            <w:r w:rsidRPr="00BB2738">
              <w:rPr>
                <w:rFonts w:ascii="Aptos" w:hAnsi="Aptos"/>
                <w:sz w:val="24"/>
                <w:szCs w:val="24"/>
                <w:lang w:val="en-GB"/>
              </w:rPr>
              <w:lastRenderedPageBreak/>
              <w:t>retrieved from this database were included in the PRISMA identification total.</w:t>
            </w:r>
          </w:p>
        </w:tc>
      </w:tr>
      <w:tr w:rsidR="00DA1247" w:rsidRPr="00231375" w14:paraId="0E879373" w14:textId="77777777" w:rsidTr="00DA1247">
        <w:trPr>
          <w:jc w:val="center"/>
        </w:trPr>
        <w:tc>
          <w:tcPr>
            <w:tcW w:w="2263" w:type="dxa"/>
          </w:tcPr>
          <w:p w14:paraId="3D416D08" w14:textId="77777777" w:rsidR="00DA1247" w:rsidRPr="00231375" w:rsidRDefault="00DA1247" w:rsidP="008A1450">
            <w:pPr>
              <w:rPr>
                <w:sz w:val="24"/>
                <w:szCs w:val="24"/>
              </w:rPr>
            </w:pPr>
            <w:r w:rsidRPr="00231375">
              <w:rPr>
                <w:rFonts w:ascii="Aptos" w:hAnsi="Aptos"/>
                <w:sz w:val="24"/>
                <w:szCs w:val="24"/>
              </w:rPr>
              <w:lastRenderedPageBreak/>
              <w:t>Google Scholar</w:t>
            </w:r>
          </w:p>
        </w:tc>
        <w:tc>
          <w:tcPr>
            <w:tcW w:w="4111" w:type="dxa"/>
          </w:tcPr>
          <w:p w14:paraId="12009E7B" w14:textId="77777777" w:rsidR="00DA1247" w:rsidRPr="00231375" w:rsidRDefault="00DA1247" w:rsidP="008A1450">
            <w:pPr>
              <w:rPr>
                <w:sz w:val="24"/>
                <w:szCs w:val="24"/>
              </w:rPr>
            </w:pPr>
            <w:r w:rsidRPr="00231375">
              <w:rPr>
                <w:rFonts w:ascii="Aptos" w:hAnsi="Aptos"/>
                <w:sz w:val="24"/>
                <w:szCs w:val="24"/>
              </w:rPr>
              <w:t>COPD African American United States underdiagnosis spirometry management disparities environmental justice pulmonary rehabilitation</w:t>
            </w:r>
          </w:p>
        </w:tc>
        <w:tc>
          <w:tcPr>
            <w:tcW w:w="3260" w:type="dxa"/>
          </w:tcPr>
          <w:p w14:paraId="3CCC8E9B" w14:textId="389BAA1E" w:rsidR="00DA1247" w:rsidRPr="00231375" w:rsidRDefault="00BB2738" w:rsidP="008A1450">
            <w:pPr>
              <w:rPr>
                <w:sz w:val="24"/>
                <w:szCs w:val="24"/>
              </w:rPr>
            </w:pPr>
            <w:r w:rsidRPr="00BB2738">
              <w:rPr>
                <w:rFonts w:ascii="Aptos" w:hAnsi="Aptos"/>
                <w:sz w:val="24"/>
                <w:szCs w:val="24"/>
                <w:lang w:val="en-GB"/>
              </w:rPr>
              <w:t>English-language results prioritised. The first 10 Google Scholar results pages were screened. Final search conducted on 12 April 2026. Relevant records were included in the PRISMA identification total.</w:t>
            </w:r>
          </w:p>
        </w:tc>
      </w:tr>
    </w:tbl>
    <w:p w14:paraId="7674FB38" w14:textId="77777777" w:rsidR="00DA1247" w:rsidRPr="00231375" w:rsidRDefault="00DA1247" w:rsidP="00CD69CF">
      <w:pPr>
        <w:spacing w:after="158"/>
        <w:rPr>
          <w:rFonts w:ascii="Arial" w:hAnsi="Arial" w:cs="Arial"/>
        </w:rPr>
      </w:pPr>
    </w:p>
    <w:p w14:paraId="29581A9A" w14:textId="77777777" w:rsidR="00CD69CF" w:rsidRPr="00231375" w:rsidRDefault="00CD69CF" w:rsidP="00CD69CF">
      <w:pPr>
        <w:spacing w:after="158"/>
        <w:rPr>
          <w:rFonts w:ascii="Arial" w:hAnsi="Arial" w:cs="Arial"/>
        </w:rPr>
      </w:pPr>
    </w:p>
    <w:p w14:paraId="5F5D397C" w14:textId="77777777" w:rsidR="00CD69CF" w:rsidRPr="00231375" w:rsidRDefault="00CD69CF" w:rsidP="00CD69CF">
      <w:pPr>
        <w:spacing w:after="158"/>
        <w:rPr>
          <w:rFonts w:ascii="Arial" w:hAnsi="Arial" w:cs="Arial"/>
          <w:b/>
          <w:bCs/>
        </w:rPr>
      </w:pPr>
      <w:r w:rsidRPr="00231375">
        <w:rPr>
          <w:rFonts w:ascii="Arial" w:hAnsi="Arial" w:cs="Arial"/>
          <w:b/>
          <w:bCs/>
        </w:rPr>
        <w:t>Example search string (PubMed):</w:t>
      </w:r>
    </w:p>
    <w:p w14:paraId="16733CEA" w14:textId="77777777" w:rsidR="00CD69CF" w:rsidRPr="00231375" w:rsidRDefault="00CD69CF" w:rsidP="00CD69CF">
      <w:pPr>
        <w:spacing w:after="158"/>
        <w:rPr>
          <w:rFonts w:ascii="Arial" w:hAnsi="Arial" w:cs="Arial"/>
        </w:rPr>
      </w:pPr>
      <w:r w:rsidRPr="00231375">
        <w:rPr>
          <w:rFonts w:ascii="Arial" w:hAnsi="Arial" w:cs="Arial"/>
        </w:rPr>
        <w:t>(“COPD” OR “chronic obstructive pulmonary disease” OR “emphysema” OR “chronic bronchitis”) AND (“African American” OR “Black” OR “non-Hispanic Black”) AND (“United States” OR “USA”) AND (“diagnosis” OR “underdiagnosis” OR “spirometry” OR “screening” OR “management” OR “healthcare access” OR “disparities” OR “environmental justice”)</w:t>
      </w:r>
    </w:p>
    <w:p w14:paraId="5DF4A1F1" w14:textId="77777777" w:rsidR="00CD69CF" w:rsidRPr="00231375" w:rsidRDefault="00CD69CF" w:rsidP="00CD69CF">
      <w:pPr>
        <w:spacing w:after="158"/>
        <w:rPr>
          <w:rFonts w:ascii="Arial" w:hAnsi="Arial" w:cs="Arial"/>
        </w:rPr>
      </w:pPr>
    </w:p>
    <w:p w14:paraId="30B219BC" w14:textId="77777777" w:rsidR="00180F86" w:rsidRDefault="001629A1" w:rsidP="00CD69CF">
      <w:pPr>
        <w:spacing w:after="158"/>
        <w:rPr>
          <w:rFonts w:ascii="Arial" w:hAnsi="Arial" w:cs="Arial"/>
        </w:rPr>
      </w:pPr>
      <w:r w:rsidRPr="00180F86">
        <w:rPr>
          <w:rFonts w:ascii="Arial" w:hAnsi="Arial" w:cs="Arial"/>
          <w:b/>
          <w:bCs/>
          <w:sz w:val="24"/>
          <w:szCs w:val="24"/>
        </w:rPr>
        <w:t xml:space="preserve">3.4 </w:t>
      </w:r>
      <w:r w:rsidR="00CD69CF" w:rsidRPr="00180F86">
        <w:rPr>
          <w:rFonts w:ascii="Arial" w:hAnsi="Arial" w:cs="Arial"/>
          <w:b/>
          <w:bCs/>
          <w:sz w:val="24"/>
          <w:szCs w:val="24"/>
        </w:rPr>
        <w:t>Search management assumptions</w:t>
      </w:r>
    </w:p>
    <w:p w14:paraId="0CF57897" w14:textId="3CB96DB2" w:rsidR="00CD69CF" w:rsidRPr="00231375" w:rsidRDefault="00CD69CF" w:rsidP="00CD69CF">
      <w:pPr>
        <w:spacing w:after="158"/>
        <w:rPr>
          <w:rFonts w:ascii="Arial" w:hAnsi="Arial" w:cs="Arial"/>
          <w:b/>
          <w:bCs/>
        </w:rPr>
      </w:pPr>
      <w:r w:rsidRPr="00231375">
        <w:rPr>
          <w:rFonts w:ascii="Arial" w:hAnsi="Arial" w:cs="Arial"/>
        </w:rPr>
        <w:br/>
        <w:t xml:space="preserve">All identified records </w:t>
      </w:r>
      <w:r w:rsidR="00AF1AE5">
        <w:rPr>
          <w:rFonts w:ascii="Arial" w:hAnsi="Arial" w:cs="Arial"/>
        </w:rPr>
        <w:t>w</w:t>
      </w:r>
      <w:r w:rsidR="00BB486C">
        <w:rPr>
          <w:rFonts w:ascii="Arial" w:hAnsi="Arial" w:cs="Arial"/>
        </w:rPr>
        <w:t>ere</w:t>
      </w:r>
      <w:r w:rsidRPr="00231375">
        <w:rPr>
          <w:rFonts w:ascii="Arial" w:hAnsi="Arial" w:cs="Arial"/>
        </w:rPr>
        <w:t xml:space="preserve"> exported in RIS format and imported into a reference management software such as Zotero or EndNote for organisation and removal of duplicate studies. The screening process </w:t>
      </w:r>
      <w:r w:rsidR="00AF1AE5">
        <w:rPr>
          <w:rFonts w:ascii="Arial" w:hAnsi="Arial" w:cs="Arial"/>
        </w:rPr>
        <w:t>was</w:t>
      </w:r>
      <w:r w:rsidRPr="00231375">
        <w:rPr>
          <w:rFonts w:ascii="Arial" w:hAnsi="Arial" w:cs="Arial"/>
        </w:rPr>
        <w:t xml:space="preserve"> conducted using Rayyan (or similar software), which allows for independent (blind) screening by reviewers and supports conflict resolution where disagreements occur (Ouzzani et al., 2016). The final search date </w:t>
      </w:r>
      <w:r w:rsidR="00AF1AE5">
        <w:rPr>
          <w:rFonts w:ascii="Arial" w:hAnsi="Arial" w:cs="Arial"/>
        </w:rPr>
        <w:t>was</w:t>
      </w:r>
      <w:r w:rsidRPr="00231375">
        <w:rPr>
          <w:rFonts w:ascii="Arial" w:hAnsi="Arial" w:cs="Arial"/>
        </w:rPr>
        <w:t xml:space="preserve"> clearly reported to ensure transparency and reproducibility of the search process (Page et al., 2021).</w:t>
      </w:r>
    </w:p>
    <w:p w14:paraId="401FEAC2" w14:textId="77777777" w:rsidR="00CD69CF" w:rsidRPr="00231375" w:rsidRDefault="00CD69CF" w:rsidP="00CD69CF">
      <w:pPr>
        <w:spacing w:after="158"/>
        <w:rPr>
          <w:rFonts w:ascii="Arial" w:hAnsi="Arial" w:cs="Arial"/>
        </w:rPr>
      </w:pPr>
    </w:p>
    <w:p w14:paraId="6E02AC93" w14:textId="77A38181" w:rsidR="00180F86" w:rsidRPr="00180F86" w:rsidRDefault="001629A1" w:rsidP="00CD69CF">
      <w:pPr>
        <w:spacing w:after="158"/>
        <w:rPr>
          <w:rFonts w:ascii="Arial" w:hAnsi="Arial" w:cs="Arial"/>
          <w:b/>
          <w:bCs/>
          <w:sz w:val="24"/>
          <w:szCs w:val="24"/>
        </w:rPr>
      </w:pPr>
      <w:r w:rsidRPr="00180F86">
        <w:rPr>
          <w:rFonts w:ascii="Arial" w:hAnsi="Arial" w:cs="Arial"/>
          <w:b/>
          <w:bCs/>
          <w:sz w:val="24"/>
          <w:szCs w:val="24"/>
        </w:rPr>
        <w:t xml:space="preserve">3.5 </w:t>
      </w:r>
      <w:r w:rsidR="00CD69CF" w:rsidRPr="00180F86">
        <w:rPr>
          <w:rFonts w:ascii="Arial" w:hAnsi="Arial" w:cs="Arial"/>
          <w:b/>
          <w:bCs/>
          <w:sz w:val="24"/>
          <w:szCs w:val="24"/>
        </w:rPr>
        <w:t>Inclusion and exclusion criteria</w:t>
      </w:r>
    </w:p>
    <w:p w14:paraId="7468C857" w14:textId="073A5627" w:rsidR="00CD69CF" w:rsidRPr="00231375" w:rsidRDefault="00CD69CF" w:rsidP="00CD69CF">
      <w:pPr>
        <w:spacing w:after="158"/>
        <w:rPr>
          <w:rFonts w:ascii="Arial" w:hAnsi="Arial" w:cs="Arial"/>
        </w:rPr>
      </w:pPr>
      <w:r w:rsidRPr="00231375">
        <w:rPr>
          <w:rFonts w:ascii="Arial" w:hAnsi="Arial" w:cs="Arial"/>
        </w:rPr>
        <w:t>The inclusion and exclusion criteria for this study are based on the PICOS framework (Population, Intervention/Exposure, Comparator, Outcomes, and Study Design). This approach ensures consistency during the screening process and supports transparent, PRISMA-compliant reporting of study selection (Page et al., 2021; Higgins et al., 2019).</w:t>
      </w:r>
    </w:p>
    <w:p w14:paraId="72DAAEA8" w14:textId="77777777" w:rsidR="00CD69CF" w:rsidRPr="00231375" w:rsidRDefault="00CD69CF" w:rsidP="00CD69CF">
      <w:pPr>
        <w:spacing w:after="158"/>
        <w:rPr>
          <w:rFonts w:ascii="Arial" w:hAnsi="Arial" w:cs="Arial"/>
        </w:rPr>
      </w:pPr>
    </w:p>
    <w:p w14:paraId="4A6B6961" w14:textId="725CBE99" w:rsidR="00CD69CF" w:rsidRPr="00231375" w:rsidRDefault="001629A1" w:rsidP="00CD69CF">
      <w:pPr>
        <w:spacing w:after="158"/>
        <w:rPr>
          <w:rFonts w:ascii="Arial" w:hAnsi="Arial" w:cs="Arial"/>
          <w:b/>
          <w:bCs/>
        </w:rPr>
      </w:pPr>
      <w:r w:rsidRPr="00231375">
        <w:rPr>
          <w:rFonts w:ascii="Arial" w:hAnsi="Arial" w:cs="Arial"/>
          <w:b/>
          <w:bCs/>
        </w:rPr>
        <w:t xml:space="preserve">3.5.1 </w:t>
      </w:r>
      <w:r w:rsidR="00CD69CF" w:rsidRPr="00231375">
        <w:rPr>
          <w:rFonts w:ascii="Arial" w:hAnsi="Arial" w:cs="Arial"/>
          <w:b/>
          <w:bCs/>
        </w:rPr>
        <w:t>PICOS eligibility framework</w:t>
      </w:r>
    </w:p>
    <w:p w14:paraId="15B67BF1" w14:textId="0047BFCB" w:rsidR="00CD69CF" w:rsidRPr="00231375" w:rsidRDefault="00CD69CF" w:rsidP="00CD69CF">
      <w:pPr>
        <w:spacing w:after="158"/>
        <w:rPr>
          <w:rFonts w:ascii="Arial" w:hAnsi="Arial" w:cs="Arial"/>
        </w:rPr>
      </w:pPr>
      <w:r w:rsidRPr="00231375">
        <w:rPr>
          <w:rFonts w:ascii="Arial" w:hAnsi="Arial" w:cs="Arial"/>
          <w:b/>
          <w:bCs/>
        </w:rPr>
        <w:t>Population (P)</w:t>
      </w:r>
      <w:r w:rsidRPr="00231375">
        <w:rPr>
          <w:rFonts w:ascii="Arial" w:hAnsi="Arial" w:cs="Arial"/>
        </w:rPr>
        <w:br/>
      </w:r>
      <w:r w:rsidR="00BF47CB" w:rsidRPr="00BF47CB">
        <w:rPr>
          <w:rFonts w:ascii="Arial" w:hAnsi="Arial" w:cs="Arial"/>
        </w:rPr>
        <w:t>Studies were required to include African American or non-Hispanic Black adults living in the United States, with evidence relevant to ages 40–65</w:t>
      </w:r>
      <w:r w:rsidRPr="00231375">
        <w:rPr>
          <w:rFonts w:ascii="Arial" w:hAnsi="Arial" w:cs="Arial"/>
        </w:rPr>
        <w:t xml:space="preserve">. Studies </w:t>
      </w:r>
      <w:r w:rsidR="00AF1AE5">
        <w:rPr>
          <w:rFonts w:ascii="Arial" w:hAnsi="Arial" w:cs="Arial"/>
        </w:rPr>
        <w:t>w</w:t>
      </w:r>
      <w:r w:rsidR="00BB486C">
        <w:rPr>
          <w:rFonts w:ascii="Arial" w:hAnsi="Arial" w:cs="Arial"/>
        </w:rPr>
        <w:t>ere</w:t>
      </w:r>
      <w:r w:rsidRPr="00231375">
        <w:rPr>
          <w:rFonts w:ascii="Arial" w:hAnsi="Arial" w:cs="Arial"/>
        </w:rPr>
        <w:t xml:space="preserve"> eligible if they (a) restrict participants to 40–65, or (b) include broader adult samples but provide extractable age-stratified results for the midlife band. If age-stratified results are unavailable, studies may still be included when the sample’s mean/median age and dispersion plausibly centre on midlife </w:t>
      </w:r>
      <w:r w:rsidRPr="00231375">
        <w:rPr>
          <w:rFonts w:ascii="Arial" w:hAnsi="Arial" w:cs="Arial"/>
          <w:i/>
          <w:iCs/>
        </w:rPr>
        <w:t>and</w:t>
      </w:r>
      <w:r w:rsidRPr="00231375">
        <w:rPr>
          <w:rFonts w:ascii="Arial" w:hAnsi="Arial" w:cs="Arial"/>
        </w:rPr>
        <w:t xml:space="preserve"> the authors frame findings as relevant to working-age/middle-aged adults; this decision </w:t>
      </w:r>
      <w:r w:rsidR="00AF1AE5">
        <w:rPr>
          <w:rFonts w:ascii="Arial" w:hAnsi="Arial" w:cs="Arial"/>
        </w:rPr>
        <w:t>was</w:t>
      </w:r>
      <w:r w:rsidRPr="00231375">
        <w:rPr>
          <w:rFonts w:ascii="Arial" w:hAnsi="Arial" w:cs="Arial"/>
        </w:rPr>
        <w:t xml:space="preserve"> justified at full-text screening and recorded.</w:t>
      </w:r>
    </w:p>
    <w:p w14:paraId="14BD8DE4" w14:textId="77777777" w:rsidR="00CD69CF" w:rsidRPr="00231375" w:rsidRDefault="00CD69CF" w:rsidP="00CD69CF">
      <w:pPr>
        <w:spacing w:after="158"/>
        <w:rPr>
          <w:rFonts w:ascii="Arial" w:hAnsi="Arial" w:cs="Arial"/>
        </w:rPr>
      </w:pPr>
    </w:p>
    <w:p w14:paraId="46F9264A" w14:textId="77777777" w:rsidR="00CD69CF" w:rsidRPr="00231375" w:rsidRDefault="00CD69CF" w:rsidP="00CD69CF">
      <w:pPr>
        <w:spacing w:after="158"/>
        <w:rPr>
          <w:rFonts w:ascii="Arial" w:hAnsi="Arial" w:cs="Arial"/>
        </w:rPr>
      </w:pPr>
      <w:r w:rsidRPr="00231375">
        <w:rPr>
          <w:rFonts w:ascii="Arial" w:hAnsi="Arial" w:cs="Arial"/>
          <w:b/>
          <w:bCs/>
        </w:rPr>
        <w:t>Intervention/Exposure</w:t>
      </w:r>
      <w:r w:rsidRPr="00231375">
        <w:rPr>
          <w:rFonts w:ascii="Arial" w:hAnsi="Arial" w:cs="Arial"/>
        </w:rPr>
        <w:br/>
        <w:t>Any exposure, programme or system feature relevant to COPD inequities, including awareness and knowledge, case-finding/screening, diagnostic processes and spirometry thresholds, environmental and occupational exposures, healthcare access and management (including pulmonary rehabilitation), and structural determinants such as neighbourhood disadvantage, segregation and environmental justice burden (Mamary </w:t>
      </w:r>
      <w:r w:rsidRPr="00231375">
        <w:rPr>
          <w:rFonts w:ascii="Arial" w:hAnsi="Arial" w:cs="Arial"/>
          <w:i/>
          <w:iCs/>
        </w:rPr>
        <w:t>et al.</w:t>
      </w:r>
      <w:r w:rsidRPr="00231375">
        <w:rPr>
          <w:rFonts w:ascii="Arial" w:hAnsi="Arial" w:cs="Arial"/>
        </w:rPr>
        <w:t>, 2018; Regan </w:t>
      </w:r>
      <w:r w:rsidRPr="00231375">
        <w:rPr>
          <w:rFonts w:ascii="Arial" w:hAnsi="Arial" w:cs="Arial"/>
          <w:i/>
          <w:iCs/>
        </w:rPr>
        <w:t>et al.</w:t>
      </w:r>
      <w:r w:rsidRPr="00231375">
        <w:rPr>
          <w:rFonts w:ascii="Arial" w:hAnsi="Arial" w:cs="Arial"/>
        </w:rPr>
        <w:t>, 2023; Doney </w:t>
      </w:r>
      <w:r w:rsidRPr="00231375">
        <w:rPr>
          <w:rFonts w:ascii="Arial" w:hAnsi="Arial" w:cs="Arial"/>
          <w:i/>
          <w:iCs/>
        </w:rPr>
        <w:t>et al.</w:t>
      </w:r>
      <w:r w:rsidRPr="00231375">
        <w:rPr>
          <w:rFonts w:ascii="Arial" w:hAnsi="Arial" w:cs="Arial"/>
        </w:rPr>
        <w:t>, 2014; Woo </w:t>
      </w:r>
      <w:r w:rsidRPr="00231375">
        <w:rPr>
          <w:rFonts w:ascii="Arial" w:hAnsi="Arial" w:cs="Arial"/>
          <w:i/>
          <w:iCs/>
        </w:rPr>
        <w:t>et al.</w:t>
      </w:r>
      <w:r w:rsidRPr="00231375">
        <w:rPr>
          <w:rFonts w:ascii="Arial" w:hAnsi="Arial" w:cs="Arial"/>
        </w:rPr>
        <w:t>, 2021; Spitzer </w:t>
      </w:r>
      <w:r w:rsidRPr="00231375">
        <w:rPr>
          <w:rFonts w:ascii="Arial" w:hAnsi="Arial" w:cs="Arial"/>
          <w:i/>
          <w:iCs/>
        </w:rPr>
        <w:t>et al.</w:t>
      </w:r>
      <w:r w:rsidRPr="00231375">
        <w:rPr>
          <w:rFonts w:ascii="Arial" w:hAnsi="Arial" w:cs="Arial"/>
        </w:rPr>
        <w:t>, 2020; Khadke </w:t>
      </w:r>
      <w:r w:rsidRPr="00231375">
        <w:rPr>
          <w:rFonts w:ascii="Arial" w:hAnsi="Arial" w:cs="Arial"/>
          <w:i/>
          <w:iCs/>
        </w:rPr>
        <w:t>et al.</w:t>
      </w:r>
      <w:r w:rsidRPr="00231375">
        <w:rPr>
          <w:rFonts w:ascii="Arial" w:hAnsi="Arial" w:cs="Arial"/>
        </w:rPr>
        <w:t>, 2025).</w:t>
      </w:r>
    </w:p>
    <w:p w14:paraId="5F3EC324" w14:textId="77777777" w:rsidR="00CD69CF" w:rsidRPr="00231375" w:rsidRDefault="00CD69CF" w:rsidP="00CD69CF">
      <w:pPr>
        <w:spacing w:after="158"/>
        <w:rPr>
          <w:rFonts w:ascii="Arial" w:hAnsi="Arial" w:cs="Arial"/>
        </w:rPr>
      </w:pPr>
    </w:p>
    <w:p w14:paraId="05D12941" w14:textId="2995ABE3" w:rsidR="00CD69CF" w:rsidRPr="00231375" w:rsidRDefault="00CD69CF" w:rsidP="00CD69CF">
      <w:pPr>
        <w:spacing w:after="158"/>
        <w:rPr>
          <w:rFonts w:ascii="Arial" w:hAnsi="Arial" w:cs="Arial"/>
        </w:rPr>
      </w:pPr>
      <w:r w:rsidRPr="00231375">
        <w:rPr>
          <w:rFonts w:ascii="Arial" w:hAnsi="Arial" w:cs="Arial"/>
          <w:b/>
          <w:bCs/>
        </w:rPr>
        <w:t>Comparator (C)</w:t>
      </w:r>
      <w:r w:rsidRPr="00231375">
        <w:rPr>
          <w:rFonts w:ascii="Arial" w:hAnsi="Arial" w:cs="Arial"/>
        </w:rPr>
        <w:br/>
      </w:r>
      <w:r w:rsidR="00BF47CB" w:rsidRPr="00BF47CB">
        <w:rPr>
          <w:rFonts w:ascii="Arial" w:hAnsi="Arial" w:cs="Arial"/>
        </w:rPr>
        <w:t>A comparator was not required. Where present, comparators included non-Hispanic White groups, higher versus lower disadvantage or segregation contexts, different insurance/access conditions, or geographical access comparisons.</w:t>
      </w:r>
    </w:p>
    <w:p w14:paraId="442848AD" w14:textId="77777777" w:rsidR="00CD69CF" w:rsidRPr="00231375" w:rsidRDefault="00CD69CF" w:rsidP="00CD69CF">
      <w:pPr>
        <w:spacing w:after="158"/>
        <w:rPr>
          <w:rFonts w:ascii="Arial" w:hAnsi="Arial" w:cs="Arial"/>
        </w:rPr>
      </w:pPr>
    </w:p>
    <w:p w14:paraId="5878F92D" w14:textId="77777777" w:rsidR="00CD69CF" w:rsidRPr="00231375" w:rsidRDefault="00CD69CF" w:rsidP="00CD69CF">
      <w:pPr>
        <w:spacing w:after="158"/>
        <w:rPr>
          <w:rFonts w:ascii="Arial" w:hAnsi="Arial" w:cs="Arial"/>
        </w:rPr>
      </w:pPr>
      <w:r w:rsidRPr="00231375">
        <w:rPr>
          <w:rFonts w:ascii="Arial" w:hAnsi="Arial" w:cs="Arial"/>
          <w:b/>
          <w:bCs/>
        </w:rPr>
        <w:t>Outcomes (O)</w:t>
      </w:r>
      <w:r w:rsidRPr="00231375">
        <w:rPr>
          <w:rFonts w:ascii="Arial" w:hAnsi="Arial" w:cs="Arial"/>
        </w:rPr>
        <w:br/>
        <w:t>At least one outcome relating to: (i) COPD burden (prevalence, symptoms, exacerbations, admissions), (ii) awareness and diagnosis (underdiagnosis, spirometry use, diagnostic classification), (iii) management (referral, uptake and engagement in pulmonary rehabilitation; treatment access), or (iv) structural exposure measures linked to COPD outcomes (Mamary </w:t>
      </w:r>
      <w:r w:rsidRPr="00231375">
        <w:rPr>
          <w:rFonts w:ascii="Arial" w:hAnsi="Arial" w:cs="Arial"/>
          <w:i/>
          <w:iCs/>
        </w:rPr>
        <w:t>et al.</w:t>
      </w:r>
      <w:r w:rsidRPr="00231375">
        <w:rPr>
          <w:rFonts w:ascii="Arial" w:hAnsi="Arial" w:cs="Arial"/>
        </w:rPr>
        <w:t>, 2018; Woo </w:t>
      </w:r>
      <w:r w:rsidRPr="00231375">
        <w:rPr>
          <w:rFonts w:ascii="Arial" w:hAnsi="Arial" w:cs="Arial"/>
          <w:i/>
          <w:iCs/>
        </w:rPr>
        <w:t>et al.</w:t>
      </w:r>
      <w:r w:rsidRPr="00231375">
        <w:rPr>
          <w:rFonts w:ascii="Arial" w:hAnsi="Arial" w:cs="Arial"/>
        </w:rPr>
        <w:t>, 2021; Spitzer </w:t>
      </w:r>
      <w:r w:rsidRPr="00231375">
        <w:rPr>
          <w:rFonts w:ascii="Arial" w:hAnsi="Arial" w:cs="Arial"/>
          <w:i/>
          <w:iCs/>
        </w:rPr>
        <w:t>et al.</w:t>
      </w:r>
      <w:r w:rsidRPr="00231375">
        <w:rPr>
          <w:rFonts w:ascii="Arial" w:hAnsi="Arial" w:cs="Arial"/>
        </w:rPr>
        <w:t>, 2020).</w:t>
      </w:r>
    </w:p>
    <w:p w14:paraId="33FC1581" w14:textId="77777777" w:rsidR="00CD69CF" w:rsidRPr="00231375" w:rsidRDefault="00CD69CF" w:rsidP="00CD69CF">
      <w:pPr>
        <w:spacing w:after="158"/>
        <w:rPr>
          <w:rFonts w:ascii="Arial" w:hAnsi="Arial" w:cs="Arial"/>
        </w:rPr>
      </w:pPr>
    </w:p>
    <w:p w14:paraId="79587825" w14:textId="2631CF53" w:rsidR="00A076FB" w:rsidRDefault="00CD69CF" w:rsidP="00CD69CF">
      <w:pPr>
        <w:spacing w:after="158"/>
        <w:rPr>
          <w:rFonts w:ascii="Arial" w:hAnsi="Arial" w:cs="Arial"/>
        </w:rPr>
      </w:pPr>
      <w:r w:rsidRPr="00231375">
        <w:rPr>
          <w:rFonts w:ascii="Arial" w:hAnsi="Arial" w:cs="Arial"/>
          <w:b/>
          <w:bCs/>
        </w:rPr>
        <w:t>Study design (S)</w:t>
      </w:r>
      <w:r w:rsidRPr="00231375">
        <w:rPr>
          <w:rFonts w:ascii="Arial" w:hAnsi="Arial" w:cs="Arial"/>
        </w:rPr>
        <w:br/>
        <w:t xml:space="preserve">Cohort studies, cross-sectional studies, case-control studies, claims/administrative analyses, ecological/neighbourhood analyses, mixed-methods studies and community-based studies </w:t>
      </w:r>
      <w:r w:rsidR="00AF1AE5">
        <w:rPr>
          <w:rFonts w:ascii="Arial" w:hAnsi="Arial" w:cs="Arial"/>
        </w:rPr>
        <w:t>w</w:t>
      </w:r>
      <w:r w:rsidR="00BB486C">
        <w:rPr>
          <w:rFonts w:ascii="Arial" w:hAnsi="Arial" w:cs="Arial"/>
        </w:rPr>
        <w:t>ere</w:t>
      </w:r>
      <w:r w:rsidRPr="00231375">
        <w:rPr>
          <w:rFonts w:ascii="Arial" w:hAnsi="Arial" w:cs="Arial"/>
        </w:rPr>
        <w:t xml:space="preserve"> eligible. </w:t>
      </w:r>
      <w:r w:rsidR="00BF47CB" w:rsidRPr="00BF47CB">
        <w:rPr>
          <w:rFonts w:ascii="Arial" w:hAnsi="Arial" w:cs="Arial"/>
        </w:rPr>
        <w:t>Systematic and scoping reviews were included for contextual mapping and gap identification where relevant, but they did not substitute for primary evidence and were clearly labelled</w:t>
      </w:r>
      <w:r w:rsidR="00BF47CB">
        <w:rPr>
          <w:rFonts w:ascii="Arial" w:hAnsi="Arial" w:cs="Arial"/>
        </w:rPr>
        <w:t xml:space="preserve"> </w:t>
      </w:r>
      <w:r w:rsidRPr="00231375">
        <w:rPr>
          <w:rFonts w:ascii="Arial" w:hAnsi="Arial" w:cs="Arial"/>
        </w:rPr>
        <w:t>(Rea </w:t>
      </w:r>
      <w:r w:rsidRPr="00231375">
        <w:rPr>
          <w:rFonts w:ascii="Arial" w:hAnsi="Arial" w:cs="Arial"/>
          <w:i/>
          <w:iCs/>
        </w:rPr>
        <w:t>et al.</w:t>
      </w:r>
      <w:r w:rsidRPr="00231375">
        <w:rPr>
          <w:rFonts w:ascii="Arial" w:hAnsi="Arial" w:cs="Arial"/>
        </w:rPr>
        <w:t>, 2024; CASP, 2022).</w:t>
      </w:r>
    </w:p>
    <w:p w14:paraId="64697A54" w14:textId="77777777" w:rsidR="008256B7" w:rsidRPr="00231375" w:rsidRDefault="008256B7" w:rsidP="00CD69CF">
      <w:pPr>
        <w:spacing w:after="158"/>
        <w:rPr>
          <w:rFonts w:ascii="Arial" w:hAnsi="Arial" w:cs="Arial"/>
        </w:rPr>
      </w:pPr>
    </w:p>
    <w:p w14:paraId="4D61E76B" w14:textId="74611CE9" w:rsidR="00A076FB" w:rsidRPr="008256B7" w:rsidRDefault="008256B7" w:rsidP="008256B7">
      <w:pPr>
        <w:spacing w:after="158"/>
        <w:jc w:val="center"/>
        <w:rPr>
          <w:rFonts w:ascii="Arial" w:hAnsi="Arial" w:cs="Arial"/>
          <w:b/>
          <w:bCs/>
          <w:sz w:val="26"/>
          <w:szCs w:val="26"/>
        </w:rPr>
      </w:pPr>
      <w:r w:rsidRPr="008256B7">
        <w:rPr>
          <w:rFonts w:ascii="Arial" w:hAnsi="Arial" w:cs="Arial"/>
          <w:b/>
          <w:bCs/>
          <w:sz w:val="26"/>
          <w:szCs w:val="26"/>
        </w:rPr>
        <w:t>Table 3.2: PICOS Eligibility Framework</w:t>
      </w:r>
    </w:p>
    <w:tbl>
      <w:tblPr>
        <w:tblStyle w:val="TableGrid"/>
        <w:tblW w:w="9634" w:type="dxa"/>
        <w:jc w:val="center"/>
        <w:tblLook w:val="04A0" w:firstRow="1" w:lastRow="0" w:firstColumn="1" w:lastColumn="0" w:noHBand="0" w:noVBand="1"/>
      </w:tblPr>
      <w:tblGrid>
        <w:gridCol w:w="2830"/>
        <w:gridCol w:w="6804"/>
      </w:tblGrid>
      <w:tr w:rsidR="00A076FB" w:rsidRPr="00231375" w14:paraId="4C85ECBF" w14:textId="77777777" w:rsidTr="00DA0112">
        <w:trPr>
          <w:trHeight w:val="841"/>
          <w:jc w:val="center"/>
        </w:trPr>
        <w:tc>
          <w:tcPr>
            <w:tcW w:w="2830" w:type="dxa"/>
            <w:shd w:val="clear" w:color="auto" w:fill="D9EAF7"/>
          </w:tcPr>
          <w:p w14:paraId="1C79F723" w14:textId="77777777" w:rsidR="00A076FB" w:rsidRPr="00231375" w:rsidRDefault="00A076FB" w:rsidP="008A1450">
            <w:pPr>
              <w:rPr>
                <w:rFonts w:ascii="Arial" w:hAnsi="Arial" w:cs="Arial"/>
                <w:sz w:val="26"/>
                <w:szCs w:val="26"/>
              </w:rPr>
            </w:pPr>
            <w:r w:rsidRPr="00231375">
              <w:rPr>
                <w:rFonts w:ascii="Arial" w:hAnsi="Arial" w:cs="Arial"/>
                <w:b/>
                <w:sz w:val="26"/>
                <w:szCs w:val="26"/>
              </w:rPr>
              <w:t>PICOS element</w:t>
            </w:r>
          </w:p>
        </w:tc>
        <w:tc>
          <w:tcPr>
            <w:tcW w:w="6804" w:type="dxa"/>
            <w:shd w:val="clear" w:color="auto" w:fill="DEEAF6" w:themeFill="accent5" w:themeFillTint="33"/>
          </w:tcPr>
          <w:p w14:paraId="0E0AB9C8" w14:textId="77777777" w:rsidR="00A076FB" w:rsidRPr="00231375" w:rsidRDefault="00A076FB" w:rsidP="008A1450">
            <w:pPr>
              <w:rPr>
                <w:rFonts w:ascii="Arial" w:hAnsi="Arial" w:cs="Arial"/>
                <w:sz w:val="26"/>
                <w:szCs w:val="26"/>
              </w:rPr>
            </w:pPr>
            <w:r w:rsidRPr="00231375">
              <w:rPr>
                <w:rFonts w:ascii="Arial" w:hAnsi="Arial" w:cs="Arial"/>
                <w:b/>
                <w:sz w:val="26"/>
                <w:szCs w:val="26"/>
              </w:rPr>
              <w:t>Dissertation-specific criteria</w:t>
            </w:r>
          </w:p>
        </w:tc>
      </w:tr>
      <w:tr w:rsidR="00A076FB" w:rsidRPr="00231375" w14:paraId="12E7C0B2" w14:textId="77777777" w:rsidTr="00DA1247">
        <w:trPr>
          <w:jc w:val="center"/>
        </w:trPr>
        <w:tc>
          <w:tcPr>
            <w:tcW w:w="2830" w:type="dxa"/>
          </w:tcPr>
          <w:p w14:paraId="48D832FA" w14:textId="77777777" w:rsidR="00A076FB" w:rsidRPr="00231375" w:rsidRDefault="00A076FB" w:rsidP="008A1450">
            <w:pPr>
              <w:rPr>
                <w:rFonts w:ascii="Arial" w:hAnsi="Arial" w:cs="Arial"/>
                <w:sz w:val="24"/>
                <w:szCs w:val="24"/>
              </w:rPr>
            </w:pPr>
            <w:r w:rsidRPr="00231375">
              <w:rPr>
                <w:rFonts w:ascii="Arial" w:hAnsi="Arial" w:cs="Arial"/>
                <w:sz w:val="24"/>
                <w:szCs w:val="24"/>
              </w:rPr>
              <w:t>Population</w:t>
            </w:r>
          </w:p>
        </w:tc>
        <w:tc>
          <w:tcPr>
            <w:tcW w:w="6804" w:type="dxa"/>
          </w:tcPr>
          <w:p w14:paraId="292887A0" w14:textId="77777777" w:rsidR="00A076FB" w:rsidRPr="00231375" w:rsidRDefault="00A076FB" w:rsidP="008A1450">
            <w:pPr>
              <w:rPr>
                <w:rFonts w:ascii="Arial" w:hAnsi="Arial" w:cs="Arial"/>
                <w:sz w:val="24"/>
                <w:szCs w:val="24"/>
              </w:rPr>
            </w:pPr>
            <w:r w:rsidRPr="00231375">
              <w:rPr>
                <w:rFonts w:ascii="Arial" w:hAnsi="Arial" w:cs="Arial"/>
                <w:sz w:val="24"/>
                <w:szCs w:val="24"/>
              </w:rPr>
              <w:t>African American or non-Hispanic Black adults living in the United States, with evidence relevant to ages 40–65. Broader samples may be included only when midlife relevance is extractable or clearly justified.</w:t>
            </w:r>
          </w:p>
        </w:tc>
      </w:tr>
      <w:tr w:rsidR="00A076FB" w:rsidRPr="00231375" w14:paraId="000BFC83" w14:textId="77777777" w:rsidTr="00DA1247">
        <w:trPr>
          <w:jc w:val="center"/>
        </w:trPr>
        <w:tc>
          <w:tcPr>
            <w:tcW w:w="2830" w:type="dxa"/>
          </w:tcPr>
          <w:p w14:paraId="5FD82FA6" w14:textId="77777777" w:rsidR="00A076FB" w:rsidRPr="00231375" w:rsidRDefault="00A076FB" w:rsidP="008A1450">
            <w:pPr>
              <w:rPr>
                <w:rFonts w:ascii="Arial" w:hAnsi="Arial" w:cs="Arial"/>
                <w:sz w:val="24"/>
                <w:szCs w:val="24"/>
              </w:rPr>
            </w:pPr>
            <w:r w:rsidRPr="00231375">
              <w:rPr>
                <w:rFonts w:ascii="Arial" w:hAnsi="Arial" w:cs="Arial"/>
                <w:sz w:val="24"/>
                <w:szCs w:val="24"/>
              </w:rPr>
              <w:t>Intervention / exposure</w:t>
            </w:r>
          </w:p>
        </w:tc>
        <w:tc>
          <w:tcPr>
            <w:tcW w:w="6804" w:type="dxa"/>
          </w:tcPr>
          <w:p w14:paraId="03A8DBFC" w14:textId="77777777" w:rsidR="00A076FB" w:rsidRPr="00231375" w:rsidRDefault="00A076FB" w:rsidP="008A1450">
            <w:pPr>
              <w:rPr>
                <w:rFonts w:ascii="Arial" w:hAnsi="Arial" w:cs="Arial"/>
                <w:sz w:val="24"/>
                <w:szCs w:val="24"/>
              </w:rPr>
            </w:pPr>
            <w:r w:rsidRPr="00231375">
              <w:rPr>
                <w:rFonts w:ascii="Arial" w:hAnsi="Arial" w:cs="Arial"/>
                <w:sz w:val="24"/>
                <w:szCs w:val="24"/>
              </w:rPr>
              <w:t>Awareness, prevention, case-finding, diagnosis, spirometry, environmental/occupational exposure, healthcare access, pulmonary rehabilitation, structural determinants and environmental justice.</w:t>
            </w:r>
          </w:p>
        </w:tc>
      </w:tr>
      <w:tr w:rsidR="00A076FB" w:rsidRPr="00231375" w14:paraId="57344D9A" w14:textId="77777777" w:rsidTr="00DA1247">
        <w:trPr>
          <w:jc w:val="center"/>
        </w:trPr>
        <w:tc>
          <w:tcPr>
            <w:tcW w:w="2830" w:type="dxa"/>
          </w:tcPr>
          <w:p w14:paraId="66E2D646" w14:textId="77777777" w:rsidR="00A076FB" w:rsidRPr="00231375" w:rsidRDefault="00A076FB" w:rsidP="008A1450">
            <w:pPr>
              <w:rPr>
                <w:rFonts w:ascii="Arial" w:hAnsi="Arial" w:cs="Arial"/>
                <w:sz w:val="24"/>
                <w:szCs w:val="24"/>
              </w:rPr>
            </w:pPr>
            <w:r w:rsidRPr="00231375">
              <w:rPr>
                <w:rFonts w:ascii="Arial" w:hAnsi="Arial" w:cs="Arial"/>
                <w:sz w:val="24"/>
                <w:szCs w:val="24"/>
              </w:rPr>
              <w:t>Comparator</w:t>
            </w:r>
          </w:p>
        </w:tc>
        <w:tc>
          <w:tcPr>
            <w:tcW w:w="6804" w:type="dxa"/>
          </w:tcPr>
          <w:p w14:paraId="27432D79" w14:textId="77777777" w:rsidR="00A076FB" w:rsidRPr="00231375" w:rsidRDefault="00A076FB" w:rsidP="008A1450">
            <w:pPr>
              <w:rPr>
                <w:rFonts w:ascii="Arial" w:hAnsi="Arial" w:cs="Arial"/>
                <w:sz w:val="24"/>
                <w:szCs w:val="24"/>
              </w:rPr>
            </w:pPr>
            <w:r w:rsidRPr="00231375">
              <w:rPr>
                <w:rFonts w:ascii="Arial" w:hAnsi="Arial" w:cs="Arial"/>
                <w:sz w:val="24"/>
                <w:szCs w:val="24"/>
              </w:rPr>
              <w:t>Not required. Where present: White groups, different deprivation levels, different geographical access, different insurance/access contexts.</w:t>
            </w:r>
          </w:p>
        </w:tc>
      </w:tr>
      <w:tr w:rsidR="00A076FB" w:rsidRPr="00231375" w14:paraId="23F8301F" w14:textId="77777777" w:rsidTr="00DA1247">
        <w:trPr>
          <w:jc w:val="center"/>
        </w:trPr>
        <w:tc>
          <w:tcPr>
            <w:tcW w:w="2830" w:type="dxa"/>
          </w:tcPr>
          <w:p w14:paraId="0C91F433" w14:textId="77777777" w:rsidR="00A076FB" w:rsidRPr="00231375" w:rsidRDefault="00A076FB" w:rsidP="008A1450">
            <w:pPr>
              <w:rPr>
                <w:rFonts w:ascii="Arial" w:hAnsi="Arial" w:cs="Arial"/>
                <w:sz w:val="24"/>
                <w:szCs w:val="24"/>
              </w:rPr>
            </w:pPr>
            <w:r w:rsidRPr="00231375">
              <w:rPr>
                <w:rFonts w:ascii="Arial" w:hAnsi="Arial" w:cs="Arial"/>
                <w:sz w:val="24"/>
                <w:szCs w:val="24"/>
              </w:rPr>
              <w:lastRenderedPageBreak/>
              <w:t>Outcomes</w:t>
            </w:r>
          </w:p>
        </w:tc>
        <w:tc>
          <w:tcPr>
            <w:tcW w:w="6804" w:type="dxa"/>
          </w:tcPr>
          <w:p w14:paraId="5652078A" w14:textId="77777777" w:rsidR="00A076FB" w:rsidRPr="00231375" w:rsidRDefault="00A076FB" w:rsidP="008A1450">
            <w:pPr>
              <w:rPr>
                <w:rFonts w:ascii="Arial" w:hAnsi="Arial" w:cs="Arial"/>
                <w:sz w:val="24"/>
                <w:szCs w:val="24"/>
              </w:rPr>
            </w:pPr>
            <w:r w:rsidRPr="00231375">
              <w:rPr>
                <w:rFonts w:ascii="Arial" w:hAnsi="Arial" w:cs="Arial"/>
                <w:sz w:val="24"/>
                <w:szCs w:val="24"/>
              </w:rPr>
              <w:t>COPD burden, symptoms, exacerbations, admissions, diagnosis/underdiagnosis, spirometry use, treatment access, pulmonary rehabilitation referral/uptake, quality of life and structural exposure measures.</w:t>
            </w:r>
          </w:p>
        </w:tc>
      </w:tr>
      <w:tr w:rsidR="00A076FB" w:rsidRPr="00231375" w14:paraId="2B090157" w14:textId="77777777" w:rsidTr="00DA1247">
        <w:trPr>
          <w:jc w:val="center"/>
        </w:trPr>
        <w:tc>
          <w:tcPr>
            <w:tcW w:w="2830" w:type="dxa"/>
          </w:tcPr>
          <w:p w14:paraId="035AD9D3" w14:textId="77777777" w:rsidR="00A076FB" w:rsidRPr="00231375" w:rsidRDefault="00A076FB" w:rsidP="008A1450">
            <w:pPr>
              <w:rPr>
                <w:rFonts w:ascii="Arial" w:hAnsi="Arial" w:cs="Arial"/>
                <w:sz w:val="24"/>
                <w:szCs w:val="24"/>
              </w:rPr>
            </w:pPr>
            <w:r w:rsidRPr="00231375">
              <w:rPr>
                <w:rFonts w:ascii="Arial" w:hAnsi="Arial" w:cs="Arial"/>
                <w:sz w:val="24"/>
                <w:szCs w:val="24"/>
              </w:rPr>
              <w:t>Study design</w:t>
            </w:r>
          </w:p>
        </w:tc>
        <w:tc>
          <w:tcPr>
            <w:tcW w:w="6804" w:type="dxa"/>
          </w:tcPr>
          <w:p w14:paraId="4F632ED8" w14:textId="77777777" w:rsidR="00A076FB" w:rsidRPr="00231375" w:rsidRDefault="00A076FB" w:rsidP="008A1450">
            <w:pPr>
              <w:rPr>
                <w:rFonts w:ascii="Arial" w:hAnsi="Arial" w:cs="Arial"/>
                <w:sz w:val="24"/>
                <w:szCs w:val="24"/>
              </w:rPr>
            </w:pPr>
            <w:r w:rsidRPr="00231375">
              <w:rPr>
                <w:rFonts w:ascii="Arial" w:hAnsi="Arial" w:cs="Arial"/>
                <w:sz w:val="24"/>
                <w:szCs w:val="24"/>
              </w:rPr>
              <w:t>Cohort, cross-sectional, case-control, claims/administrative analyses, ecological/neighbourhood analyses, mixed-methods/community studies, and reviews for contextual mapping.</w:t>
            </w:r>
          </w:p>
        </w:tc>
      </w:tr>
      <w:tr w:rsidR="00A076FB" w:rsidRPr="00231375" w14:paraId="0C5C2EA6" w14:textId="77777777" w:rsidTr="00DA1247">
        <w:trPr>
          <w:jc w:val="center"/>
        </w:trPr>
        <w:tc>
          <w:tcPr>
            <w:tcW w:w="2830" w:type="dxa"/>
          </w:tcPr>
          <w:p w14:paraId="13853D86" w14:textId="77777777" w:rsidR="00A076FB" w:rsidRPr="00231375" w:rsidRDefault="00A076FB" w:rsidP="008A1450">
            <w:pPr>
              <w:rPr>
                <w:rFonts w:ascii="Arial" w:hAnsi="Arial" w:cs="Arial"/>
                <w:sz w:val="24"/>
                <w:szCs w:val="24"/>
              </w:rPr>
            </w:pPr>
            <w:r w:rsidRPr="00231375">
              <w:rPr>
                <w:rFonts w:ascii="Arial" w:hAnsi="Arial" w:cs="Arial"/>
                <w:sz w:val="24"/>
                <w:szCs w:val="24"/>
              </w:rPr>
              <w:t>Exclusion</w:t>
            </w:r>
          </w:p>
        </w:tc>
        <w:tc>
          <w:tcPr>
            <w:tcW w:w="6804" w:type="dxa"/>
          </w:tcPr>
          <w:p w14:paraId="79960C20" w14:textId="77777777" w:rsidR="00A076FB" w:rsidRPr="00231375" w:rsidRDefault="00A076FB" w:rsidP="008A1450">
            <w:pPr>
              <w:rPr>
                <w:rFonts w:ascii="Arial" w:hAnsi="Arial" w:cs="Arial"/>
                <w:sz w:val="24"/>
                <w:szCs w:val="24"/>
              </w:rPr>
            </w:pPr>
            <w:r w:rsidRPr="00231375">
              <w:rPr>
                <w:rFonts w:ascii="Arial" w:hAnsi="Arial" w:cs="Arial"/>
                <w:sz w:val="24"/>
                <w:szCs w:val="24"/>
              </w:rPr>
              <w:t>Non-US studies, no extractable African American/Black findings, not COPD-focused, outside date/language limits, no full text, or no age relevance.</w:t>
            </w:r>
          </w:p>
        </w:tc>
      </w:tr>
    </w:tbl>
    <w:p w14:paraId="53CF416D" w14:textId="77777777" w:rsidR="00CD69CF" w:rsidRPr="00231375" w:rsidRDefault="00CD69CF" w:rsidP="00CD69CF">
      <w:pPr>
        <w:spacing w:after="158"/>
        <w:rPr>
          <w:rFonts w:ascii="Arial" w:hAnsi="Arial" w:cs="Arial"/>
        </w:rPr>
      </w:pPr>
    </w:p>
    <w:p w14:paraId="568C4378" w14:textId="77777777" w:rsidR="00A076FB" w:rsidRPr="00231375" w:rsidRDefault="00A076FB" w:rsidP="00CD69CF">
      <w:pPr>
        <w:spacing w:after="158"/>
        <w:rPr>
          <w:rFonts w:ascii="Arial" w:hAnsi="Arial" w:cs="Arial"/>
        </w:rPr>
      </w:pPr>
    </w:p>
    <w:p w14:paraId="510DC40B" w14:textId="39EF65EE" w:rsidR="00CD69CF" w:rsidRPr="00231375" w:rsidRDefault="001629A1" w:rsidP="00CD69CF">
      <w:pPr>
        <w:spacing w:after="158"/>
        <w:rPr>
          <w:rFonts w:ascii="Arial" w:hAnsi="Arial" w:cs="Arial"/>
          <w:b/>
          <w:bCs/>
          <w:sz w:val="24"/>
          <w:szCs w:val="24"/>
        </w:rPr>
      </w:pPr>
      <w:r w:rsidRPr="00231375">
        <w:rPr>
          <w:rFonts w:ascii="Arial" w:hAnsi="Arial" w:cs="Arial"/>
          <w:b/>
          <w:bCs/>
          <w:sz w:val="24"/>
          <w:szCs w:val="24"/>
        </w:rPr>
        <w:t xml:space="preserve">3.5.2 </w:t>
      </w:r>
      <w:r w:rsidR="00CD69CF" w:rsidRPr="00231375">
        <w:rPr>
          <w:rFonts w:ascii="Arial" w:hAnsi="Arial" w:cs="Arial"/>
          <w:b/>
          <w:bCs/>
          <w:sz w:val="24"/>
          <w:szCs w:val="24"/>
        </w:rPr>
        <w:t>Exclusion criteria</w:t>
      </w:r>
    </w:p>
    <w:p w14:paraId="1826C4D9" w14:textId="2FD1E391" w:rsidR="00CD69CF" w:rsidRPr="00231375" w:rsidRDefault="00BF47CB" w:rsidP="00CD69CF">
      <w:pPr>
        <w:spacing w:after="158"/>
        <w:rPr>
          <w:rFonts w:ascii="Arial" w:hAnsi="Arial" w:cs="Arial"/>
          <w:sz w:val="24"/>
          <w:szCs w:val="24"/>
        </w:rPr>
      </w:pPr>
      <w:r w:rsidRPr="00BF47CB">
        <w:rPr>
          <w:rFonts w:ascii="Arial" w:hAnsi="Arial" w:cs="Arial"/>
          <w:sz w:val="24"/>
          <w:szCs w:val="24"/>
        </w:rPr>
        <w:t>Studies were excluded if they were not US-based, did not include extractable African American/Black results, did not address COPD outcomes, were outside the date or language limits, or could not be obtained in full text after reasonable attempts.</w:t>
      </w:r>
      <w:r>
        <w:rPr>
          <w:rFonts w:ascii="Arial" w:hAnsi="Arial" w:cs="Arial"/>
          <w:sz w:val="24"/>
          <w:szCs w:val="24"/>
        </w:rPr>
        <w:t xml:space="preserve"> </w:t>
      </w:r>
      <w:r w:rsidR="00CD69CF" w:rsidRPr="00231375">
        <w:rPr>
          <w:rFonts w:ascii="Arial" w:hAnsi="Arial" w:cs="Arial"/>
          <w:sz w:val="24"/>
          <w:szCs w:val="24"/>
        </w:rPr>
        <w:t xml:space="preserve">Full-text exclusions </w:t>
      </w:r>
      <w:r w:rsidR="00AF1AE5">
        <w:rPr>
          <w:rFonts w:ascii="Arial" w:hAnsi="Arial" w:cs="Arial"/>
          <w:sz w:val="24"/>
          <w:szCs w:val="24"/>
        </w:rPr>
        <w:t>w</w:t>
      </w:r>
      <w:r w:rsidR="00BB486C">
        <w:rPr>
          <w:rFonts w:ascii="Arial" w:hAnsi="Arial" w:cs="Arial"/>
          <w:sz w:val="24"/>
          <w:szCs w:val="24"/>
        </w:rPr>
        <w:t>ere</w:t>
      </w:r>
      <w:r w:rsidR="00CD69CF" w:rsidRPr="00231375">
        <w:rPr>
          <w:rFonts w:ascii="Arial" w:hAnsi="Arial" w:cs="Arial"/>
          <w:sz w:val="24"/>
          <w:szCs w:val="24"/>
        </w:rPr>
        <w:t xml:space="preserve"> recorded with reasons as required by PRISMA 2020 (Page </w:t>
      </w:r>
      <w:r w:rsidR="00CD69CF" w:rsidRPr="00231375">
        <w:rPr>
          <w:rFonts w:ascii="Arial" w:hAnsi="Arial" w:cs="Arial"/>
          <w:i/>
          <w:iCs/>
          <w:sz w:val="24"/>
          <w:szCs w:val="24"/>
        </w:rPr>
        <w:t>et al.</w:t>
      </w:r>
      <w:r w:rsidR="00CD69CF" w:rsidRPr="00231375">
        <w:rPr>
          <w:rFonts w:ascii="Arial" w:hAnsi="Arial" w:cs="Arial"/>
          <w:sz w:val="24"/>
          <w:szCs w:val="24"/>
        </w:rPr>
        <w:t>, 2021).</w:t>
      </w:r>
    </w:p>
    <w:p w14:paraId="225A6D0F" w14:textId="77777777" w:rsidR="00CD69CF" w:rsidRPr="00231375" w:rsidRDefault="00CD69CF" w:rsidP="00CD69CF">
      <w:pPr>
        <w:spacing w:after="158"/>
        <w:rPr>
          <w:rFonts w:ascii="Arial" w:hAnsi="Arial" w:cs="Arial"/>
          <w:sz w:val="24"/>
          <w:szCs w:val="24"/>
        </w:rPr>
      </w:pPr>
    </w:p>
    <w:p w14:paraId="0216A315" w14:textId="15FD1D13" w:rsidR="00CD69CF" w:rsidRPr="00180F86" w:rsidRDefault="001629A1" w:rsidP="00CD69CF">
      <w:pPr>
        <w:spacing w:after="158"/>
        <w:rPr>
          <w:rFonts w:ascii="Arial" w:hAnsi="Arial" w:cs="Arial"/>
          <w:b/>
          <w:bCs/>
          <w:sz w:val="24"/>
          <w:szCs w:val="24"/>
        </w:rPr>
      </w:pPr>
      <w:r w:rsidRPr="00180F86">
        <w:rPr>
          <w:rFonts w:ascii="Arial" w:hAnsi="Arial" w:cs="Arial"/>
          <w:b/>
          <w:bCs/>
          <w:sz w:val="24"/>
          <w:szCs w:val="24"/>
        </w:rPr>
        <w:t xml:space="preserve">3.6 </w:t>
      </w:r>
      <w:r w:rsidR="00CD69CF" w:rsidRPr="00180F86">
        <w:rPr>
          <w:rFonts w:ascii="Arial" w:hAnsi="Arial" w:cs="Arial"/>
          <w:b/>
          <w:bCs/>
          <w:sz w:val="24"/>
          <w:szCs w:val="24"/>
        </w:rPr>
        <w:t>Screening and selection process</w:t>
      </w:r>
    </w:p>
    <w:p w14:paraId="397B0CCF" w14:textId="09D0461E" w:rsidR="00CD69CF" w:rsidRPr="00231375" w:rsidRDefault="00CD69CF" w:rsidP="00CD69CF">
      <w:pPr>
        <w:spacing w:after="158"/>
        <w:rPr>
          <w:rFonts w:ascii="Arial" w:hAnsi="Arial" w:cs="Arial"/>
          <w:sz w:val="24"/>
          <w:szCs w:val="24"/>
        </w:rPr>
      </w:pPr>
      <w:r w:rsidRPr="00231375">
        <w:rPr>
          <w:rFonts w:ascii="Arial" w:hAnsi="Arial" w:cs="Arial"/>
          <w:sz w:val="24"/>
          <w:szCs w:val="24"/>
        </w:rPr>
        <w:t xml:space="preserve">Study selection </w:t>
      </w:r>
      <w:r w:rsidR="00BB2738">
        <w:rPr>
          <w:rFonts w:ascii="Arial" w:hAnsi="Arial" w:cs="Arial"/>
          <w:sz w:val="24"/>
          <w:szCs w:val="24"/>
        </w:rPr>
        <w:t>followed</w:t>
      </w:r>
      <w:r w:rsidRPr="00231375">
        <w:rPr>
          <w:rFonts w:ascii="Arial" w:hAnsi="Arial" w:cs="Arial"/>
          <w:sz w:val="24"/>
          <w:szCs w:val="24"/>
        </w:rPr>
        <w:t xml:space="preserve"> PRISMA 2020 guidance and </w:t>
      </w:r>
      <w:r w:rsidR="00AF1AE5">
        <w:rPr>
          <w:rFonts w:ascii="Arial" w:hAnsi="Arial" w:cs="Arial"/>
          <w:sz w:val="24"/>
          <w:szCs w:val="24"/>
        </w:rPr>
        <w:t>was</w:t>
      </w:r>
      <w:r w:rsidRPr="00231375">
        <w:rPr>
          <w:rFonts w:ascii="Arial" w:hAnsi="Arial" w:cs="Arial"/>
          <w:sz w:val="24"/>
          <w:szCs w:val="24"/>
        </w:rPr>
        <w:t xml:space="preserve"> documented using a PRISMA flow diagram showing identification, screening, eligibility and inclusion counts, with reasons for full-text exclusions. PRISMA provides standard flow diagram templates for reporting study selection (Page et al., 2021).</w:t>
      </w:r>
    </w:p>
    <w:p w14:paraId="40A7332C" w14:textId="3B00A35C" w:rsidR="00CD69CF" w:rsidRPr="00231375" w:rsidRDefault="001629A1" w:rsidP="00CD69CF">
      <w:pPr>
        <w:spacing w:after="158"/>
        <w:rPr>
          <w:rFonts w:ascii="Arial" w:hAnsi="Arial" w:cs="Arial"/>
          <w:sz w:val="24"/>
          <w:szCs w:val="24"/>
        </w:rPr>
      </w:pPr>
      <w:r w:rsidRPr="00231375">
        <w:rPr>
          <w:rFonts w:ascii="Arial" w:hAnsi="Arial" w:cs="Arial"/>
          <w:b/>
          <w:bCs/>
          <w:sz w:val="24"/>
          <w:szCs w:val="24"/>
        </w:rPr>
        <w:t xml:space="preserve">3.6.1 </w:t>
      </w:r>
      <w:r w:rsidR="00CD69CF" w:rsidRPr="00231375">
        <w:rPr>
          <w:rFonts w:ascii="Arial" w:hAnsi="Arial" w:cs="Arial"/>
          <w:b/>
          <w:bCs/>
          <w:sz w:val="24"/>
          <w:szCs w:val="24"/>
        </w:rPr>
        <w:t>Deduplication</w:t>
      </w:r>
      <w:r w:rsidR="00CD69CF" w:rsidRPr="00231375">
        <w:rPr>
          <w:rFonts w:ascii="Arial" w:hAnsi="Arial" w:cs="Arial"/>
          <w:sz w:val="24"/>
          <w:szCs w:val="24"/>
        </w:rPr>
        <w:br/>
        <w:t xml:space="preserve">Duplicate records </w:t>
      </w:r>
      <w:r w:rsidR="00AF1AE5">
        <w:rPr>
          <w:rFonts w:ascii="Arial" w:hAnsi="Arial" w:cs="Arial"/>
          <w:sz w:val="24"/>
          <w:szCs w:val="24"/>
        </w:rPr>
        <w:t>w</w:t>
      </w:r>
      <w:r w:rsidR="00BB486C">
        <w:rPr>
          <w:rFonts w:ascii="Arial" w:hAnsi="Arial" w:cs="Arial"/>
          <w:sz w:val="24"/>
          <w:szCs w:val="24"/>
        </w:rPr>
        <w:t>ere</w:t>
      </w:r>
      <w:r w:rsidR="00CD69CF" w:rsidRPr="00231375">
        <w:rPr>
          <w:rFonts w:ascii="Arial" w:hAnsi="Arial" w:cs="Arial"/>
          <w:sz w:val="24"/>
          <w:szCs w:val="24"/>
        </w:rPr>
        <w:t xml:space="preserve"> removed using reference management software, with manual checks where necessary (Higgins et al., 2019).</w:t>
      </w:r>
    </w:p>
    <w:p w14:paraId="696304E2" w14:textId="77777777" w:rsidR="00CD69CF" w:rsidRPr="00231375" w:rsidRDefault="00CD69CF" w:rsidP="00CD69CF">
      <w:pPr>
        <w:spacing w:after="158"/>
        <w:rPr>
          <w:rFonts w:ascii="Arial" w:hAnsi="Arial" w:cs="Arial"/>
          <w:sz w:val="24"/>
          <w:szCs w:val="24"/>
        </w:rPr>
      </w:pPr>
    </w:p>
    <w:p w14:paraId="16BF5381" w14:textId="12F3E9F1" w:rsidR="00CD69CF" w:rsidRPr="00231375" w:rsidRDefault="001629A1" w:rsidP="00CD69CF">
      <w:pPr>
        <w:spacing w:after="158"/>
        <w:rPr>
          <w:rFonts w:ascii="Arial" w:hAnsi="Arial" w:cs="Arial"/>
          <w:sz w:val="24"/>
          <w:szCs w:val="24"/>
        </w:rPr>
      </w:pPr>
      <w:r w:rsidRPr="00231375">
        <w:rPr>
          <w:rFonts w:ascii="Arial" w:hAnsi="Arial" w:cs="Arial"/>
          <w:b/>
          <w:bCs/>
          <w:sz w:val="24"/>
          <w:szCs w:val="24"/>
        </w:rPr>
        <w:t xml:space="preserve">3.6.2 </w:t>
      </w:r>
      <w:r w:rsidR="00CD69CF" w:rsidRPr="00231375">
        <w:rPr>
          <w:rFonts w:ascii="Arial" w:hAnsi="Arial" w:cs="Arial"/>
          <w:b/>
          <w:bCs/>
          <w:sz w:val="24"/>
          <w:szCs w:val="24"/>
        </w:rPr>
        <w:t>Title/abstract screening</w:t>
      </w:r>
      <w:r w:rsidR="00CD69CF" w:rsidRPr="00231375">
        <w:rPr>
          <w:rFonts w:ascii="Arial" w:hAnsi="Arial" w:cs="Arial"/>
          <w:sz w:val="24"/>
          <w:szCs w:val="24"/>
        </w:rPr>
        <w:br/>
      </w:r>
      <w:r w:rsidR="00AF1AE5" w:rsidRPr="00AF1AE5">
        <w:rPr>
          <w:rFonts w:ascii="Arial" w:hAnsi="Arial" w:cs="Arial"/>
          <w:sz w:val="24"/>
          <w:szCs w:val="24"/>
        </w:rPr>
        <w:t>Titles and abstracts were screened by the researcher using the predefined PICOS criteria. Records that clearly did not meet the inclusion criteria were excluded, while potentially relevant records were retained for full-text assessment.</w:t>
      </w:r>
    </w:p>
    <w:p w14:paraId="44F349F0" w14:textId="77777777" w:rsidR="00CD69CF" w:rsidRPr="00231375" w:rsidRDefault="00CD69CF" w:rsidP="00CD69CF">
      <w:pPr>
        <w:spacing w:after="158"/>
        <w:rPr>
          <w:rFonts w:ascii="Arial" w:hAnsi="Arial" w:cs="Arial"/>
          <w:sz w:val="24"/>
          <w:szCs w:val="24"/>
        </w:rPr>
      </w:pPr>
    </w:p>
    <w:p w14:paraId="4468605E" w14:textId="11F1A0AA" w:rsidR="00CD69CF" w:rsidRPr="00231375" w:rsidRDefault="001629A1" w:rsidP="00CD69CF">
      <w:pPr>
        <w:spacing w:after="158"/>
        <w:rPr>
          <w:rFonts w:ascii="Arial" w:hAnsi="Arial" w:cs="Arial"/>
          <w:sz w:val="24"/>
          <w:szCs w:val="24"/>
        </w:rPr>
      </w:pPr>
      <w:r w:rsidRPr="00231375">
        <w:rPr>
          <w:rFonts w:ascii="Arial" w:hAnsi="Arial" w:cs="Arial"/>
          <w:b/>
          <w:bCs/>
          <w:sz w:val="24"/>
          <w:szCs w:val="24"/>
        </w:rPr>
        <w:t xml:space="preserve">3.6.3 </w:t>
      </w:r>
      <w:r w:rsidR="00CD69CF" w:rsidRPr="00231375">
        <w:rPr>
          <w:rFonts w:ascii="Arial" w:hAnsi="Arial" w:cs="Arial"/>
          <w:b/>
          <w:bCs/>
          <w:sz w:val="24"/>
          <w:szCs w:val="24"/>
        </w:rPr>
        <w:t>Full-text screening</w:t>
      </w:r>
      <w:r w:rsidR="00CD69CF" w:rsidRPr="00231375">
        <w:rPr>
          <w:rFonts w:ascii="Arial" w:hAnsi="Arial" w:cs="Arial"/>
          <w:sz w:val="24"/>
          <w:szCs w:val="24"/>
        </w:rPr>
        <w:br/>
      </w:r>
      <w:r w:rsidR="00AF1AE5" w:rsidRPr="00AF1AE5">
        <w:rPr>
          <w:rFonts w:ascii="Arial" w:hAnsi="Arial" w:cs="Arial"/>
          <w:sz w:val="24"/>
          <w:szCs w:val="24"/>
        </w:rPr>
        <w:t>Full texts were assessed by the researcher against the inclusion and exclusion criteria. Reasons for exclusion were recorded in line with PRISMA guidance</w:t>
      </w:r>
      <w:r w:rsidR="00AF1AE5">
        <w:rPr>
          <w:rFonts w:ascii="Arial" w:hAnsi="Arial" w:cs="Arial"/>
          <w:sz w:val="24"/>
          <w:szCs w:val="24"/>
        </w:rPr>
        <w:t xml:space="preserve"> </w:t>
      </w:r>
      <w:r w:rsidR="00CD69CF" w:rsidRPr="00231375">
        <w:rPr>
          <w:rFonts w:ascii="Arial" w:hAnsi="Arial" w:cs="Arial"/>
          <w:sz w:val="24"/>
          <w:szCs w:val="24"/>
        </w:rPr>
        <w:t>(Page et al., 2021).</w:t>
      </w:r>
    </w:p>
    <w:p w14:paraId="7345CA5D" w14:textId="77777777" w:rsidR="00CD69CF" w:rsidRDefault="00CD69CF" w:rsidP="00CD69CF">
      <w:pPr>
        <w:spacing w:after="158"/>
        <w:rPr>
          <w:rFonts w:ascii="Arial" w:hAnsi="Arial" w:cs="Arial"/>
          <w:sz w:val="24"/>
          <w:szCs w:val="24"/>
        </w:rPr>
      </w:pPr>
    </w:p>
    <w:p w14:paraId="2B7B5C05" w14:textId="77777777" w:rsidR="00DC40CD" w:rsidRPr="00231375" w:rsidRDefault="00DC40CD" w:rsidP="00CD69CF">
      <w:pPr>
        <w:spacing w:after="158"/>
        <w:rPr>
          <w:rFonts w:ascii="Arial" w:hAnsi="Arial" w:cs="Arial"/>
          <w:sz w:val="24"/>
          <w:szCs w:val="24"/>
        </w:rPr>
      </w:pPr>
    </w:p>
    <w:p w14:paraId="57715848" w14:textId="77F1F59D" w:rsidR="00CD69CF" w:rsidRPr="00231375" w:rsidRDefault="001629A1" w:rsidP="00CD69CF">
      <w:pPr>
        <w:spacing w:after="158"/>
        <w:rPr>
          <w:rFonts w:ascii="Arial" w:hAnsi="Arial" w:cs="Arial"/>
          <w:b/>
          <w:bCs/>
          <w:sz w:val="24"/>
          <w:szCs w:val="24"/>
        </w:rPr>
      </w:pPr>
      <w:r w:rsidRPr="00231375">
        <w:rPr>
          <w:rFonts w:ascii="Arial" w:hAnsi="Arial" w:cs="Arial"/>
          <w:b/>
          <w:bCs/>
          <w:sz w:val="24"/>
          <w:szCs w:val="24"/>
        </w:rPr>
        <w:lastRenderedPageBreak/>
        <w:t xml:space="preserve">3.7 </w:t>
      </w:r>
      <w:r w:rsidR="00CD69CF" w:rsidRPr="00231375">
        <w:rPr>
          <w:rFonts w:ascii="Arial" w:hAnsi="Arial" w:cs="Arial"/>
          <w:b/>
          <w:bCs/>
          <w:sz w:val="24"/>
          <w:szCs w:val="24"/>
        </w:rPr>
        <w:t>Data extraction</w:t>
      </w:r>
    </w:p>
    <w:p w14:paraId="42080486" w14:textId="561AA079" w:rsidR="00CD69CF" w:rsidRDefault="00BB486C" w:rsidP="00CD69CF">
      <w:pPr>
        <w:spacing w:after="158"/>
        <w:rPr>
          <w:rFonts w:ascii="Arial" w:hAnsi="Arial" w:cs="Arial"/>
          <w:sz w:val="24"/>
          <w:szCs w:val="24"/>
        </w:rPr>
      </w:pPr>
      <w:r w:rsidRPr="00BB486C">
        <w:rPr>
          <w:rFonts w:ascii="Arial" w:hAnsi="Arial" w:cs="Arial"/>
          <w:sz w:val="24"/>
          <w:szCs w:val="24"/>
        </w:rPr>
        <w:t>Data were extracted using a standardised extraction form. Extracted information included author, year, study aim, study design, population characteristics, data source, COPD definition, exposure or intervention, comparator where relevant, outcomes measured, key findings, limitations and relevance to the review question. Where multiple reports described the same study, they were linked and treated as one study unit, consistent with Cochrane guidance that studies, rather than reports, are the unit of interest (Li et al., 2019).</w:t>
      </w:r>
    </w:p>
    <w:p w14:paraId="073108B9" w14:textId="77777777" w:rsidR="00F82053" w:rsidRDefault="00F82053" w:rsidP="00CD69CF">
      <w:pPr>
        <w:spacing w:after="158"/>
        <w:rPr>
          <w:rFonts w:ascii="Arial" w:hAnsi="Arial" w:cs="Arial"/>
          <w:sz w:val="24"/>
          <w:szCs w:val="24"/>
        </w:rPr>
      </w:pPr>
    </w:p>
    <w:p w14:paraId="41A7F0F4" w14:textId="36BA1BFF" w:rsidR="00F82053" w:rsidRPr="001D12E1" w:rsidRDefault="00F82053" w:rsidP="00F82053">
      <w:pPr>
        <w:jc w:val="center"/>
        <w:rPr>
          <w:sz w:val="26"/>
          <w:szCs w:val="26"/>
        </w:rPr>
      </w:pPr>
      <w:r w:rsidRPr="001D12E1">
        <w:rPr>
          <w:rFonts w:ascii="Arial" w:eastAsia="Arial" w:hAnsi="Arial"/>
          <w:b/>
          <w:sz w:val="26"/>
          <w:szCs w:val="26"/>
        </w:rPr>
        <w:t>Table 3.3: Data Extraction Table for Final Selected Articles</w:t>
      </w:r>
    </w:p>
    <w:tbl>
      <w:tblPr>
        <w:tblStyle w:val="TableGrid"/>
        <w:tblW w:w="5000" w:type="pct"/>
        <w:jc w:val="center"/>
        <w:tblLook w:val="04A0" w:firstRow="1" w:lastRow="0" w:firstColumn="1" w:lastColumn="0" w:noHBand="0" w:noVBand="1"/>
      </w:tblPr>
      <w:tblGrid>
        <w:gridCol w:w="1359"/>
        <w:gridCol w:w="1228"/>
        <w:gridCol w:w="1411"/>
        <w:gridCol w:w="1255"/>
        <w:gridCol w:w="2032"/>
        <w:gridCol w:w="1731"/>
      </w:tblGrid>
      <w:tr w:rsidR="00F82053" w14:paraId="6C1EEF73" w14:textId="77777777" w:rsidTr="00F82053">
        <w:trPr>
          <w:cantSplit/>
          <w:tblHeader/>
          <w:jc w:val="center"/>
        </w:trPr>
        <w:tc>
          <w:tcPr>
            <w:tcW w:w="799" w:type="pct"/>
            <w:shd w:val="clear" w:color="auto" w:fill="D9EAF7"/>
            <w:tcMar>
              <w:top w:w="80" w:type="dxa"/>
              <w:left w:w="80" w:type="dxa"/>
              <w:bottom w:w="80" w:type="dxa"/>
              <w:right w:w="80" w:type="dxa"/>
            </w:tcMar>
            <w:vAlign w:val="center"/>
          </w:tcPr>
          <w:p w14:paraId="62D3A2B8" w14:textId="77777777" w:rsidR="00F82053" w:rsidRDefault="00F82053" w:rsidP="00D26A84">
            <w:r>
              <w:rPr>
                <w:rFonts w:ascii="Arial" w:eastAsia="Arial" w:hAnsi="Arial"/>
                <w:b/>
                <w:sz w:val="16"/>
              </w:rPr>
              <w:t>Author/year</w:t>
            </w:r>
          </w:p>
        </w:tc>
        <w:tc>
          <w:tcPr>
            <w:tcW w:w="706" w:type="pct"/>
            <w:shd w:val="clear" w:color="auto" w:fill="D9EAF7"/>
            <w:tcMar>
              <w:top w:w="80" w:type="dxa"/>
              <w:left w:w="80" w:type="dxa"/>
              <w:bottom w:w="80" w:type="dxa"/>
              <w:right w:w="80" w:type="dxa"/>
            </w:tcMar>
            <w:vAlign w:val="center"/>
          </w:tcPr>
          <w:p w14:paraId="6C166421" w14:textId="77777777" w:rsidR="00F82053" w:rsidRDefault="00F82053" w:rsidP="00D26A84">
            <w:r>
              <w:rPr>
                <w:rFonts w:ascii="Arial" w:eastAsia="Arial" w:hAnsi="Arial"/>
                <w:b/>
                <w:sz w:val="16"/>
              </w:rPr>
              <w:t>Study type / data source</w:t>
            </w:r>
          </w:p>
        </w:tc>
        <w:tc>
          <w:tcPr>
            <w:tcW w:w="848" w:type="pct"/>
            <w:shd w:val="clear" w:color="auto" w:fill="D9EAF7"/>
            <w:tcMar>
              <w:top w:w="80" w:type="dxa"/>
              <w:left w:w="80" w:type="dxa"/>
              <w:bottom w:w="80" w:type="dxa"/>
              <w:right w:w="80" w:type="dxa"/>
            </w:tcMar>
            <w:vAlign w:val="center"/>
          </w:tcPr>
          <w:p w14:paraId="320C266C" w14:textId="77777777" w:rsidR="00F82053" w:rsidRDefault="00F82053" w:rsidP="00D26A84">
            <w:r>
              <w:rPr>
                <w:rFonts w:ascii="Arial" w:eastAsia="Arial" w:hAnsi="Arial"/>
                <w:b/>
                <w:sz w:val="16"/>
              </w:rPr>
              <w:t>Population / setting</w:t>
            </w:r>
          </w:p>
        </w:tc>
        <w:tc>
          <w:tcPr>
            <w:tcW w:w="469" w:type="pct"/>
            <w:shd w:val="clear" w:color="auto" w:fill="D9EAF7"/>
            <w:tcMar>
              <w:top w:w="80" w:type="dxa"/>
              <w:left w:w="80" w:type="dxa"/>
              <w:bottom w:w="80" w:type="dxa"/>
              <w:right w:w="80" w:type="dxa"/>
            </w:tcMar>
            <w:vAlign w:val="center"/>
          </w:tcPr>
          <w:p w14:paraId="172ACE62" w14:textId="77777777" w:rsidR="00F82053" w:rsidRDefault="00F82053" w:rsidP="00D26A84">
            <w:r>
              <w:rPr>
                <w:rFonts w:ascii="Arial" w:eastAsia="Arial" w:hAnsi="Arial"/>
                <w:b/>
                <w:sz w:val="16"/>
              </w:rPr>
              <w:t>COPD focus / outcome</w:t>
            </w:r>
          </w:p>
        </w:tc>
        <w:tc>
          <w:tcPr>
            <w:tcW w:w="1172" w:type="pct"/>
            <w:shd w:val="clear" w:color="auto" w:fill="D9EAF7"/>
            <w:tcMar>
              <w:top w:w="80" w:type="dxa"/>
              <w:left w:w="80" w:type="dxa"/>
              <w:bottom w:w="80" w:type="dxa"/>
              <w:right w:w="80" w:type="dxa"/>
            </w:tcMar>
            <w:vAlign w:val="center"/>
          </w:tcPr>
          <w:p w14:paraId="603C5493" w14:textId="77777777" w:rsidR="00F82053" w:rsidRDefault="00F82053" w:rsidP="00D26A84">
            <w:r>
              <w:rPr>
                <w:rFonts w:ascii="Arial" w:eastAsia="Arial" w:hAnsi="Arial"/>
                <w:b/>
                <w:sz w:val="16"/>
              </w:rPr>
              <w:t>Key findings relevant to this review</w:t>
            </w:r>
          </w:p>
        </w:tc>
        <w:tc>
          <w:tcPr>
            <w:tcW w:w="1005" w:type="pct"/>
            <w:shd w:val="clear" w:color="auto" w:fill="D9EAF7"/>
            <w:tcMar>
              <w:top w:w="80" w:type="dxa"/>
              <w:left w:w="80" w:type="dxa"/>
              <w:bottom w:w="80" w:type="dxa"/>
              <w:right w:w="80" w:type="dxa"/>
            </w:tcMar>
            <w:vAlign w:val="center"/>
          </w:tcPr>
          <w:p w14:paraId="0585767B" w14:textId="77777777" w:rsidR="00F82053" w:rsidRDefault="00F82053" w:rsidP="00D26A84">
            <w:r>
              <w:rPr>
                <w:rFonts w:ascii="Arial" w:eastAsia="Arial" w:hAnsi="Arial"/>
                <w:b/>
                <w:sz w:val="16"/>
              </w:rPr>
              <w:t>Main limitation / relevance</w:t>
            </w:r>
          </w:p>
        </w:tc>
      </w:tr>
      <w:tr w:rsidR="00F82053" w14:paraId="5EB96023" w14:textId="77777777" w:rsidTr="00F82053">
        <w:trPr>
          <w:cantSplit/>
          <w:jc w:val="center"/>
        </w:trPr>
        <w:tc>
          <w:tcPr>
            <w:tcW w:w="799" w:type="pct"/>
            <w:tcMar>
              <w:top w:w="80" w:type="dxa"/>
              <w:left w:w="80" w:type="dxa"/>
              <w:bottom w:w="80" w:type="dxa"/>
              <w:right w:w="80" w:type="dxa"/>
            </w:tcMar>
          </w:tcPr>
          <w:p w14:paraId="79D4F367" w14:textId="77777777" w:rsidR="00F82053" w:rsidRDefault="00F82053" w:rsidP="00D26A84">
            <w:r>
              <w:rPr>
                <w:rFonts w:ascii="Arial" w:eastAsia="Arial" w:hAnsi="Arial"/>
                <w:sz w:val="16"/>
              </w:rPr>
              <w:t>Bailey et al. (2017)</w:t>
            </w:r>
          </w:p>
        </w:tc>
        <w:tc>
          <w:tcPr>
            <w:tcW w:w="706" w:type="pct"/>
            <w:tcMar>
              <w:top w:w="80" w:type="dxa"/>
              <w:left w:w="80" w:type="dxa"/>
              <w:bottom w:w="80" w:type="dxa"/>
              <w:right w:w="80" w:type="dxa"/>
            </w:tcMar>
          </w:tcPr>
          <w:p w14:paraId="798AB485" w14:textId="77777777" w:rsidR="00F82053" w:rsidRDefault="00F82053" w:rsidP="00D26A84">
            <w:r>
              <w:rPr>
                <w:rFonts w:ascii="Arial" w:eastAsia="Arial" w:hAnsi="Arial"/>
                <w:sz w:val="16"/>
              </w:rPr>
              <w:t>Review / conceptual analysis</w:t>
            </w:r>
          </w:p>
        </w:tc>
        <w:tc>
          <w:tcPr>
            <w:tcW w:w="848" w:type="pct"/>
            <w:tcMar>
              <w:top w:w="80" w:type="dxa"/>
              <w:left w:w="80" w:type="dxa"/>
              <w:bottom w:w="80" w:type="dxa"/>
              <w:right w:w="80" w:type="dxa"/>
            </w:tcMar>
          </w:tcPr>
          <w:p w14:paraId="593C4721" w14:textId="77777777" w:rsidR="00F82053" w:rsidRDefault="00F82053" w:rsidP="00D26A84">
            <w:r>
              <w:rPr>
                <w:rFonts w:ascii="Arial" w:eastAsia="Arial" w:hAnsi="Arial"/>
                <w:sz w:val="16"/>
              </w:rPr>
              <w:t>United States; racial and ethnic health inequities</w:t>
            </w:r>
          </w:p>
        </w:tc>
        <w:tc>
          <w:tcPr>
            <w:tcW w:w="469" w:type="pct"/>
            <w:tcMar>
              <w:top w:w="80" w:type="dxa"/>
              <w:left w:w="80" w:type="dxa"/>
              <w:bottom w:w="80" w:type="dxa"/>
              <w:right w:w="80" w:type="dxa"/>
            </w:tcMar>
          </w:tcPr>
          <w:p w14:paraId="78819DB8" w14:textId="77777777" w:rsidR="00F82053" w:rsidRDefault="00F82053" w:rsidP="00D26A84">
            <w:r>
              <w:rPr>
                <w:rFonts w:ascii="Arial" w:eastAsia="Arial" w:hAnsi="Arial"/>
                <w:sz w:val="16"/>
              </w:rPr>
              <w:t>Structural racism and health outcomes</w:t>
            </w:r>
          </w:p>
        </w:tc>
        <w:tc>
          <w:tcPr>
            <w:tcW w:w="1172" w:type="pct"/>
            <w:tcMar>
              <w:top w:w="80" w:type="dxa"/>
              <w:left w:w="80" w:type="dxa"/>
              <w:bottom w:w="80" w:type="dxa"/>
              <w:right w:w="80" w:type="dxa"/>
            </w:tcMar>
          </w:tcPr>
          <w:p w14:paraId="1F8C88CB" w14:textId="77777777" w:rsidR="00F82053" w:rsidRDefault="00F82053" w:rsidP="00D26A84">
            <w:r>
              <w:rPr>
                <w:rFonts w:ascii="Arial" w:eastAsia="Arial" w:hAnsi="Arial"/>
                <w:sz w:val="16"/>
              </w:rPr>
              <w:t>Explained how structural racism shapes health through housing, education, employment, healthcare access and environmental exposure.</w:t>
            </w:r>
          </w:p>
        </w:tc>
        <w:tc>
          <w:tcPr>
            <w:tcW w:w="1005" w:type="pct"/>
            <w:tcMar>
              <w:top w:w="80" w:type="dxa"/>
              <w:left w:w="80" w:type="dxa"/>
              <w:bottom w:w="80" w:type="dxa"/>
              <w:right w:w="80" w:type="dxa"/>
            </w:tcMar>
          </w:tcPr>
          <w:p w14:paraId="6D688B6A" w14:textId="35B590A0" w:rsidR="00F82053" w:rsidRDefault="00F82053" w:rsidP="00D26A84">
            <w:r>
              <w:rPr>
                <w:rFonts w:ascii="Arial" w:eastAsia="Arial" w:hAnsi="Arial"/>
                <w:sz w:val="16"/>
              </w:rPr>
              <w:t xml:space="preserve">Not COPD-specific, but important for interpreting COPD inequities through a structural </w:t>
            </w:r>
            <w:r w:rsidR="004E2F42">
              <w:rPr>
                <w:rFonts w:ascii="Arial" w:eastAsia="Arial" w:hAnsi="Arial"/>
                <w:sz w:val="16"/>
              </w:rPr>
              <w:t>determinant’s</w:t>
            </w:r>
            <w:r>
              <w:rPr>
                <w:rFonts w:ascii="Arial" w:eastAsia="Arial" w:hAnsi="Arial"/>
                <w:sz w:val="16"/>
              </w:rPr>
              <w:t xml:space="preserve"> framework.</w:t>
            </w:r>
          </w:p>
        </w:tc>
      </w:tr>
      <w:tr w:rsidR="00F82053" w14:paraId="2678FC8A" w14:textId="77777777" w:rsidTr="00F82053">
        <w:trPr>
          <w:cantSplit/>
          <w:jc w:val="center"/>
        </w:trPr>
        <w:tc>
          <w:tcPr>
            <w:tcW w:w="799" w:type="pct"/>
            <w:tcMar>
              <w:top w:w="80" w:type="dxa"/>
              <w:left w:w="80" w:type="dxa"/>
              <w:bottom w:w="80" w:type="dxa"/>
              <w:right w:w="80" w:type="dxa"/>
            </w:tcMar>
          </w:tcPr>
          <w:p w14:paraId="08A9F7A9" w14:textId="77777777" w:rsidR="00F82053" w:rsidRDefault="00F82053" w:rsidP="00D26A84">
            <w:r>
              <w:rPr>
                <w:rFonts w:ascii="Arial" w:eastAsia="Arial" w:hAnsi="Arial"/>
                <w:sz w:val="16"/>
              </w:rPr>
              <w:t>Doney et al. (2014)</w:t>
            </w:r>
          </w:p>
        </w:tc>
        <w:tc>
          <w:tcPr>
            <w:tcW w:w="706" w:type="pct"/>
            <w:tcMar>
              <w:top w:w="80" w:type="dxa"/>
              <w:left w:w="80" w:type="dxa"/>
              <w:bottom w:w="80" w:type="dxa"/>
              <w:right w:w="80" w:type="dxa"/>
            </w:tcMar>
          </w:tcPr>
          <w:p w14:paraId="7B8EB2CE" w14:textId="77777777" w:rsidR="00F82053" w:rsidRDefault="00F82053" w:rsidP="00D26A84">
            <w:r>
              <w:rPr>
                <w:rFonts w:ascii="Arial" w:eastAsia="Arial" w:hAnsi="Arial"/>
                <w:sz w:val="16"/>
              </w:rPr>
              <w:t>Observational occupational health analysis</w:t>
            </w:r>
          </w:p>
        </w:tc>
        <w:tc>
          <w:tcPr>
            <w:tcW w:w="848" w:type="pct"/>
            <w:tcMar>
              <w:top w:w="80" w:type="dxa"/>
              <w:left w:w="80" w:type="dxa"/>
              <w:bottom w:w="80" w:type="dxa"/>
              <w:right w:w="80" w:type="dxa"/>
            </w:tcMar>
          </w:tcPr>
          <w:p w14:paraId="2C6E93AE" w14:textId="77777777" w:rsidR="00F82053" w:rsidRDefault="00F82053" w:rsidP="00D26A84">
            <w:r>
              <w:rPr>
                <w:rFonts w:ascii="Arial" w:eastAsia="Arial" w:hAnsi="Arial"/>
                <w:sz w:val="16"/>
              </w:rPr>
              <w:t>United States working adults</w:t>
            </w:r>
          </w:p>
        </w:tc>
        <w:tc>
          <w:tcPr>
            <w:tcW w:w="469" w:type="pct"/>
            <w:tcMar>
              <w:top w:w="80" w:type="dxa"/>
              <w:left w:w="80" w:type="dxa"/>
              <w:bottom w:w="80" w:type="dxa"/>
              <w:right w:w="80" w:type="dxa"/>
            </w:tcMar>
          </w:tcPr>
          <w:p w14:paraId="29244404" w14:textId="77777777" w:rsidR="00F82053" w:rsidRDefault="00F82053" w:rsidP="00D26A84">
            <w:r>
              <w:rPr>
                <w:rFonts w:ascii="Arial" w:eastAsia="Arial" w:hAnsi="Arial"/>
                <w:sz w:val="16"/>
              </w:rPr>
              <w:t>Occupational exposure and COPD risk</w:t>
            </w:r>
          </w:p>
        </w:tc>
        <w:tc>
          <w:tcPr>
            <w:tcW w:w="1172" w:type="pct"/>
            <w:tcMar>
              <w:top w:w="80" w:type="dxa"/>
              <w:left w:w="80" w:type="dxa"/>
              <w:bottom w:w="80" w:type="dxa"/>
              <w:right w:w="80" w:type="dxa"/>
            </w:tcMar>
          </w:tcPr>
          <w:p w14:paraId="6F522411" w14:textId="77777777" w:rsidR="00F82053" w:rsidRDefault="00F82053" w:rsidP="00D26A84">
            <w:r>
              <w:rPr>
                <w:rFonts w:ascii="Arial" w:eastAsia="Arial" w:hAnsi="Arial"/>
                <w:sz w:val="16"/>
              </w:rPr>
              <w:t>Showed that workplace vapours, gases, dusts and fumes were associated with chronic airflow limitation and COPD risk.</w:t>
            </w:r>
          </w:p>
        </w:tc>
        <w:tc>
          <w:tcPr>
            <w:tcW w:w="1005" w:type="pct"/>
            <w:tcMar>
              <w:top w:w="80" w:type="dxa"/>
              <w:left w:w="80" w:type="dxa"/>
              <w:bottom w:w="80" w:type="dxa"/>
              <w:right w:w="80" w:type="dxa"/>
            </w:tcMar>
          </w:tcPr>
          <w:p w14:paraId="3D3E9F7B" w14:textId="77777777" w:rsidR="00F82053" w:rsidRDefault="00F82053" w:rsidP="00D26A84">
            <w:r>
              <w:rPr>
                <w:rFonts w:ascii="Arial" w:eastAsia="Arial" w:hAnsi="Arial"/>
                <w:sz w:val="16"/>
              </w:rPr>
              <w:t>Occupational exposure classification may involve recall or measurement limitations, but it supports the role of non-smoking exposure pathways.</w:t>
            </w:r>
          </w:p>
        </w:tc>
      </w:tr>
      <w:tr w:rsidR="00F82053" w14:paraId="712D60C6" w14:textId="77777777" w:rsidTr="00F82053">
        <w:trPr>
          <w:cantSplit/>
          <w:jc w:val="center"/>
        </w:trPr>
        <w:tc>
          <w:tcPr>
            <w:tcW w:w="799" w:type="pct"/>
            <w:tcMar>
              <w:top w:w="80" w:type="dxa"/>
              <w:left w:w="80" w:type="dxa"/>
              <w:bottom w:w="80" w:type="dxa"/>
              <w:right w:w="80" w:type="dxa"/>
            </w:tcMar>
          </w:tcPr>
          <w:p w14:paraId="0A7CFF38" w14:textId="77777777" w:rsidR="00F82053" w:rsidRDefault="00F82053" w:rsidP="00D26A84">
            <w:r>
              <w:rPr>
                <w:rFonts w:ascii="Arial" w:eastAsia="Arial" w:hAnsi="Arial"/>
                <w:sz w:val="16"/>
              </w:rPr>
              <w:t>Ejike et al. (2021)</w:t>
            </w:r>
          </w:p>
        </w:tc>
        <w:tc>
          <w:tcPr>
            <w:tcW w:w="706" w:type="pct"/>
            <w:tcMar>
              <w:top w:w="80" w:type="dxa"/>
              <w:left w:w="80" w:type="dxa"/>
              <w:bottom w:w="80" w:type="dxa"/>
              <w:right w:w="80" w:type="dxa"/>
            </w:tcMar>
          </w:tcPr>
          <w:p w14:paraId="7857CCF3" w14:textId="77777777" w:rsidR="00F82053" w:rsidRDefault="00F82053" w:rsidP="00D26A84">
            <w:r>
              <w:rPr>
                <w:rFonts w:ascii="Arial" w:eastAsia="Arial" w:hAnsi="Arial"/>
                <w:sz w:val="16"/>
              </w:rPr>
              <w:t>Cohort analysis using SPIROMICS data</w:t>
            </w:r>
          </w:p>
        </w:tc>
        <w:tc>
          <w:tcPr>
            <w:tcW w:w="848" w:type="pct"/>
            <w:tcMar>
              <w:top w:w="80" w:type="dxa"/>
              <w:left w:w="80" w:type="dxa"/>
              <w:bottom w:w="80" w:type="dxa"/>
              <w:right w:w="80" w:type="dxa"/>
            </w:tcMar>
          </w:tcPr>
          <w:p w14:paraId="5B5E7CAA" w14:textId="77777777" w:rsidR="00F82053" w:rsidRDefault="00F82053" w:rsidP="00D26A84">
            <w:r>
              <w:rPr>
                <w:rFonts w:ascii="Arial" w:eastAsia="Arial" w:hAnsi="Arial"/>
                <w:sz w:val="16"/>
              </w:rPr>
              <w:t>Black and White participants with smoking history in the United States</w:t>
            </w:r>
          </w:p>
        </w:tc>
        <w:tc>
          <w:tcPr>
            <w:tcW w:w="469" w:type="pct"/>
            <w:tcMar>
              <w:top w:w="80" w:type="dxa"/>
              <w:left w:w="80" w:type="dxa"/>
              <w:bottom w:w="80" w:type="dxa"/>
              <w:right w:w="80" w:type="dxa"/>
            </w:tcMar>
          </w:tcPr>
          <w:p w14:paraId="52E15F4C" w14:textId="77777777" w:rsidR="00F82053" w:rsidRDefault="00F82053" w:rsidP="00D26A84">
            <w:r>
              <w:rPr>
                <w:rFonts w:ascii="Arial" w:eastAsia="Arial" w:hAnsi="Arial"/>
                <w:sz w:val="16"/>
              </w:rPr>
              <w:t>COPD symptoms, quality of life and morbidity</w:t>
            </w:r>
          </w:p>
        </w:tc>
        <w:tc>
          <w:tcPr>
            <w:tcW w:w="1172" w:type="pct"/>
            <w:tcMar>
              <w:top w:w="80" w:type="dxa"/>
              <w:left w:w="80" w:type="dxa"/>
              <w:bottom w:w="80" w:type="dxa"/>
              <w:right w:w="80" w:type="dxa"/>
            </w:tcMar>
          </w:tcPr>
          <w:p w14:paraId="2B11C2C6" w14:textId="77777777" w:rsidR="00F82053" w:rsidRDefault="00F82053" w:rsidP="00D26A84">
            <w:r>
              <w:rPr>
                <w:rFonts w:ascii="Arial" w:eastAsia="Arial" w:hAnsi="Arial"/>
                <w:sz w:val="16"/>
              </w:rPr>
              <w:t>Found that Black participants experienced worse respiratory symptoms and quality of life after adjustment for COPD risk factors.</w:t>
            </w:r>
          </w:p>
        </w:tc>
        <w:tc>
          <w:tcPr>
            <w:tcW w:w="1005" w:type="pct"/>
            <w:tcMar>
              <w:top w:w="80" w:type="dxa"/>
              <w:left w:w="80" w:type="dxa"/>
              <w:bottom w:w="80" w:type="dxa"/>
              <w:right w:w="80" w:type="dxa"/>
            </w:tcMar>
          </w:tcPr>
          <w:p w14:paraId="6369E970" w14:textId="77777777" w:rsidR="00F82053" w:rsidRDefault="00F82053" w:rsidP="00D26A84">
            <w:r>
              <w:rPr>
                <w:rFonts w:ascii="Arial" w:eastAsia="Arial" w:hAnsi="Arial"/>
                <w:sz w:val="16"/>
              </w:rPr>
              <w:t>Observational design limits causal certainty; residual confounding may remain.</w:t>
            </w:r>
          </w:p>
        </w:tc>
      </w:tr>
      <w:tr w:rsidR="00F82053" w14:paraId="1CE371D8" w14:textId="77777777" w:rsidTr="00F82053">
        <w:trPr>
          <w:cantSplit/>
          <w:jc w:val="center"/>
        </w:trPr>
        <w:tc>
          <w:tcPr>
            <w:tcW w:w="799" w:type="pct"/>
            <w:tcMar>
              <w:top w:w="80" w:type="dxa"/>
              <w:left w:w="80" w:type="dxa"/>
              <w:bottom w:w="80" w:type="dxa"/>
              <w:right w:w="80" w:type="dxa"/>
            </w:tcMar>
          </w:tcPr>
          <w:p w14:paraId="74E68C21" w14:textId="77777777" w:rsidR="00F82053" w:rsidRDefault="00F82053" w:rsidP="00D26A84">
            <w:r>
              <w:rPr>
                <w:rFonts w:ascii="Arial" w:eastAsia="Arial" w:hAnsi="Arial"/>
                <w:sz w:val="16"/>
              </w:rPr>
              <w:t>Galiatsatos et al. (2020)</w:t>
            </w:r>
          </w:p>
        </w:tc>
        <w:tc>
          <w:tcPr>
            <w:tcW w:w="706" w:type="pct"/>
            <w:tcMar>
              <w:top w:w="80" w:type="dxa"/>
              <w:left w:w="80" w:type="dxa"/>
              <w:bottom w:w="80" w:type="dxa"/>
              <w:right w:w="80" w:type="dxa"/>
            </w:tcMar>
          </w:tcPr>
          <w:p w14:paraId="4B9AC619" w14:textId="77777777" w:rsidR="00F82053" w:rsidRDefault="00F82053" w:rsidP="00D26A84">
            <w:r>
              <w:rPr>
                <w:rFonts w:ascii="Arial" w:eastAsia="Arial" w:hAnsi="Arial"/>
                <w:sz w:val="16"/>
              </w:rPr>
              <w:t>Observational neighbourhood study</w:t>
            </w:r>
          </w:p>
        </w:tc>
        <w:tc>
          <w:tcPr>
            <w:tcW w:w="848" w:type="pct"/>
            <w:tcMar>
              <w:top w:w="80" w:type="dxa"/>
              <w:left w:w="80" w:type="dxa"/>
              <w:bottom w:w="80" w:type="dxa"/>
              <w:right w:w="80" w:type="dxa"/>
            </w:tcMar>
          </w:tcPr>
          <w:p w14:paraId="0BAE8D85" w14:textId="77777777" w:rsidR="00F82053" w:rsidRDefault="00F82053" w:rsidP="00D26A84">
            <w:r>
              <w:rPr>
                <w:rFonts w:ascii="Arial" w:eastAsia="Arial" w:hAnsi="Arial"/>
                <w:sz w:val="16"/>
              </w:rPr>
              <w:t>United States communities with COPD-related disadvantage</w:t>
            </w:r>
          </w:p>
        </w:tc>
        <w:tc>
          <w:tcPr>
            <w:tcW w:w="469" w:type="pct"/>
            <w:tcMar>
              <w:top w:w="80" w:type="dxa"/>
              <w:left w:w="80" w:type="dxa"/>
              <w:bottom w:w="80" w:type="dxa"/>
              <w:right w:w="80" w:type="dxa"/>
            </w:tcMar>
          </w:tcPr>
          <w:p w14:paraId="4277D207" w14:textId="6C11C3F1" w:rsidR="00F82053" w:rsidRDefault="00F82053" w:rsidP="00D26A84">
            <w:r>
              <w:rPr>
                <w:rFonts w:ascii="Arial" w:eastAsia="Arial" w:hAnsi="Arial"/>
                <w:sz w:val="16"/>
              </w:rPr>
              <w:t xml:space="preserve">Neighbourhood </w:t>
            </w:r>
            <w:r w:rsidR="004E2F42">
              <w:rPr>
                <w:rFonts w:ascii="Arial" w:eastAsia="Arial" w:hAnsi="Arial"/>
                <w:sz w:val="16"/>
              </w:rPr>
              <w:t>disadvantages</w:t>
            </w:r>
            <w:r>
              <w:rPr>
                <w:rFonts w:ascii="Arial" w:eastAsia="Arial" w:hAnsi="Arial"/>
                <w:sz w:val="16"/>
              </w:rPr>
              <w:t xml:space="preserve"> and COPD outcomes</w:t>
            </w:r>
          </w:p>
        </w:tc>
        <w:tc>
          <w:tcPr>
            <w:tcW w:w="1172" w:type="pct"/>
            <w:tcMar>
              <w:top w:w="80" w:type="dxa"/>
              <w:left w:w="80" w:type="dxa"/>
              <w:bottom w:w="80" w:type="dxa"/>
              <w:right w:w="80" w:type="dxa"/>
            </w:tcMar>
          </w:tcPr>
          <w:p w14:paraId="09C11E8D" w14:textId="77777777" w:rsidR="00F82053" w:rsidRDefault="00F82053" w:rsidP="00D26A84">
            <w:r>
              <w:rPr>
                <w:rFonts w:ascii="Arial" w:eastAsia="Arial" w:hAnsi="Arial"/>
                <w:sz w:val="16"/>
              </w:rPr>
              <w:t>Reported that neighbourhood disadvantage was associated with respiratory morbidity and poorer COPD-related outcomes.</w:t>
            </w:r>
          </w:p>
        </w:tc>
        <w:tc>
          <w:tcPr>
            <w:tcW w:w="1005" w:type="pct"/>
            <w:tcMar>
              <w:top w:w="80" w:type="dxa"/>
              <w:left w:w="80" w:type="dxa"/>
              <w:bottom w:w="80" w:type="dxa"/>
              <w:right w:w="80" w:type="dxa"/>
            </w:tcMar>
          </w:tcPr>
          <w:p w14:paraId="50BDD00D" w14:textId="77777777" w:rsidR="00F82053" w:rsidRDefault="00F82053" w:rsidP="00D26A84">
            <w:r>
              <w:rPr>
                <w:rFonts w:ascii="Arial" w:eastAsia="Arial" w:hAnsi="Arial"/>
                <w:sz w:val="16"/>
              </w:rPr>
              <w:t>Neighbourhood-level measures may not capture full life-course exposure.</w:t>
            </w:r>
          </w:p>
        </w:tc>
      </w:tr>
      <w:tr w:rsidR="00F82053" w14:paraId="7F8B0B60" w14:textId="77777777" w:rsidTr="00F82053">
        <w:trPr>
          <w:cantSplit/>
          <w:jc w:val="center"/>
        </w:trPr>
        <w:tc>
          <w:tcPr>
            <w:tcW w:w="799" w:type="pct"/>
            <w:tcMar>
              <w:top w:w="80" w:type="dxa"/>
              <w:left w:w="80" w:type="dxa"/>
              <w:bottom w:w="80" w:type="dxa"/>
              <w:right w:w="80" w:type="dxa"/>
            </w:tcMar>
          </w:tcPr>
          <w:p w14:paraId="5C932D41" w14:textId="77777777" w:rsidR="00F82053" w:rsidRDefault="00F82053" w:rsidP="00D26A84">
            <w:r>
              <w:rPr>
                <w:rFonts w:ascii="Arial" w:eastAsia="Arial" w:hAnsi="Arial"/>
                <w:sz w:val="16"/>
              </w:rPr>
              <w:t>Khadke et al. (2025)</w:t>
            </w:r>
          </w:p>
        </w:tc>
        <w:tc>
          <w:tcPr>
            <w:tcW w:w="706" w:type="pct"/>
            <w:tcMar>
              <w:top w:w="80" w:type="dxa"/>
              <w:left w:w="80" w:type="dxa"/>
              <w:bottom w:w="80" w:type="dxa"/>
              <w:right w:w="80" w:type="dxa"/>
            </w:tcMar>
          </w:tcPr>
          <w:p w14:paraId="153C02E3" w14:textId="77777777" w:rsidR="00F82053" w:rsidRDefault="00F82053" w:rsidP="00D26A84">
            <w:r>
              <w:rPr>
                <w:rFonts w:ascii="Arial" w:eastAsia="Arial" w:hAnsi="Arial"/>
                <w:sz w:val="16"/>
              </w:rPr>
              <w:t>Population-based ecological study</w:t>
            </w:r>
          </w:p>
        </w:tc>
        <w:tc>
          <w:tcPr>
            <w:tcW w:w="848" w:type="pct"/>
            <w:tcMar>
              <w:top w:w="80" w:type="dxa"/>
              <w:left w:w="80" w:type="dxa"/>
              <w:bottom w:w="80" w:type="dxa"/>
              <w:right w:w="80" w:type="dxa"/>
            </w:tcMar>
          </w:tcPr>
          <w:p w14:paraId="3A478400" w14:textId="77777777" w:rsidR="00F82053" w:rsidRDefault="00F82053" w:rsidP="00D26A84">
            <w:r>
              <w:rPr>
                <w:rFonts w:ascii="Arial" w:eastAsia="Arial" w:hAnsi="Arial"/>
                <w:sz w:val="16"/>
              </w:rPr>
              <w:t>United States neighbourhoods / communities</w:t>
            </w:r>
          </w:p>
        </w:tc>
        <w:tc>
          <w:tcPr>
            <w:tcW w:w="469" w:type="pct"/>
            <w:tcMar>
              <w:top w:w="80" w:type="dxa"/>
              <w:left w:w="80" w:type="dxa"/>
              <w:bottom w:w="80" w:type="dxa"/>
              <w:right w:w="80" w:type="dxa"/>
            </w:tcMar>
          </w:tcPr>
          <w:p w14:paraId="649FBD0E" w14:textId="77777777" w:rsidR="00F82053" w:rsidRDefault="00F82053" w:rsidP="00D26A84">
            <w:r>
              <w:rPr>
                <w:rFonts w:ascii="Arial" w:eastAsia="Arial" w:hAnsi="Arial"/>
                <w:sz w:val="16"/>
              </w:rPr>
              <w:t>Socio-environmental burden and COPD prevalence</w:t>
            </w:r>
          </w:p>
        </w:tc>
        <w:tc>
          <w:tcPr>
            <w:tcW w:w="1172" w:type="pct"/>
            <w:tcMar>
              <w:top w:w="80" w:type="dxa"/>
              <w:left w:w="80" w:type="dxa"/>
              <w:bottom w:w="80" w:type="dxa"/>
              <w:right w:w="80" w:type="dxa"/>
            </w:tcMar>
          </w:tcPr>
          <w:p w14:paraId="5F249FBF" w14:textId="77777777" w:rsidR="00F82053" w:rsidRDefault="00F82053" w:rsidP="00D26A84">
            <w:r>
              <w:rPr>
                <w:rFonts w:ascii="Arial" w:eastAsia="Arial" w:hAnsi="Arial"/>
                <w:sz w:val="16"/>
              </w:rPr>
              <w:t>Found that higher COPD prevalence was associated with increased environmental and social vulnerability at neighbourhood level.</w:t>
            </w:r>
          </w:p>
        </w:tc>
        <w:tc>
          <w:tcPr>
            <w:tcW w:w="1005" w:type="pct"/>
            <w:tcMar>
              <w:top w:w="80" w:type="dxa"/>
              <w:left w:w="80" w:type="dxa"/>
              <w:bottom w:w="80" w:type="dxa"/>
              <w:right w:w="80" w:type="dxa"/>
            </w:tcMar>
          </w:tcPr>
          <w:p w14:paraId="1B113E2D" w14:textId="77777777" w:rsidR="00F82053" w:rsidRDefault="00F82053" w:rsidP="00D26A84">
            <w:r>
              <w:rPr>
                <w:rFonts w:ascii="Arial" w:eastAsia="Arial" w:hAnsi="Arial"/>
                <w:sz w:val="16"/>
              </w:rPr>
              <w:t>Ecological design means findings cannot be directly applied to individuals.</w:t>
            </w:r>
          </w:p>
        </w:tc>
      </w:tr>
      <w:tr w:rsidR="00F82053" w14:paraId="36B22E8D" w14:textId="77777777" w:rsidTr="00F82053">
        <w:trPr>
          <w:cantSplit/>
          <w:jc w:val="center"/>
        </w:trPr>
        <w:tc>
          <w:tcPr>
            <w:tcW w:w="799" w:type="pct"/>
            <w:tcMar>
              <w:top w:w="80" w:type="dxa"/>
              <w:left w:w="80" w:type="dxa"/>
              <w:bottom w:w="80" w:type="dxa"/>
              <w:right w:w="80" w:type="dxa"/>
            </w:tcMar>
          </w:tcPr>
          <w:p w14:paraId="14406993" w14:textId="77777777" w:rsidR="00F82053" w:rsidRDefault="00F82053" w:rsidP="00D26A84">
            <w:r>
              <w:rPr>
                <w:rFonts w:ascii="Arial" w:eastAsia="Arial" w:hAnsi="Arial"/>
                <w:sz w:val="16"/>
              </w:rPr>
              <w:t>Mamary et al. (2018)</w:t>
            </w:r>
          </w:p>
        </w:tc>
        <w:tc>
          <w:tcPr>
            <w:tcW w:w="706" w:type="pct"/>
            <w:tcMar>
              <w:top w:w="80" w:type="dxa"/>
              <w:left w:w="80" w:type="dxa"/>
              <w:bottom w:w="80" w:type="dxa"/>
              <w:right w:w="80" w:type="dxa"/>
            </w:tcMar>
          </w:tcPr>
          <w:p w14:paraId="061EDE15" w14:textId="546F478B" w:rsidR="00F82053" w:rsidRDefault="00F82053" w:rsidP="00D26A84">
            <w:r>
              <w:rPr>
                <w:rFonts w:ascii="Arial" w:eastAsia="Arial" w:hAnsi="Arial"/>
                <w:sz w:val="16"/>
              </w:rPr>
              <w:t>Cohort analysis using COPD</w:t>
            </w:r>
            <w:r w:rsidR="00B01737">
              <w:rPr>
                <w:rFonts w:ascii="Arial" w:eastAsia="Arial" w:hAnsi="Arial"/>
                <w:sz w:val="16"/>
              </w:rPr>
              <w:t xml:space="preserve"> </w:t>
            </w:r>
            <w:r>
              <w:rPr>
                <w:rFonts w:ascii="Arial" w:eastAsia="Arial" w:hAnsi="Arial"/>
                <w:sz w:val="16"/>
              </w:rPr>
              <w:t>Gene data</w:t>
            </w:r>
          </w:p>
        </w:tc>
        <w:tc>
          <w:tcPr>
            <w:tcW w:w="848" w:type="pct"/>
            <w:tcMar>
              <w:top w:w="80" w:type="dxa"/>
              <w:left w:w="80" w:type="dxa"/>
              <w:bottom w:w="80" w:type="dxa"/>
              <w:right w:w="80" w:type="dxa"/>
            </w:tcMar>
          </w:tcPr>
          <w:p w14:paraId="693A8F83" w14:textId="77777777" w:rsidR="00F82053" w:rsidRDefault="00F82053" w:rsidP="00D26A84">
            <w:r>
              <w:rPr>
                <w:rFonts w:ascii="Arial" w:eastAsia="Arial" w:hAnsi="Arial"/>
                <w:sz w:val="16"/>
              </w:rPr>
              <w:t>African American and White participants in the United States</w:t>
            </w:r>
          </w:p>
        </w:tc>
        <w:tc>
          <w:tcPr>
            <w:tcW w:w="469" w:type="pct"/>
            <w:tcMar>
              <w:top w:w="80" w:type="dxa"/>
              <w:left w:w="80" w:type="dxa"/>
              <w:bottom w:w="80" w:type="dxa"/>
              <w:right w:w="80" w:type="dxa"/>
            </w:tcMar>
          </w:tcPr>
          <w:p w14:paraId="06A08429" w14:textId="77777777" w:rsidR="00F82053" w:rsidRDefault="00F82053" w:rsidP="00D26A84">
            <w:r>
              <w:rPr>
                <w:rFonts w:ascii="Arial" w:eastAsia="Arial" w:hAnsi="Arial"/>
                <w:sz w:val="16"/>
              </w:rPr>
              <w:t>COPD underdiagnosis and airflow obstruction</w:t>
            </w:r>
          </w:p>
        </w:tc>
        <w:tc>
          <w:tcPr>
            <w:tcW w:w="1172" w:type="pct"/>
            <w:tcMar>
              <w:top w:w="80" w:type="dxa"/>
              <w:left w:w="80" w:type="dxa"/>
              <w:bottom w:w="80" w:type="dxa"/>
              <w:right w:w="80" w:type="dxa"/>
            </w:tcMar>
          </w:tcPr>
          <w:p w14:paraId="56FADE21" w14:textId="77777777" w:rsidR="00F82053" w:rsidRDefault="00F82053" w:rsidP="00D26A84">
            <w:r>
              <w:rPr>
                <w:rFonts w:ascii="Arial" w:eastAsia="Arial" w:hAnsi="Arial"/>
                <w:sz w:val="16"/>
              </w:rPr>
              <w:t>Found that African American participants were more likely to have undiagnosed airflow obstruction across GOLD stages.</w:t>
            </w:r>
          </w:p>
        </w:tc>
        <w:tc>
          <w:tcPr>
            <w:tcW w:w="1005" w:type="pct"/>
            <w:tcMar>
              <w:top w:w="80" w:type="dxa"/>
              <w:left w:w="80" w:type="dxa"/>
              <w:bottom w:w="80" w:type="dxa"/>
              <w:right w:w="80" w:type="dxa"/>
            </w:tcMar>
          </w:tcPr>
          <w:p w14:paraId="71286B88" w14:textId="77777777" w:rsidR="00F82053" w:rsidRDefault="00F82053" w:rsidP="00D26A84">
            <w:r>
              <w:rPr>
                <w:rFonts w:ascii="Arial" w:eastAsia="Arial" w:hAnsi="Arial"/>
                <w:sz w:val="16"/>
              </w:rPr>
              <w:t>COPDGene may not represent all African American adults aged 40-65.</w:t>
            </w:r>
          </w:p>
        </w:tc>
      </w:tr>
      <w:tr w:rsidR="00F82053" w14:paraId="58B5D690" w14:textId="77777777" w:rsidTr="00F82053">
        <w:trPr>
          <w:cantSplit/>
          <w:jc w:val="center"/>
        </w:trPr>
        <w:tc>
          <w:tcPr>
            <w:tcW w:w="799" w:type="pct"/>
            <w:tcMar>
              <w:top w:w="80" w:type="dxa"/>
              <w:left w:w="80" w:type="dxa"/>
              <w:bottom w:w="80" w:type="dxa"/>
              <w:right w:w="80" w:type="dxa"/>
            </w:tcMar>
          </w:tcPr>
          <w:p w14:paraId="6CB0B1A9" w14:textId="77777777" w:rsidR="00F82053" w:rsidRDefault="00F82053" w:rsidP="00D26A84">
            <w:r>
              <w:rPr>
                <w:rFonts w:ascii="Arial" w:eastAsia="Arial" w:hAnsi="Arial"/>
                <w:sz w:val="16"/>
              </w:rPr>
              <w:lastRenderedPageBreak/>
              <w:t>Odhiambo et al. (2023)</w:t>
            </w:r>
          </w:p>
        </w:tc>
        <w:tc>
          <w:tcPr>
            <w:tcW w:w="706" w:type="pct"/>
            <w:tcMar>
              <w:top w:w="80" w:type="dxa"/>
              <w:left w:w="80" w:type="dxa"/>
              <w:bottom w:w="80" w:type="dxa"/>
              <w:right w:w="80" w:type="dxa"/>
            </w:tcMar>
          </w:tcPr>
          <w:p w14:paraId="519C8373" w14:textId="77777777" w:rsidR="00F82053" w:rsidRDefault="00F82053" w:rsidP="00D26A84">
            <w:r>
              <w:rPr>
                <w:rFonts w:ascii="Arial" w:eastAsia="Arial" w:hAnsi="Arial"/>
                <w:sz w:val="16"/>
              </w:rPr>
              <w:t>Community-based study</w:t>
            </w:r>
          </w:p>
        </w:tc>
        <w:tc>
          <w:tcPr>
            <w:tcW w:w="848" w:type="pct"/>
            <w:tcMar>
              <w:top w:w="80" w:type="dxa"/>
              <w:left w:w="80" w:type="dxa"/>
              <w:bottom w:w="80" w:type="dxa"/>
              <w:right w:w="80" w:type="dxa"/>
            </w:tcMar>
          </w:tcPr>
          <w:p w14:paraId="7C6BB1B5" w14:textId="77777777" w:rsidR="00F82053" w:rsidRDefault="00F82053" w:rsidP="00D26A84">
            <w:r>
              <w:rPr>
                <w:rFonts w:ascii="Arial" w:eastAsia="Arial" w:hAnsi="Arial"/>
                <w:sz w:val="16"/>
              </w:rPr>
              <w:t>African American church communities in the United States</w:t>
            </w:r>
          </w:p>
        </w:tc>
        <w:tc>
          <w:tcPr>
            <w:tcW w:w="469" w:type="pct"/>
            <w:tcMar>
              <w:top w:w="80" w:type="dxa"/>
              <w:left w:w="80" w:type="dxa"/>
              <w:bottom w:w="80" w:type="dxa"/>
              <w:right w:w="80" w:type="dxa"/>
            </w:tcMar>
          </w:tcPr>
          <w:p w14:paraId="4A8D7247" w14:textId="77777777" w:rsidR="00F82053" w:rsidRDefault="00F82053" w:rsidP="00D26A84">
            <w:r>
              <w:rPr>
                <w:rFonts w:ascii="Arial" w:eastAsia="Arial" w:hAnsi="Arial"/>
                <w:sz w:val="16"/>
              </w:rPr>
              <w:t>COPD/asthma education, case-finding and self-management</w:t>
            </w:r>
          </w:p>
        </w:tc>
        <w:tc>
          <w:tcPr>
            <w:tcW w:w="1172" w:type="pct"/>
            <w:tcMar>
              <w:top w:w="80" w:type="dxa"/>
              <w:left w:w="80" w:type="dxa"/>
              <w:bottom w:w="80" w:type="dxa"/>
              <w:right w:w="80" w:type="dxa"/>
            </w:tcMar>
          </w:tcPr>
          <w:p w14:paraId="2F65DBA5" w14:textId="77777777" w:rsidR="00F82053" w:rsidRDefault="00F82053" w:rsidP="00D26A84">
            <w:r>
              <w:rPr>
                <w:rFonts w:ascii="Arial" w:eastAsia="Arial" w:hAnsi="Arial"/>
                <w:sz w:val="16"/>
              </w:rPr>
              <w:t>Demonstrated that community-based case-finding and education could identify probable COPD/high-risk cases and improve short-term disease knowledge.</w:t>
            </w:r>
          </w:p>
        </w:tc>
        <w:tc>
          <w:tcPr>
            <w:tcW w:w="1005" w:type="pct"/>
            <w:tcMar>
              <w:top w:w="80" w:type="dxa"/>
              <w:left w:w="80" w:type="dxa"/>
              <w:bottom w:w="80" w:type="dxa"/>
              <w:right w:w="80" w:type="dxa"/>
            </w:tcMar>
          </w:tcPr>
          <w:p w14:paraId="71A81836" w14:textId="77777777" w:rsidR="00F82053" w:rsidRDefault="00F82053" w:rsidP="00D26A84">
            <w:r>
              <w:rPr>
                <w:rFonts w:ascii="Arial" w:eastAsia="Arial" w:hAnsi="Arial"/>
                <w:sz w:val="16"/>
              </w:rPr>
              <w:t>Church-based sample may limit generalisability to wider African American populations.</w:t>
            </w:r>
          </w:p>
        </w:tc>
      </w:tr>
      <w:tr w:rsidR="00F82053" w14:paraId="259392DE" w14:textId="77777777" w:rsidTr="00F82053">
        <w:trPr>
          <w:cantSplit/>
          <w:jc w:val="center"/>
        </w:trPr>
        <w:tc>
          <w:tcPr>
            <w:tcW w:w="799" w:type="pct"/>
            <w:tcMar>
              <w:top w:w="80" w:type="dxa"/>
              <w:left w:w="80" w:type="dxa"/>
              <w:bottom w:w="80" w:type="dxa"/>
              <w:right w:w="80" w:type="dxa"/>
            </w:tcMar>
          </w:tcPr>
          <w:p w14:paraId="52F53165" w14:textId="77777777" w:rsidR="00F82053" w:rsidRDefault="00F82053" w:rsidP="00D26A84">
            <w:r>
              <w:rPr>
                <w:rFonts w:ascii="Arial" w:eastAsia="Arial" w:hAnsi="Arial"/>
                <w:sz w:val="16"/>
              </w:rPr>
              <w:t>Putcha et al. (2014)</w:t>
            </w:r>
          </w:p>
        </w:tc>
        <w:tc>
          <w:tcPr>
            <w:tcW w:w="706" w:type="pct"/>
            <w:tcMar>
              <w:top w:w="80" w:type="dxa"/>
              <w:left w:w="80" w:type="dxa"/>
              <w:bottom w:w="80" w:type="dxa"/>
              <w:right w:w="80" w:type="dxa"/>
            </w:tcMar>
          </w:tcPr>
          <w:p w14:paraId="2374DCCA" w14:textId="77777777" w:rsidR="00F82053" w:rsidRDefault="00F82053" w:rsidP="00D26A84">
            <w:r>
              <w:rPr>
                <w:rFonts w:ascii="Arial" w:eastAsia="Arial" w:hAnsi="Arial"/>
                <w:sz w:val="16"/>
              </w:rPr>
              <w:t>Cohort analysis</w:t>
            </w:r>
          </w:p>
        </w:tc>
        <w:tc>
          <w:tcPr>
            <w:tcW w:w="848" w:type="pct"/>
            <w:tcMar>
              <w:top w:w="80" w:type="dxa"/>
              <w:left w:w="80" w:type="dxa"/>
              <w:bottom w:w="80" w:type="dxa"/>
              <w:right w:w="80" w:type="dxa"/>
            </w:tcMar>
          </w:tcPr>
          <w:p w14:paraId="5546F6D7" w14:textId="77777777" w:rsidR="00F82053" w:rsidRDefault="00F82053" w:rsidP="00D26A84">
            <w:r>
              <w:rPr>
                <w:rFonts w:ascii="Arial" w:eastAsia="Arial" w:hAnsi="Arial"/>
                <w:sz w:val="16"/>
              </w:rPr>
              <w:t>African American and White participants with COPD</w:t>
            </w:r>
          </w:p>
        </w:tc>
        <w:tc>
          <w:tcPr>
            <w:tcW w:w="469" w:type="pct"/>
            <w:tcMar>
              <w:top w:w="80" w:type="dxa"/>
              <w:left w:w="80" w:type="dxa"/>
              <w:bottom w:w="80" w:type="dxa"/>
              <w:right w:w="80" w:type="dxa"/>
            </w:tcMar>
          </w:tcPr>
          <w:p w14:paraId="1E787E8F" w14:textId="77777777" w:rsidR="00F82053" w:rsidRDefault="00F82053" w:rsidP="00D26A84">
            <w:r>
              <w:rPr>
                <w:rFonts w:ascii="Arial" w:eastAsia="Arial" w:hAnsi="Arial"/>
                <w:sz w:val="16"/>
              </w:rPr>
              <w:t>Comorbidity burden and COPD outcomes</w:t>
            </w:r>
          </w:p>
        </w:tc>
        <w:tc>
          <w:tcPr>
            <w:tcW w:w="1172" w:type="pct"/>
            <w:tcMar>
              <w:top w:w="80" w:type="dxa"/>
              <w:left w:w="80" w:type="dxa"/>
              <w:bottom w:w="80" w:type="dxa"/>
              <w:right w:w="80" w:type="dxa"/>
            </w:tcMar>
          </w:tcPr>
          <w:p w14:paraId="0F9BEF5F" w14:textId="77777777" w:rsidR="00F82053" w:rsidRDefault="00F82053" w:rsidP="00D26A84">
            <w:r>
              <w:rPr>
                <w:rFonts w:ascii="Arial" w:eastAsia="Arial" w:hAnsi="Arial"/>
                <w:sz w:val="16"/>
              </w:rPr>
              <w:t>Showed that comorbidities had a major impact on COPD outcomes and were particularly important among African American participants.</w:t>
            </w:r>
          </w:p>
        </w:tc>
        <w:tc>
          <w:tcPr>
            <w:tcW w:w="1005" w:type="pct"/>
            <w:tcMar>
              <w:top w:w="80" w:type="dxa"/>
              <w:left w:w="80" w:type="dxa"/>
              <w:bottom w:w="80" w:type="dxa"/>
              <w:right w:w="80" w:type="dxa"/>
            </w:tcMar>
          </w:tcPr>
          <w:p w14:paraId="6C3AC48F" w14:textId="77777777" w:rsidR="00F82053" w:rsidRDefault="00F82053" w:rsidP="00D26A84">
            <w:r>
              <w:rPr>
                <w:rFonts w:ascii="Arial" w:eastAsia="Arial" w:hAnsi="Arial"/>
                <w:sz w:val="16"/>
              </w:rPr>
              <w:t>Comorbidity patterns may be influenced by previous diagnosis and unequal healthcare access.</w:t>
            </w:r>
          </w:p>
        </w:tc>
      </w:tr>
      <w:tr w:rsidR="00F82053" w14:paraId="7B305750" w14:textId="77777777" w:rsidTr="00F82053">
        <w:trPr>
          <w:cantSplit/>
          <w:jc w:val="center"/>
        </w:trPr>
        <w:tc>
          <w:tcPr>
            <w:tcW w:w="799" w:type="pct"/>
            <w:tcMar>
              <w:top w:w="80" w:type="dxa"/>
              <w:left w:w="80" w:type="dxa"/>
              <w:bottom w:w="80" w:type="dxa"/>
              <w:right w:w="80" w:type="dxa"/>
            </w:tcMar>
          </w:tcPr>
          <w:p w14:paraId="29761E4D" w14:textId="77777777" w:rsidR="00F82053" w:rsidRDefault="00F82053" w:rsidP="00D26A84">
            <w:r>
              <w:rPr>
                <w:rFonts w:ascii="Arial" w:eastAsia="Arial" w:hAnsi="Arial"/>
                <w:sz w:val="16"/>
              </w:rPr>
              <w:t>Rea et al. (2024)</w:t>
            </w:r>
          </w:p>
        </w:tc>
        <w:tc>
          <w:tcPr>
            <w:tcW w:w="706" w:type="pct"/>
            <w:tcMar>
              <w:top w:w="80" w:type="dxa"/>
              <w:left w:w="80" w:type="dxa"/>
              <w:bottom w:w="80" w:type="dxa"/>
              <w:right w:w="80" w:type="dxa"/>
            </w:tcMar>
          </w:tcPr>
          <w:p w14:paraId="337526AC" w14:textId="77777777" w:rsidR="00F82053" w:rsidRDefault="00F82053" w:rsidP="00D26A84">
            <w:r>
              <w:rPr>
                <w:rFonts w:ascii="Arial" w:eastAsia="Arial" w:hAnsi="Arial"/>
                <w:sz w:val="16"/>
              </w:rPr>
              <w:t>Review / scoping review</w:t>
            </w:r>
          </w:p>
        </w:tc>
        <w:tc>
          <w:tcPr>
            <w:tcW w:w="848" w:type="pct"/>
            <w:tcMar>
              <w:top w:w="80" w:type="dxa"/>
              <w:left w:w="80" w:type="dxa"/>
              <w:bottom w:w="80" w:type="dxa"/>
              <w:right w:w="80" w:type="dxa"/>
            </w:tcMar>
          </w:tcPr>
          <w:p w14:paraId="30595EE4" w14:textId="77777777" w:rsidR="00F82053" w:rsidRDefault="00F82053" w:rsidP="00D26A84">
            <w:r>
              <w:rPr>
                <w:rFonts w:ascii="Arial" w:eastAsia="Arial" w:hAnsi="Arial"/>
                <w:sz w:val="16"/>
              </w:rPr>
              <w:t>Literature on COPD inequities</w:t>
            </w:r>
          </w:p>
        </w:tc>
        <w:tc>
          <w:tcPr>
            <w:tcW w:w="469" w:type="pct"/>
            <w:tcMar>
              <w:top w:w="80" w:type="dxa"/>
              <w:left w:w="80" w:type="dxa"/>
              <w:bottom w:w="80" w:type="dxa"/>
              <w:right w:w="80" w:type="dxa"/>
            </w:tcMar>
          </w:tcPr>
          <w:p w14:paraId="6F9A1276" w14:textId="77777777" w:rsidR="00F82053" w:rsidRDefault="00F82053" w:rsidP="00D26A84">
            <w:r>
              <w:rPr>
                <w:rFonts w:ascii="Arial" w:eastAsia="Arial" w:hAnsi="Arial"/>
                <w:sz w:val="16"/>
              </w:rPr>
              <w:t>Race, ethnicity, geography and COPD care inequalities</w:t>
            </w:r>
          </w:p>
        </w:tc>
        <w:tc>
          <w:tcPr>
            <w:tcW w:w="1172" w:type="pct"/>
            <w:tcMar>
              <w:top w:w="80" w:type="dxa"/>
              <w:left w:w="80" w:type="dxa"/>
              <w:bottom w:w="80" w:type="dxa"/>
              <w:right w:w="80" w:type="dxa"/>
            </w:tcMar>
          </w:tcPr>
          <w:p w14:paraId="04C33D92" w14:textId="77777777" w:rsidR="00F82053" w:rsidRDefault="00F82053" w:rsidP="00D26A84">
            <w:r>
              <w:rPr>
                <w:rFonts w:ascii="Arial" w:eastAsia="Arial" w:hAnsi="Arial"/>
                <w:sz w:val="16"/>
              </w:rPr>
              <w:t>Showed that the evidence base strongly documents COPD inequities but contains less evidence on effective interventions to reduce them.</w:t>
            </w:r>
          </w:p>
        </w:tc>
        <w:tc>
          <w:tcPr>
            <w:tcW w:w="1005" w:type="pct"/>
            <w:tcMar>
              <w:top w:w="80" w:type="dxa"/>
              <w:left w:w="80" w:type="dxa"/>
              <w:bottom w:w="80" w:type="dxa"/>
              <w:right w:w="80" w:type="dxa"/>
            </w:tcMar>
          </w:tcPr>
          <w:p w14:paraId="511DB187" w14:textId="77777777" w:rsidR="00F82053" w:rsidRDefault="00F82053" w:rsidP="00D26A84">
            <w:r>
              <w:rPr>
                <w:rFonts w:ascii="Arial" w:eastAsia="Arial" w:hAnsi="Arial"/>
                <w:sz w:val="16"/>
              </w:rPr>
              <w:t>Strong for mapping gaps, but weaker for proving which interventions reduce disparities.</w:t>
            </w:r>
          </w:p>
        </w:tc>
      </w:tr>
      <w:tr w:rsidR="00F82053" w14:paraId="652761BB" w14:textId="77777777" w:rsidTr="00F82053">
        <w:trPr>
          <w:cantSplit/>
          <w:jc w:val="center"/>
        </w:trPr>
        <w:tc>
          <w:tcPr>
            <w:tcW w:w="799" w:type="pct"/>
            <w:tcMar>
              <w:top w:w="80" w:type="dxa"/>
              <w:left w:w="80" w:type="dxa"/>
              <w:bottom w:w="80" w:type="dxa"/>
              <w:right w:w="80" w:type="dxa"/>
            </w:tcMar>
          </w:tcPr>
          <w:p w14:paraId="08929F03" w14:textId="77777777" w:rsidR="00F82053" w:rsidRDefault="00F82053" w:rsidP="00D26A84">
            <w:r>
              <w:rPr>
                <w:rFonts w:ascii="Arial" w:eastAsia="Arial" w:hAnsi="Arial"/>
                <w:sz w:val="16"/>
              </w:rPr>
              <w:t>Regan et al. (2023)</w:t>
            </w:r>
          </w:p>
        </w:tc>
        <w:tc>
          <w:tcPr>
            <w:tcW w:w="706" w:type="pct"/>
            <w:tcMar>
              <w:top w:w="80" w:type="dxa"/>
              <w:left w:w="80" w:type="dxa"/>
              <w:bottom w:w="80" w:type="dxa"/>
              <w:right w:w="80" w:type="dxa"/>
            </w:tcMar>
          </w:tcPr>
          <w:p w14:paraId="7BEAEECF" w14:textId="77777777" w:rsidR="00F82053" w:rsidRDefault="00F82053" w:rsidP="00D26A84">
            <w:r>
              <w:rPr>
                <w:rFonts w:ascii="Arial" w:eastAsia="Arial" w:hAnsi="Arial"/>
                <w:sz w:val="16"/>
              </w:rPr>
              <w:t>Cohort / diagnostic classification study</w:t>
            </w:r>
          </w:p>
        </w:tc>
        <w:tc>
          <w:tcPr>
            <w:tcW w:w="848" w:type="pct"/>
            <w:tcMar>
              <w:top w:w="80" w:type="dxa"/>
              <w:left w:w="80" w:type="dxa"/>
              <w:bottom w:w="80" w:type="dxa"/>
              <w:right w:w="80" w:type="dxa"/>
            </w:tcMar>
          </w:tcPr>
          <w:p w14:paraId="7ED8684B" w14:textId="77777777" w:rsidR="00F82053" w:rsidRDefault="00F82053" w:rsidP="00D26A84">
            <w:r>
              <w:rPr>
                <w:rFonts w:ascii="Arial" w:eastAsia="Arial" w:hAnsi="Arial"/>
                <w:sz w:val="16"/>
              </w:rPr>
              <w:t>African American and White participants in COPD-related cohorts</w:t>
            </w:r>
          </w:p>
        </w:tc>
        <w:tc>
          <w:tcPr>
            <w:tcW w:w="469" w:type="pct"/>
            <w:tcMar>
              <w:top w:w="80" w:type="dxa"/>
              <w:left w:w="80" w:type="dxa"/>
              <w:bottom w:w="80" w:type="dxa"/>
              <w:right w:w="80" w:type="dxa"/>
            </w:tcMar>
          </w:tcPr>
          <w:p w14:paraId="4F25F111" w14:textId="77777777" w:rsidR="00F82053" w:rsidRDefault="00F82053" w:rsidP="00D26A84">
            <w:r>
              <w:rPr>
                <w:rFonts w:ascii="Arial" w:eastAsia="Arial" w:hAnsi="Arial"/>
                <w:sz w:val="16"/>
              </w:rPr>
              <w:t>Spirometry criteria and COPD underdiagnosis</w:t>
            </w:r>
          </w:p>
        </w:tc>
        <w:tc>
          <w:tcPr>
            <w:tcW w:w="1172" w:type="pct"/>
            <w:tcMar>
              <w:top w:w="80" w:type="dxa"/>
              <w:left w:w="80" w:type="dxa"/>
              <w:bottom w:w="80" w:type="dxa"/>
              <w:right w:w="80" w:type="dxa"/>
            </w:tcMar>
          </w:tcPr>
          <w:p w14:paraId="7D9E01B3" w14:textId="77777777" w:rsidR="00F82053" w:rsidRDefault="00F82053" w:rsidP="00D26A84">
            <w:r>
              <w:rPr>
                <w:rFonts w:ascii="Arial" w:eastAsia="Arial" w:hAnsi="Arial"/>
                <w:sz w:val="16"/>
              </w:rPr>
              <w:t>Found that fixed-ratio spirometry thresholds may underdiagnose COPD among African American participants compared with broader diagnostic approaches.</w:t>
            </w:r>
          </w:p>
        </w:tc>
        <w:tc>
          <w:tcPr>
            <w:tcW w:w="1005" w:type="pct"/>
            <w:tcMar>
              <w:top w:w="80" w:type="dxa"/>
              <w:left w:w="80" w:type="dxa"/>
              <w:bottom w:w="80" w:type="dxa"/>
              <w:right w:w="80" w:type="dxa"/>
            </w:tcMar>
          </w:tcPr>
          <w:p w14:paraId="31B418C7" w14:textId="77777777" w:rsidR="00F82053" w:rsidRDefault="00F82053" w:rsidP="00D26A84">
            <w:r>
              <w:rPr>
                <w:rFonts w:ascii="Arial" w:eastAsia="Arial" w:hAnsi="Arial"/>
                <w:sz w:val="16"/>
              </w:rPr>
              <w:t>Findings require wider validation in other populations and settings.</w:t>
            </w:r>
          </w:p>
        </w:tc>
      </w:tr>
      <w:tr w:rsidR="00F82053" w14:paraId="6F220465" w14:textId="77777777" w:rsidTr="00F82053">
        <w:trPr>
          <w:cantSplit/>
          <w:jc w:val="center"/>
        </w:trPr>
        <w:tc>
          <w:tcPr>
            <w:tcW w:w="799" w:type="pct"/>
            <w:tcMar>
              <w:top w:w="80" w:type="dxa"/>
              <w:left w:w="80" w:type="dxa"/>
              <w:bottom w:w="80" w:type="dxa"/>
              <w:right w:w="80" w:type="dxa"/>
            </w:tcMar>
          </w:tcPr>
          <w:p w14:paraId="32DD422A" w14:textId="77777777" w:rsidR="00F82053" w:rsidRDefault="00F82053" w:rsidP="00D26A84">
            <w:r>
              <w:rPr>
                <w:rFonts w:ascii="Arial" w:eastAsia="Arial" w:hAnsi="Arial"/>
                <w:sz w:val="16"/>
              </w:rPr>
              <w:t>Spitzer et al. (2020)</w:t>
            </w:r>
          </w:p>
        </w:tc>
        <w:tc>
          <w:tcPr>
            <w:tcW w:w="706" w:type="pct"/>
            <w:tcMar>
              <w:top w:w="80" w:type="dxa"/>
              <w:left w:w="80" w:type="dxa"/>
              <w:bottom w:w="80" w:type="dxa"/>
              <w:right w:w="80" w:type="dxa"/>
            </w:tcMar>
          </w:tcPr>
          <w:p w14:paraId="6D400911" w14:textId="77777777" w:rsidR="00F82053" w:rsidRDefault="00F82053" w:rsidP="00D26A84">
            <w:r>
              <w:rPr>
                <w:rFonts w:ascii="Arial" w:eastAsia="Arial" w:hAnsi="Arial"/>
                <w:sz w:val="16"/>
              </w:rPr>
              <w:t>Health services / geographic analysis</w:t>
            </w:r>
          </w:p>
        </w:tc>
        <w:tc>
          <w:tcPr>
            <w:tcW w:w="848" w:type="pct"/>
            <w:tcMar>
              <w:top w:w="80" w:type="dxa"/>
              <w:left w:w="80" w:type="dxa"/>
              <w:bottom w:w="80" w:type="dxa"/>
              <w:right w:w="80" w:type="dxa"/>
            </w:tcMar>
          </w:tcPr>
          <w:p w14:paraId="4CA8B9C6" w14:textId="77777777" w:rsidR="00F82053" w:rsidRDefault="00F82053" w:rsidP="00D26A84">
            <w:r>
              <w:rPr>
                <w:rFonts w:ascii="Arial" w:eastAsia="Arial" w:hAnsi="Arial"/>
                <w:sz w:val="16"/>
              </w:rPr>
              <w:t>United States Medicare population after COPD hospitalisation</w:t>
            </w:r>
          </w:p>
        </w:tc>
        <w:tc>
          <w:tcPr>
            <w:tcW w:w="469" w:type="pct"/>
            <w:tcMar>
              <w:top w:w="80" w:type="dxa"/>
              <w:left w:w="80" w:type="dxa"/>
              <w:bottom w:w="80" w:type="dxa"/>
              <w:right w:w="80" w:type="dxa"/>
            </w:tcMar>
          </w:tcPr>
          <w:p w14:paraId="7FEBD0A5" w14:textId="77777777" w:rsidR="00F82053" w:rsidRDefault="00F82053" w:rsidP="00D26A84">
            <w:r>
              <w:rPr>
                <w:rFonts w:ascii="Arial" w:eastAsia="Arial" w:hAnsi="Arial"/>
                <w:sz w:val="16"/>
              </w:rPr>
              <w:t>Pulmonary rehabilitation access</w:t>
            </w:r>
          </w:p>
        </w:tc>
        <w:tc>
          <w:tcPr>
            <w:tcW w:w="1172" w:type="pct"/>
            <w:tcMar>
              <w:top w:w="80" w:type="dxa"/>
              <w:left w:w="80" w:type="dxa"/>
              <w:bottom w:w="80" w:type="dxa"/>
              <w:right w:w="80" w:type="dxa"/>
            </w:tcMar>
          </w:tcPr>
          <w:p w14:paraId="14B0437A" w14:textId="77777777" w:rsidR="00F82053" w:rsidRDefault="00F82053" w:rsidP="00D26A84">
            <w:r>
              <w:rPr>
                <w:rFonts w:ascii="Arial" w:eastAsia="Arial" w:hAnsi="Arial"/>
                <w:sz w:val="16"/>
              </w:rPr>
              <w:t>Found racial and geographic disparities in pulmonary rehabilitation access after COPD hospitalisation.</w:t>
            </w:r>
          </w:p>
        </w:tc>
        <w:tc>
          <w:tcPr>
            <w:tcW w:w="1005" w:type="pct"/>
            <w:tcMar>
              <w:top w:w="80" w:type="dxa"/>
              <w:left w:w="80" w:type="dxa"/>
              <w:bottom w:w="80" w:type="dxa"/>
              <w:right w:w="80" w:type="dxa"/>
            </w:tcMar>
          </w:tcPr>
          <w:p w14:paraId="49196AC6" w14:textId="1F97B4D5" w:rsidR="00F82053" w:rsidRDefault="00F82053" w:rsidP="00D26A84">
            <w:r>
              <w:rPr>
                <w:rFonts w:ascii="Arial" w:eastAsia="Arial" w:hAnsi="Arial"/>
                <w:sz w:val="16"/>
              </w:rPr>
              <w:t xml:space="preserve">Medicare </w:t>
            </w:r>
            <w:r>
              <w:rPr>
                <w:rFonts w:ascii="Arial" w:eastAsia="Arial" w:hAnsi="Arial"/>
                <w:sz w:val="16"/>
              </w:rPr>
              <w:t>samples are</w:t>
            </w:r>
            <w:r>
              <w:rPr>
                <w:rFonts w:ascii="Arial" w:eastAsia="Arial" w:hAnsi="Arial"/>
                <w:sz w:val="16"/>
              </w:rPr>
              <w:t xml:space="preserve"> older than the main 40-65 target group, so age relevance is indirect.</w:t>
            </w:r>
          </w:p>
        </w:tc>
      </w:tr>
      <w:tr w:rsidR="00F82053" w14:paraId="7E4578EE" w14:textId="77777777" w:rsidTr="00F82053">
        <w:trPr>
          <w:cantSplit/>
          <w:jc w:val="center"/>
        </w:trPr>
        <w:tc>
          <w:tcPr>
            <w:tcW w:w="799" w:type="pct"/>
            <w:tcMar>
              <w:top w:w="80" w:type="dxa"/>
              <w:left w:w="80" w:type="dxa"/>
              <w:bottom w:w="80" w:type="dxa"/>
              <w:right w:w="80" w:type="dxa"/>
            </w:tcMar>
          </w:tcPr>
          <w:p w14:paraId="070F8810" w14:textId="77777777" w:rsidR="00F82053" w:rsidRDefault="00F82053" w:rsidP="00D26A84">
            <w:r>
              <w:rPr>
                <w:rFonts w:ascii="Arial" w:eastAsia="Arial" w:hAnsi="Arial"/>
                <w:sz w:val="16"/>
              </w:rPr>
              <w:t>Woo et al. (2021)</w:t>
            </w:r>
          </w:p>
        </w:tc>
        <w:tc>
          <w:tcPr>
            <w:tcW w:w="706" w:type="pct"/>
            <w:tcMar>
              <w:top w:w="80" w:type="dxa"/>
              <w:left w:w="80" w:type="dxa"/>
              <w:bottom w:w="80" w:type="dxa"/>
              <w:right w:w="80" w:type="dxa"/>
            </w:tcMar>
          </w:tcPr>
          <w:p w14:paraId="79E37A8B" w14:textId="77777777" w:rsidR="00F82053" w:rsidRDefault="00F82053" w:rsidP="00D26A84">
            <w:r>
              <w:rPr>
                <w:rFonts w:ascii="Arial" w:eastAsia="Arial" w:hAnsi="Arial"/>
                <w:sz w:val="16"/>
              </w:rPr>
              <w:t>Observational cohort / neighbourhood study</w:t>
            </w:r>
          </w:p>
        </w:tc>
        <w:tc>
          <w:tcPr>
            <w:tcW w:w="848" w:type="pct"/>
            <w:tcMar>
              <w:top w:w="80" w:type="dxa"/>
              <w:left w:w="80" w:type="dxa"/>
              <w:bottom w:w="80" w:type="dxa"/>
              <w:right w:w="80" w:type="dxa"/>
            </w:tcMar>
          </w:tcPr>
          <w:p w14:paraId="26E11132" w14:textId="77777777" w:rsidR="00F82053" w:rsidRDefault="00F82053" w:rsidP="00D26A84">
            <w:r>
              <w:rPr>
                <w:rFonts w:ascii="Arial" w:eastAsia="Arial" w:hAnsi="Arial"/>
                <w:sz w:val="16"/>
              </w:rPr>
              <w:t>Urban Black residents with or at risk of COPD</w:t>
            </w:r>
          </w:p>
        </w:tc>
        <w:tc>
          <w:tcPr>
            <w:tcW w:w="469" w:type="pct"/>
            <w:tcMar>
              <w:top w:w="80" w:type="dxa"/>
              <w:left w:w="80" w:type="dxa"/>
              <w:bottom w:w="80" w:type="dxa"/>
              <w:right w:w="80" w:type="dxa"/>
            </w:tcMar>
          </w:tcPr>
          <w:p w14:paraId="235D77D1" w14:textId="77777777" w:rsidR="00F82053" w:rsidRDefault="00F82053" w:rsidP="00D26A84">
            <w:r>
              <w:rPr>
                <w:rFonts w:ascii="Arial" w:eastAsia="Arial" w:hAnsi="Arial"/>
                <w:sz w:val="16"/>
              </w:rPr>
              <w:t>Residential segregation and COPD morbidity</w:t>
            </w:r>
          </w:p>
        </w:tc>
        <w:tc>
          <w:tcPr>
            <w:tcW w:w="1172" w:type="pct"/>
            <w:tcMar>
              <w:top w:w="80" w:type="dxa"/>
              <w:left w:w="80" w:type="dxa"/>
              <w:bottom w:w="80" w:type="dxa"/>
              <w:right w:w="80" w:type="dxa"/>
            </w:tcMar>
          </w:tcPr>
          <w:p w14:paraId="53CA5FCC" w14:textId="77777777" w:rsidR="00F82053" w:rsidRDefault="00F82053" w:rsidP="00D26A84">
            <w:r>
              <w:rPr>
                <w:rFonts w:ascii="Arial" w:eastAsia="Arial" w:hAnsi="Arial"/>
                <w:sz w:val="16"/>
              </w:rPr>
              <w:t>Found that greater segregation was associated with worse symptoms, lung function, exacerbations and CT findings.</w:t>
            </w:r>
          </w:p>
        </w:tc>
        <w:tc>
          <w:tcPr>
            <w:tcW w:w="1005" w:type="pct"/>
            <w:tcMar>
              <w:top w:w="80" w:type="dxa"/>
              <w:left w:w="80" w:type="dxa"/>
              <w:bottom w:w="80" w:type="dxa"/>
              <w:right w:w="80" w:type="dxa"/>
            </w:tcMar>
          </w:tcPr>
          <w:p w14:paraId="15C9EAE8" w14:textId="77777777" w:rsidR="00F82053" w:rsidRDefault="00F82053" w:rsidP="00D26A84">
            <w:r>
              <w:rPr>
                <w:rFonts w:ascii="Arial" w:eastAsia="Arial" w:hAnsi="Arial"/>
                <w:sz w:val="16"/>
              </w:rPr>
              <w:t>Observational design limits causal inference; segregation is complex to measure.</w:t>
            </w:r>
          </w:p>
        </w:tc>
      </w:tr>
    </w:tbl>
    <w:p w14:paraId="4C422CD8" w14:textId="7B9FBE8F" w:rsidR="00F82053" w:rsidRDefault="00F82053" w:rsidP="00F82053">
      <w:pPr>
        <w:rPr>
          <w:rFonts w:ascii="Arial" w:eastAsia="Arial" w:hAnsi="Arial"/>
          <w:i/>
          <w:sz w:val="18"/>
        </w:rPr>
      </w:pPr>
      <w:r>
        <w:rPr>
          <w:rFonts w:ascii="Arial" w:eastAsia="Arial" w:hAnsi="Arial"/>
          <w:i/>
          <w:sz w:val="18"/>
        </w:rPr>
        <w:t>.</w:t>
      </w:r>
    </w:p>
    <w:p w14:paraId="512B357D" w14:textId="77777777" w:rsidR="00F82053" w:rsidRPr="00F82053" w:rsidRDefault="00F82053" w:rsidP="00F82053"/>
    <w:p w14:paraId="48A2539C" w14:textId="1AFA8F2B" w:rsidR="00CD69CF" w:rsidRPr="00231375" w:rsidRDefault="001629A1" w:rsidP="00CD69CF">
      <w:pPr>
        <w:spacing w:after="158"/>
        <w:rPr>
          <w:rFonts w:ascii="Arial" w:hAnsi="Arial" w:cs="Arial"/>
          <w:b/>
          <w:bCs/>
          <w:sz w:val="24"/>
          <w:szCs w:val="24"/>
        </w:rPr>
      </w:pPr>
      <w:r w:rsidRPr="00231375">
        <w:rPr>
          <w:rFonts w:ascii="Arial" w:hAnsi="Arial" w:cs="Arial"/>
          <w:b/>
          <w:bCs/>
          <w:sz w:val="24"/>
          <w:szCs w:val="24"/>
        </w:rPr>
        <w:t xml:space="preserve">3.8 </w:t>
      </w:r>
      <w:r w:rsidR="00CD69CF" w:rsidRPr="00231375">
        <w:rPr>
          <w:rFonts w:ascii="Arial" w:hAnsi="Arial" w:cs="Arial"/>
          <w:b/>
          <w:bCs/>
          <w:sz w:val="24"/>
          <w:szCs w:val="24"/>
        </w:rPr>
        <w:t>Quality appraisal</w:t>
      </w:r>
    </w:p>
    <w:p w14:paraId="166E53BA" w14:textId="71DD9B70" w:rsidR="00CD69CF" w:rsidRPr="00231375" w:rsidRDefault="00CD69CF" w:rsidP="00CD69CF">
      <w:pPr>
        <w:spacing w:after="158"/>
        <w:rPr>
          <w:rFonts w:ascii="Arial" w:hAnsi="Arial" w:cs="Arial"/>
          <w:sz w:val="24"/>
          <w:szCs w:val="24"/>
        </w:rPr>
      </w:pPr>
      <w:r w:rsidRPr="00231375">
        <w:rPr>
          <w:rFonts w:ascii="Arial" w:hAnsi="Arial" w:cs="Arial"/>
          <w:sz w:val="24"/>
          <w:szCs w:val="24"/>
        </w:rPr>
        <w:t xml:space="preserve">Study quality </w:t>
      </w:r>
      <w:r w:rsidR="00AF1AE5">
        <w:rPr>
          <w:rFonts w:ascii="Arial" w:hAnsi="Arial" w:cs="Arial"/>
          <w:sz w:val="24"/>
          <w:szCs w:val="24"/>
        </w:rPr>
        <w:t>was</w:t>
      </w:r>
      <w:r w:rsidRPr="00231375">
        <w:rPr>
          <w:rFonts w:ascii="Arial" w:hAnsi="Arial" w:cs="Arial"/>
          <w:sz w:val="24"/>
          <w:szCs w:val="24"/>
        </w:rPr>
        <w:t xml:space="preserve"> assessed using CASP checklists appropriate to study design (CASP, 2022).</w:t>
      </w:r>
    </w:p>
    <w:p w14:paraId="218EC80F" w14:textId="77777777" w:rsidR="00CD69CF" w:rsidRPr="00231375" w:rsidRDefault="00CD69CF" w:rsidP="00CD69CF">
      <w:pPr>
        <w:spacing w:after="158"/>
        <w:rPr>
          <w:rFonts w:ascii="Arial" w:hAnsi="Arial" w:cs="Arial"/>
          <w:sz w:val="24"/>
          <w:szCs w:val="24"/>
          <w:vertAlign w:val="superscript"/>
        </w:rPr>
      </w:pPr>
    </w:p>
    <w:p w14:paraId="7D9DB7D8" w14:textId="24FA519E" w:rsidR="00CD69CF" w:rsidRPr="00231375" w:rsidRDefault="001629A1" w:rsidP="00CD69CF">
      <w:pPr>
        <w:spacing w:after="158"/>
        <w:rPr>
          <w:rFonts w:ascii="Arial" w:hAnsi="Arial" w:cs="Arial"/>
          <w:sz w:val="24"/>
          <w:szCs w:val="24"/>
        </w:rPr>
      </w:pPr>
      <w:r w:rsidRPr="00231375">
        <w:rPr>
          <w:rFonts w:ascii="Arial" w:hAnsi="Arial" w:cs="Arial"/>
          <w:b/>
          <w:bCs/>
          <w:sz w:val="24"/>
          <w:szCs w:val="24"/>
        </w:rPr>
        <w:t xml:space="preserve">3.8.1 </w:t>
      </w:r>
      <w:r w:rsidR="00CD69CF" w:rsidRPr="00231375">
        <w:rPr>
          <w:rFonts w:ascii="Arial" w:hAnsi="Arial" w:cs="Arial"/>
          <w:b/>
          <w:bCs/>
          <w:sz w:val="24"/>
          <w:szCs w:val="24"/>
        </w:rPr>
        <w:t>CASP checklist selection</w:t>
      </w:r>
    </w:p>
    <w:p w14:paraId="26A2D5DA" w14:textId="77777777" w:rsidR="00CD69CF" w:rsidRPr="00231375" w:rsidRDefault="00CD69CF" w:rsidP="00CD69CF">
      <w:pPr>
        <w:numPr>
          <w:ilvl w:val="0"/>
          <w:numId w:val="11"/>
        </w:numPr>
        <w:spacing w:after="158"/>
        <w:rPr>
          <w:rFonts w:ascii="Arial" w:hAnsi="Arial" w:cs="Arial"/>
          <w:sz w:val="24"/>
          <w:szCs w:val="24"/>
        </w:rPr>
      </w:pPr>
      <w:r w:rsidRPr="00231375">
        <w:rPr>
          <w:rFonts w:ascii="Arial" w:hAnsi="Arial" w:cs="Arial"/>
          <w:sz w:val="24"/>
          <w:szCs w:val="24"/>
        </w:rPr>
        <w:t>Cohort studies: CASP Cohort Study Checklist.</w:t>
      </w:r>
    </w:p>
    <w:p w14:paraId="4FF2D3C0" w14:textId="77777777" w:rsidR="00CD69CF" w:rsidRPr="00231375" w:rsidRDefault="00CD69CF" w:rsidP="00CD69CF">
      <w:pPr>
        <w:numPr>
          <w:ilvl w:val="0"/>
          <w:numId w:val="11"/>
        </w:numPr>
        <w:spacing w:after="158"/>
        <w:rPr>
          <w:rFonts w:ascii="Arial" w:hAnsi="Arial" w:cs="Arial"/>
          <w:sz w:val="24"/>
          <w:szCs w:val="24"/>
        </w:rPr>
      </w:pPr>
      <w:r w:rsidRPr="00231375">
        <w:rPr>
          <w:rFonts w:ascii="Arial" w:hAnsi="Arial" w:cs="Arial"/>
          <w:sz w:val="24"/>
          <w:szCs w:val="24"/>
        </w:rPr>
        <w:t>Qualitative studies: CASP Qualitative Studies Checklist.</w:t>
      </w:r>
    </w:p>
    <w:p w14:paraId="31B25880" w14:textId="77777777" w:rsidR="00CD69CF" w:rsidRPr="00231375" w:rsidRDefault="00CD69CF" w:rsidP="00CD69CF">
      <w:pPr>
        <w:numPr>
          <w:ilvl w:val="0"/>
          <w:numId w:val="11"/>
        </w:numPr>
        <w:spacing w:after="158"/>
        <w:rPr>
          <w:rFonts w:ascii="Arial" w:hAnsi="Arial" w:cs="Arial"/>
          <w:sz w:val="24"/>
          <w:szCs w:val="24"/>
        </w:rPr>
      </w:pPr>
      <w:r w:rsidRPr="00231375">
        <w:rPr>
          <w:rFonts w:ascii="Arial" w:hAnsi="Arial" w:cs="Arial"/>
          <w:sz w:val="24"/>
          <w:szCs w:val="24"/>
        </w:rPr>
        <w:t>Systematic/scoping reviews: CASP Systematic Review Checklist.</w:t>
      </w:r>
    </w:p>
    <w:p w14:paraId="4D396062" w14:textId="77777777" w:rsidR="00CD69CF" w:rsidRPr="00231375" w:rsidRDefault="00CD69CF" w:rsidP="00CD69CF">
      <w:pPr>
        <w:spacing w:after="158"/>
        <w:ind w:left="360"/>
        <w:rPr>
          <w:rFonts w:ascii="Arial" w:hAnsi="Arial" w:cs="Arial"/>
          <w:sz w:val="24"/>
          <w:szCs w:val="24"/>
        </w:rPr>
      </w:pPr>
    </w:p>
    <w:p w14:paraId="21F9E19F" w14:textId="1E9CDFD1" w:rsidR="00CD69CF" w:rsidRPr="00231375" w:rsidRDefault="001629A1" w:rsidP="00CD69CF">
      <w:pPr>
        <w:spacing w:after="158"/>
        <w:rPr>
          <w:rFonts w:ascii="Arial" w:hAnsi="Arial" w:cs="Arial"/>
          <w:sz w:val="24"/>
          <w:szCs w:val="24"/>
        </w:rPr>
      </w:pPr>
      <w:r w:rsidRPr="00231375">
        <w:rPr>
          <w:rFonts w:ascii="Arial" w:hAnsi="Arial" w:cs="Arial"/>
          <w:b/>
          <w:bCs/>
          <w:sz w:val="24"/>
          <w:szCs w:val="24"/>
        </w:rPr>
        <w:t xml:space="preserve">3.8.2 </w:t>
      </w:r>
      <w:r w:rsidR="00CD69CF" w:rsidRPr="00231375">
        <w:rPr>
          <w:rFonts w:ascii="Arial" w:hAnsi="Arial" w:cs="Arial"/>
          <w:b/>
          <w:bCs/>
          <w:sz w:val="24"/>
          <w:szCs w:val="24"/>
        </w:rPr>
        <w:t>Appraisal process and inclusion threshold</w:t>
      </w:r>
      <w:r w:rsidR="00CD69CF" w:rsidRPr="00231375">
        <w:rPr>
          <w:rFonts w:ascii="Arial" w:hAnsi="Arial" w:cs="Arial"/>
          <w:sz w:val="24"/>
          <w:szCs w:val="24"/>
        </w:rPr>
        <w:br/>
      </w:r>
      <w:r w:rsidR="00AF1AE5" w:rsidRPr="00AF1AE5">
        <w:rPr>
          <w:rFonts w:ascii="Arial" w:hAnsi="Arial" w:cs="Arial"/>
          <w:sz w:val="24"/>
          <w:szCs w:val="24"/>
        </w:rPr>
        <w:t xml:space="preserve">Each included study was critically appraised by the researcher using the CASP </w:t>
      </w:r>
      <w:r w:rsidR="00AF1AE5" w:rsidRPr="00AF1AE5">
        <w:rPr>
          <w:rFonts w:ascii="Arial" w:hAnsi="Arial" w:cs="Arial"/>
          <w:sz w:val="24"/>
          <w:szCs w:val="24"/>
        </w:rPr>
        <w:lastRenderedPageBreak/>
        <w:t>checklist most appropriate to the study design. Studies were classified as high, moderate or low quality based on methodological clarity, relevance, outcome measurement and consideration of bias or confounding.</w:t>
      </w:r>
    </w:p>
    <w:p w14:paraId="0A51504E" w14:textId="14C00EA2" w:rsidR="00CD69CF" w:rsidRPr="00231375" w:rsidRDefault="00D02567" w:rsidP="00CD69CF">
      <w:pPr>
        <w:spacing w:after="158"/>
        <w:rPr>
          <w:rFonts w:ascii="Arial" w:hAnsi="Arial" w:cs="Arial"/>
          <w:sz w:val="24"/>
          <w:szCs w:val="24"/>
        </w:rPr>
      </w:pPr>
      <w:r w:rsidRPr="00D02567">
        <w:rPr>
          <w:rFonts w:ascii="Arial" w:hAnsi="Arial" w:cs="Arial"/>
          <w:sz w:val="24"/>
          <w:szCs w:val="24"/>
        </w:rPr>
        <w:t>Certain critical issues resulted in exclusion from the main synthesis. These included unclear definitions of COPD, lack of clarity regarding population characteristics such as race or age relevance, unreliable or inappropriate outcome measurement, or the presence of confounding factors that could significantly distort the findings.</w:t>
      </w:r>
    </w:p>
    <w:p w14:paraId="6C827502" w14:textId="79F3A632" w:rsidR="00CD69CF" w:rsidRPr="00231375" w:rsidRDefault="00D02567" w:rsidP="00CD69CF">
      <w:pPr>
        <w:spacing w:after="158"/>
        <w:rPr>
          <w:rFonts w:ascii="Arial" w:hAnsi="Arial" w:cs="Arial"/>
          <w:sz w:val="24"/>
          <w:szCs w:val="24"/>
        </w:rPr>
      </w:pPr>
      <w:r w:rsidRPr="00D02567">
        <w:rPr>
          <w:rFonts w:ascii="Arial" w:hAnsi="Arial" w:cs="Arial"/>
          <w:sz w:val="24"/>
          <w:szCs w:val="24"/>
        </w:rPr>
        <w:t>Studies identified as low quality due to these critical limitations were not included in the main analytical synthesis. However, where relevant, they were described briefly in narrative form with appropriate caution to provide a broader overview of the available evidence</w:t>
      </w:r>
      <w:r>
        <w:rPr>
          <w:rFonts w:ascii="Arial" w:hAnsi="Arial" w:cs="Arial"/>
          <w:sz w:val="24"/>
          <w:szCs w:val="24"/>
        </w:rPr>
        <w:t xml:space="preserve">. </w:t>
      </w:r>
      <w:r w:rsidR="00CD69CF" w:rsidRPr="00231375">
        <w:rPr>
          <w:rFonts w:ascii="Arial" w:hAnsi="Arial" w:cs="Arial"/>
          <w:sz w:val="24"/>
          <w:szCs w:val="24"/>
        </w:rPr>
        <w:t>This approach ensures that only methodologically robust and relevant studies contribute to the main findings, while maintaining transparency in the review process (CASP, 2022; Page et al., 2021).</w:t>
      </w:r>
    </w:p>
    <w:p w14:paraId="63CFC22A" w14:textId="77777777" w:rsidR="00CD69CF" w:rsidRPr="00231375" w:rsidRDefault="00CD69CF" w:rsidP="00CD69CF">
      <w:pPr>
        <w:spacing w:after="158"/>
        <w:rPr>
          <w:rFonts w:ascii="Arial" w:hAnsi="Arial" w:cs="Arial"/>
        </w:rPr>
      </w:pPr>
    </w:p>
    <w:p w14:paraId="3458A996" w14:textId="23D6A9F4" w:rsidR="00CD69CF" w:rsidRPr="00231375" w:rsidRDefault="001629A1" w:rsidP="00CD69CF">
      <w:pPr>
        <w:spacing w:after="158"/>
        <w:rPr>
          <w:rFonts w:ascii="Arial" w:hAnsi="Arial" w:cs="Arial"/>
          <w:b/>
          <w:bCs/>
          <w:sz w:val="24"/>
          <w:szCs w:val="24"/>
        </w:rPr>
      </w:pPr>
      <w:r w:rsidRPr="00231375">
        <w:rPr>
          <w:rFonts w:ascii="Arial" w:hAnsi="Arial" w:cs="Arial"/>
          <w:b/>
          <w:bCs/>
          <w:sz w:val="24"/>
          <w:szCs w:val="24"/>
        </w:rPr>
        <w:t xml:space="preserve">3.9 </w:t>
      </w:r>
      <w:r w:rsidR="00CD69CF" w:rsidRPr="00231375">
        <w:rPr>
          <w:rFonts w:ascii="Arial" w:hAnsi="Arial" w:cs="Arial"/>
          <w:b/>
          <w:bCs/>
          <w:sz w:val="24"/>
          <w:szCs w:val="24"/>
        </w:rPr>
        <w:t>Data synthesis and analysis</w:t>
      </w:r>
    </w:p>
    <w:p w14:paraId="486EC1A6" w14:textId="2AA47983" w:rsidR="00CD69CF" w:rsidRPr="00231375" w:rsidRDefault="001629A1" w:rsidP="00CD69CF">
      <w:pPr>
        <w:spacing w:after="158"/>
        <w:rPr>
          <w:rFonts w:ascii="Arial" w:hAnsi="Arial" w:cs="Arial"/>
        </w:rPr>
      </w:pPr>
      <w:r w:rsidRPr="00231375">
        <w:rPr>
          <w:rFonts w:ascii="Arial" w:hAnsi="Arial" w:cs="Arial"/>
          <w:b/>
          <w:bCs/>
        </w:rPr>
        <w:t xml:space="preserve">3.9.1 </w:t>
      </w:r>
      <w:r w:rsidR="00CD69CF" w:rsidRPr="00231375">
        <w:rPr>
          <w:rFonts w:ascii="Arial" w:hAnsi="Arial" w:cs="Arial"/>
          <w:b/>
          <w:bCs/>
        </w:rPr>
        <w:t>Synthesis rationale</w:t>
      </w:r>
      <w:r w:rsidR="00CD69CF" w:rsidRPr="00231375">
        <w:rPr>
          <w:rFonts w:ascii="Arial" w:hAnsi="Arial" w:cs="Arial"/>
        </w:rPr>
        <w:br/>
        <w:t xml:space="preserve">Due to heterogeneity in study design and outcomes, a narrative synthesis approach </w:t>
      </w:r>
      <w:r w:rsidR="00AF1AE5">
        <w:rPr>
          <w:rFonts w:ascii="Arial" w:hAnsi="Arial" w:cs="Arial"/>
        </w:rPr>
        <w:t>was</w:t>
      </w:r>
      <w:r w:rsidR="00CD69CF" w:rsidRPr="00231375">
        <w:rPr>
          <w:rFonts w:ascii="Arial" w:hAnsi="Arial" w:cs="Arial"/>
        </w:rPr>
        <w:t xml:space="preserve"> used instead of meta-analysis (Popay et al., 2006; Campbell et al., 2020).</w:t>
      </w:r>
    </w:p>
    <w:p w14:paraId="5C07D532" w14:textId="01DE93BA" w:rsidR="00CD69CF" w:rsidRPr="00231375" w:rsidRDefault="005A2DCF" w:rsidP="00CD69CF">
      <w:pPr>
        <w:spacing w:after="158"/>
        <w:rPr>
          <w:rFonts w:ascii="Arial" w:hAnsi="Arial" w:cs="Arial"/>
          <w:b/>
          <w:bCs/>
        </w:rPr>
      </w:pPr>
      <w:r w:rsidRPr="00231375">
        <w:rPr>
          <w:rFonts w:ascii="Arial" w:hAnsi="Arial" w:cs="Arial"/>
          <w:b/>
          <w:bCs/>
        </w:rPr>
        <w:t>3.9.2</w:t>
      </w:r>
      <w:r w:rsidR="002976C9">
        <w:rPr>
          <w:rFonts w:ascii="Arial" w:hAnsi="Arial" w:cs="Arial"/>
          <w:b/>
          <w:bCs/>
        </w:rPr>
        <w:t xml:space="preserve"> </w:t>
      </w:r>
      <w:r w:rsidR="00CD69CF" w:rsidRPr="00231375">
        <w:rPr>
          <w:rFonts w:ascii="Arial" w:hAnsi="Arial" w:cs="Arial"/>
          <w:b/>
          <w:bCs/>
        </w:rPr>
        <w:t>Thematic synthesis steps</w:t>
      </w:r>
    </w:p>
    <w:p w14:paraId="338ABB7A" w14:textId="7C6222A6" w:rsidR="00CD69CF" w:rsidRPr="00231375" w:rsidRDefault="00CD69CF" w:rsidP="00CD69CF">
      <w:pPr>
        <w:spacing w:after="158"/>
        <w:rPr>
          <w:rFonts w:ascii="Arial" w:hAnsi="Arial" w:cs="Arial"/>
        </w:rPr>
      </w:pPr>
      <w:r w:rsidRPr="00231375">
        <w:rPr>
          <w:rFonts w:ascii="Arial" w:hAnsi="Arial" w:cs="Arial"/>
        </w:rPr>
        <w:br/>
        <w:t xml:space="preserve">Thematic synthesis </w:t>
      </w:r>
      <w:r w:rsidR="00BB2738">
        <w:rPr>
          <w:rFonts w:ascii="Arial" w:hAnsi="Arial" w:cs="Arial"/>
        </w:rPr>
        <w:t>followed</w:t>
      </w:r>
      <w:r w:rsidRPr="00231375">
        <w:rPr>
          <w:rFonts w:ascii="Arial" w:hAnsi="Arial" w:cs="Arial"/>
        </w:rPr>
        <w:t xml:space="preserve"> Thomas and Harden’s stages:</w:t>
      </w:r>
    </w:p>
    <w:p w14:paraId="6C4708C4" w14:textId="77777777" w:rsidR="00CD69CF" w:rsidRPr="00231375" w:rsidRDefault="00CD69CF" w:rsidP="00CD69CF">
      <w:pPr>
        <w:numPr>
          <w:ilvl w:val="0"/>
          <w:numId w:val="12"/>
        </w:numPr>
        <w:spacing w:after="158"/>
        <w:rPr>
          <w:rFonts w:ascii="Arial" w:hAnsi="Arial" w:cs="Arial"/>
        </w:rPr>
      </w:pPr>
      <w:r w:rsidRPr="00231375">
        <w:rPr>
          <w:rFonts w:ascii="Arial" w:hAnsi="Arial" w:cs="Arial"/>
        </w:rPr>
        <w:t>Line-by-line coding of relevant findings (results text and key tables).</w:t>
      </w:r>
    </w:p>
    <w:p w14:paraId="7C28320C" w14:textId="77777777" w:rsidR="00CD69CF" w:rsidRPr="00231375" w:rsidRDefault="00CD69CF" w:rsidP="00CD69CF">
      <w:pPr>
        <w:numPr>
          <w:ilvl w:val="0"/>
          <w:numId w:val="12"/>
        </w:numPr>
        <w:spacing w:after="158"/>
        <w:rPr>
          <w:rFonts w:ascii="Arial" w:hAnsi="Arial" w:cs="Arial"/>
        </w:rPr>
      </w:pPr>
      <w:r w:rsidRPr="00231375">
        <w:rPr>
          <w:rFonts w:ascii="Arial" w:hAnsi="Arial" w:cs="Arial"/>
        </w:rPr>
        <w:t>Development of descriptive themes aligned to the dissertation framework (epidemiology; awareness/diagnosis; environmental/occupational exposures; healthcare access/management; structural determinants).</w:t>
      </w:r>
    </w:p>
    <w:p w14:paraId="2D14F776" w14:textId="77777777" w:rsidR="00CD69CF" w:rsidRPr="00231375" w:rsidRDefault="00CD69CF" w:rsidP="00CD69CF">
      <w:pPr>
        <w:numPr>
          <w:ilvl w:val="0"/>
          <w:numId w:val="12"/>
        </w:numPr>
        <w:spacing w:after="158"/>
        <w:rPr>
          <w:rFonts w:ascii="Arial" w:hAnsi="Arial" w:cs="Arial"/>
        </w:rPr>
      </w:pPr>
      <w:r w:rsidRPr="00231375">
        <w:rPr>
          <w:rFonts w:ascii="Arial" w:hAnsi="Arial" w:cs="Arial"/>
        </w:rPr>
        <w:t>Development of analytical themes explaining how mechanisms interact (e.g., underdiagnosis interacting with structural exposure and access barriers) (Thomas and Harden, 2008).</w:t>
      </w:r>
    </w:p>
    <w:p w14:paraId="18664283" w14:textId="63270DD0" w:rsidR="00CD69CF" w:rsidRPr="00231375" w:rsidRDefault="00CD69CF" w:rsidP="00CD69CF">
      <w:pPr>
        <w:spacing w:after="158"/>
        <w:rPr>
          <w:rFonts w:ascii="Arial" w:hAnsi="Arial" w:cs="Arial"/>
        </w:rPr>
      </w:pPr>
      <w:r w:rsidRPr="00231375">
        <w:rPr>
          <w:rFonts w:ascii="Arial" w:hAnsi="Arial" w:cs="Arial"/>
        </w:rPr>
        <w:t xml:space="preserve">Coding </w:t>
      </w:r>
      <w:r w:rsidR="00AF1AE5">
        <w:rPr>
          <w:rFonts w:ascii="Arial" w:hAnsi="Arial" w:cs="Arial"/>
        </w:rPr>
        <w:t>was</w:t>
      </w:r>
      <w:r w:rsidRPr="00231375">
        <w:rPr>
          <w:rFonts w:ascii="Arial" w:hAnsi="Arial" w:cs="Arial"/>
        </w:rPr>
        <w:t xml:space="preserve"> conducted using a structured spreadsheet. A codebook</w:t>
      </w:r>
      <w:r w:rsidR="00BB2738">
        <w:rPr>
          <w:rFonts w:ascii="Arial" w:hAnsi="Arial" w:cs="Arial"/>
        </w:rPr>
        <w:t xml:space="preserve"> </w:t>
      </w:r>
      <w:r w:rsidRPr="00231375">
        <w:rPr>
          <w:rFonts w:ascii="Arial" w:hAnsi="Arial" w:cs="Arial"/>
        </w:rPr>
        <w:t>define</w:t>
      </w:r>
      <w:r w:rsidR="00BB2738">
        <w:rPr>
          <w:rFonts w:ascii="Arial" w:hAnsi="Arial" w:cs="Arial"/>
        </w:rPr>
        <w:t>d</w:t>
      </w:r>
      <w:r w:rsidRPr="00231375">
        <w:rPr>
          <w:rFonts w:ascii="Arial" w:hAnsi="Arial" w:cs="Arial"/>
        </w:rPr>
        <w:t xml:space="preserve"> each code and inclusion rules; coded excerpts </w:t>
      </w:r>
      <w:r w:rsidR="00AF1AE5">
        <w:rPr>
          <w:rFonts w:ascii="Arial" w:hAnsi="Arial" w:cs="Arial"/>
        </w:rPr>
        <w:t>was</w:t>
      </w:r>
      <w:r w:rsidRPr="00231375">
        <w:rPr>
          <w:rFonts w:ascii="Arial" w:hAnsi="Arial" w:cs="Arial"/>
        </w:rPr>
        <w:t xml:space="preserve"> linked to study IDs to preserve traceability and reduce decontextualization (Thomas and Harden, 2008).</w:t>
      </w:r>
    </w:p>
    <w:p w14:paraId="26124A7F" w14:textId="77777777" w:rsidR="00CD69CF" w:rsidRPr="00231375" w:rsidRDefault="00CD69CF" w:rsidP="00CD69CF">
      <w:pPr>
        <w:spacing w:after="158"/>
        <w:rPr>
          <w:rFonts w:ascii="Arial" w:hAnsi="Arial" w:cs="Arial"/>
        </w:rPr>
      </w:pPr>
    </w:p>
    <w:p w14:paraId="26C0B8BD" w14:textId="69FB6AD2" w:rsidR="00CD69CF" w:rsidRPr="00231375" w:rsidRDefault="005A2DCF" w:rsidP="00CD69CF">
      <w:pPr>
        <w:spacing w:after="158"/>
        <w:rPr>
          <w:rFonts w:ascii="Arial" w:hAnsi="Arial" w:cs="Arial"/>
          <w:b/>
          <w:bCs/>
        </w:rPr>
      </w:pPr>
      <w:r w:rsidRPr="00231375">
        <w:rPr>
          <w:rFonts w:ascii="Arial" w:hAnsi="Arial" w:cs="Arial"/>
          <w:b/>
          <w:bCs/>
        </w:rPr>
        <w:t xml:space="preserve">3.10 </w:t>
      </w:r>
      <w:r w:rsidR="00CD69CF" w:rsidRPr="00231375">
        <w:rPr>
          <w:rFonts w:ascii="Arial" w:hAnsi="Arial" w:cs="Arial"/>
          <w:b/>
          <w:bCs/>
        </w:rPr>
        <w:t>Ethics, reflexivity and limitations</w:t>
      </w:r>
    </w:p>
    <w:p w14:paraId="4A7BF2E4" w14:textId="3F797FA3" w:rsidR="00CD69CF" w:rsidRPr="00231375" w:rsidRDefault="00BF47CB" w:rsidP="00CD69CF">
      <w:pPr>
        <w:spacing w:after="158"/>
        <w:rPr>
          <w:rFonts w:ascii="Arial" w:hAnsi="Arial" w:cs="Arial"/>
        </w:rPr>
      </w:pPr>
      <w:r w:rsidRPr="00BF47CB">
        <w:rPr>
          <w:rFonts w:ascii="Arial" w:hAnsi="Arial" w:cs="Arial"/>
        </w:rPr>
        <w:t>This study used publicly available data and did not require formal ethical approval</w:t>
      </w:r>
      <w:r w:rsidR="00CD69CF" w:rsidRPr="00231375">
        <w:rPr>
          <w:rFonts w:ascii="Arial" w:hAnsi="Arial" w:cs="Arial"/>
        </w:rPr>
        <w:t>. Ethical considerations include accurate representation of evidence and appropriate interpretation of racial disparities using a structural framework (Bailey et al., 2017).</w:t>
      </w:r>
    </w:p>
    <w:p w14:paraId="1021F291" w14:textId="5DA07CE3" w:rsidR="00CD69CF" w:rsidRPr="00231375" w:rsidRDefault="00CD69CF" w:rsidP="00CD69CF">
      <w:pPr>
        <w:spacing w:after="158"/>
        <w:rPr>
          <w:rFonts w:ascii="Arial" w:hAnsi="Arial" w:cs="Arial"/>
        </w:rPr>
      </w:pPr>
      <w:r w:rsidRPr="00231375">
        <w:rPr>
          <w:rFonts w:ascii="Arial" w:hAnsi="Arial" w:cs="Arial"/>
        </w:rPr>
        <w:t xml:space="preserve">Reflexivity is important as judgement is required when applying inclusion criteria and developing themes. </w:t>
      </w:r>
      <w:r w:rsidR="00733847" w:rsidRPr="00733847">
        <w:rPr>
          <w:rFonts w:ascii="Arial" w:hAnsi="Arial" w:cs="Arial"/>
        </w:rPr>
        <w:t>To minimise bias, the review used predefined PICOS criteria, documented screening decisions, and a transparent PRISMA flow diagram</w:t>
      </w:r>
      <w:r w:rsidRPr="00231375">
        <w:rPr>
          <w:rFonts w:ascii="Arial" w:hAnsi="Arial" w:cs="Arial"/>
        </w:rPr>
        <w:t xml:space="preserve">. Key decisions </w:t>
      </w:r>
      <w:r w:rsidR="00733847">
        <w:rPr>
          <w:rFonts w:ascii="Arial" w:hAnsi="Arial" w:cs="Arial"/>
        </w:rPr>
        <w:t>were</w:t>
      </w:r>
      <w:r w:rsidRPr="00231375">
        <w:rPr>
          <w:rFonts w:ascii="Arial" w:hAnsi="Arial" w:cs="Arial"/>
        </w:rPr>
        <w:t xml:space="preserve"> documented to ensure transparency (Page </w:t>
      </w:r>
      <w:r w:rsidRPr="00231375">
        <w:rPr>
          <w:rFonts w:ascii="Arial" w:hAnsi="Arial" w:cs="Arial"/>
          <w:i/>
          <w:iCs/>
        </w:rPr>
        <w:t>et al.</w:t>
      </w:r>
      <w:r w:rsidRPr="00231375">
        <w:rPr>
          <w:rFonts w:ascii="Arial" w:hAnsi="Arial" w:cs="Arial"/>
        </w:rPr>
        <w:t>, 2021; Thomas and Harden, 2008).</w:t>
      </w:r>
    </w:p>
    <w:p w14:paraId="1D973D50" w14:textId="5C203E33" w:rsidR="00CD69CF" w:rsidRDefault="00CD69CF" w:rsidP="00DC624E">
      <w:pPr>
        <w:spacing w:after="158"/>
        <w:rPr>
          <w:rFonts w:ascii="Arial" w:hAnsi="Arial" w:cs="Arial"/>
        </w:rPr>
      </w:pPr>
      <w:r w:rsidRPr="00231375">
        <w:rPr>
          <w:rFonts w:ascii="Arial" w:hAnsi="Arial" w:cs="Arial"/>
        </w:rPr>
        <w:lastRenderedPageBreak/>
        <w:t xml:space="preserve">Anticipated limitations include English-language restriction; publication and non-reporting bias; incomplete age-stratified reporting in the primary literature; and heterogeneity in COPD definitions/outcomes that limits pooling. Non-reporting bias risk </w:t>
      </w:r>
      <w:r w:rsidR="00AF1AE5">
        <w:rPr>
          <w:rFonts w:ascii="Arial" w:hAnsi="Arial" w:cs="Arial"/>
        </w:rPr>
        <w:t>was</w:t>
      </w:r>
      <w:r w:rsidRPr="00231375">
        <w:rPr>
          <w:rFonts w:ascii="Arial" w:hAnsi="Arial" w:cs="Arial"/>
        </w:rPr>
        <w:t xml:space="preserve"> considered when interpreting “absence of evidence” conclusions (Higgins </w:t>
      </w:r>
      <w:r w:rsidRPr="00231375">
        <w:rPr>
          <w:rFonts w:ascii="Arial" w:hAnsi="Arial" w:cs="Arial"/>
          <w:i/>
          <w:iCs/>
        </w:rPr>
        <w:t>et al.</w:t>
      </w:r>
      <w:r w:rsidRPr="00231375">
        <w:rPr>
          <w:rFonts w:ascii="Arial" w:hAnsi="Arial" w:cs="Arial"/>
        </w:rPr>
        <w:t>, 2019; Page </w:t>
      </w:r>
      <w:r w:rsidRPr="00231375">
        <w:rPr>
          <w:rFonts w:ascii="Arial" w:hAnsi="Arial" w:cs="Arial"/>
          <w:i/>
          <w:iCs/>
        </w:rPr>
        <w:t>et al.</w:t>
      </w:r>
      <w:r w:rsidRPr="00231375">
        <w:rPr>
          <w:rFonts w:ascii="Arial" w:hAnsi="Arial" w:cs="Arial"/>
        </w:rPr>
        <w:t>, 2021).</w:t>
      </w:r>
    </w:p>
    <w:p w14:paraId="2B9CBD1E" w14:textId="77777777" w:rsidR="00A6469D" w:rsidRDefault="00A6469D" w:rsidP="00DC624E">
      <w:pPr>
        <w:spacing w:after="158"/>
        <w:rPr>
          <w:rFonts w:ascii="Arial" w:hAnsi="Arial" w:cs="Arial"/>
        </w:rPr>
      </w:pPr>
    </w:p>
    <w:p w14:paraId="7754188D" w14:textId="77777777" w:rsidR="00A6469D" w:rsidRDefault="00A6469D" w:rsidP="00DC624E">
      <w:pPr>
        <w:spacing w:after="158"/>
        <w:rPr>
          <w:rFonts w:ascii="Arial" w:hAnsi="Arial" w:cs="Arial"/>
        </w:rPr>
      </w:pPr>
    </w:p>
    <w:p w14:paraId="355625DC" w14:textId="77777777" w:rsidR="00A6469D" w:rsidRDefault="00A6469D" w:rsidP="00DC624E">
      <w:pPr>
        <w:spacing w:after="158"/>
        <w:rPr>
          <w:rFonts w:ascii="Arial" w:hAnsi="Arial" w:cs="Arial"/>
        </w:rPr>
      </w:pPr>
    </w:p>
    <w:p w14:paraId="5DE87794" w14:textId="77777777" w:rsidR="00A6469D" w:rsidRDefault="00A6469D" w:rsidP="00DC624E">
      <w:pPr>
        <w:spacing w:after="158"/>
        <w:rPr>
          <w:rFonts w:ascii="Arial" w:hAnsi="Arial" w:cs="Arial"/>
        </w:rPr>
      </w:pPr>
    </w:p>
    <w:p w14:paraId="4FB235AF" w14:textId="77777777" w:rsidR="00A6469D" w:rsidRDefault="00A6469D" w:rsidP="00DC624E">
      <w:pPr>
        <w:spacing w:after="158"/>
        <w:rPr>
          <w:rFonts w:ascii="Arial" w:hAnsi="Arial" w:cs="Arial"/>
        </w:rPr>
      </w:pPr>
    </w:p>
    <w:p w14:paraId="76C81A2C" w14:textId="77777777" w:rsidR="00A6469D" w:rsidRDefault="00A6469D" w:rsidP="00DC624E">
      <w:pPr>
        <w:spacing w:after="158"/>
        <w:rPr>
          <w:rFonts w:ascii="Arial" w:hAnsi="Arial" w:cs="Arial"/>
        </w:rPr>
      </w:pPr>
    </w:p>
    <w:p w14:paraId="3E7277B7" w14:textId="77777777" w:rsidR="00A6469D" w:rsidRDefault="00A6469D" w:rsidP="00DC624E">
      <w:pPr>
        <w:spacing w:after="158"/>
        <w:rPr>
          <w:rFonts w:ascii="Arial" w:hAnsi="Arial" w:cs="Arial"/>
        </w:rPr>
      </w:pPr>
    </w:p>
    <w:p w14:paraId="466E71BC" w14:textId="77777777" w:rsidR="00A6469D" w:rsidRDefault="00A6469D" w:rsidP="00DC624E">
      <w:pPr>
        <w:spacing w:after="158"/>
        <w:rPr>
          <w:rFonts w:ascii="Arial" w:hAnsi="Arial" w:cs="Arial"/>
        </w:rPr>
      </w:pPr>
    </w:p>
    <w:p w14:paraId="37511CBF" w14:textId="77777777" w:rsidR="00A6469D" w:rsidRDefault="00A6469D" w:rsidP="00DC624E">
      <w:pPr>
        <w:spacing w:after="158"/>
        <w:rPr>
          <w:rFonts w:ascii="Arial" w:hAnsi="Arial" w:cs="Arial"/>
        </w:rPr>
      </w:pPr>
    </w:p>
    <w:p w14:paraId="54A87D0D" w14:textId="77777777" w:rsidR="00A6469D" w:rsidRDefault="00A6469D" w:rsidP="00DC624E">
      <w:pPr>
        <w:spacing w:after="158"/>
        <w:rPr>
          <w:rFonts w:ascii="Arial" w:hAnsi="Arial" w:cs="Arial"/>
        </w:rPr>
      </w:pPr>
    </w:p>
    <w:p w14:paraId="45853722" w14:textId="77777777" w:rsidR="00A6469D" w:rsidRDefault="00A6469D" w:rsidP="00DC624E">
      <w:pPr>
        <w:spacing w:after="158"/>
        <w:rPr>
          <w:rFonts w:ascii="Arial" w:hAnsi="Arial" w:cs="Arial"/>
        </w:rPr>
      </w:pPr>
    </w:p>
    <w:p w14:paraId="141CB270" w14:textId="77777777" w:rsidR="00A6469D" w:rsidRDefault="00A6469D" w:rsidP="00DC624E">
      <w:pPr>
        <w:spacing w:after="158"/>
        <w:rPr>
          <w:rFonts w:ascii="Arial" w:hAnsi="Arial" w:cs="Arial"/>
        </w:rPr>
      </w:pPr>
    </w:p>
    <w:p w14:paraId="20F9FEB4" w14:textId="77777777" w:rsidR="00A6469D" w:rsidRDefault="00A6469D" w:rsidP="00DC624E">
      <w:pPr>
        <w:spacing w:after="158"/>
        <w:rPr>
          <w:rFonts w:ascii="Arial" w:hAnsi="Arial" w:cs="Arial"/>
        </w:rPr>
      </w:pPr>
    </w:p>
    <w:p w14:paraId="545DEFC4" w14:textId="77777777" w:rsidR="00A6469D" w:rsidRDefault="00A6469D" w:rsidP="00DC624E">
      <w:pPr>
        <w:spacing w:after="158"/>
        <w:rPr>
          <w:rFonts w:ascii="Arial" w:hAnsi="Arial" w:cs="Arial"/>
        </w:rPr>
      </w:pPr>
    </w:p>
    <w:p w14:paraId="276D83E4" w14:textId="77777777" w:rsidR="00A6469D" w:rsidRDefault="00A6469D" w:rsidP="00DC624E">
      <w:pPr>
        <w:spacing w:after="158"/>
        <w:rPr>
          <w:rFonts w:ascii="Arial" w:hAnsi="Arial" w:cs="Arial"/>
        </w:rPr>
      </w:pPr>
    </w:p>
    <w:p w14:paraId="00D9488F" w14:textId="77777777" w:rsidR="00A6469D" w:rsidRDefault="00A6469D" w:rsidP="00DC624E">
      <w:pPr>
        <w:spacing w:after="158"/>
        <w:rPr>
          <w:rFonts w:ascii="Arial" w:hAnsi="Arial" w:cs="Arial"/>
        </w:rPr>
      </w:pPr>
    </w:p>
    <w:p w14:paraId="50E911C6" w14:textId="77777777" w:rsidR="00A6469D" w:rsidRDefault="00A6469D" w:rsidP="00DC624E">
      <w:pPr>
        <w:spacing w:after="158"/>
        <w:rPr>
          <w:rFonts w:ascii="Arial" w:hAnsi="Arial" w:cs="Arial"/>
        </w:rPr>
      </w:pPr>
    </w:p>
    <w:p w14:paraId="136E341E" w14:textId="77777777" w:rsidR="00A6469D" w:rsidRDefault="00A6469D" w:rsidP="00DC624E">
      <w:pPr>
        <w:spacing w:after="158"/>
        <w:rPr>
          <w:rFonts w:ascii="Arial" w:hAnsi="Arial" w:cs="Arial"/>
        </w:rPr>
      </w:pPr>
    </w:p>
    <w:p w14:paraId="66DC7C1D" w14:textId="77777777" w:rsidR="00A6469D" w:rsidRDefault="00A6469D" w:rsidP="00DC624E">
      <w:pPr>
        <w:spacing w:after="158"/>
        <w:rPr>
          <w:rFonts w:ascii="Arial" w:hAnsi="Arial" w:cs="Arial"/>
        </w:rPr>
      </w:pPr>
    </w:p>
    <w:p w14:paraId="11D37C79" w14:textId="77777777" w:rsidR="00A6469D" w:rsidRDefault="00A6469D" w:rsidP="00DC624E">
      <w:pPr>
        <w:spacing w:after="158"/>
        <w:rPr>
          <w:rFonts w:ascii="Arial" w:hAnsi="Arial" w:cs="Arial"/>
        </w:rPr>
      </w:pPr>
    </w:p>
    <w:p w14:paraId="30F9D4CE" w14:textId="77777777" w:rsidR="00A6469D" w:rsidRDefault="00A6469D" w:rsidP="00DC624E">
      <w:pPr>
        <w:spacing w:after="158"/>
        <w:rPr>
          <w:rFonts w:ascii="Arial" w:hAnsi="Arial" w:cs="Arial"/>
        </w:rPr>
      </w:pPr>
    </w:p>
    <w:p w14:paraId="068BA6FA" w14:textId="77777777" w:rsidR="00A6469D" w:rsidRDefault="00A6469D" w:rsidP="00DC624E">
      <w:pPr>
        <w:spacing w:after="158"/>
        <w:rPr>
          <w:rFonts w:ascii="Arial" w:hAnsi="Arial" w:cs="Arial"/>
        </w:rPr>
      </w:pPr>
    </w:p>
    <w:p w14:paraId="0398E61E" w14:textId="77777777" w:rsidR="00A6469D" w:rsidRDefault="00A6469D" w:rsidP="00DC624E">
      <w:pPr>
        <w:spacing w:after="158"/>
        <w:rPr>
          <w:rFonts w:ascii="Arial" w:hAnsi="Arial" w:cs="Arial"/>
        </w:rPr>
      </w:pPr>
    </w:p>
    <w:p w14:paraId="4A67CE27" w14:textId="77777777" w:rsidR="00A6469D" w:rsidRDefault="00A6469D" w:rsidP="00DC624E">
      <w:pPr>
        <w:spacing w:after="158"/>
        <w:rPr>
          <w:rFonts w:ascii="Arial" w:hAnsi="Arial" w:cs="Arial"/>
        </w:rPr>
      </w:pPr>
    </w:p>
    <w:p w14:paraId="7955F553" w14:textId="77777777" w:rsidR="00A6469D" w:rsidRDefault="00A6469D" w:rsidP="00DC624E">
      <w:pPr>
        <w:spacing w:after="158"/>
        <w:rPr>
          <w:rFonts w:ascii="Arial" w:hAnsi="Arial" w:cs="Arial"/>
        </w:rPr>
      </w:pPr>
    </w:p>
    <w:p w14:paraId="3E3CCE7B" w14:textId="77777777" w:rsidR="00A6469D" w:rsidRDefault="00A6469D" w:rsidP="00DC624E">
      <w:pPr>
        <w:spacing w:after="158"/>
        <w:rPr>
          <w:rFonts w:ascii="Arial" w:hAnsi="Arial" w:cs="Arial"/>
        </w:rPr>
      </w:pPr>
    </w:p>
    <w:p w14:paraId="0C472045" w14:textId="77777777" w:rsidR="00A6469D" w:rsidRDefault="00A6469D" w:rsidP="00DC624E">
      <w:pPr>
        <w:spacing w:after="158"/>
        <w:rPr>
          <w:rFonts w:ascii="Arial" w:hAnsi="Arial" w:cs="Arial"/>
        </w:rPr>
      </w:pPr>
    </w:p>
    <w:p w14:paraId="678244FD" w14:textId="77777777" w:rsidR="00A6469D" w:rsidRPr="00A649CB" w:rsidRDefault="00A6469D" w:rsidP="00DC624E">
      <w:pPr>
        <w:spacing w:after="158"/>
        <w:rPr>
          <w:rFonts w:ascii="Arial" w:hAnsi="Arial" w:cs="Arial"/>
        </w:rPr>
      </w:pPr>
    </w:p>
    <w:p w14:paraId="4E17F350" w14:textId="77777777" w:rsidR="00CD69CF" w:rsidRPr="00231375" w:rsidRDefault="00CD69CF" w:rsidP="00CD69CF">
      <w:pPr>
        <w:pStyle w:val="Heading1"/>
        <w:rPr>
          <w:rFonts w:ascii="Arial" w:hAnsi="Arial" w:cs="Arial"/>
          <w:color w:val="auto"/>
          <w:sz w:val="28"/>
          <w:szCs w:val="28"/>
        </w:rPr>
      </w:pPr>
      <w:r w:rsidRPr="00231375">
        <w:rPr>
          <w:rFonts w:ascii="Arial" w:hAnsi="Arial" w:cs="Arial"/>
          <w:color w:val="auto"/>
          <w:sz w:val="28"/>
          <w:szCs w:val="28"/>
        </w:rPr>
        <w:lastRenderedPageBreak/>
        <w:t>Chapter 4: Results and Discussion</w:t>
      </w:r>
    </w:p>
    <w:p w14:paraId="07DE2852" w14:textId="77777777" w:rsidR="00CD69CF" w:rsidRPr="00231375" w:rsidRDefault="00CD69CF" w:rsidP="00CD69CF"/>
    <w:p w14:paraId="70BD869C"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4.1 Introduction</w:t>
      </w:r>
    </w:p>
    <w:p w14:paraId="31E2110C" w14:textId="77777777" w:rsidR="00CD69CF" w:rsidRPr="00231375" w:rsidRDefault="00CD69CF" w:rsidP="00CD69CF">
      <w:pPr>
        <w:rPr>
          <w:rFonts w:ascii="Arial" w:hAnsi="Arial" w:cs="Arial"/>
        </w:rPr>
      </w:pPr>
      <w:r w:rsidRPr="00231375">
        <w:rPr>
          <w:rFonts w:ascii="Arial" w:hAnsi="Arial" w:cs="Arial"/>
        </w:rPr>
        <w:t>This chapter presents and discusses the findings of the systematic literature review examining COPD awareness, prevention, diagnosis and management among African American adults aged 40-65 in the United States. The purpose of the chapter is to answer the research question: What does current evidence reveal about awareness, diagnosis, prevention and management of COPD among African American adults aged 40-65 in the United States, and how do structural, environmental and healthcare system factors influence these outcomes? The chapter builds directly on the methodology described in Chapter 3, where a systematic review and thematic narrative synthesis were selected because the evidence base was expected to include heterogeneous study designs, including epidemiological surveillance, cohort studies, diagnostic studies, environmental and neighbourhood analyses, community-based studies, health services research and reviews (Popay et al., 2006; Thomas and Harden, 2008; Page et al., 2021; Campbell et al., 2020).</w:t>
      </w:r>
    </w:p>
    <w:p w14:paraId="48B4D54C" w14:textId="77777777" w:rsidR="00CD69CF" w:rsidRPr="00231375" w:rsidRDefault="00CD69CF" w:rsidP="00CD69CF">
      <w:pPr>
        <w:rPr>
          <w:rFonts w:ascii="Arial" w:hAnsi="Arial" w:cs="Arial"/>
        </w:rPr>
      </w:pPr>
      <w:r w:rsidRPr="00231375">
        <w:rPr>
          <w:rFonts w:ascii="Arial" w:hAnsi="Arial" w:cs="Arial"/>
        </w:rPr>
        <w:t>The findings are organised into five interrelated themes. The first theme considers epidemiological evidence and the apparent prevalence-morbidity paradox, whereby African American adults may appear to have lower diagnosed COPD prevalence than White adults while experiencing poorer outcomes once disease is present. The second theme examines awareness, symptom recognition and diagnostic inequity, including underdiagnosis, misclassification and the limitations of spirometry thresholds. The third theme evaluates environmental and occupational exposure pathways, demonstrating that COPD risk is shaped by cumulative inhalational exposures beyond smoking alone. The fourth theme analyses healthcare access and management inequalities, particularly access to evidence-based interventions such as pulmonary rehabilitation. The fifth theme integrates the evidence using structural racism, residential segregation and social determinants frameworks. The discussion then synthesises how these themes interact across the pathway from exposure to disease recognition and management.</w:t>
      </w:r>
    </w:p>
    <w:p w14:paraId="5C679994" w14:textId="77777777" w:rsidR="00CD69CF" w:rsidRPr="00231375" w:rsidRDefault="00CD69CF" w:rsidP="00CD69CF">
      <w:pPr>
        <w:rPr>
          <w:rFonts w:ascii="Arial" w:hAnsi="Arial" w:cs="Arial"/>
        </w:rPr>
      </w:pPr>
    </w:p>
    <w:p w14:paraId="0D7B9BDC"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4.2 Overview of the included evidence and synthesis approach</w:t>
      </w:r>
    </w:p>
    <w:p w14:paraId="5A16F946" w14:textId="77777777" w:rsidR="00CD69CF" w:rsidRPr="00231375" w:rsidRDefault="00CD69CF" w:rsidP="00CD69CF">
      <w:pPr>
        <w:rPr>
          <w:rFonts w:ascii="Arial" w:hAnsi="Arial" w:cs="Arial"/>
        </w:rPr>
      </w:pPr>
      <w:r w:rsidRPr="00231375">
        <w:rPr>
          <w:rFonts w:ascii="Arial" w:hAnsi="Arial" w:cs="Arial"/>
        </w:rPr>
        <w:t>The evidence relevant to the review question was diverse in both design and purpose. It included national surveillance studies describing the burden of diagnosed COPD, cohort analyses using COPDGene and SPIROMICS data, diagnostic studies examining under-recognition and spirometric classification, community-based studies assessing case finding or education, occupational and environmental health studies, and health services studies evaluating access to pulmonary rehabilitation and other forms of COPD management. This diversity is a strength because it allows the review to examine COPD inequity across the full pathway from risk exposure to diagnosis and care. However, it also limits the possibility of statistical pooling because the included studies used different sampling frames, COPD definitions, age structures, outcome measures and adjustment strategies (Higgins et al., 2019; Page et al., 2021).</w:t>
      </w:r>
    </w:p>
    <w:p w14:paraId="3E65CEAB" w14:textId="77777777" w:rsidR="00CD69CF" w:rsidRPr="00231375" w:rsidRDefault="00CD69CF" w:rsidP="00CD69CF">
      <w:pPr>
        <w:rPr>
          <w:rFonts w:ascii="Arial" w:hAnsi="Arial" w:cs="Arial"/>
        </w:rPr>
      </w:pPr>
      <w:r w:rsidRPr="00231375">
        <w:rPr>
          <w:rFonts w:ascii="Arial" w:hAnsi="Arial" w:cs="Arial"/>
        </w:rPr>
        <w:t xml:space="preserve">A narrative synthesis was therefore appropriate. Rather than treating each study as an isolated result, the synthesis grouped evidence into mechanisms: unequal exposure, unequal disease recognition, unequal access to treatment and unequal outcomes. This approach is consistent with narrative synthesis guidance, which recommends grouping studies by conceptual similarity and then exploring relationships within and between groups </w:t>
      </w:r>
      <w:r w:rsidRPr="00231375">
        <w:rPr>
          <w:rFonts w:ascii="Arial" w:hAnsi="Arial" w:cs="Arial"/>
        </w:rPr>
        <w:lastRenderedPageBreak/>
        <w:t>(Popay et al., 2006; Campbell et al., 2020). It is also consistent with thematic synthesis, in which descriptive themes are developed from the literature and then interpreted into higher-level analytical themes (Thomas and Harden, 2008). The central analytical theme emerging from the review is that COPD inequity among African American adults in midlife cannot be explained by a single factor such as smoking, individual behaviour or genetic difference. Instead, it is produced through the interaction of structural exposures, diagnostic practices, healthcare access and wider social conditions (Bailey et al., 2017; Williams and Mohammed, 2013; Marmot, 2015).</w:t>
      </w:r>
    </w:p>
    <w:p w14:paraId="62B64099" w14:textId="77777777" w:rsidR="00CD69CF" w:rsidRPr="00231375" w:rsidRDefault="00CD69CF" w:rsidP="00CD69CF">
      <w:pPr>
        <w:rPr>
          <w:rFonts w:ascii="Arial" w:hAnsi="Arial" w:cs="Arial"/>
        </w:rPr>
      </w:pPr>
      <w:r w:rsidRPr="00231375">
        <w:rPr>
          <w:rFonts w:ascii="Arial" w:hAnsi="Arial" w:cs="Arial"/>
        </w:rPr>
        <w:t>The midlife focus is important because many COPD studies are dominated by older adults or Medicare populations. Yet the age range of 40-65 is a critical period in which cumulative exposures may begin to produce clinically important symptoms, while opportunities for earlier recognition and prevention remain possible (Lange et al., 2015; Martinez et al., 2017). Evidence that is not perfectly restricted to this age group was therefore interpreted carefully. This cautious approach avoids overstating evidence while recognising that strict age-only evidence remains limited.</w:t>
      </w:r>
    </w:p>
    <w:p w14:paraId="04D91C8E" w14:textId="77777777" w:rsidR="00CD69CF" w:rsidRPr="00231375" w:rsidRDefault="00CD69CF" w:rsidP="00CD69CF">
      <w:pPr>
        <w:rPr>
          <w:rFonts w:ascii="Arial" w:hAnsi="Arial" w:cs="Arial"/>
        </w:rPr>
      </w:pPr>
    </w:p>
    <w:p w14:paraId="18292770" w14:textId="77777777" w:rsidR="00CD69CF" w:rsidRPr="00231375" w:rsidRDefault="00CD69CF" w:rsidP="00CD69CF">
      <w:pPr>
        <w:pStyle w:val="Heading3"/>
        <w:rPr>
          <w:rFonts w:ascii="Arial" w:hAnsi="Arial" w:cs="Arial"/>
          <w:b/>
          <w:bCs/>
          <w:color w:val="auto"/>
          <w:sz w:val="26"/>
          <w:szCs w:val="26"/>
          <w:u w:val="none"/>
        </w:rPr>
      </w:pPr>
      <w:r w:rsidRPr="00231375">
        <w:rPr>
          <w:rFonts w:ascii="Arial" w:hAnsi="Arial" w:cs="Arial"/>
          <w:b/>
          <w:bCs/>
          <w:color w:val="auto"/>
          <w:sz w:val="26"/>
          <w:szCs w:val="26"/>
          <w:u w:val="none"/>
        </w:rPr>
        <w:t>Table 4.1: Summary of evidence themes identified in the narrative synthesis</w:t>
      </w:r>
    </w:p>
    <w:tbl>
      <w:tblPr>
        <w:tblStyle w:val="TableGrid"/>
        <w:tblW w:w="0" w:type="auto"/>
        <w:jc w:val="center"/>
        <w:tblLook w:val="04A0" w:firstRow="1" w:lastRow="0" w:firstColumn="1" w:lastColumn="0" w:noHBand="0" w:noVBand="1"/>
      </w:tblPr>
      <w:tblGrid>
        <w:gridCol w:w="2160"/>
        <w:gridCol w:w="2160"/>
        <w:gridCol w:w="2160"/>
        <w:gridCol w:w="2160"/>
      </w:tblGrid>
      <w:tr w:rsidR="00CD69CF" w:rsidRPr="00231375" w14:paraId="57910148" w14:textId="77777777" w:rsidTr="00DA0112">
        <w:trPr>
          <w:jc w:val="center"/>
        </w:trPr>
        <w:tc>
          <w:tcPr>
            <w:tcW w:w="2160" w:type="dxa"/>
            <w:shd w:val="clear" w:color="auto" w:fill="DEEAF6" w:themeFill="accent5" w:themeFillTint="33"/>
            <w:vAlign w:val="center"/>
          </w:tcPr>
          <w:p w14:paraId="7DDAC1D6" w14:textId="77777777" w:rsidR="00CD69CF" w:rsidRPr="00DA0112" w:rsidRDefault="00CD69CF" w:rsidP="008A1450">
            <w:pPr>
              <w:rPr>
                <w:rFonts w:ascii="Arial" w:hAnsi="Arial" w:cs="Arial"/>
                <w:b/>
                <w:bCs/>
              </w:rPr>
            </w:pPr>
            <w:r w:rsidRPr="00DA0112">
              <w:rPr>
                <w:rFonts w:ascii="Arial" w:hAnsi="Arial" w:cs="Arial"/>
                <w:b/>
                <w:bCs/>
              </w:rPr>
              <w:t>Theme</w:t>
            </w:r>
          </w:p>
        </w:tc>
        <w:tc>
          <w:tcPr>
            <w:tcW w:w="2160" w:type="dxa"/>
            <w:shd w:val="clear" w:color="auto" w:fill="DEEAF6" w:themeFill="accent5" w:themeFillTint="33"/>
            <w:vAlign w:val="center"/>
          </w:tcPr>
          <w:p w14:paraId="4C4B19E4" w14:textId="77777777" w:rsidR="00CD69CF" w:rsidRPr="00DA0112" w:rsidRDefault="00CD69CF" w:rsidP="008A1450">
            <w:pPr>
              <w:rPr>
                <w:rFonts w:ascii="Arial" w:hAnsi="Arial" w:cs="Arial"/>
                <w:b/>
                <w:bCs/>
              </w:rPr>
            </w:pPr>
            <w:r w:rsidRPr="00DA0112">
              <w:rPr>
                <w:rFonts w:ascii="Arial" w:hAnsi="Arial" w:cs="Arial"/>
                <w:b/>
                <w:bCs/>
              </w:rPr>
              <w:t>Main evidence focusses</w:t>
            </w:r>
          </w:p>
        </w:tc>
        <w:tc>
          <w:tcPr>
            <w:tcW w:w="2160" w:type="dxa"/>
            <w:shd w:val="clear" w:color="auto" w:fill="DEEAF6" w:themeFill="accent5" w:themeFillTint="33"/>
            <w:vAlign w:val="center"/>
          </w:tcPr>
          <w:p w14:paraId="782D1013" w14:textId="77777777" w:rsidR="00CD69CF" w:rsidRPr="00DA0112" w:rsidRDefault="00CD69CF" w:rsidP="008A1450">
            <w:pPr>
              <w:rPr>
                <w:rFonts w:ascii="Arial" w:hAnsi="Arial" w:cs="Arial"/>
                <w:b/>
                <w:bCs/>
              </w:rPr>
            </w:pPr>
            <w:r w:rsidRPr="00DA0112">
              <w:rPr>
                <w:rFonts w:ascii="Arial" w:hAnsi="Arial" w:cs="Arial"/>
                <w:b/>
                <w:bCs/>
              </w:rPr>
              <w:t>Key interpretation</w:t>
            </w:r>
          </w:p>
        </w:tc>
        <w:tc>
          <w:tcPr>
            <w:tcW w:w="2160" w:type="dxa"/>
            <w:shd w:val="clear" w:color="auto" w:fill="DEEAF6" w:themeFill="accent5" w:themeFillTint="33"/>
            <w:vAlign w:val="center"/>
          </w:tcPr>
          <w:p w14:paraId="73CE9758" w14:textId="77777777" w:rsidR="00CD69CF" w:rsidRPr="00DA0112" w:rsidRDefault="00CD69CF" w:rsidP="008A1450">
            <w:pPr>
              <w:rPr>
                <w:rFonts w:ascii="Arial" w:hAnsi="Arial" w:cs="Arial"/>
                <w:b/>
                <w:bCs/>
              </w:rPr>
            </w:pPr>
            <w:r w:rsidRPr="00DA0112">
              <w:rPr>
                <w:rFonts w:ascii="Arial" w:hAnsi="Arial" w:cs="Arial"/>
                <w:b/>
                <w:bCs/>
              </w:rPr>
              <w:t>Examples of sources</w:t>
            </w:r>
          </w:p>
        </w:tc>
      </w:tr>
      <w:tr w:rsidR="00CD69CF" w:rsidRPr="00231375" w14:paraId="4532D3B4" w14:textId="77777777" w:rsidTr="008A1450">
        <w:trPr>
          <w:jc w:val="center"/>
        </w:trPr>
        <w:tc>
          <w:tcPr>
            <w:tcW w:w="2160" w:type="dxa"/>
          </w:tcPr>
          <w:p w14:paraId="70EAF9CD" w14:textId="77777777" w:rsidR="00CD69CF" w:rsidRPr="00231375" w:rsidRDefault="00CD69CF" w:rsidP="008A1450">
            <w:pPr>
              <w:rPr>
                <w:rFonts w:ascii="Arial" w:hAnsi="Arial" w:cs="Arial"/>
              </w:rPr>
            </w:pPr>
            <w:r w:rsidRPr="00231375">
              <w:rPr>
                <w:rFonts w:ascii="Arial" w:hAnsi="Arial" w:cs="Arial"/>
              </w:rPr>
              <w:t>Epidemiology and burden</w:t>
            </w:r>
          </w:p>
        </w:tc>
        <w:tc>
          <w:tcPr>
            <w:tcW w:w="2160" w:type="dxa"/>
          </w:tcPr>
          <w:p w14:paraId="017E14BA" w14:textId="77777777" w:rsidR="00CD69CF" w:rsidRPr="00231375" w:rsidRDefault="00CD69CF" w:rsidP="008A1450">
            <w:pPr>
              <w:rPr>
                <w:rFonts w:ascii="Arial" w:hAnsi="Arial" w:cs="Arial"/>
              </w:rPr>
            </w:pPr>
            <w:r w:rsidRPr="00231375">
              <w:rPr>
                <w:rFonts w:ascii="Arial" w:hAnsi="Arial" w:cs="Arial"/>
              </w:rPr>
              <w:t>Diagnosed prevalence, morbidity, mortality, symptoms and quality of life</w:t>
            </w:r>
          </w:p>
        </w:tc>
        <w:tc>
          <w:tcPr>
            <w:tcW w:w="2160" w:type="dxa"/>
          </w:tcPr>
          <w:p w14:paraId="5CEDE2BC" w14:textId="77777777" w:rsidR="00CD69CF" w:rsidRPr="00231375" w:rsidRDefault="00CD69CF" w:rsidP="008A1450">
            <w:pPr>
              <w:rPr>
                <w:rFonts w:ascii="Arial" w:hAnsi="Arial" w:cs="Arial"/>
              </w:rPr>
            </w:pPr>
            <w:r w:rsidRPr="00231375">
              <w:rPr>
                <w:rFonts w:ascii="Arial" w:hAnsi="Arial" w:cs="Arial"/>
              </w:rPr>
              <w:t>Lower diagnosed prevalence may coexist with worse morbidity because diagnosis is shaped by access and recognition.</w:t>
            </w:r>
          </w:p>
        </w:tc>
        <w:tc>
          <w:tcPr>
            <w:tcW w:w="2160" w:type="dxa"/>
          </w:tcPr>
          <w:p w14:paraId="2D2024DC" w14:textId="77777777" w:rsidR="00CD69CF" w:rsidRPr="00231375" w:rsidRDefault="00CD69CF" w:rsidP="008A1450">
            <w:pPr>
              <w:rPr>
                <w:rFonts w:ascii="Arial" w:hAnsi="Arial" w:cs="Arial"/>
              </w:rPr>
            </w:pPr>
            <w:r w:rsidRPr="00231375">
              <w:rPr>
                <w:rFonts w:ascii="Arial" w:hAnsi="Arial" w:cs="Arial"/>
                <w:lang w:val="en-GB"/>
              </w:rPr>
              <w:t xml:space="preserve">Weeks and Elgaddal (2025); </w:t>
            </w:r>
            <w:r w:rsidRPr="00231375">
              <w:rPr>
                <w:rFonts w:ascii="Arial" w:hAnsi="Arial" w:cs="Arial"/>
              </w:rPr>
              <w:t>Liu et al. (2023); Ejike et al. (2021); Han et al. (2011)</w:t>
            </w:r>
          </w:p>
        </w:tc>
      </w:tr>
      <w:tr w:rsidR="00CD69CF" w:rsidRPr="00231375" w14:paraId="537AE214" w14:textId="77777777" w:rsidTr="008A1450">
        <w:trPr>
          <w:jc w:val="center"/>
        </w:trPr>
        <w:tc>
          <w:tcPr>
            <w:tcW w:w="2160" w:type="dxa"/>
          </w:tcPr>
          <w:p w14:paraId="49F07AAE" w14:textId="77777777" w:rsidR="00CD69CF" w:rsidRPr="00231375" w:rsidRDefault="00CD69CF" w:rsidP="008A1450">
            <w:pPr>
              <w:rPr>
                <w:rFonts w:ascii="Arial" w:hAnsi="Arial" w:cs="Arial"/>
              </w:rPr>
            </w:pPr>
            <w:r w:rsidRPr="00231375">
              <w:rPr>
                <w:rFonts w:ascii="Arial" w:hAnsi="Arial" w:cs="Arial"/>
              </w:rPr>
              <w:t>Awareness and diagnosis</w:t>
            </w:r>
          </w:p>
        </w:tc>
        <w:tc>
          <w:tcPr>
            <w:tcW w:w="2160" w:type="dxa"/>
          </w:tcPr>
          <w:p w14:paraId="299F3A55" w14:textId="77777777" w:rsidR="00CD69CF" w:rsidRPr="00231375" w:rsidRDefault="00CD69CF" w:rsidP="008A1450">
            <w:pPr>
              <w:rPr>
                <w:rFonts w:ascii="Arial" w:hAnsi="Arial" w:cs="Arial"/>
              </w:rPr>
            </w:pPr>
            <w:r w:rsidRPr="00231375">
              <w:rPr>
                <w:rFonts w:ascii="Arial" w:hAnsi="Arial" w:cs="Arial"/>
              </w:rPr>
              <w:t>Health literacy, symptom recognition, spirometry, underdiagnosis and case finding</w:t>
            </w:r>
          </w:p>
        </w:tc>
        <w:tc>
          <w:tcPr>
            <w:tcW w:w="2160" w:type="dxa"/>
          </w:tcPr>
          <w:p w14:paraId="5C8D8F8A" w14:textId="77777777" w:rsidR="00CD69CF" w:rsidRPr="00231375" w:rsidRDefault="00CD69CF" w:rsidP="008A1450">
            <w:pPr>
              <w:rPr>
                <w:rFonts w:ascii="Arial" w:hAnsi="Arial" w:cs="Arial"/>
              </w:rPr>
            </w:pPr>
            <w:r w:rsidRPr="00231375">
              <w:rPr>
                <w:rFonts w:ascii="Arial" w:hAnsi="Arial" w:cs="Arial"/>
              </w:rPr>
              <w:t>Underdiagnosis is a mechanism of inequity, not only a measurement problem.</w:t>
            </w:r>
          </w:p>
        </w:tc>
        <w:tc>
          <w:tcPr>
            <w:tcW w:w="2160" w:type="dxa"/>
          </w:tcPr>
          <w:p w14:paraId="3DC897F8" w14:textId="3842E19F" w:rsidR="00CD69CF" w:rsidRPr="00231375" w:rsidRDefault="00CD69CF" w:rsidP="008A1450">
            <w:pPr>
              <w:rPr>
                <w:rFonts w:ascii="Arial" w:hAnsi="Arial" w:cs="Arial"/>
              </w:rPr>
            </w:pPr>
            <w:r w:rsidRPr="00231375">
              <w:rPr>
                <w:rFonts w:ascii="Arial" w:hAnsi="Arial" w:cs="Arial"/>
              </w:rPr>
              <w:t>Mamary et al. (2018); Regan et al. (2023); Odhiambo et al. (202</w:t>
            </w:r>
            <w:r w:rsidR="00095C72">
              <w:rPr>
                <w:rFonts w:ascii="Arial" w:hAnsi="Arial" w:cs="Arial"/>
              </w:rPr>
              <w:t>3</w:t>
            </w:r>
            <w:r w:rsidRPr="00231375">
              <w:rPr>
                <w:rFonts w:ascii="Arial" w:hAnsi="Arial" w:cs="Arial"/>
              </w:rPr>
              <w:t xml:space="preserve">); </w:t>
            </w:r>
            <w:r w:rsidRPr="00231375">
              <w:rPr>
                <w:rFonts w:ascii="Arial" w:hAnsi="Arial" w:cs="Arial"/>
                <w:lang w:val="en-GB"/>
              </w:rPr>
              <w:t>Labaki and Han (2019)</w:t>
            </w:r>
          </w:p>
        </w:tc>
      </w:tr>
      <w:tr w:rsidR="00CD69CF" w:rsidRPr="00231375" w14:paraId="780CD669" w14:textId="77777777" w:rsidTr="008A1450">
        <w:trPr>
          <w:jc w:val="center"/>
        </w:trPr>
        <w:tc>
          <w:tcPr>
            <w:tcW w:w="2160" w:type="dxa"/>
          </w:tcPr>
          <w:p w14:paraId="2C400311" w14:textId="77777777" w:rsidR="00CD69CF" w:rsidRPr="00231375" w:rsidRDefault="00CD69CF" w:rsidP="008A1450">
            <w:pPr>
              <w:rPr>
                <w:rFonts w:ascii="Arial" w:hAnsi="Arial" w:cs="Arial"/>
              </w:rPr>
            </w:pPr>
            <w:r w:rsidRPr="00231375">
              <w:rPr>
                <w:rFonts w:ascii="Arial" w:hAnsi="Arial" w:cs="Arial"/>
              </w:rPr>
              <w:t>Environmental and occupational exposure</w:t>
            </w:r>
          </w:p>
        </w:tc>
        <w:tc>
          <w:tcPr>
            <w:tcW w:w="2160" w:type="dxa"/>
          </w:tcPr>
          <w:p w14:paraId="2EC268EF" w14:textId="77777777" w:rsidR="00CD69CF" w:rsidRPr="00231375" w:rsidRDefault="00CD69CF" w:rsidP="008A1450">
            <w:pPr>
              <w:rPr>
                <w:rFonts w:ascii="Arial" w:hAnsi="Arial" w:cs="Arial"/>
              </w:rPr>
            </w:pPr>
            <w:r w:rsidRPr="00231375">
              <w:rPr>
                <w:rFonts w:ascii="Arial" w:hAnsi="Arial" w:cs="Arial"/>
              </w:rPr>
              <w:t>Air pollution, neighbourhood environmental burden, vapours, gases, dusts and fumes</w:t>
            </w:r>
          </w:p>
        </w:tc>
        <w:tc>
          <w:tcPr>
            <w:tcW w:w="2160" w:type="dxa"/>
          </w:tcPr>
          <w:p w14:paraId="734076C8" w14:textId="77777777" w:rsidR="00CD69CF" w:rsidRPr="00231375" w:rsidRDefault="00CD69CF" w:rsidP="008A1450">
            <w:pPr>
              <w:rPr>
                <w:rFonts w:ascii="Arial" w:hAnsi="Arial" w:cs="Arial"/>
              </w:rPr>
            </w:pPr>
            <w:r w:rsidRPr="00231375">
              <w:rPr>
                <w:rFonts w:ascii="Arial" w:hAnsi="Arial" w:cs="Arial"/>
              </w:rPr>
              <w:t>Risk is cumulative and socially distributed, so smoking-only explanations are incomplete.</w:t>
            </w:r>
          </w:p>
        </w:tc>
        <w:tc>
          <w:tcPr>
            <w:tcW w:w="2160" w:type="dxa"/>
          </w:tcPr>
          <w:p w14:paraId="0B19CE52" w14:textId="77777777" w:rsidR="00CD69CF" w:rsidRPr="00231375" w:rsidRDefault="00CD69CF" w:rsidP="008A1450">
            <w:pPr>
              <w:rPr>
                <w:rFonts w:ascii="Arial" w:hAnsi="Arial" w:cs="Arial"/>
              </w:rPr>
            </w:pPr>
            <w:r w:rsidRPr="00231375">
              <w:rPr>
                <w:rFonts w:ascii="Arial" w:hAnsi="Arial" w:cs="Arial"/>
              </w:rPr>
              <w:t>Doney et al. (2014); Schraufnagel et al. (2019); Khadke et al. (2025)</w:t>
            </w:r>
          </w:p>
        </w:tc>
      </w:tr>
      <w:tr w:rsidR="00CD69CF" w:rsidRPr="00231375" w14:paraId="29607508" w14:textId="77777777" w:rsidTr="008A1450">
        <w:trPr>
          <w:jc w:val="center"/>
        </w:trPr>
        <w:tc>
          <w:tcPr>
            <w:tcW w:w="2160" w:type="dxa"/>
          </w:tcPr>
          <w:p w14:paraId="1F8A63F2" w14:textId="77777777" w:rsidR="00CD69CF" w:rsidRPr="00231375" w:rsidRDefault="00CD69CF" w:rsidP="008A1450">
            <w:pPr>
              <w:rPr>
                <w:rFonts w:ascii="Arial" w:hAnsi="Arial" w:cs="Arial"/>
              </w:rPr>
            </w:pPr>
            <w:r w:rsidRPr="00231375">
              <w:rPr>
                <w:rFonts w:ascii="Arial" w:hAnsi="Arial" w:cs="Arial"/>
              </w:rPr>
              <w:t>Healthcare access and management</w:t>
            </w:r>
          </w:p>
        </w:tc>
        <w:tc>
          <w:tcPr>
            <w:tcW w:w="2160" w:type="dxa"/>
          </w:tcPr>
          <w:p w14:paraId="1B2900AD" w14:textId="77777777" w:rsidR="00CD69CF" w:rsidRPr="00231375" w:rsidRDefault="00CD69CF" w:rsidP="008A1450">
            <w:pPr>
              <w:rPr>
                <w:rFonts w:ascii="Arial" w:hAnsi="Arial" w:cs="Arial"/>
              </w:rPr>
            </w:pPr>
            <w:r w:rsidRPr="00231375">
              <w:rPr>
                <w:rFonts w:ascii="Arial" w:hAnsi="Arial" w:cs="Arial"/>
              </w:rPr>
              <w:t>Pulmonary rehabilitation, hospitalisation, treatment access, comorbidity and self-management</w:t>
            </w:r>
          </w:p>
        </w:tc>
        <w:tc>
          <w:tcPr>
            <w:tcW w:w="2160" w:type="dxa"/>
          </w:tcPr>
          <w:p w14:paraId="0F0BA473" w14:textId="77777777" w:rsidR="00CD69CF" w:rsidRPr="00231375" w:rsidRDefault="00CD69CF" w:rsidP="008A1450">
            <w:pPr>
              <w:rPr>
                <w:rFonts w:ascii="Arial" w:hAnsi="Arial" w:cs="Arial"/>
              </w:rPr>
            </w:pPr>
            <w:r w:rsidRPr="00231375">
              <w:rPr>
                <w:rFonts w:ascii="Arial" w:hAnsi="Arial" w:cs="Arial"/>
              </w:rPr>
              <w:t>Management inequalities continue after diagnosis and can worsen outcomes.</w:t>
            </w:r>
          </w:p>
        </w:tc>
        <w:tc>
          <w:tcPr>
            <w:tcW w:w="2160" w:type="dxa"/>
          </w:tcPr>
          <w:p w14:paraId="4CB07AB6" w14:textId="77777777" w:rsidR="00CD69CF" w:rsidRPr="00231375" w:rsidRDefault="00CD69CF" w:rsidP="008A1450">
            <w:pPr>
              <w:rPr>
                <w:rFonts w:ascii="Arial" w:hAnsi="Arial" w:cs="Arial"/>
              </w:rPr>
            </w:pPr>
            <w:r w:rsidRPr="00231375">
              <w:rPr>
                <w:rFonts w:ascii="Arial" w:hAnsi="Arial" w:cs="Arial"/>
              </w:rPr>
              <w:t>Spitzer et al. (2020); Putcha et al. (2014); Lindenauer et al. (2020); Rea et al. (2024)</w:t>
            </w:r>
          </w:p>
        </w:tc>
      </w:tr>
      <w:tr w:rsidR="00CD69CF" w:rsidRPr="00231375" w14:paraId="1DCBCBB7" w14:textId="77777777" w:rsidTr="008A1450">
        <w:trPr>
          <w:jc w:val="center"/>
        </w:trPr>
        <w:tc>
          <w:tcPr>
            <w:tcW w:w="2160" w:type="dxa"/>
          </w:tcPr>
          <w:p w14:paraId="7476705F" w14:textId="77777777" w:rsidR="00CD69CF" w:rsidRPr="00231375" w:rsidRDefault="00CD69CF" w:rsidP="008A1450">
            <w:pPr>
              <w:rPr>
                <w:rFonts w:ascii="Arial" w:hAnsi="Arial" w:cs="Arial"/>
              </w:rPr>
            </w:pPr>
            <w:r w:rsidRPr="00231375">
              <w:rPr>
                <w:rFonts w:ascii="Arial" w:hAnsi="Arial" w:cs="Arial"/>
              </w:rPr>
              <w:t>Structural determinants</w:t>
            </w:r>
          </w:p>
        </w:tc>
        <w:tc>
          <w:tcPr>
            <w:tcW w:w="2160" w:type="dxa"/>
          </w:tcPr>
          <w:p w14:paraId="7EC1DCC0" w14:textId="77777777" w:rsidR="00CD69CF" w:rsidRPr="00231375" w:rsidRDefault="00CD69CF" w:rsidP="008A1450">
            <w:pPr>
              <w:rPr>
                <w:rFonts w:ascii="Arial" w:hAnsi="Arial" w:cs="Arial"/>
              </w:rPr>
            </w:pPr>
            <w:r w:rsidRPr="00231375">
              <w:rPr>
                <w:rFonts w:ascii="Arial" w:hAnsi="Arial" w:cs="Arial"/>
              </w:rPr>
              <w:t>Segregation, socioeconomic status, racism and policy context</w:t>
            </w:r>
          </w:p>
        </w:tc>
        <w:tc>
          <w:tcPr>
            <w:tcW w:w="2160" w:type="dxa"/>
          </w:tcPr>
          <w:p w14:paraId="6E3EB5D9" w14:textId="77777777" w:rsidR="00CD69CF" w:rsidRPr="00231375" w:rsidRDefault="00CD69CF" w:rsidP="008A1450">
            <w:pPr>
              <w:rPr>
                <w:rFonts w:ascii="Arial" w:hAnsi="Arial" w:cs="Arial"/>
              </w:rPr>
            </w:pPr>
            <w:r w:rsidRPr="00231375">
              <w:rPr>
                <w:rFonts w:ascii="Arial" w:hAnsi="Arial" w:cs="Arial"/>
              </w:rPr>
              <w:t>Structural racism links exposure, diagnosis and care into one inequity pathway.</w:t>
            </w:r>
          </w:p>
        </w:tc>
        <w:tc>
          <w:tcPr>
            <w:tcW w:w="2160" w:type="dxa"/>
          </w:tcPr>
          <w:p w14:paraId="76D328A9" w14:textId="77777777" w:rsidR="00CD69CF" w:rsidRPr="00231375" w:rsidRDefault="00CD69CF" w:rsidP="008A1450">
            <w:pPr>
              <w:rPr>
                <w:rFonts w:ascii="Arial" w:hAnsi="Arial" w:cs="Arial"/>
              </w:rPr>
            </w:pPr>
            <w:r w:rsidRPr="00231375">
              <w:rPr>
                <w:rFonts w:ascii="Arial" w:hAnsi="Arial" w:cs="Arial"/>
              </w:rPr>
              <w:t>Bailey et al. (2017); Woo et al. (2021); Williams et al. (2019); Krieger (2014)</w:t>
            </w:r>
          </w:p>
        </w:tc>
      </w:tr>
    </w:tbl>
    <w:p w14:paraId="2E52E9BF" w14:textId="77777777" w:rsidR="00CD69CF" w:rsidRPr="00231375" w:rsidRDefault="00CD69CF" w:rsidP="00A6469D">
      <w:pPr>
        <w:pStyle w:val="Heading2"/>
        <w:ind w:left="0" w:firstLine="0"/>
        <w:jc w:val="left"/>
        <w:rPr>
          <w:rFonts w:ascii="Arial" w:hAnsi="Arial" w:cs="Arial"/>
          <w:b w:val="0"/>
          <w:bCs/>
          <w:color w:val="auto"/>
          <w:sz w:val="26"/>
          <w:szCs w:val="26"/>
        </w:rPr>
      </w:pPr>
    </w:p>
    <w:p w14:paraId="3DDE1C0E"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4.3 Theme 1: Epidemiological burden and the prevalence-morbidity paradox</w:t>
      </w:r>
    </w:p>
    <w:p w14:paraId="0CE70C7F" w14:textId="77777777" w:rsidR="00CD69CF" w:rsidRPr="00231375" w:rsidRDefault="00CD69CF" w:rsidP="00CD69CF">
      <w:pPr>
        <w:rPr>
          <w:rFonts w:ascii="Arial" w:hAnsi="Arial" w:cs="Arial"/>
        </w:rPr>
      </w:pPr>
      <w:r w:rsidRPr="00231375">
        <w:rPr>
          <w:rFonts w:ascii="Arial" w:hAnsi="Arial" w:cs="Arial"/>
        </w:rPr>
        <w:t>The first major finding is that the epidemiological picture of COPD among African American adults is paradoxical. Some surveillance data suggest that diagnosed COPD prevalence is lower among non-Hispanic Black adults than among non-Hispanic White adults. For example, the National Health Interview Survey reported lower age-adjusted diagnosed COPD prevalence for non-Hispanic Black adults than non-Hispanic White adults, while also showing that COPD prevalence increases sharply across midlife age bands (Weeks and Elgaddal, 2025). At a descriptive level, this might appear to suggest lower disease burden. However, the wider literature does not support a simple interpretation of lower risk. Diagnosed prevalence is not the same as true disease prevalence; it reflects who has symptoms recognised, who accesses care, who receives spirometry and who is formally labelled with COPD (Gershon et al., 2018; Labaki and Han, 2019).</w:t>
      </w:r>
    </w:p>
    <w:p w14:paraId="16D71B96" w14:textId="5CA680BD" w:rsidR="00CD69CF" w:rsidRPr="00231375" w:rsidRDefault="00CD69CF" w:rsidP="00CD69CF">
      <w:pPr>
        <w:rPr>
          <w:rFonts w:ascii="Arial" w:hAnsi="Arial" w:cs="Arial"/>
        </w:rPr>
      </w:pPr>
      <w:r w:rsidRPr="00231375">
        <w:rPr>
          <w:rFonts w:ascii="Arial" w:hAnsi="Arial" w:cs="Arial"/>
        </w:rPr>
        <w:t>This is why several studies and policy sources describe a prevalence-morbidity paradox. African American adults may be less likely to have a recorded diagnosis, but once they have COPD or COPD-like symptoms, they may experience worse quality of life, more severe symptoms, higher exacerbation burden and greater hospital use (Dransfield and Bailey, 2006; Han et al., 2011; Ejike et al., 2021). In the COPDGene cohort, Han et al. (2011) found that African American participants with COPD experienced important differences in quality of life when compared with White participants. Similarly, Ejike et al. (2021), using SPIROMICS data, reported that Black participants had worse respiratory symptoms and quality of life after adjustment for COPD risk factors. These findings challenge assumptions that racial differences in COPD outcomes can be explained solely by smoking intensity or measured airflow obstruction.</w:t>
      </w:r>
    </w:p>
    <w:p w14:paraId="554A0CDA" w14:textId="77777777" w:rsidR="00CD69CF" w:rsidRPr="00231375" w:rsidRDefault="00CD69CF" w:rsidP="00CD69CF">
      <w:pPr>
        <w:rPr>
          <w:rFonts w:ascii="Arial" w:hAnsi="Arial" w:cs="Arial"/>
        </w:rPr>
      </w:pPr>
      <w:r w:rsidRPr="00231375">
        <w:rPr>
          <w:rFonts w:ascii="Arial" w:hAnsi="Arial" w:cs="Arial"/>
        </w:rPr>
        <w:t>The midlife age range of 40-65 is especially significant within this pattern. COPD has often been conceptualised as a disease of older adults, but contemporary evidence increasingly recognises that abnormal lung function trajectories, early-life disadvantage and cumulative exposures can shape risk long before old age (Lange et al., 2015; Martinez et al., 2017). For African American adults in midlife, symptoms such as breathlessness, wheeze and chronic cough may be normalised as consequences of smoking, occupational strain, asthma, ageing or poor fitness. If the healthcare system does not actively investigate these symptoms using appropriate spirometry and clinical follow-up, disease may remain hidden until exacerbations or hospitalisation occur. Therefore, the apparent lower diagnosed prevalence in some datasets may partly represent delayed recognition rather than lower underlying burden.</w:t>
      </w:r>
    </w:p>
    <w:p w14:paraId="14DBEC5A" w14:textId="77777777" w:rsidR="00CD69CF" w:rsidRPr="00231375" w:rsidRDefault="00CD69CF" w:rsidP="00CD69CF">
      <w:pPr>
        <w:rPr>
          <w:rFonts w:ascii="Arial" w:hAnsi="Arial" w:cs="Arial"/>
        </w:rPr>
      </w:pPr>
      <w:r w:rsidRPr="00231375">
        <w:rPr>
          <w:rFonts w:ascii="Arial" w:hAnsi="Arial" w:cs="Arial"/>
        </w:rPr>
        <w:t>A further issue is that national surveillance is usually based on self-reported clinician diagnosis. This makes surveillance useful for understanding healthcare contact, but less reliable as a measure of total disease. National survey estimates are useful for monitoring diagnosed COPD, but they may miss undiagnosed disease and should be interpreted alongside symptom burden, functional limitation and healthcare utilisation data (Ward et al., 2017; Weeks and Elgaddal, 2025). Populations with better access to routine primary care, spirometry and specialist respiratory services may appear to have higher prevalence because disease is more likely to be recorded. Conversely, communities experiencing barriers to care may appear to have lower prevalence even where symptoms and exposures are substantial (Gershon et al., 2018). This limitation matters because public health resources are often allocated according to recorded disease burden. If African American midlife adults are underdiagnosed, their communities may also be underrepresented in service planning, surveillance priorities and prevention programmes.</w:t>
      </w:r>
    </w:p>
    <w:p w14:paraId="241534CB" w14:textId="77777777" w:rsidR="00A076FB" w:rsidRPr="00231375" w:rsidRDefault="00A076FB" w:rsidP="00CD69CF">
      <w:pPr>
        <w:rPr>
          <w:rFonts w:ascii="Arial" w:hAnsi="Arial" w:cs="Arial"/>
        </w:rPr>
      </w:pPr>
    </w:p>
    <w:p w14:paraId="2A7CFB32" w14:textId="2D07313D" w:rsidR="00A076FB" w:rsidRPr="00231375" w:rsidRDefault="00A076FB" w:rsidP="00A076FB">
      <w:pPr>
        <w:jc w:val="center"/>
        <w:rPr>
          <w:rFonts w:ascii="Arial" w:hAnsi="Arial" w:cs="Arial"/>
        </w:rPr>
      </w:pPr>
      <w:r w:rsidRPr="00231375">
        <w:rPr>
          <w:noProof/>
        </w:rPr>
        <w:drawing>
          <wp:inline distT="0" distB="0" distL="0" distR="0" wp14:anchorId="07F8AC48" wp14:editId="4DA02C79">
            <wp:extent cx="5731510" cy="35548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1_copd_prevalence_age_chart.png"/>
                    <pic:cNvPicPr/>
                  </pic:nvPicPr>
                  <pic:blipFill>
                    <a:blip r:embed="rId18"/>
                    <a:stretch>
                      <a:fillRect/>
                    </a:stretch>
                  </pic:blipFill>
                  <pic:spPr>
                    <a:xfrm>
                      <a:off x="0" y="0"/>
                      <a:ext cx="5731510" cy="3554830"/>
                    </a:xfrm>
                    <a:prstGeom prst="rect">
                      <a:avLst/>
                    </a:prstGeom>
                  </pic:spPr>
                </pic:pic>
              </a:graphicData>
            </a:graphic>
          </wp:inline>
        </w:drawing>
      </w:r>
    </w:p>
    <w:p w14:paraId="3BFBD946" w14:textId="77777777" w:rsidR="00A076FB" w:rsidRPr="00231375" w:rsidRDefault="00A076FB" w:rsidP="00A076FB">
      <w:pPr>
        <w:jc w:val="center"/>
        <w:rPr>
          <w:rFonts w:ascii="Arial" w:hAnsi="Arial" w:cs="Arial"/>
          <w:b/>
          <w:bCs/>
          <w:iCs/>
          <w:sz w:val="24"/>
          <w:szCs w:val="24"/>
        </w:rPr>
      </w:pPr>
      <w:r w:rsidRPr="00231375">
        <w:rPr>
          <w:rFonts w:ascii="Arial" w:hAnsi="Arial" w:cs="Arial"/>
          <w:b/>
          <w:bCs/>
          <w:iCs/>
          <w:sz w:val="24"/>
          <w:szCs w:val="24"/>
        </w:rPr>
        <w:t>Figure 4.1: Diagnosed COPD prevalence by age group in the United States, 2023. Data shown in the dissertation draft from Weeks and Elgaddal (2025).</w:t>
      </w:r>
    </w:p>
    <w:p w14:paraId="5C5E69A1" w14:textId="77777777" w:rsidR="00A076FB" w:rsidRPr="00231375" w:rsidRDefault="00A076FB" w:rsidP="00CD69CF">
      <w:pPr>
        <w:rPr>
          <w:rFonts w:ascii="Arial" w:hAnsi="Arial" w:cs="Arial"/>
        </w:rPr>
      </w:pPr>
    </w:p>
    <w:p w14:paraId="5406F46A" w14:textId="77777777" w:rsidR="00CD69CF" w:rsidRPr="00231375" w:rsidRDefault="00CD69CF" w:rsidP="00CD69CF">
      <w:pPr>
        <w:rPr>
          <w:rFonts w:ascii="Arial" w:hAnsi="Arial" w:cs="Arial"/>
        </w:rPr>
      </w:pPr>
      <w:r w:rsidRPr="00231375">
        <w:rPr>
          <w:rFonts w:ascii="Arial" w:hAnsi="Arial" w:cs="Arial"/>
        </w:rPr>
        <w:t>The evidence therefore suggests that COPD burden should be interpreted through both diagnosed prevalence and morbidity indicators. Hospital admissions, emergency department use, exacerbation frequency, symptom scores and quality-of-life outcomes may reveal inequity that prevalence statistics alone obscure. This is important because COPD exacerbations are associated with accelerated health decline, increased service use and reduced quality of life (Wedzicha and Seemungal, 2007; Mackay and Hurst, 2013; Hurst et al., 2020; Melhem et al., 2021). This interpretation is consistent with social epidemiology, which warns that health indicators are not neutral reflections of disease biology but are shaped by measurement systems, service availability and power relations (Krieger, 2014; Braveman et al., 2011). For this dissertation, the central conclusion from Theme 1 is that lower diagnosed prevalence among African American adults should not be taken as evidence of lower need. Instead, it should be read alongside evidence of underdiagnosis and worse outcomes.</w:t>
      </w:r>
    </w:p>
    <w:p w14:paraId="29DB576F" w14:textId="77777777" w:rsidR="00CD69CF" w:rsidRPr="00231375" w:rsidRDefault="00CD69CF" w:rsidP="00CD69CF">
      <w:pPr>
        <w:rPr>
          <w:rFonts w:ascii="Arial" w:hAnsi="Arial" w:cs="Arial"/>
        </w:rPr>
      </w:pPr>
    </w:p>
    <w:p w14:paraId="5EB5F764"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4.4 Theme 2: Awareness, symptom recognition and diagnostic inequity</w:t>
      </w:r>
    </w:p>
    <w:p w14:paraId="05E0AEC5" w14:textId="52716263" w:rsidR="00CD69CF" w:rsidRPr="00231375" w:rsidRDefault="00CD69CF" w:rsidP="00CD69CF">
      <w:pPr>
        <w:rPr>
          <w:rFonts w:ascii="Arial" w:hAnsi="Arial" w:cs="Arial"/>
        </w:rPr>
      </w:pPr>
      <w:r w:rsidRPr="00231375">
        <w:rPr>
          <w:rFonts w:ascii="Arial" w:hAnsi="Arial" w:cs="Arial"/>
        </w:rPr>
        <w:t xml:space="preserve">The second major theme concerns awareness and diagnosis. COPD diagnosis requires more than the presence of disease; it requires symptom recognition, healthcare access, clinician suspicion, spirometry availability and appropriate interpretation. The evidence indicates that African American adults face barriers at several points in this pathway. Awareness barriers may occur when patients do not identify chronic cough, sputum production or exertional breathlessness as symptoms requiring medical assessment. This may be influenced by health literacy, competing life demands, employment insecurity, </w:t>
      </w:r>
      <w:r w:rsidRPr="00231375">
        <w:rPr>
          <w:rFonts w:ascii="Arial" w:hAnsi="Arial" w:cs="Arial"/>
        </w:rPr>
        <w:lastRenderedPageBreak/>
        <w:t>historical mistrust, previous experiences of discrimination and low perceived benefit of seeking care (Williams and Mohammed, 2013; Bailey et al., 2017; Odhiambo et al., 202</w:t>
      </w:r>
      <w:r w:rsidR="00095C72">
        <w:rPr>
          <w:rFonts w:ascii="Arial" w:hAnsi="Arial" w:cs="Arial"/>
        </w:rPr>
        <w:t>3</w:t>
      </w:r>
      <w:r w:rsidRPr="00231375">
        <w:rPr>
          <w:rFonts w:ascii="Arial" w:hAnsi="Arial" w:cs="Arial"/>
        </w:rPr>
        <w:t>).</w:t>
      </w:r>
    </w:p>
    <w:p w14:paraId="179D5D36" w14:textId="1FE1A682" w:rsidR="00CD69CF" w:rsidRPr="00231375" w:rsidRDefault="00CD69CF" w:rsidP="00CD69CF">
      <w:pPr>
        <w:rPr>
          <w:rFonts w:ascii="Arial" w:hAnsi="Arial" w:cs="Arial"/>
        </w:rPr>
      </w:pPr>
      <w:r w:rsidRPr="00231375">
        <w:rPr>
          <w:rFonts w:ascii="Arial" w:hAnsi="Arial" w:cs="Arial"/>
        </w:rPr>
        <w:t>Community-based evidence supports the importance of awareness and trust. Odhiambo et al. (202</w:t>
      </w:r>
      <w:r w:rsidR="00095C72">
        <w:rPr>
          <w:rFonts w:ascii="Arial" w:hAnsi="Arial" w:cs="Arial"/>
        </w:rPr>
        <w:t>3</w:t>
      </w:r>
      <w:r w:rsidRPr="00231375">
        <w:rPr>
          <w:rFonts w:ascii="Arial" w:hAnsi="Arial" w:cs="Arial"/>
        </w:rPr>
        <w:t xml:space="preserve">) evaluated a church-based educational intervention among Black American adults with asthma or COPD and reported that disease and management knowledge could improve through culturally situated education. Although the sample was small and the intervention design limits causal inference, the study is important because it demonstrates that knowledge gaps are not simply individual deficits. They are shaped by whether information is delivered in trusted spaces, in accessible formats and with attention to community context. </w:t>
      </w:r>
    </w:p>
    <w:p w14:paraId="0B0DA973" w14:textId="77777777" w:rsidR="00CD69CF" w:rsidRPr="00231375" w:rsidRDefault="00CD69CF" w:rsidP="00CD69CF">
      <w:pPr>
        <w:rPr>
          <w:rFonts w:ascii="Arial" w:hAnsi="Arial" w:cs="Arial"/>
        </w:rPr>
      </w:pPr>
      <w:r w:rsidRPr="00231375">
        <w:rPr>
          <w:rFonts w:ascii="Arial" w:hAnsi="Arial" w:cs="Arial"/>
        </w:rPr>
        <w:t>Diagnostic inequity is particularly visible in Mamary et al. (2018), who showed that African American participants had higher odds of lacking a prior COPD diagnosis across all GOLD stages of measured airflow obstruction. This is a critical finding because it suggests that underdiagnosis is not confined to mild disease. If African American adults remain undiagnosed even when airflow obstruction is more severe, then the problem cannot be explained only by early or ambiguous symptoms. It suggests systemic differences in recognition, investigation and labelling. Underdiagnosis has practical consequences because formal diagnosis often triggers smoking cessation support, inhaled therapy assessment, vaccination advice, self-management planning, exacerbation prevention and referral to pulmonary rehabilitation (GOLD, 2024; Labaki and Han, 2019).</w:t>
      </w:r>
    </w:p>
    <w:p w14:paraId="262A6989" w14:textId="77777777" w:rsidR="00CD69CF" w:rsidRPr="00231375" w:rsidRDefault="00CD69CF" w:rsidP="00CD69CF">
      <w:pPr>
        <w:rPr>
          <w:rFonts w:ascii="Arial" w:hAnsi="Arial" w:cs="Arial"/>
        </w:rPr>
      </w:pPr>
      <w:r w:rsidRPr="00231375">
        <w:rPr>
          <w:rFonts w:ascii="Arial" w:hAnsi="Arial" w:cs="Arial"/>
        </w:rPr>
        <w:t>Misclassification also emerged as an important issue. COPD and asthma can overlap in symptoms, but they require different diagnostic and management pathways. Mamary et al. (2018) reported diagnostic substitution in which some individuals had asthma diagnoses despite airflow obstruction consistent with COPD. This matters for African American adults because asthma prevalence is higher in many Black communities and clinicians may anchor on asthma rather than considering COPD, especially in relatively younger adults. If COPD symptoms are repeatedly interpreted as asthma, acute bronchitis or deconditioning, opportunities for structured COPD management may be delayed. This is particularly relevant for the 40-65 age group because clinicians may be less likely to consider COPD in patients who are not yet elderly.</w:t>
      </w:r>
    </w:p>
    <w:p w14:paraId="441F6E8F" w14:textId="77777777" w:rsidR="00CD69CF" w:rsidRPr="00231375" w:rsidRDefault="00CD69CF" w:rsidP="00CD69CF">
      <w:pPr>
        <w:rPr>
          <w:rFonts w:ascii="Arial" w:hAnsi="Arial" w:cs="Arial"/>
        </w:rPr>
      </w:pPr>
      <w:r w:rsidRPr="00231375">
        <w:rPr>
          <w:rFonts w:ascii="Arial" w:hAnsi="Arial" w:cs="Arial"/>
        </w:rPr>
        <w:t>A further layer of diagnostic inequity concerns spirometry interpretation. GOLD continues to define COPD using post-bronchodilator FEV1/FVC below 0.70 in the appropriate clinical context, partly because this threshold is simple and widely used in clinical trials (GOLD, 2024). However, Regan et al. (2023) found that fixed-ratio criteria may underdiagnose COPD among African American participants in the COPDGene cohort. Their analysis suggested that disproportionate reduction in FVC relative to FEV1 can increase the ratio and lead to classification as non-COPD despite symptoms, imaging abnormalities or adverse outcomes. This finding does not mean that spirometry should be abandoned; rather, it shows that diagnostic thresholds and reference equations require critical evaluation when applied across socially different populations.</w:t>
      </w:r>
    </w:p>
    <w:p w14:paraId="04E129DC" w14:textId="77777777" w:rsidR="00CD69CF" w:rsidRPr="00231375" w:rsidRDefault="00CD69CF" w:rsidP="00CD69CF">
      <w:pPr>
        <w:rPr>
          <w:rFonts w:ascii="Arial" w:hAnsi="Arial" w:cs="Arial"/>
        </w:rPr>
      </w:pPr>
      <w:r w:rsidRPr="00231375">
        <w:rPr>
          <w:rFonts w:ascii="Arial" w:hAnsi="Arial" w:cs="Arial"/>
        </w:rPr>
        <w:t xml:space="preserve">Recent debate about race-specific versus race-neutral pulmonary function interpretation reinforces this point. The American Thoracic Society has argued that race and ethnicity should not be treated as biological constants in pulmonary function interpretation and has supported movement towards race-neutral approaches (Bhakta et al., 2023). Davidson et al. (2024) further argued that eliminating race-based reference values may reduce underestimation of disease severity among African American patients with COPD. For the present review, the implication is that diagnostic systems can reproduce inequity when social categories are treated as biological norms. A structural interpretation asks not whether African American lungs are inherently different, but how early-life disadvantage, </w:t>
      </w:r>
      <w:r w:rsidRPr="00231375">
        <w:rPr>
          <w:rFonts w:ascii="Arial" w:hAnsi="Arial" w:cs="Arial"/>
        </w:rPr>
        <w:lastRenderedPageBreak/>
        <w:t>environmental exposure, healthcare access and racism shape measured lung function across the life course.</w:t>
      </w:r>
    </w:p>
    <w:p w14:paraId="4D0FA274" w14:textId="77777777" w:rsidR="00CD69CF" w:rsidRPr="00231375" w:rsidRDefault="00CD69CF" w:rsidP="00CD69CF">
      <w:pPr>
        <w:rPr>
          <w:rFonts w:ascii="Arial" w:hAnsi="Arial" w:cs="Arial"/>
        </w:rPr>
      </w:pPr>
    </w:p>
    <w:p w14:paraId="6BD82B8F"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4.5 Theme 3: Environmental and occupational exposure pathways</w:t>
      </w:r>
    </w:p>
    <w:p w14:paraId="5F0BEA9C" w14:textId="77777777" w:rsidR="00CD69CF" w:rsidRPr="00231375" w:rsidRDefault="00CD69CF" w:rsidP="00CD69CF">
      <w:pPr>
        <w:rPr>
          <w:rFonts w:ascii="Arial" w:hAnsi="Arial" w:cs="Arial"/>
        </w:rPr>
      </w:pPr>
      <w:r w:rsidRPr="00231375">
        <w:rPr>
          <w:rFonts w:ascii="Arial" w:hAnsi="Arial" w:cs="Arial"/>
        </w:rPr>
        <w:t>The third theme shows that COPD risk among African American adults cannot be reduced to smoking alone. Smoking remains a major risk factor and should not be minimised, but the evidence consistently indicates that COPD is shaped by cumulative exposures across the life course. These include second-hand smoke, outdoor air pollution, indoor air quality, occupational vapours, gases, dusts and fumes, early-life respiratory infections, poor housing conditions and neighbourhood environmental burden (WHO, 2024; Schraufnagel et al., 2019; Martinez et al., 2017). A smoking-only explanation is therefore incomplete because it individualises risk and obscures the social patterning of exposure.</w:t>
      </w:r>
    </w:p>
    <w:p w14:paraId="67343E9B" w14:textId="77777777" w:rsidR="00CD69CF" w:rsidRPr="00231375" w:rsidRDefault="00CD69CF" w:rsidP="00CD69CF">
      <w:pPr>
        <w:rPr>
          <w:rFonts w:ascii="Arial" w:hAnsi="Arial" w:cs="Arial"/>
        </w:rPr>
      </w:pPr>
      <w:r w:rsidRPr="00231375">
        <w:rPr>
          <w:rFonts w:ascii="Arial" w:hAnsi="Arial" w:cs="Arial"/>
        </w:rPr>
        <w:t>Occupational exposure is one important pathway. Doney et al. (2014) examined occupational exposure to vapours, gases, dusts and fumes and found associations with airflow limitation and COPD-related outcomes. This finding is important for African American adults because labour market inequalities may increase the likelihood of employment in physically demanding or environmentally hazardous roles, often with less control over workplace protections. Occupational risk may also interact with smoking and neighbourhood exposures. The practical result is cumulative inhalational burden, where an individual may be exposed to tobacco smoke, workplace dust or fumes, poor housing conditions and polluted neighbourhood air across the same life course.</w:t>
      </w:r>
    </w:p>
    <w:p w14:paraId="5A52BBA4" w14:textId="77777777" w:rsidR="00CD69CF" w:rsidRPr="00231375" w:rsidRDefault="00CD69CF" w:rsidP="00CD69CF">
      <w:pPr>
        <w:rPr>
          <w:rFonts w:ascii="Arial" w:hAnsi="Arial" w:cs="Arial"/>
        </w:rPr>
      </w:pPr>
      <w:r w:rsidRPr="00231375">
        <w:rPr>
          <w:rFonts w:ascii="Arial" w:hAnsi="Arial" w:cs="Arial"/>
        </w:rPr>
        <w:t>Neighbourhood environmental burden is also central. Khadke et al. (2025) found that neighbourhood-level social vulnerability and environmental burden were associated with asthma and COPD prevalence across US neighbourhoods. Although ecological studies cannot assign individual causation, they are valuable because COPD inequity is partly produced at neighbourhood level. Communities do not randomly receive highways, industrial sites, poor housing quality or limited green space. These conditions are shaped by zoning, housing policy, segregation, disinvestment and environmental regulation. Environmental justice literature therefore helps explain why exposure is not evenly distributed (National Academies, 2017; Braveman et al., 2011).</w:t>
      </w:r>
    </w:p>
    <w:p w14:paraId="32F55BAB" w14:textId="77777777" w:rsidR="00CD69CF" w:rsidRPr="00231375" w:rsidRDefault="00CD69CF" w:rsidP="00CD69CF">
      <w:pPr>
        <w:rPr>
          <w:rFonts w:ascii="Arial" w:hAnsi="Arial" w:cs="Arial"/>
        </w:rPr>
      </w:pPr>
      <w:r w:rsidRPr="00231375">
        <w:rPr>
          <w:rFonts w:ascii="Arial" w:hAnsi="Arial" w:cs="Arial"/>
        </w:rPr>
        <w:t>The evidence also suggests that environmental exposure and diagnosis are linked. High-exposure communities may experience more respiratory symptoms, but those same communities may have weaker access to preventive care, spirometry and specialist services. This creates a double disadvantage: increased risk exposure and reduced likelihood of early recognition. For African American adults aged 40-65, this can mean that symptoms are experienced during working life but remain unmanaged until they affect employment, mobility or acute health service use. This pathway is consistent with fundamental cause theory, which argues that social conditions shape multiple disease pathways because they influence access to flexible resources such as knowledge, money, power and beneficial social connections (Phelan and Link, 2015).</w:t>
      </w:r>
    </w:p>
    <w:p w14:paraId="09CA87D7" w14:textId="77777777" w:rsidR="00CD69CF" w:rsidRPr="00231375" w:rsidRDefault="00CD69CF" w:rsidP="00CD69CF">
      <w:pPr>
        <w:rPr>
          <w:rFonts w:ascii="Arial" w:hAnsi="Arial" w:cs="Arial"/>
        </w:rPr>
      </w:pPr>
      <w:r w:rsidRPr="00231375">
        <w:rPr>
          <w:rFonts w:ascii="Arial" w:hAnsi="Arial" w:cs="Arial"/>
        </w:rPr>
        <w:t xml:space="preserve">A further interpretive issue is that environmental and occupational studies often struggle to capture lifetime exposure accurately. Many datasets measure current residential location or current occupation, but COPD reflects cumulative exposures over decades. African American adults in midlife may have experienced early-life exposure to pollution, poor-quality housing, second-hand smoke, childhood asthma, substandard healthcare and adult occupational hazards. If studies measure only one point in time, they may underestimate the true contribution of structural exposure. This limitation supports the need for life-course </w:t>
      </w:r>
      <w:r w:rsidRPr="00231375">
        <w:rPr>
          <w:rFonts w:ascii="Arial" w:hAnsi="Arial" w:cs="Arial"/>
        </w:rPr>
        <w:lastRenderedPageBreak/>
        <w:t>research that links early environment, adult occupation, neighbourhood change and respiratory outcomes (Lange et al., 2015; Martinez et al., 2017).</w:t>
      </w:r>
    </w:p>
    <w:p w14:paraId="39C9F8FB" w14:textId="77777777" w:rsidR="00CD69CF" w:rsidRPr="00231375" w:rsidRDefault="00CD69CF" w:rsidP="00CD69CF">
      <w:pPr>
        <w:rPr>
          <w:rFonts w:ascii="Arial" w:hAnsi="Arial" w:cs="Arial"/>
        </w:rPr>
      </w:pPr>
    </w:p>
    <w:p w14:paraId="14617FAA"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4.6 Theme 4: Healthcare access, pulmonary rehabilitation and management inequalities</w:t>
      </w:r>
    </w:p>
    <w:p w14:paraId="7B6B655C" w14:textId="77777777" w:rsidR="00CD69CF" w:rsidRPr="00231375" w:rsidRDefault="00CD69CF" w:rsidP="00CD69CF">
      <w:pPr>
        <w:rPr>
          <w:rFonts w:ascii="Arial" w:hAnsi="Arial" w:cs="Arial"/>
        </w:rPr>
      </w:pPr>
      <w:r w:rsidRPr="00231375">
        <w:rPr>
          <w:rFonts w:ascii="Arial" w:hAnsi="Arial" w:cs="Arial"/>
        </w:rPr>
        <w:t>The fourth theme demonstrates that inequity continues after diagnosis. Even when COPD is recognised, African American adults may experience barriers to evidence-based care, including inhaled therapy optimisation, smoking cessation support, vaccination, self-management education, treatment of comorbidities and pulmonary rehabilitation. Pharmacological treatment should therefore be aligned with current clinical guidance while also considering affordability, inhaler technique, comorbidity and follow-up support (Nici et al., 2020). Medication adherence is also important because non-adherence in COPD is associated with poorer clinical outcomes and increased healthcare costs (Van Boven et al., 2014). COPD management is not a single intervention but a coordinated pathway. If any part of the pathway is weak, patients may experience avoidable exacerbations, poor quality of life and increased hospital use (GOLD, 2024; Vestbo et al., 2013; Schrijver et al., 2022).</w:t>
      </w:r>
    </w:p>
    <w:p w14:paraId="621C7AFF" w14:textId="77777777" w:rsidR="00CD69CF" w:rsidRPr="00231375" w:rsidRDefault="00CD69CF" w:rsidP="00CD69CF">
      <w:pPr>
        <w:rPr>
          <w:rFonts w:ascii="Arial" w:hAnsi="Arial" w:cs="Arial"/>
        </w:rPr>
      </w:pPr>
      <w:r w:rsidRPr="00231375">
        <w:rPr>
          <w:rFonts w:ascii="Arial" w:hAnsi="Arial" w:cs="Arial"/>
        </w:rPr>
        <w:t>Pulmonary rehabilitation is one of the clearest examples. It is a well-established intervention that improves exercise tolerance, dyspnoea and quality of life in COPD, particularly when delivered through structured, multidisciplinary rehabilitation programmes (Spruit et al., 2013; Singh et al., 2013; McCarthy et al., 2015; Puhan et al., 2016). Yet Spitzer et al. (2020) found racial and geographic disparities in pulmonary rehabilitation use after COPD hospitalisation. Black patients were less likely to receive pulmonary rehabilitation, and programme density alone did not fully explain the disparity. This is important because it suggests that simply having services nearby may not be sufficient. Referral practices, insurance arrangements, transport, work schedules, patient trust, clinician communication and programme acceptability may all influence uptake.</w:t>
      </w:r>
    </w:p>
    <w:p w14:paraId="79A77D26" w14:textId="77777777" w:rsidR="00CD69CF" w:rsidRPr="00231375" w:rsidRDefault="00CD69CF" w:rsidP="00CD69CF">
      <w:pPr>
        <w:rPr>
          <w:rFonts w:ascii="Arial" w:hAnsi="Arial" w:cs="Arial"/>
        </w:rPr>
      </w:pPr>
      <w:r w:rsidRPr="00231375">
        <w:rPr>
          <w:rFonts w:ascii="Arial" w:hAnsi="Arial" w:cs="Arial"/>
        </w:rPr>
        <w:t>Management inequity is also connected to comorbidity. Putcha et al. (2014) found that comorbidities have a major impact on clinical outcomes in COPD, particularly among African American patients. COPD often coexists with cardiovascular disease, diabetes, obesity, depression, anxiety, sleep disorders and chronic kidney disease. These conditions can worsen breathlessness, reduce exercise capacity, complicate treatment decisions and increase healthcare use (Barnett et al., 2012; Putcha et al., 2014). A narrow respiratory model may therefore fail to address the complexity of patient need. Equitable COPD care should be integrated and person-centred, recognising that patients experience disease within social and clinical contexts, not as isolated lung function values.</w:t>
      </w:r>
    </w:p>
    <w:p w14:paraId="297905F4" w14:textId="77777777" w:rsidR="00CD69CF" w:rsidRPr="00231375" w:rsidRDefault="00CD69CF" w:rsidP="00CD69CF">
      <w:pPr>
        <w:rPr>
          <w:rFonts w:ascii="Arial" w:hAnsi="Arial" w:cs="Arial"/>
        </w:rPr>
      </w:pPr>
      <w:r w:rsidRPr="00231375">
        <w:rPr>
          <w:rFonts w:ascii="Arial" w:hAnsi="Arial" w:cs="Arial"/>
        </w:rPr>
        <w:t>Access barriers are multi-dimensional. Levesque et al. (2013) describe access as including approachability, acceptability, availability, affordability and appropriateness. This framework is useful for COPD because a service may formally exist but still be inaccessible. For example, services may formally exist but remain difficult to use because of referral gaps, cost, transport, work schedules or limited cultural acceptability. These barriers are likely to be especially relevant for adults aged 40-65 because many are still working, supporting families and not yet eligible for Medicare.</w:t>
      </w:r>
    </w:p>
    <w:p w14:paraId="22E631E4" w14:textId="77777777" w:rsidR="00CD69CF" w:rsidRPr="00231375" w:rsidRDefault="00CD69CF" w:rsidP="00CD69CF">
      <w:pPr>
        <w:rPr>
          <w:rFonts w:ascii="Arial" w:hAnsi="Arial" w:cs="Arial"/>
        </w:rPr>
      </w:pPr>
      <w:r w:rsidRPr="00231375">
        <w:rPr>
          <w:rFonts w:ascii="Arial" w:hAnsi="Arial" w:cs="Arial"/>
        </w:rPr>
        <w:t xml:space="preserve">Recent reviews also indicate that the evidence base is better at describing COPD disparities than testing interventions to reduce them. Rea et al. (2024) highlighted that racial and ethnic disparities in COPD are documented across many outcomes, but fewer studies evaluate equity-focused service models. This gap matters because public health action requires </w:t>
      </w:r>
      <w:r w:rsidRPr="00231375">
        <w:rPr>
          <w:rFonts w:ascii="Arial" w:hAnsi="Arial" w:cs="Arial"/>
        </w:rPr>
        <w:lastRenderedPageBreak/>
        <w:t>evidence not only of inequality but of effective solutions. There is a need for trials and implementation studies of culturally tailored education, community case finding, race-neutral spirometry implementation, patient navigation, transport support, tele-rehabilitation and integrated COPD-comorbidity care. Without intervention evidence, the field risks repeatedly documenting inequity without reducing it.</w:t>
      </w:r>
    </w:p>
    <w:p w14:paraId="7414BFE8" w14:textId="77777777" w:rsidR="00CD69CF" w:rsidRPr="00231375" w:rsidRDefault="00CD69CF" w:rsidP="00CD69CF">
      <w:pPr>
        <w:rPr>
          <w:rFonts w:ascii="Arial" w:hAnsi="Arial" w:cs="Arial"/>
        </w:rPr>
      </w:pPr>
      <w:r w:rsidRPr="00231375">
        <w:rPr>
          <w:rFonts w:ascii="Arial" w:hAnsi="Arial" w:cs="Arial"/>
        </w:rPr>
        <w:t>The management theme therefore reinforces a central argument of the dissertation: COPD inequality is not only about who becomes ill. It is also about who is recognised, who is referred, who receives evidence-based support and who has the social conditions required to benefit from care. A diagnosis that is not followed by accessible management may have limited value. Conversely, management programmes that do not address structural barriers may widen inequality if they mainly benefit already advantaged groups.</w:t>
      </w:r>
    </w:p>
    <w:p w14:paraId="5B131D71" w14:textId="77777777" w:rsidR="00CD69CF" w:rsidRPr="00231375" w:rsidRDefault="00CD69CF" w:rsidP="00CD69CF">
      <w:pPr>
        <w:rPr>
          <w:rFonts w:ascii="Arial" w:hAnsi="Arial" w:cs="Arial"/>
        </w:rPr>
      </w:pPr>
    </w:p>
    <w:p w14:paraId="075D6321"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4.7 Theme 5: Structural racism, segregation and social determinants</w:t>
      </w:r>
    </w:p>
    <w:p w14:paraId="24B08BC2" w14:textId="77777777" w:rsidR="00CD69CF" w:rsidRPr="00231375" w:rsidRDefault="00CD69CF" w:rsidP="00CD69CF">
      <w:pPr>
        <w:rPr>
          <w:rFonts w:ascii="Arial" w:hAnsi="Arial" w:cs="Arial"/>
        </w:rPr>
      </w:pPr>
      <w:r w:rsidRPr="00231375">
        <w:rPr>
          <w:rFonts w:ascii="Arial" w:hAnsi="Arial" w:cs="Arial"/>
        </w:rPr>
        <w:t>The fifth theme integrates the previous findings through a structural determinants lens. Structural racism refers to mutually reinforcing systems that distribute resources, risks and opportunities unequally across racialised groups (Bailey et al., 2017; Williams and Mohammed, 2013). In COPD, structural racism does not operate as a single exposure. It operates through housing, neighbourhood conditions, education, employment, healthcare access, environmental policy, income distribution and clinical norms. This makes it a useful framework for explaining why the same population may experience higher exposure burden, delayed diagnosis and poorer outcomes.</w:t>
      </w:r>
    </w:p>
    <w:p w14:paraId="23EE4FBE" w14:textId="77777777" w:rsidR="00CD69CF" w:rsidRPr="00231375" w:rsidRDefault="00CD69CF" w:rsidP="00CD69CF">
      <w:pPr>
        <w:rPr>
          <w:rFonts w:ascii="Arial" w:hAnsi="Arial" w:cs="Arial"/>
        </w:rPr>
      </w:pPr>
      <w:r w:rsidRPr="00231375">
        <w:rPr>
          <w:rFonts w:ascii="Arial" w:hAnsi="Arial" w:cs="Arial"/>
        </w:rPr>
        <w:t>Residential segregation is one of the strongest examples. Woo et al. (2021) found that racial residential segregation was adversely associated with COPD morbidity among urban Black participants with or at risk of COPD. Some associations attenuated after adjustment for mediators, but several remained important, including dyspnoea, FEV1 percent predicted, emphysema and air trapping. This supports the interpretation that place is not merely a background variable; it is part of the causal structure of respiratory inequity. Segregated neighbourhoods may concentrate pollution, stress, economic deprivation, poor housing quality and limited healthcare access while reducing political power to demand environmental protection or service investment (Krieger, 2014; Marmot, 2015).</w:t>
      </w:r>
    </w:p>
    <w:p w14:paraId="087603B1" w14:textId="77777777" w:rsidR="00CD69CF" w:rsidRPr="00231375" w:rsidRDefault="00CD69CF" w:rsidP="00CD69CF">
      <w:pPr>
        <w:rPr>
          <w:rFonts w:ascii="Arial" w:hAnsi="Arial" w:cs="Arial"/>
        </w:rPr>
      </w:pPr>
      <w:r w:rsidRPr="00231375">
        <w:rPr>
          <w:rFonts w:ascii="Arial" w:hAnsi="Arial" w:cs="Arial"/>
        </w:rPr>
        <w:t>Structural racism also helps interpret diagnostic inequity. If African American adults are more likely to live in high-burden environments, work in higher-risk occupations and have poorer access to routine respiratory care, then diagnostic delay is not accidental. It is the downstream result of systems that organise exposure and care unequally. Furthermore, if pulmonary function interpretation historically used race-specific norms that risk normalising lower lung function in Black populations, then clinical measurement itself may reflect structural assumptions (Bhakta et al., 2023; Davidson et al., 2024). This shows that structural racism operates not only outside healthcare but also within clinical knowledge systems.</w:t>
      </w:r>
    </w:p>
    <w:p w14:paraId="327864B5" w14:textId="77777777" w:rsidR="00CD69CF" w:rsidRPr="00231375" w:rsidRDefault="00CD69CF" w:rsidP="00CD69CF">
      <w:pPr>
        <w:rPr>
          <w:rFonts w:ascii="Arial" w:hAnsi="Arial" w:cs="Arial"/>
        </w:rPr>
      </w:pPr>
      <w:r w:rsidRPr="00231375">
        <w:rPr>
          <w:rFonts w:ascii="Arial" w:hAnsi="Arial" w:cs="Arial"/>
        </w:rPr>
        <w:t xml:space="preserve">The social determinants framework complements this analysis by emphasising that health is shaped by conditions of daily life (Solar and Irwin, 2010; Marmot, 2015). For COPD, these conditions include affordable housing, employment safety, education, health insurance, transport, access to healthy environments and access to trusted healthcare. Individual behaviour remains relevant, especially smoking cessation and self-management, but behaviour occurs within unequal opportunity structures. For example, smoking cessation advice is less effective if a patient experiences chronic stress, insecure housing, limited </w:t>
      </w:r>
      <w:r w:rsidRPr="00231375">
        <w:rPr>
          <w:rFonts w:ascii="Arial" w:hAnsi="Arial" w:cs="Arial"/>
        </w:rPr>
        <w:lastRenderedPageBreak/>
        <w:t>access to cessation medication or poor continuity of care. Public health interventions must therefore combine individual support with structural change.</w:t>
      </w:r>
    </w:p>
    <w:p w14:paraId="4FBC5190" w14:textId="77777777" w:rsidR="00CD69CF" w:rsidRPr="00231375" w:rsidRDefault="00CD69CF" w:rsidP="00CD69CF">
      <w:pPr>
        <w:rPr>
          <w:rFonts w:ascii="Arial" w:hAnsi="Arial" w:cs="Arial"/>
        </w:rPr>
      </w:pPr>
      <w:r w:rsidRPr="00231375">
        <w:rPr>
          <w:rFonts w:ascii="Arial" w:hAnsi="Arial" w:cs="Arial"/>
        </w:rPr>
        <w:t>This theme is particularly important for avoiding biological essentialism. The dissertation does not interpret racial disparities as evidence of inherent biological difference. Instead, race is treated as a social category that captures exposure to unequal conditions. This distinction is essential for public health because biological explanations can lead to fatalism or inappropriate race-based assumptions, whereas structural explanations point towards modifiable systems: improving housing, reducing pollution, strengthening primary care, reforming diagnostic standards, expanding rehabilitation access and investing in community-based prevention (Bailey et al., 2017; Krieger, 2014; Williams et al., 2019).</w:t>
      </w:r>
    </w:p>
    <w:p w14:paraId="0691EB0A" w14:textId="77777777" w:rsidR="00CD69CF" w:rsidRPr="00231375" w:rsidRDefault="00CD69CF" w:rsidP="00CD69CF">
      <w:pPr>
        <w:rPr>
          <w:rFonts w:ascii="Arial" w:hAnsi="Arial" w:cs="Arial"/>
        </w:rPr>
      </w:pPr>
    </w:p>
    <w:p w14:paraId="26F29D6D"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4.8 Methodological quality and limitations of the evidence</w:t>
      </w:r>
    </w:p>
    <w:p w14:paraId="448E1A51" w14:textId="396DF425" w:rsidR="00CD69CF" w:rsidRPr="00231375" w:rsidRDefault="00CD69CF" w:rsidP="00CD69CF">
      <w:pPr>
        <w:rPr>
          <w:rFonts w:ascii="Arial" w:hAnsi="Arial" w:cs="Arial"/>
        </w:rPr>
      </w:pPr>
      <w:r w:rsidRPr="00231375">
        <w:rPr>
          <w:rFonts w:ascii="Arial" w:hAnsi="Arial" w:cs="Arial"/>
        </w:rPr>
        <w:t>The evidence base has several strengths. Large cohort studies such as COPDGene and SPIROMICS provide detailed clinical, spirometric, imaging and symptom data, strengthening analysis beyond self-reported diagnosis or claims data alone (Regan et al., 2010; Couper et al., 2014; Han et al., 2011; Ejike et al., 2021). Health services studies using administrative data provide insight into real-world care pathways and service use after hospitalisation (Spitzer et al., 2020; Lindenauer et al., 2020). Environmental and neighbourhood studies expand the focus beyond clinical settings and show how place-based exposures may shape COPD burden (Woo et al., 2021; Khadke et al., 2025). Community-based studies contribute important evidence on outreach, trust and education (Odhiambo et al., 202</w:t>
      </w:r>
      <w:r w:rsidR="00095C72">
        <w:rPr>
          <w:rFonts w:ascii="Arial" w:hAnsi="Arial" w:cs="Arial"/>
        </w:rPr>
        <w:t>3</w:t>
      </w:r>
      <w:r w:rsidRPr="00231375">
        <w:rPr>
          <w:rFonts w:ascii="Arial" w:hAnsi="Arial" w:cs="Arial"/>
        </w:rPr>
        <w:t>). Together, these sources provide a broad and multi-level understanding of COPD inequity.</w:t>
      </w:r>
    </w:p>
    <w:p w14:paraId="1A94665A" w14:textId="77777777" w:rsidR="00CD69CF" w:rsidRPr="00231375" w:rsidRDefault="00CD69CF" w:rsidP="00CD69CF">
      <w:pPr>
        <w:rPr>
          <w:rFonts w:ascii="Arial" w:hAnsi="Arial" w:cs="Arial"/>
        </w:rPr>
      </w:pPr>
      <w:r w:rsidRPr="00231375">
        <w:rPr>
          <w:rFonts w:ascii="Arial" w:hAnsi="Arial" w:cs="Arial"/>
        </w:rPr>
        <w:t>However, there are important limitations. First, few studies focus exclusively on African American adults aged 40-65. Many studies include broader adult or older populations, which means the midlife conclusions must be interpreted cautiously. Second, COPD definitions vary. Some studies rely on self-reported clinician diagnosis, others use spirometry, claims data, symptoms or imaging. These differences affect comparability and limit the possibility of pooling results. Third, many studies are observational, meaning they can identify associations but cannot fully prove causal pathways. Fourth, ecological studies are useful for population-level planning but are vulnerable to ecological fallacy if neighbourhood associations are incorrectly applied to individuals (Higgins et al., 2019; Page et al., 2021).</w:t>
      </w:r>
    </w:p>
    <w:p w14:paraId="4A2744C4" w14:textId="77777777" w:rsidR="00CD69CF" w:rsidRPr="00231375" w:rsidRDefault="00CD69CF" w:rsidP="00CD69CF">
      <w:pPr>
        <w:rPr>
          <w:rFonts w:ascii="Arial" w:hAnsi="Arial" w:cs="Arial"/>
        </w:rPr>
      </w:pPr>
      <w:r w:rsidRPr="00231375">
        <w:rPr>
          <w:rFonts w:ascii="Arial" w:hAnsi="Arial" w:cs="Arial"/>
        </w:rPr>
        <w:t>Confounding is another challenge. Smoking history, socioeconomic status, occupational exposure, asthma history, access to care and comorbidity are deeply interrelated. Adjusting for these variables can clarify some associations, but it can also remove part of the pathway through which structural racism operates. For example, if neighbourhood poverty is treated only as a confounder, the analysis may underestimate how structural conditions produce racial disparities. Critical appraisal must therefore consider not only whether studies adjusted for variables, but whether their causal model was appropriate (Krieger, 2014; Bailey et al., 2017).</w:t>
      </w:r>
    </w:p>
    <w:p w14:paraId="5F85E446" w14:textId="77777777" w:rsidR="00CD69CF" w:rsidRPr="00231375" w:rsidRDefault="00CD69CF" w:rsidP="00CD69CF">
      <w:pPr>
        <w:rPr>
          <w:rFonts w:ascii="Arial" w:hAnsi="Arial" w:cs="Arial"/>
        </w:rPr>
      </w:pPr>
      <w:r w:rsidRPr="00231375">
        <w:rPr>
          <w:rFonts w:ascii="Arial" w:hAnsi="Arial" w:cs="Arial"/>
        </w:rPr>
        <w:t xml:space="preserve">Publication bias and intervention gaps also limit conclusions. Studies documenting disparities may be more common than studies evaluating solutions, and successful community interventions may remain unpublished or reported outside peer-reviewed literature. English-language restrictions may also exclude relevant evidence. Finally, racial categories are inconsistently defined across studies. Some use African American, Black or non-Hispanic Black interchangeably, while others combine heterogeneous groups. This can reduce precision and obscure differences by ethnicity, migration history, income, geography </w:t>
      </w:r>
      <w:r w:rsidRPr="00231375">
        <w:rPr>
          <w:rFonts w:ascii="Arial" w:hAnsi="Arial" w:cs="Arial"/>
        </w:rPr>
        <w:lastRenderedPageBreak/>
        <w:t>and gender. Future research should report race and ethnicity carefully, justify categories and avoid treating them as biological variables (Bhakta et al., 2023).</w:t>
      </w:r>
    </w:p>
    <w:p w14:paraId="2E933FCD" w14:textId="77777777" w:rsidR="00CD69CF" w:rsidRPr="00231375" w:rsidRDefault="00CD69CF" w:rsidP="00CD69CF">
      <w:pPr>
        <w:rPr>
          <w:rFonts w:ascii="Arial" w:hAnsi="Arial" w:cs="Arial"/>
          <w:b/>
        </w:rPr>
      </w:pPr>
    </w:p>
    <w:p w14:paraId="6203644D"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4.9 Integrated discussion: answering the research question</w:t>
      </w:r>
    </w:p>
    <w:p w14:paraId="372BCD18" w14:textId="77777777" w:rsidR="00CD69CF" w:rsidRPr="00231375" w:rsidRDefault="00CD69CF" w:rsidP="00CD69CF">
      <w:pPr>
        <w:rPr>
          <w:rFonts w:ascii="Arial" w:hAnsi="Arial" w:cs="Arial"/>
        </w:rPr>
      </w:pPr>
      <w:r w:rsidRPr="00231375">
        <w:rPr>
          <w:rFonts w:ascii="Arial" w:hAnsi="Arial" w:cs="Arial"/>
        </w:rPr>
        <w:t>Taken together, the results show that COPD awareness, diagnosis, prevention and management among African American adults aged 40-65 are shaped by interacting structural, environmental and healthcare system factors. The evidence does not support a simple explanation based on individual behaviour. Instead, it suggests a pathway in which African American adults may experience greater cumulative exposure to respiratory risk factors, lower likelihood of early diagnostic recognition, possible under-classification through spirometric criteria, and reduced access to evidence-based management such as pulmonary rehabilitation. These mechanisms are mutually reinforcing.</w:t>
      </w:r>
    </w:p>
    <w:p w14:paraId="2667D382" w14:textId="7C25E1DC" w:rsidR="00CD69CF" w:rsidRPr="00231375" w:rsidRDefault="00CD69CF" w:rsidP="00CD69CF">
      <w:pPr>
        <w:rPr>
          <w:rFonts w:ascii="Arial" w:hAnsi="Arial" w:cs="Arial"/>
        </w:rPr>
      </w:pPr>
      <w:r w:rsidRPr="00231375">
        <w:rPr>
          <w:rFonts w:ascii="Arial" w:hAnsi="Arial" w:cs="Arial"/>
        </w:rPr>
        <w:t>Awareness is the first point in the pathway. Low awareness of COPD symptoms and risk factors may delay care-seeking, but awareness must be understood socially. Individuals are more likely to act on symptoms when information is accessible, culturally meaningful and linked to trusted services. Community-based models, especially those using churches or local organisations, may improve engagement because they recognise that health behaviour is shaped by trust and context (Odhiambo et al., 202</w:t>
      </w:r>
      <w:r w:rsidR="00095C72">
        <w:rPr>
          <w:rFonts w:ascii="Arial" w:hAnsi="Arial" w:cs="Arial"/>
        </w:rPr>
        <w:t>3</w:t>
      </w:r>
      <w:r w:rsidRPr="00231375">
        <w:rPr>
          <w:rFonts w:ascii="Arial" w:hAnsi="Arial" w:cs="Arial"/>
        </w:rPr>
        <w:t>). However, awareness alone cannot solve diagnostic inequity if primary care lacks spirometry capacity or if clinicians do not investigate symptoms in African American midlife adults.</w:t>
      </w:r>
    </w:p>
    <w:p w14:paraId="7829E822" w14:textId="77777777" w:rsidR="00CD69CF" w:rsidRPr="00231375" w:rsidRDefault="00CD69CF" w:rsidP="00CD69CF">
      <w:pPr>
        <w:rPr>
          <w:rFonts w:ascii="Arial" w:hAnsi="Arial" w:cs="Arial"/>
        </w:rPr>
      </w:pPr>
      <w:r w:rsidRPr="00231375">
        <w:rPr>
          <w:rFonts w:ascii="Arial" w:hAnsi="Arial" w:cs="Arial"/>
        </w:rPr>
        <w:t>Diagnosis is the second point in the pathway. Underdiagnosis among African American adults is strongly supported by evidence from Mamary et al. (2018) and Regan et al. (2023). The issue is not only whether spirometry is performed, but how COPD is defined and interpreted. Race-neutral pulmonary function interpretation debates show that diagnostic categories can reflect social assumptions. This is important because diagnosis determines access to treatment, monitoring and self-management support. If African American adults are less likely to be diagnosed, inequity is reproduced before management even begins.</w:t>
      </w:r>
    </w:p>
    <w:p w14:paraId="7ABB4C3F" w14:textId="77777777" w:rsidR="00CD69CF" w:rsidRPr="00231375" w:rsidRDefault="00CD69CF" w:rsidP="00CD69CF">
      <w:pPr>
        <w:rPr>
          <w:rFonts w:ascii="Arial" w:hAnsi="Arial" w:cs="Arial"/>
        </w:rPr>
      </w:pPr>
      <w:r w:rsidRPr="00231375">
        <w:rPr>
          <w:rFonts w:ascii="Arial" w:hAnsi="Arial" w:cs="Arial"/>
        </w:rPr>
        <w:t>Prevention is the third point. Public health prevention should include smoking cessation, but the findings show that prevention must be broader. Environmental justice, occupational safety, housing quality, air pollution reduction and early-life respiratory health are all relevant to COPD prevention. A prevention strategy focused only on individual smoking behaviour risks blaming communities for disease while ignoring the unequal exposure environments in which risk is produced (Schraufnagel et al., 2019; Khadke et al., 2025).</w:t>
      </w:r>
    </w:p>
    <w:p w14:paraId="7E68FC4D" w14:textId="77777777" w:rsidR="00CD69CF" w:rsidRPr="00231375" w:rsidRDefault="00CD69CF" w:rsidP="00CD69CF">
      <w:pPr>
        <w:rPr>
          <w:rFonts w:ascii="Arial" w:hAnsi="Arial" w:cs="Arial"/>
        </w:rPr>
      </w:pPr>
      <w:r w:rsidRPr="00231375">
        <w:rPr>
          <w:rFonts w:ascii="Arial" w:hAnsi="Arial" w:cs="Arial"/>
        </w:rPr>
        <w:t>Management is the fourth point. Evidence-based COPD management can reduce symptoms and improve quality of life, but it is unequally accessed. Pulmonary rehabilitation is a particularly important example because it has known benefits but remains underused, especially among Black patients after hospitalisation (Spitzer et al., 2020; Lindenauer et al., 2020). Management also needs to address comorbidity and social needs. Adults aged 40-65 may face work schedules, transport barriers, insurance gaps and caregiving responsibilities that older-adult service models do not fully address.</w:t>
      </w:r>
    </w:p>
    <w:p w14:paraId="1CA41A13" w14:textId="77777777" w:rsidR="00CD69CF" w:rsidRPr="00231375" w:rsidRDefault="00CD69CF" w:rsidP="00CD69CF">
      <w:pPr>
        <w:rPr>
          <w:rFonts w:ascii="Arial" w:hAnsi="Arial" w:cs="Arial"/>
        </w:rPr>
      </w:pPr>
      <w:r w:rsidRPr="00231375">
        <w:rPr>
          <w:rFonts w:ascii="Arial" w:hAnsi="Arial" w:cs="Arial"/>
        </w:rPr>
        <w:t xml:space="preserve">The review therefore answers the research question by showing that structural, environmental and healthcare system factors influence COPD at every stage. Structural racism shapes where people live, what work they do, what environments they breathe, how symptoms are interpreted, what services are offered and what care can realistically be used. The evidence supports multi-level recommendations rather than a single intervention. Improving outcomes requires community awareness, proactive case finding for symptomatic </w:t>
      </w:r>
      <w:r w:rsidRPr="00231375">
        <w:rPr>
          <w:rFonts w:ascii="Arial" w:hAnsi="Arial" w:cs="Arial"/>
        </w:rPr>
        <w:lastRenderedPageBreak/>
        <w:t>adults, equitable spirometry access, careful diagnostic interpretation, better management pathways, pulmonary rehabilitation access, comorbidity integration and environmental justice policy.</w:t>
      </w:r>
    </w:p>
    <w:p w14:paraId="5E89075E" w14:textId="77777777" w:rsidR="00CD69CF" w:rsidRPr="00231375" w:rsidRDefault="00CD69CF" w:rsidP="00CD69CF">
      <w:pPr>
        <w:rPr>
          <w:rFonts w:ascii="Arial" w:hAnsi="Arial" w:cs="Arial"/>
        </w:rPr>
      </w:pPr>
      <w:r w:rsidRPr="00231375">
        <w:rPr>
          <w:rFonts w:ascii="Arial" w:hAnsi="Arial" w:cs="Arial"/>
        </w:rPr>
        <w:t>Finally, the findings show that COPD inequity should be framed as preventable. The studies reviewed do not suggest that poorer outcomes are inevitable. Rather, they identify modifiable points in the pathway: reducing harmful exposures, improving awareness, recognising symptoms earlier, ensuring high-quality spirometry, revising interpretive practices, expanding pulmonary rehabilitation and integrating care for comorbidities. This is important for public health because it moves the discussion away from describing disparities towards planning intervention.</w:t>
      </w:r>
    </w:p>
    <w:p w14:paraId="49EC9164" w14:textId="77777777" w:rsidR="00CD69CF" w:rsidRPr="00231375" w:rsidRDefault="00CD69CF" w:rsidP="00CD69CF">
      <w:pPr>
        <w:rPr>
          <w:rFonts w:ascii="Arial" w:hAnsi="Arial" w:cs="Arial"/>
        </w:rPr>
      </w:pPr>
      <w:r w:rsidRPr="00231375">
        <w:rPr>
          <w:rFonts w:ascii="Arial" w:hAnsi="Arial" w:cs="Arial"/>
        </w:rPr>
        <w:t>The synthesis also highlights the importance of distinguishing between equality and equity. An equal approach would offer the same COPD information, testing and rehabilitation pathways to all adults. An equitable approach recognises that African American adults may face different starting points because of cumulative exposure, healthcare mistrust, underdiagnosis, work constraints and environmental disadvantage. Equity therefore requires additional support where need and barriers are greater. Examples include community-based outreach, flexible rehabilitation delivery, patient navigation, targeted spirometry access and monitoring of referral patterns by race and geography. This distinction is important because formally universal services can still produce unequal outcomes when barriers are unevenly distributed (Levesque et al., 2013; Williams et al., 2019).</w:t>
      </w:r>
    </w:p>
    <w:p w14:paraId="139286EB" w14:textId="77777777" w:rsidR="00CD69CF" w:rsidRPr="00231375" w:rsidRDefault="00CD69CF" w:rsidP="00CD69CF">
      <w:pPr>
        <w:rPr>
          <w:rFonts w:ascii="Arial" w:hAnsi="Arial" w:cs="Arial"/>
        </w:rPr>
      </w:pPr>
      <w:r w:rsidRPr="00231375">
        <w:rPr>
          <w:rFonts w:ascii="Arial" w:hAnsi="Arial" w:cs="Arial"/>
        </w:rPr>
        <w:t>A further point emerging from the synthesis is the relationship between COPD and wider public health surveillance. Surveillance systems that rely mainly on diagnosed cases risk underestimating need in groups that encounter barriers to diagnosis. This is a practical problem for commissioners and public health agencies because recorded prevalence can influence where awareness campaigns, spirometry services and rehabilitation resources are placed. The review therefore supports the use of multiple indicators, including symptom prevalence, hospitalisation, emergency department use, environmental burden, occupational exposure and social vulnerability. Combining clinical and social indicators would give a more accurate picture of respiratory need in African American communities than relying only on diagnostic labels (Carlson et al., 2023; Khadke et al., 2025).</w:t>
      </w:r>
    </w:p>
    <w:p w14:paraId="774E93D3" w14:textId="77777777" w:rsidR="00CD69CF" w:rsidRPr="00231375" w:rsidRDefault="00CD69CF" w:rsidP="00CD69CF">
      <w:pPr>
        <w:rPr>
          <w:rFonts w:ascii="Arial" w:hAnsi="Arial" w:cs="Arial"/>
        </w:rPr>
      </w:pPr>
    </w:p>
    <w:p w14:paraId="1C89F72C"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4.10 Chapter summary</w:t>
      </w:r>
    </w:p>
    <w:p w14:paraId="6280A4CF" w14:textId="0F4CDCB1" w:rsidR="001170D1" w:rsidRPr="00231375" w:rsidRDefault="00CD69CF" w:rsidP="001170D1">
      <w:pPr>
        <w:rPr>
          <w:rFonts w:ascii="Arial" w:hAnsi="Arial" w:cs="Arial"/>
        </w:rPr>
      </w:pPr>
      <w:r w:rsidRPr="00231375">
        <w:rPr>
          <w:rFonts w:ascii="Arial" w:hAnsi="Arial" w:cs="Arial"/>
        </w:rPr>
        <w:t>This chapter has presented a thematic narrative synthesis of evidence on COPD among African American adults aged 40-65 in the United States. The results indicate that diagnosed prevalence alone is an inadequate measure of need because it may obscure underdiagnosis and worse morbidity. The evidence shows persistent inequities in symptom recognition, COPD diagnosis, spirometry interpretation, exposure burden and management access. Environmental and occupational exposures demonstrate that risk is cumulative and socially distributed, while pulmonary rehabilitation evidence shows that inequity continues after diagnosis. Structural racism and residential segregation provide the most coherent explanation for how these patterns connect. Chapter 5 now draws conclusions from these findings and presents recommendations for practice, policy and future res</w:t>
      </w:r>
      <w:r w:rsidR="005A2DCF" w:rsidRPr="00231375">
        <w:rPr>
          <w:rFonts w:ascii="Arial" w:hAnsi="Arial" w:cs="Arial"/>
        </w:rPr>
        <w:t>earch.</w:t>
      </w:r>
    </w:p>
    <w:p w14:paraId="3334777B" w14:textId="77777777" w:rsidR="005A2DCF" w:rsidRPr="00231375" w:rsidRDefault="005A2DCF" w:rsidP="001170D1">
      <w:pPr>
        <w:rPr>
          <w:rFonts w:ascii="Arial" w:hAnsi="Arial" w:cs="Arial"/>
        </w:rPr>
      </w:pPr>
    </w:p>
    <w:p w14:paraId="5054DEB8" w14:textId="77777777" w:rsidR="005A2DCF" w:rsidRPr="00231375" w:rsidRDefault="005A2DCF" w:rsidP="001170D1">
      <w:pPr>
        <w:rPr>
          <w:rFonts w:ascii="Arial" w:hAnsi="Arial" w:cs="Arial"/>
        </w:rPr>
      </w:pPr>
    </w:p>
    <w:p w14:paraId="53B1A8E7" w14:textId="77777777" w:rsidR="005A2DCF" w:rsidRPr="00231375" w:rsidRDefault="005A2DCF" w:rsidP="001170D1">
      <w:pPr>
        <w:rPr>
          <w:rFonts w:ascii="Arial" w:hAnsi="Arial" w:cs="Arial"/>
        </w:rPr>
      </w:pPr>
    </w:p>
    <w:p w14:paraId="16AC6ED6" w14:textId="251645CE" w:rsidR="00CD69CF" w:rsidRPr="00231375" w:rsidRDefault="00CD69CF" w:rsidP="001170D1">
      <w:pPr>
        <w:jc w:val="center"/>
        <w:rPr>
          <w:rFonts w:ascii="Arial" w:hAnsi="Arial" w:cs="Arial"/>
          <w:b/>
          <w:bCs/>
        </w:rPr>
      </w:pPr>
      <w:r w:rsidRPr="00231375">
        <w:rPr>
          <w:rFonts w:ascii="Arial" w:hAnsi="Arial" w:cs="Arial"/>
          <w:b/>
          <w:bCs/>
          <w:sz w:val="28"/>
          <w:szCs w:val="28"/>
        </w:rPr>
        <w:lastRenderedPageBreak/>
        <w:t>Chapter 5: Conclusion and Recommendations</w:t>
      </w:r>
    </w:p>
    <w:p w14:paraId="7024D1C5" w14:textId="77777777" w:rsidR="00CD69CF" w:rsidRPr="00231375" w:rsidRDefault="00CD69CF" w:rsidP="00CD69CF"/>
    <w:p w14:paraId="4F905E16"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5.1 Introduction</w:t>
      </w:r>
    </w:p>
    <w:p w14:paraId="70766501" w14:textId="77777777" w:rsidR="00CD69CF" w:rsidRPr="00231375" w:rsidRDefault="00CD69CF" w:rsidP="00CD69CF">
      <w:pPr>
        <w:rPr>
          <w:rFonts w:ascii="Arial" w:hAnsi="Arial" w:cs="Arial"/>
        </w:rPr>
      </w:pPr>
      <w:r w:rsidRPr="00231375">
        <w:rPr>
          <w:rFonts w:ascii="Arial" w:hAnsi="Arial" w:cs="Arial"/>
        </w:rPr>
        <w:t>This chapter concludes the dissertation by summarising the main findings of the systematic literature review and presenting recommendations for public health practice, healthcare policy and future research. The dissertation set out to examine what current evidence reveals about COPD awareness, diagnosis, prevention and management among African American adults aged 40-65 in the United States, and how structural, environmental and healthcare system factors influence these outcomes. The conclusion is organised around the research question and objectives, before outlining practical recommendations that follow from the evidence.</w:t>
      </w:r>
    </w:p>
    <w:p w14:paraId="090DD09A" w14:textId="77777777" w:rsidR="00CD69CF" w:rsidRPr="00231375" w:rsidRDefault="00CD69CF" w:rsidP="00CD69CF">
      <w:pPr>
        <w:rPr>
          <w:rFonts w:ascii="Arial" w:hAnsi="Arial" w:cs="Arial"/>
        </w:rPr>
      </w:pPr>
    </w:p>
    <w:p w14:paraId="72085386"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5.2 Overall conclusion</w:t>
      </w:r>
    </w:p>
    <w:p w14:paraId="447922A2" w14:textId="77777777" w:rsidR="00CD69CF" w:rsidRPr="00231375" w:rsidRDefault="00CD69CF" w:rsidP="00CD69CF">
      <w:pPr>
        <w:rPr>
          <w:rFonts w:ascii="Arial" w:hAnsi="Arial" w:cs="Arial"/>
        </w:rPr>
      </w:pPr>
      <w:r w:rsidRPr="00231375">
        <w:rPr>
          <w:rFonts w:ascii="Arial" w:hAnsi="Arial" w:cs="Arial"/>
        </w:rPr>
        <w:t>This dissertation concludes that COPD inequity among African American adults aged 40–65 is produced through interacting structural, environmental and healthcare mechanisms rather than individual behaviour alone. Lower recorded prevalence should not be interpreted as lower disease burden, because evidence on symptoms, quality of life, exacerbations, hospital use and underdiagnosis indicates substantial hidden need (Han et al., 2011; Mamary et al., 2018; Ejike et al., 2021; Weeks and Elgaddal, 2025).</w:t>
      </w:r>
    </w:p>
    <w:p w14:paraId="76326A81" w14:textId="1C8F2876" w:rsidR="00CD69CF" w:rsidRPr="00231375" w:rsidRDefault="00CD69CF" w:rsidP="00CD69CF">
      <w:pPr>
        <w:rPr>
          <w:rFonts w:ascii="Arial" w:hAnsi="Arial" w:cs="Arial"/>
        </w:rPr>
      </w:pPr>
      <w:r w:rsidRPr="00231375">
        <w:rPr>
          <w:rFonts w:ascii="Arial" w:hAnsi="Arial" w:cs="Arial"/>
        </w:rPr>
        <w:t>The first objective was to assess awareness among African American adults and healthcare professionals about COPD causes, symptoms and prevention. The review found that awareness is important but should not be treated as a purely individual issue. Knowledge of COPD symptoms, risk factors and self-management may be limited, but this is shaped by access to trusted information, health literacy, healthcare relationships and community context. Community-based education has promise, particularly when delivered through trusted institutions, but awareness campaigns must connect people to accessible diagnostic and management services (Odhiambo et al., 202</w:t>
      </w:r>
      <w:r w:rsidR="00095C72">
        <w:rPr>
          <w:rFonts w:ascii="Arial" w:hAnsi="Arial" w:cs="Arial"/>
        </w:rPr>
        <w:t>3</w:t>
      </w:r>
      <w:r w:rsidRPr="00231375">
        <w:rPr>
          <w:rFonts w:ascii="Arial" w:hAnsi="Arial" w:cs="Arial"/>
        </w:rPr>
        <w:t>).</w:t>
      </w:r>
    </w:p>
    <w:p w14:paraId="072CC5E9" w14:textId="77777777" w:rsidR="00CD69CF" w:rsidRPr="00231375" w:rsidRDefault="00CD69CF" w:rsidP="00CD69CF">
      <w:pPr>
        <w:rPr>
          <w:rFonts w:ascii="Arial" w:hAnsi="Arial" w:cs="Arial"/>
        </w:rPr>
      </w:pPr>
      <w:r w:rsidRPr="00231375">
        <w:rPr>
          <w:rFonts w:ascii="Arial" w:hAnsi="Arial" w:cs="Arial"/>
        </w:rPr>
        <w:t>The second objective was to identify gaps and challenges in diagnosis, treatment and support. The evidence indicates major challenges in underdiagnosis, misclassification, spirometry access and interpretation. African American adults are more likely to lack a prior COPD diagnosis even when airflow obstruction is present, and fixed-ratio spirometry may under-identify COPD in some African American patients (Mamary et al., 2018; Regan et al., 2023). These findings show that diagnostic inequity is not merely a technical problem; it is a structural problem that affects whether people are recognised as needing care.</w:t>
      </w:r>
    </w:p>
    <w:p w14:paraId="5BB1369D" w14:textId="77777777" w:rsidR="00CD69CF" w:rsidRPr="00231375" w:rsidRDefault="00CD69CF" w:rsidP="00CD69CF">
      <w:pPr>
        <w:rPr>
          <w:rFonts w:ascii="Arial" w:hAnsi="Arial" w:cs="Arial"/>
        </w:rPr>
      </w:pPr>
      <w:r w:rsidRPr="00231375">
        <w:rPr>
          <w:rFonts w:ascii="Arial" w:hAnsi="Arial" w:cs="Arial"/>
        </w:rPr>
        <w:t>The third objective was to evaluate existing management programmes and recommend strategies for improving outcomes. The review found that evidence-based management, particularly pulmonary rehabilitation, is not accessed equitably. Racial and geographic disparities in rehabilitation after COPD hospitalisation suggest that referral, availability, affordability, transport, work patterns and trust all influence care. Management also needs to be integrated with comorbidity care because African American patients with COPD may face multiple overlapping conditions that worsen symptoms and quality of life (Putcha et al., 2014; Spitzer et al., 2020; Lindenauer et al., 2020).</w:t>
      </w:r>
    </w:p>
    <w:p w14:paraId="3888FD00" w14:textId="77777777" w:rsidR="00CD69CF" w:rsidRPr="00231375" w:rsidRDefault="00CD69CF" w:rsidP="00CD69CF">
      <w:pPr>
        <w:rPr>
          <w:rFonts w:ascii="Arial" w:hAnsi="Arial" w:cs="Arial"/>
        </w:rPr>
      </w:pPr>
      <w:r w:rsidRPr="00231375">
        <w:rPr>
          <w:rFonts w:ascii="Arial" w:hAnsi="Arial" w:cs="Arial"/>
        </w:rPr>
        <w:t xml:space="preserve">The dissertation therefore concludes that COPD among African American adults aged 40-65 should be understood through a structural determinants framework. Smoking cessation, </w:t>
      </w:r>
      <w:r w:rsidRPr="00231375">
        <w:rPr>
          <w:rFonts w:ascii="Arial" w:hAnsi="Arial" w:cs="Arial"/>
        </w:rPr>
        <w:lastRenderedPageBreak/>
        <w:t>inhaled therapy and self-management education are important, but they are insufficient unless combined with action on environmental exposure, occupational protection, diagnostic equity, rehabilitation access and community trust. Self-management support can reduce avoidable utilisation and improve patient confidence, but its effectiveness depends on sustained engagement, health literacy and accessible follow-up (Bourbeau et al., 2003; Effing et al., 2012; Schrijver et al., 2022). Race should not be treated as a biological explanation for COPD disparity; rather, it should be understood as a marker of unequal exposure to social, environmental and healthcare conditions (Bailey et al., 2017; Krieger, 2014; Bhakta et al., 2023).</w:t>
      </w:r>
    </w:p>
    <w:p w14:paraId="7A5ECC47" w14:textId="77777777" w:rsidR="00CD69CF" w:rsidRPr="00231375" w:rsidRDefault="00CD69CF" w:rsidP="00CD69CF">
      <w:pPr>
        <w:rPr>
          <w:rFonts w:ascii="Arial" w:hAnsi="Arial" w:cs="Arial"/>
        </w:rPr>
      </w:pPr>
    </w:p>
    <w:p w14:paraId="21CFB37C"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5.3 Recommendations for public health practice and healthcare policy</w:t>
      </w:r>
    </w:p>
    <w:p w14:paraId="382560E8" w14:textId="6FC5BF4C" w:rsidR="00CD69CF" w:rsidRPr="00231375" w:rsidRDefault="00CD69CF" w:rsidP="00CD69CF">
      <w:pPr>
        <w:rPr>
          <w:rFonts w:ascii="Arial" w:hAnsi="Arial" w:cs="Arial"/>
        </w:rPr>
      </w:pPr>
      <w:r w:rsidRPr="00231375">
        <w:rPr>
          <w:rFonts w:ascii="Arial" w:hAnsi="Arial" w:cs="Arial"/>
        </w:rPr>
        <w:t>First, public health agencies should develop culturally appropriate COPD awareness campaigns for African American adults in midlife. These should focus on chronic cough, wheeze, sputum, breathlessness, smoking history and occupational exposure, using trusted community settings such as churches, workplaces and local media (Bourbeau et al., 2003; Odhiambo et al., 202</w:t>
      </w:r>
      <w:r w:rsidR="00095C72">
        <w:rPr>
          <w:rFonts w:ascii="Arial" w:hAnsi="Arial" w:cs="Arial"/>
        </w:rPr>
        <w:t>3</w:t>
      </w:r>
      <w:r w:rsidRPr="00231375">
        <w:rPr>
          <w:rFonts w:ascii="Arial" w:hAnsi="Arial" w:cs="Arial"/>
        </w:rPr>
        <w:t>; Effing et al., 2012).</w:t>
      </w:r>
    </w:p>
    <w:p w14:paraId="0D037B5A" w14:textId="77777777" w:rsidR="00CD69CF" w:rsidRPr="00231375" w:rsidRDefault="00CD69CF" w:rsidP="00CD69CF">
      <w:pPr>
        <w:rPr>
          <w:rFonts w:ascii="Arial" w:hAnsi="Arial" w:cs="Arial"/>
        </w:rPr>
      </w:pPr>
      <w:r w:rsidRPr="00231375">
        <w:rPr>
          <w:rFonts w:ascii="Arial" w:hAnsi="Arial" w:cs="Arial"/>
        </w:rPr>
        <w:t>Second, healthcare systems should strengthen proactive case finding for symptomatic adults rather than relying only on opportunistic diagnosis. The USPSTF recommendation against screening applies to asymptomatic adults, but it should not prevent careful assessment of adults who report respiratory symptoms or substantial exposure histories (USPSTF, 2022). Primary care services should be supported to identify symptomatic patients, ask about occupational and environmental exposure, and refer for quality-assured spirometry when appropriate. This is particularly important for adults aged 40-65, where earlier intervention may prevent avoidable deterioration.</w:t>
      </w:r>
    </w:p>
    <w:p w14:paraId="599FE1B8" w14:textId="77777777" w:rsidR="00CD69CF" w:rsidRPr="00231375" w:rsidRDefault="00CD69CF" w:rsidP="00CD69CF">
      <w:pPr>
        <w:rPr>
          <w:rFonts w:ascii="Arial" w:hAnsi="Arial" w:cs="Arial"/>
        </w:rPr>
      </w:pPr>
      <w:r w:rsidRPr="00231375">
        <w:rPr>
          <w:rFonts w:ascii="Arial" w:hAnsi="Arial" w:cs="Arial"/>
        </w:rPr>
        <w:t>Third, spirometry access and interpretation should be made more equitable. Clinics serving high-burden communities should have access to reliable spirometry, trained staff and clear referral pathways. Pulmonary function laboratories should review the implications of race-specific reference values and consider emerging guidance supporting race-neutral interpretation (Bhakta et al., 2023; Davidson et al., 2024). Diagnostic decisions should not rely on one threshold alone when symptoms, exposure history, imaging or clinical outcomes suggest disease. This would reduce the risk of under-recognition among African American patients. This should include staff training, quality assurance and careful use of reference values, as spirometry quality and interpretation directly affect diagnostic accuracy (Miller et al., 2005; Quanjer et al., 2012; Graham et al., 2019; Bhakta et al., 2023; Davidson et al., 2024).</w:t>
      </w:r>
    </w:p>
    <w:p w14:paraId="65A32842" w14:textId="77777777" w:rsidR="00CD69CF" w:rsidRPr="00231375" w:rsidRDefault="00CD69CF" w:rsidP="00CD69CF">
      <w:pPr>
        <w:rPr>
          <w:rFonts w:ascii="Arial" w:hAnsi="Arial" w:cs="Arial"/>
        </w:rPr>
      </w:pPr>
      <w:r w:rsidRPr="00231375">
        <w:rPr>
          <w:rFonts w:ascii="Arial" w:hAnsi="Arial" w:cs="Arial"/>
        </w:rPr>
        <w:t>Fourth, pulmonary rehabilitation access should be expanded and redesigned around equity. This may include automatic referral after COPD hospitalisation, patient navigation, transport support, evening or weekend sessions, tele-rehabilitation options, community-based programmes and culturally responsive communication. Services should monitor referral, attendance and completion by race, age, gender, insurance status and geography. Equity cannot be assumed simply because a programme exists; it must be measured and actively improved. Rehabilitation pathways should be monitored because benefits are well established, but access and completion may remain unequal without active referral, navigation and flexible delivery (Spruit et al., 2013; Puhan et al., 2016; Lindenauer et al., 2020; Spitzer et al., 2020).</w:t>
      </w:r>
    </w:p>
    <w:p w14:paraId="3F4C52B4" w14:textId="77777777" w:rsidR="00CD69CF" w:rsidRPr="00231375" w:rsidRDefault="00CD69CF" w:rsidP="00CD69CF">
      <w:pPr>
        <w:rPr>
          <w:rFonts w:ascii="Arial" w:hAnsi="Arial" w:cs="Arial"/>
        </w:rPr>
      </w:pPr>
      <w:r w:rsidRPr="00231375">
        <w:rPr>
          <w:rFonts w:ascii="Arial" w:hAnsi="Arial" w:cs="Arial"/>
        </w:rPr>
        <w:t xml:space="preserve">Fifth, COPD care should be integrated with comorbidity and social needs assessment. Clinicians should assess cardiovascular risk, diabetes, obesity, anxiety, depression, sleep </w:t>
      </w:r>
      <w:r w:rsidRPr="00231375">
        <w:rPr>
          <w:rFonts w:ascii="Arial" w:hAnsi="Arial" w:cs="Arial"/>
        </w:rPr>
        <w:lastRenderedPageBreak/>
        <w:t>problems and medication affordability alongside respiratory symptoms. Medication adherence is also a major management issue because non-adherence in COPD is associated with poorer outcomes and increased economic burden (Van Boven et al., 2014). Care plans should include smoking cessation support, vaccination, inhaler technique checks, exacerbation action plans, physical activity guidance and referral to social support where needed. For working-age adults, appointment flexibility and employment-related barriers should be considered.</w:t>
      </w:r>
    </w:p>
    <w:p w14:paraId="6E0D9E5A" w14:textId="77777777" w:rsidR="00CD69CF" w:rsidRPr="00231375" w:rsidRDefault="00CD69CF" w:rsidP="00CD69CF">
      <w:pPr>
        <w:rPr>
          <w:rFonts w:ascii="Arial" w:hAnsi="Arial" w:cs="Arial"/>
        </w:rPr>
      </w:pPr>
      <w:r w:rsidRPr="00231375">
        <w:rPr>
          <w:rFonts w:ascii="Arial" w:hAnsi="Arial" w:cs="Arial"/>
        </w:rPr>
        <w:t>Sixth, prevention should include environmental justice and occupational health action. Policymakers should reduce exposure to air pollution, improve housing quality, enforce workplace protections and prioritise respiratory health resources in environmentally burdened neighbourhoods. This aligns with evidence that racial residential segregation and neighbourhood disadvantage shape respiratory risk through environmental exposure, social vulnerability and unequal service access (Williams and Collins, 2001; Diez Roux and Mair, 2010; Balmes, 2021; Carlson et al., 2023; Khadke et al., 2025).</w:t>
      </w:r>
    </w:p>
    <w:p w14:paraId="1B80D02B" w14:textId="77777777" w:rsidR="00CD69CF" w:rsidRPr="00231375" w:rsidRDefault="00CD69CF" w:rsidP="00CD69CF">
      <w:pPr>
        <w:rPr>
          <w:rFonts w:ascii="Arial" w:hAnsi="Arial" w:cs="Arial"/>
        </w:rPr>
      </w:pPr>
    </w:p>
    <w:p w14:paraId="37BEC3A2"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t>5.4 Recommendations for future research</w:t>
      </w:r>
    </w:p>
    <w:p w14:paraId="2C63F8AB" w14:textId="77777777" w:rsidR="00CD69CF" w:rsidRPr="00231375" w:rsidRDefault="00CD69CF" w:rsidP="00CD69CF">
      <w:pPr>
        <w:rPr>
          <w:rFonts w:ascii="Arial" w:hAnsi="Arial" w:cs="Arial"/>
        </w:rPr>
      </w:pPr>
      <w:r w:rsidRPr="00231375">
        <w:rPr>
          <w:rFonts w:ascii="Arial" w:hAnsi="Arial" w:cs="Arial"/>
        </w:rPr>
        <w:t>Future research should focus specifically on African American adults aged 40-65 rather than relying mainly on older Medicare populations. Studies should report age-stratified findings, include adequate African American samples and examine gender, income, geography, insurance and occupational exposure. More longitudinal research is needed to link early-life disadvantage, neighbourhood exposures, adult occupation, spirometry changes and COPD outcomes over time. Future cohort work should also examine early-onset COPD and life-course risk, because evidence suggests that early adult and midlife trajectories can influence later COPD burden (Foreman et al., 2011; Lange et al., 2015).</w:t>
      </w:r>
    </w:p>
    <w:p w14:paraId="1247714B" w14:textId="77777777" w:rsidR="00CD69CF" w:rsidRPr="00231375" w:rsidRDefault="00CD69CF" w:rsidP="00CD69CF">
      <w:pPr>
        <w:rPr>
          <w:rFonts w:ascii="Arial" w:hAnsi="Arial" w:cs="Arial"/>
        </w:rPr>
      </w:pPr>
      <w:r w:rsidRPr="00231375">
        <w:rPr>
          <w:rFonts w:ascii="Arial" w:hAnsi="Arial" w:cs="Arial"/>
        </w:rPr>
        <w:t>There is also a need for intervention studies. The literature is strong in documenting disparities but weaker in testing solutions. Future studies should evaluate community-based COPD education, proactive case finding, race-neutral spirometry implementation, pulmonary rehabilitation navigation, tele-rehabilitation, community rehabilitation models and integrated COPD-comorbidity care. Outcomes should include not only diagnosis rates but also quality of life, exacerbations, service use, patient trust, treatment adherence and cost-effectiveness.</w:t>
      </w:r>
    </w:p>
    <w:p w14:paraId="59D2146D" w14:textId="77777777" w:rsidR="00CD69CF" w:rsidRPr="00231375" w:rsidRDefault="00CD69CF" w:rsidP="00CD69CF">
      <w:pPr>
        <w:rPr>
          <w:rFonts w:ascii="Arial" w:hAnsi="Arial" w:cs="Arial"/>
        </w:rPr>
      </w:pPr>
      <w:r w:rsidRPr="00231375">
        <w:rPr>
          <w:rFonts w:ascii="Arial" w:hAnsi="Arial" w:cs="Arial"/>
        </w:rPr>
        <w:t>Finally, researchers should use structural rather than biological interpretations of race. Race and ethnicity categories should be clearly defined, justified and treated as social variables linked to exposure and access. Studies should measure structural factors such as segregation, environmental burden, insurance status, healthcare access and discrimination wherever possible. This would strengthen causal interpretation and help identify modifiable points for intervention.</w:t>
      </w:r>
    </w:p>
    <w:p w14:paraId="6B666CB1" w14:textId="77777777" w:rsidR="00CD69CF" w:rsidRPr="00231375" w:rsidRDefault="00CD69CF" w:rsidP="00CD69CF">
      <w:pPr>
        <w:rPr>
          <w:rFonts w:ascii="Arial" w:hAnsi="Arial" w:cs="Arial"/>
        </w:rPr>
      </w:pPr>
      <w:r w:rsidRPr="00231375">
        <w:rPr>
          <w:rFonts w:ascii="Arial" w:hAnsi="Arial" w:cs="Arial"/>
        </w:rPr>
        <w:t>These recommendations should be implemented with meaningful community involvement. Public health campaigns are more likely to be effective when African American communities help shape the language, delivery channels and priorities of the intervention. Community advisory groups could support the design of COPD awareness materials, identify trusted local messengers and advise on barriers to clinic attendance or rehabilitation uptake. This would also help avoid deficit-based messaging that places responsibility only on individuals while ignoring structural barriers. Co-production is therefore not simply a communication strategy; it is an equity principle.</w:t>
      </w:r>
    </w:p>
    <w:p w14:paraId="5364ACFF" w14:textId="77777777" w:rsidR="00CD69CF" w:rsidRPr="00231375" w:rsidRDefault="00CD69CF" w:rsidP="00CD69CF">
      <w:pPr>
        <w:rPr>
          <w:rFonts w:ascii="Arial" w:hAnsi="Arial" w:cs="Arial"/>
        </w:rPr>
      </w:pPr>
    </w:p>
    <w:p w14:paraId="584DA5A7" w14:textId="77777777" w:rsidR="00CD69CF" w:rsidRPr="00231375" w:rsidRDefault="00CD69CF" w:rsidP="00CD69CF">
      <w:pPr>
        <w:pStyle w:val="Heading2"/>
        <w:jc w:val="left"/>
        <w:rPr>
          <w:rFonts w:ascii="Arial" w:hAnsi="Arial" w:cs="Arial"/>
          <w:color w:val="auto"/>
          <w:szCs w:val="24"/>
        </w:rPr>
      </w:pPr>
      <w:r w:rsidRPr="00231375">
        <w:rPr>
          <w:rFonts w:ascii="Arial" w:hAnsi="Arial" w:cs="Arial"/>
          <w:color w:val="auto"/>
          <w:szCs w:val="24"/>
        </w:rPr>
        <w:lastRenderedPageBreak/>
        <w:t>5.5 Final conclusion</w:t>
      </w:r>
    </w:p>
    <w:p w14:paraId="35D8CA8A" w14:textId="77777777" w:rsidR="00CD69CF" w:rsidRPr="00231375" w:rsidRDefault="00CD69CF" w:rsidP="00CD69CF">
      <w:pPr>
        <w:rPr>
          <w:rFonts w:ascii="Arial" w:hAnsi="Arial" w:cs="Arial"/>
        </w:rPr>
      </w:pPr>
      <w:r w:rsidRPr="00231375">
        <w:rPr>
          <w:rFonts w:ascii="Arial" w:hAnsi="Arial" w:cs="Arial"/>
        </w:rPr>
        <w:t>In conclusion, COPD inequity among African American adults aged 40–65 is best understood as a life-course and structural public health issue. The evidence shows that respiratory risk, diagnostic recognition and access to care are unevenly distributed. African American adults may face cumulative environmental and occupational exposures, delayed diagnosis and barriers to evidence-based management. Improving outcomes therefore requires more than individual health education. It requires equitable diagnostic systems, trusted community engagement, accessible pulmonary rehabilitation, integrated care and action on the social and environmental conditions that shape respiratory health. Addressing these factors would support earlier diagnosis, better disease management and a more equitable approach to COPD prevention and care in the United States.</w:t>
      </w:r>
    </w:p>
    <w:p w14:paraId="58DEE5ED" w14:textId="77777777" w:rsidR="00CD69CF" w:rsidRPr="00231375" w:rsidRDefault="00CD69CF" w:rsidP="00CD69CF">
      <w:pPr>
        <w:rPr>
          <w:rFonts w:ascii="Arial" w:hAnsi="Arial" w:cs="Arial"/>
        </w:rPr>
      </w:pPr>
    </w:p>
    <w:p w14:paraId="7A278E1C" w14:textId="77777777" w:rsidR="00CD69CF" w:rsidRPr="00231375" w:rsidRDefault="00CD69CF" w:rsidP="00CD69CF">
      <w:pPr>
        <w:rPr>
          <w:rFonts w:ascii="Arial" w:hAnsi="Arial" w:cs="Arial"/>
        </w:rPr>
      </w:pPr>
    </w:p>
    <w:p w14:paraId="5A83C048" w14:textId="77777777" w:rsidR="00CD69CF" w:rsidRPr="00231375" w:rsidRDefault="00CD69CF" w:rsidP="00CD69CF">
      <w:pPr>
        <w:rPr>
          <w:rFonts w:ascii="Arial" w:hAnsi="Arial" w:cs="Arial"/>
        </w:rPr>
      </w:pPr>
    </w:p>
    <w:p w14:paraId="0B746A98" w14:textId="77777777" w:rsidR="00CD69CF" w:rsidRPr="00231375" w:rsidRDefault="00CD69CF" w:rsidP="00CD69CF">
      <w:pPr>
        <w:rPr>
          <w:rFonts w:ascii="Arial" w:hAnsi="Arial" w:cs="Arial"/>
        </w:rPr>
      </w:pPr>
    </w:p>
    <w:p w14:paraId="527B281B" w14:textId="77777777" w:rsidR="00CD69CF" w:rsidRPr="00231375" w:rsidRDefault="00CD69CF" w:rsidP="00CD69CF">
      <w:pPr>
        <w:rPr>
          <w:rFonts w:ascii="Arial" w:hAnsi="Arial" w:cs="Arial"/>
        </w:rPr>
      </w:pPr>
    </w:p>
    <w:p w14:paraId="7A3382F5" w14:textId="77777777" w:rsidR="00CD69CF" w:rsidRPr="00231375" w:rsidRDefault="00CD69CF" w:rsidP="00CD69CF">
      <w:pPr>
        <w:rPr>
          <w:rFonts w:ascii="Arial" w:hAnsi="Arial" w:cs="Arial"/>
        </w:rPr>
      </w:pPr>
    </w:p>
    <w:p w14:paraId="50DC7C7D" w14:textId="77777777" w:rsidR="00CD69CF" w:rsidRPr="00231375" w:rsidRDefault="00CD69CF" w:rsidP="00CD69CF">
      <w:pPr>
        <w:rPr>
          <w:rFonts w:ascii="Arial" w:hAnsi="Arial" w:cs="Arial"/>
        </w:rPr>
      </w:pPr>
    </w:p>
    <w:p w14:paraId="6B8FDBFC" w14:textId="77777777" w:rsidR="001170D1" w:rsidRPr="00231375" w:rsidRDefault="001170D1" w:rsidP="00CD69CF">
      <w:pPr>
        <w:rPr>
          <w:rFonts w:ascii="Arial" w:hAnsi="Arial" w:cs="Arial"/>
        </w:rPr>
      </w:pPr>
    </w:p>
    <w:p w14:paraId="119353EB" w14:textId="77777777" w:rsidR="001170D1" w:rsidRPr="00231375" w:rsidRDefault="001170D1" w:rsidP="00CD69CF">
      <w:pPr>
        <w:rPr>
          <w:rFonts w:ascii="Arial" w:hAnsi="Arial" w:cs="Arial"/>
        </w:rPr>
      </w:pPr>
    </w:p>
    <w:p w14:paraId="18470C5B" w14:textId="77777777" w:rsidR="001170D1" w:rsidRPr="00231375" w:rsidRDefault="001170D1" w:rsidP="00CD69CF">
      <w:pPr>
        <w:rPr>
          <w:rFonts w:ascii="Arial" w:hAnsi="Arial" w:cs="Arial"/>
        </w:rPr>
      </w:pPr>
    </w:p>
    <w:p w14:paraId="58793122" w14:textId="77777777" w:rsidR="001170D1" w:rsidRPr="00231375" w:rsidRDefault="001170D1" w:rsidP="00CD69CF">
      <w:pPr>
        <w:rPr>
          <w:rFonts w:ascii="Arial" w:hAnsi="Arial" w:cs="Arial"/>
        </w:rPr>
      </w:pPr>
    </w:p>
    <w:p w14:paraId="1B047F06" w14:textId="77777777" w:rsidR="001170D1" w:rsidRPr="00231375" w:rsidRDefault="001170D1" w:rsidP="00CD69CF">
      <w:pPr>
        <w:rPr>
          <w:rFonts w:ascii="Arial" w:hAnsi="Arial" w:cs="Arial"/>
        </w:rPr>
      </w:pPr>
    </w:p>
    <w:p w14:paraId="41C8D4A5" w14:textId="77777777" w:rsidR="001170D1" w:rsidRPr="00231375" w:rsidRDefault="001170D1" w:rsidP="00CD69CF">
      <w:pPr>
        <w:rPr>
          <w:rFonts w:ascii="Arial" w:hAnsi="Arial" w:cs="Arial"/>
        </w:rPr>
      </w:pPr>
    </w:p>
    <w:p w14:paraId="23541FA4" w14:textId="77777777" w:rsidR="001170D1" w:rsidRPr="00231375" w:rsidRDefault="001170D1" w:rsidP="00CD69CF">
      <w:pPr>
        <w:rPr>
          <w:rFonts w:ascii="Arial" w:hAnsi="Arial" w:cs="Arial"/>
        </w:rPr>
      </w:pPr>
    </w:p>
    <w:p w14:paraId="7A943B6D" w14:textId="77777777" w:rsidR="001170D1" w:rsidRPr="00231375" w:rsidRDefault="001170D1" w:rsidP="00CD69CF">
      <w:pPr>
        <w:rPr>
          <w:rFonts w:ascii="Arial" w:hAnsi="Arial" w:cs="Arial"/>
        </w:rPr>
      </w:pPr>
    </w:p>
    <w:p w14:paraId="000CD920" w14:textId="77777777" w:rsidR="001170D1" w:rsidRPr="00231375" w:rsidRDefault="001170D1" w:rsidP="00CD69CF">
      <w:pPr>
        <w:rPr>
          <w:rFonts w:ascii="Arial" w:hAnsi="Arial" w:cs="Arial"/>
        </w:rPr>
      </w:pPr>
    </w:p>
    <w:p w14:paraId="73C57B51" w14:textId="77777777" w:rsidR="001170D1" w:rsidRPr="00231375" w:rsidRDefault="001170D1" w:rsidP="00CD69CF">
      <w:pPr>
        <w:rPr>
          <w:rFonts w:ascii="Arial" w:hAnsi="Arial" w:cs="Arial"/>
        </w:rPr>
      </w:pPr>
    </w:p>
    <w:p w14:paraId="25DD0E1C" w14:textId="77777777" w:rsidR="001170D1" w:rsidRPr="00231375" w:rsidRDefault="001170D1" w:rsidP="00CD69CF">
      <w:pPr>
        <w:rPr>
          <w:rFonts w:ascii="Arial" w:hAnsi="Arial" w:cs="Arial"/>
        </w:rPr>
      </w:pPr>
    </w:p>
    <w:p w14:paraId="52779D9D" w14:textId="77777777" w:rsidR="001170D1" w:rsidRPr="00231375" w:rsidRDefault="001170D1" w:rsidP="00CD69CF">
      <w:pPr>
        <w:rPr>
          <w:rFonts w:ascii="Arial" w:hAnsi="Arial" w:cs="Arial"/>
        </w:rPr>
      </w:pPr>
    </w:p>
    <w:p w14:paraId="1097FB1E" w14:textId="77777777" w:rsidR="001170D1" w:rsidRPr="00231375" w:rsidRDefault="001170D1" w:rsidP="00CD69CF">
      <w:pPr>
        <w:rPr>
          <w:rFonts w:ascii="Arial" w:hAnsi="Arial" w:cs="Arial"/>
        </w:rPr>
      </w:pPr>
    </w:p>
    <w:p w14:paraId="7FD3A140" w14:textId="77777777" w:rsidR="001170D1" w:rsidRPr="00231375" w:rsidRDefault="001170D1" w:rsidP="00CD69CF">
      <w:pPr>
        <w:rPr>
          <w:rFonts w:ascii="Arial" w:hAnsi="Arial" w:cs="Arial"/>
        </w:rPr>
      </w:pPr>
    </w:p>
    <w:p w14:paraId="6F0BFDC6" w14:textId="77777777" w:rsidR="00CD69CF" w:rsidRPr="00231375" w:rsidRDefault="00CD69CF" w:rsidP="00CD69CF">
      <w:pPr>
        <w:rPr>
          <w:rFonts w:ascii="Arial" w:hAnsi="Arial" w:cs="Arial"/>
        </w:rPr>
      </w:pPr>
    </w:p>
    <w:p w14:paraId="1E2FF3DD" w14:textId="77777777" w:rsidR="005A2DCF" w:rsidRPr="00231375" w:rsidRDefault="005A2DCF" w:rsidP="00CD69CF">
      <w:pPr>
        <w:rPr>
          <w:rFonts w:ascii="Arial" w:hAnsi="Arial" w:cs="Arial"/>
        </w:rPr>
      </w:pPr>
    </w:p>
    <w:p w14:paraId="407FB978" w14:textId="77777777" w:rsidR="00CD69CF" w:rsidRPr="00231375" w:rsidRDefault="00CD69CF" w:rsidP="00CD69CF">
      <w:pPr>
        <w:rPr>
          <w:rFonts w:ascii="Arial" w:hAnsi="Arial" w:cs="Arial"/>
        </w:rPr>
      </w:pPr>
    </w:p>
    <w:p w14:paraId="7EFAF96C" w14:textId="12CFA1FF" w:rsidR="00CD69CF" w:rsidRPr="00231375" w:rsidRDefault="00D720D9" w:rsidP="00CD69CF">
      <w:pPr>
        <w:jc w:val="center"/>
        <w:rPr>
          <w:rFonts w:ascii="Arial" w:hAnsi="Arial" w:cs="Arial"/>
          <w:b/>
          <w:bCs/>
          <w:sz w:val="28"/>
          <w:szCs w:val="28"/>
        </w:rPr>
      </w:pPr>
      <w:r w:rsidRPr="00231375">
        <w:rPr>
          <w:rFonts w:ascii="Arial" w:hAnsi="Arial" w:cs="Arial"/>
          <w:b/>
          <w:bCs/>
          <w:sz w:val="28"/>
          <w:szCs w:val="28"/>
        </w:rPr>
        <w:lastRenderedPageBreak/>
        <w:t xml:space="preserve">6. </w:t>
      </w:r>
      <w:r w:rsidR="00CD69CF" w:rsidRPr="00231375">
        <w:rPr>
          <w:rFonts w:ascii="Arial" w:hAnsi="Arial" w:cs="Arial"/>
          <w:b/>
          <w:bCs/>
          <w:sz w:val="28"/>
          <w:szCs w:val="28"/>
        </w:rPr>
        <w:t>Reference List</w:t>
      </w:r>
    </w:p>
    <w:p w14:paraId="7D3F935A" w14:textId="77777777" w:rsidR="00CD69CF" w:rsidRPr="00A649CB" w:rsidRDefault="00CD69CF" w:rsidP="00CD69CF">
      <w:pPr>
        <w:jc w:val="center"/>
        <w:rPr>
          <w:rFonts w:ascii="Arial" w:hAnsi="Arial" w:cs="Arial"/>
          <w:b/>
          <w:bCs/>
          <w:sz w:val="28"/>
          <w:szCs w:val="28"/>
        </w:rPr>
      </w:pPr>
    </w:p>
    <w:p w14:paraId="0B04CBED" w14:textId="5107B3B1"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Adeloye, D., Chua, S., Lee, C., et al. (2015) ‘Global and regional estimates of COPD prevalence: Systematic review and meta-analysis’, </w:t>
      </w:r>
      <w:r w:rsidRPr="00E81F77">
        <w:rPr>
          <w:rFonts w:ascii="Arial" w:hAnsi="Arial" w:cs="Arial"/>
          <w:i/>
          <w:iCs/>
          <w:sz w:val="24"/>
          <w:szCs w:val="24"/>
        </w:rPr>
        <w:t>Journal of Global Health</w:t>
      </w:r>
      <w:r w:rsidRPr="00E81F77">
        <w:rPr>
          <w:rFonts w:ascii="Arial" w:hAnsi="Arial" w:cs="Arial"/>
          <w:sz w:val="24"/>
          <w:szCs w:val="24"/>
        </w:rPr>
        <w:t xml:space="preserve">, 5(2), p. 020415. Available at: </w:t>
      </w:r>
      <w:hyperlink r:id="rId19" w:tgtFrame="_new" w:history="1">
        <w:r w:rsidRPr="00E81F77">
          <w:rPr>
            <w:rStyle w:val="Hyperlink"/>
            <w:rFonts w:ascii="Arial" w:hAnsi="Arial" w:cs="Arial"/>
            <w:sz w:val="24"/>
            <w:szCs w:val="24"/>
          </w:rPr>
          <w:t>https://doi.org/10.7189/jogh.05.020415</w:t>
        </w:r>
      </w:hyperlink>
      <w:r w:rsidRPr="00E81F77">
        <w:rPr>
          <w:rFonts w:ascii="Arial" w:hAnsi="Arial" w:cs="Arial"/>
          <w:sz w:val="24"/>
          <w:szCs w:val="24"/>
        </w:rPr>
        <w:t xml:space="preserve"> (Accessed: 6 May 2026).</w:t>
      </w:r>
    </w:p>
    <w:p w14:paraId="520FE9AF" w14:textId="6404C11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Agustí, A. and Hogg, J.C. (2019) ‘Update on the pathogenesis of chronic obstructive pulmonary disease’, </w:t>
      </w:r>
      <w:r w:rsidRPr="00E81F77">
        <w:rPr>
          <w:rFonts w:ascii="Arial" w:hAnsi="Arial" w:cs="Arial"/>
          <w:i/>
          <w:iCs/>
          <w:sz w:val="24"/>
          <w:szCs w:val="24"/>
        </w:rPr>
        <w:t>New England Journal of Medicine</w:t>
      </w:r>
      <w:r w:rsidRPr="00E81F77">
        <w:rPr>
          <w:rFonts w:ascii="Arial" w:hAnsi="Arial" w:cs="Arial"/>
          <w:sz w:val="24"/>
          <w:szCs w:val="24"/>
        </w:rPr>
        <w:t xml:space="preserve">, 381(13), pp. 1248–1256. Available at: </w:t>
      </w:r>
      <w:hyperlink r:id="rId20" w:tgtFrame="_new" w:history="1">
        <w:r w:rsidRPr="00E81F77">
          <w:rPr>
            <w:rStyle w:val="Hyperlink"/>
            <w:rFonts w:ascii="Arial" w:hAnsi="Arial" w:cs="Arial"/>
            <w:sz w:val="24"/>
            <w:szCs w:val="24"/>
          </w:rPr>
          <w:t>https://doi.org/10.1056/NEJMra1900475</w:t>
        </w:r>
      </w:hyperlink>
      <w:r w:rsidRPr="00E81F77">
        <w:rPr>
          <w:rFonts w:ascii="Arial" w:hAnsi="Arial" w:cs="Arial"/>
          <w:sz w:val="24"/>
          <w:szCs w:val="24"/>
        </w:rPr>
        <w:t xml:space="preserve"> (Accessed: 6 May 2026).</w:t>
      </w:r>
    </w:p>
    <w:p w14:paraId="4784CD51" w14:textId="7FE96BDE"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Bailey, Z.D., Krieger, N., Agénor, M., Graves, J., Linos, N. and Bassett, M.T. (2017) ‘Structural racism and health inequities in the USA: Evidence and interventions’, </w:t>
      </w:r>
      <w:r w:rsidRPr="00E81F77">
        <w:rPr>
          <w:rFonts w:ascii="Arial" w:hAnsi="Arial" w:cs="Arial"/>
          <w:i/>
          <w:iCs/>
          <w:sz w:val="24"/>
          <w:szCs w:val="24"/>
        </w:rPr>
        <w:t>The Lancet</w:t>
      </w:r>
      <w:r w:rsidRPr="00E81F77">
        <w:rPr>
          <w:rFonts w:ascii="Arial" w:hAnsi="Arial" w:cs="Arial"/>
          <w:sz w:val="24"/>
          <w:szCs w:val="24"/>
        </w:rPr>
        <w:t xml:space="preserve">, 389(10077), pp. 1453–1463. Available at: </w:t>
      </w:r>
      <w:hyperlink r:id="rId21" w:tgtFrame="_new" w:history="1">
        <w:r w:rsidRPr="00E81F77">
          <w:rPr>
            <w:rStyle w:val="Hyperlink"/>
            <w:rFonts w:ascii="Arial" w:hAnsi="Arial" w:cs="Arial"/>
            <w:sz w:val="24"/>
            <w:szCs w:val="24"/>
          </w:rPr>
          <w:t>https://doi.org/10.1016/S0140-6736(17)30569-X</w:t>
        </w:r>
      </w:hyperlink>
      <w:r w:rsidRPr="00E81F77">
        <w:rPr>
          <w:rFonts w:ascii="Arial" w:hAnsi="Arial" w:cs="Arial"/>
          <w:sz w:val="24"/>
          <w:szCs w:val="24"/>
        </w:rPr>
        <w:t xml:space="preserve"> (Accessed: 6 May 2026).</w:t>
      </w:r>
    </w:p>
    <w:p w14:paraId="4CC58819" w14:textId="6C625D7B"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Baldomero, A.K., et al. (2022) ‘Practical approaches to COPD diagnosis and spirometry use’, </w:t>
      </w:r>
      <w:r w:rsidRPr="00E81F77">
        <w:rPr>
          <w:rFonts w:ascii="Arial" w:hAnsi="Arial" w:cs="Arial"/>
          <w:i/>
          <w:iCs/>
          <w:sz w:val="24"/>
          <w:szCs w:val="24"/>
        </w:rPr>
        <w:t>Respiratory Medicine</w:t>
      </w:r>
      <w:r w:rsidRPr="00E81F77">
        <w:rPr>
          <w:rFonts w:ascii="Arial" w:hAnsi="Arial" w:cs="Arial"/>
          <w:sz w:val="24"/>
          <w:szCs w:val="24"/>
        </w:rPr>
        <w:t xml:space="preserve">, 191, p. 106726. Available at: </w:t>
      </w:r>
      <w:hyperlink r:id="rId22" w:tgtFrame="_new" w:history="1">
        <w:r w:rsidRPr="00E81F77">
          <w:rPr>
            <w:rStyle w:val="Hyperlink"/>
            <w:rFonts w:ascii="Arial" w:hAnsi="Arial" w:cs="Arial"/>
            <w:sz w:val="24"/>
            <w:szCs w:val="24"/>
          </w:rPr>
          <w:t>https://doi.org/10.1016/j.rmed.2021.106726</w:t>
        </w:r>
      </w:hyperlink>
      <w:r w:rsidRPr="00E81F77">
        <w:rPr>
          <w:rFonts w:ascii="Arial" w:hAnsi="Arial" w:cs="Arial"/>
          <w:sz w:val="24"/>
          <w:szCs w:val="24"/>
        </w:rPr>
        <w:t xml:space="preserve"> (Accessed: 6 May 2026).</w:t>
      </w:r>
    </w:p>
    <w:p w14:paraId="51030198" w14:textId="6DE9D90D"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Balmes, J.R. (2021) ‘Place matters: residential racial segregation and chronic obstructive pulmonary disease’,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204(5), pp. 496–498. Available at: </w:t>
      </w:r>
      <w:hyperlink r:id="rId23" w:tgtFrame="_new" w:history="1">
        <w:r w:rsidRPr="00E81F77">
          <w:rPr>
            <w:rStyle w:val="Hyperlink"/>
            <w:rFonts w:ascii="Arial" w:hAnsi="Arial" w:cs="Arial"/>
            <w:sz w:val="24"/>
            <w:szCs w:val="24"/>
          </w:rPr>
          <w:t>https://doi.org/10.1164/rccm.202105-1209ED</w:t>
        </w:r>
      </w:hyperlink>
      <w:r w:rsidRPr="00E81F77">
        <w:rPr>
          <w:rFonts w:ascii="Arial" w:hAnsi="Arial" w:cs="Arial"/>
          <w:sz w:val="24"/>
          <w:szCs w:val="24"/>
        </w:rPr>
        <w:t xml:space="preserve"> (Accessed: 6 May 2026).</w:t>
      </w:r>
    </w:p>
    <w:p w14:paraId="7B610E3D" w14:textId="438A8BB4"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Barnett, K., Mercer, S.W., Norbury, M., Watt, G., Wyke, S. and Guthrie, B. (2012) ‘Epidemiology of multimorbidity and implications for health care’, </w:t>
      </w:r>
      <w:r w:rsidRPr="00E81F77">
        <w:rPr>
          <w:rFonts w:ascii="Arial" w:hAnsi="Arial" w:cs="Arial"/>
          <w:i/>
          <w:iCs/>
          <w:sz w:val="24"/>
          <w:szCs w:val="24"/>
        </w:rPr>
        <w:t>The Lancet</w:t>
      </w:r>
      <w:r w:rsidRPr="00E81F77">
        <w:rPr>
          <w:rFonts w:ascii="Arial" w:hAnsi="Arial" w:cs="Arial"/>
          <w:sz w:val="24"/>
          <w:szCs w:val="24"/>
        </w:rPr>
        <w:t xml:space="preserve">, 380(9836), pp. 37–43. Available at: </w:t>
      </w:r>
      <w:hyperlink r:id="rId24" w:tgtFrame="_new" w:history="1">
        <w:r w:rsidRPr="00E81F77">
          <w:rPr>
            <w:rStyle w:val="Hyperlink"/>
            <w:rFonts w:ascii="Arial" w:hAnsi="Arial" w:cs="Arial"/>
            <w:sz w:val="24"/>
            <w:szCs w:val="24"/>
          </w:rPr>
          <w:t>https://doi.org/10.1016/S0140-6736(12)60240-2</w:t>
        </w:r>
      </w:hyperlink>
      <w:r w:rsidRPr="00E81F77">
        <w:rPr>
          <w:rFonts w:ascii="Arial" w:hAnsi="Arial" w:cs="Arial"/>
          <w:sz w:val="24"/>
          <w:szCs w:val="24"/>
        </w:rPr>
        <w:t xml:space="preserve"> (Accessed: 6 May 2026).</w:t>
      </w:r>
    </w:p>
    <w:p w14:paraId="556C3B30" w14:textId="10A8365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Bhakta, N.R., Bime, C., Kaminsky, D.A., et al. (2023) ‘Race and ethnicity in pulmonary function test interpretation: an official American Thoracic Society statement’,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207(8), pp. 978–995. Available at: </w:t>
      </w:r>
      <w:hyperlink r:id="rId25" w:tgtFrame="_new" w:history="1">
        <w:r w:rsidRPr="00E81F77">
          <w:rPr>
            <w:rStyle w:val="Hyperlink"/>
            <w:rFonts w:ascii="Arial" w:hAnsi="Arial" w:cs="Arial"/>
            <w:sz w:val="24"/>
            <w:szCs w:val="24"/>
          </w:rPr>
          <w:t>https://doi.org/10.1164/rccm.202302-0310ST</w:t>
        </w:r>
      </w:hyperlink>
      <w:r w:rsidRPr="00E81F77">
        <w:rPr>
          <w:rFonts w:ascii="Arial" w:hAnsi="Arial" w:cs="Arial"/>
          <w:sz w:val="24"/>
          <w:szCs w:val="24"/>
        </w:rPr>
        <w:t xml:space="preserve"> (Accessed: 6 May 2026).</w:t>
      </w:r>
    </w:p>
    <w:p w14:paraId="3427722F" w14:textId="7B337B52" w:rsidR="00CD69CF" w:rsidRPr="00E81F77" w:rsidRDefault="00CD69CF" w:rsidP="00CD69CF">
      <w:pPr>
        <w:ind w:left="360"/>
        <w:jc w:val="both"/>
        <w:rPr>
          <w:rFonts w:ascii="Arial" w:hAnsi="Arial" w:cs="Arial"/>
          <w:sz w:val="24"/>
          <w:szCs w:val="24"/>
        </w:rPr>
      </w:pPr>
      <w:r w:rsidRPr="00E81F77">
        <w:rPr>
          <w:rFonts w:ascii="Arial" w:hAnsi="Arial" w:cs="Arial"/>
          <w:sz w:val="24"/>
          <w:szCs w:val="24"/>
        </w:rPr>
        <w:t>Blanc, P.D., et al. (2019) ‘</w:t>
      </w:r>
      <w:r w:rsidR="007D3723" w:rsidRPr="007D3723">
        <w:rPr>
          <w:rFonts w:ascii="Arial" w:hAnsi="Arial" w:cs="Arial"/>
          <w:sz w:val="24"/>
          <w:szCs w:val="24"/>
        </w:rPr>
        <w:t xml:space="preserve">Occupational exposures and COPD: an ecological analysis of international data, published in </w:t>
      </w:r>
      <w:r w:rsidR="007D3723" w:rsidRPr="007D3723">
        <w:rPr>
          <w:rFonts w:ascii="Arial" w:hAnsi="Arial" w:cs="Arial"/>
          <w:i/>
          <w:iCs/>
          <w:sz w:val="24"/>
          <w:szCs w:val="24"/>
        </w:rPr>
        <w:t>European Respiratory Journal</w:t>
      </w:r>
      <w:r w:rsidR="007D3723" w:rsidRPr="007D3723">
        <w:rPr>
          <w:rFonts w:ascii="Arial" w:hAnsi="Arial" w:cs="Arial"/>
          <w:sz w:val="24"/>
          <w:szCs w:val="24"/>
        </w:rPr>
        <w:t>, 33(2), pp. 298–304</w:t>
      </w:r>
      <w:r w:rsidRPr="00E81F77">
        <w:rPr>
          <w:rFonts w:ascii="Arial" w:hAnsi="Arial" w:cs="Arial"/>
          <w:sz w:val="24"/>
          <w:szCs w:val="24"/>
        </w:rPr>
        <w:t xml:space="preserve">. Available at: </w:t>
      </w:r>
      <w:hyperlink r:id="rId26" w:history="1">
        <w:r w:rsidR="00600B32" w:rsidRPr="00600B32">
          <w:rPr>
            <w:rStyle w:val="Hyperlink"/>
            <w:rFonts w:ascii="Arial" w:hAnsi="Arial" w:cs="Arial"/>
            <w:sz w:val="24"/>
            <w:szCs w:val="24"/>
          </w:rPr>
          <w:t>https://pubmed.ncbi.nlm.nih.gov/19010980/</w:t>
        </w:r>
      </w:hyperlink>
      <w:r w:rsidRPr="00E81F77">
        <w:rPr>
          <w:rFonts w:ascii="Arial" w:hAnsi="Arial" w:cs="Arial"/>
          <w:sz w:val="24"/>
          <w:szCs w:val="24"/>
        </w:rPr>
        <w:t xml:space="preserve"> (Accessed: 6 May 2026).</w:t>
      </w:r>
    </w:p>
    <w:p w14:paraId="6854556E" w14:textId="61FEBC11"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Bourbeau, J., Julien, M., Maltais, F., et al. (2003) ‘Reduction of hospital utilization in patients with chronic obstructive pulmonary disease: a disease-specific self-management intervention’, </w:t>
      </w:r>
      <w:r w:rsidRPr="00E81F77">
        <w:rPr>
          <w:rFonts w:ascii="Arial" w:hAnsi="Arial" w:cs="Arial"/>
          <w:i/>
          <w:iCs/>
          <w:sz w:val="24"/>
          <w:szCs w:val="24"/>
        </w:rPr>
        <w:t>Archives of Internal Medicine</w:t>
      </w:r>
      <w:r w:rsidRPr="00E81F77">
        <w:rPr>
          <w:rFonts w:ascii="Arial" w:hAnsi="Arial" w:cs="Arial"/>
          <w:sz w:val="24"/>
          <w:szCs w:val="24"/>
        </w:rPr>
        <w:t xml:space="preserve">, 163(5), pp. 585–591. Available at: </w:t>
      </w:r>
      <w:hyperlink r:id="rId27" w:tgtFrame="_new" w:history="1">
        <w:r w:rsidRPr="00E81F77">
          <w:rPr>
            <w:rStyle w:val="Hyperlink"/>
            <w:rFonts w:ascii="Arial" w:hAnsi="Arial" w:cs="Arial"/>
            <w:sz w:val="24"/>
            <w:szCs w:val="24"/>
          </w:rPr>
          <w:t>https://doi.org/10.1001/archinte.163.5.585</w:t>
        </w:r>
      </w:hyperlink>
      <w:r w:rsidRPr="00E81F77">
        <w:rPr>
          <w:rFonts w:ascii="Arial" w:hAnsi="Arial" w:cs="Arial"/>
          <w:sz w:val="24"/>
          <w:szCs w:val="24"/>
        </w:rPr>
        <w:t xml:space="preserve"> (Accessed: 6 May 2026).</w:t>
      </w:r>
    </w:p>
    <w:p w14:paraId="065E4D6F" w14:textId="10EB2CB4"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Braveman, P., Egerter, S. and Williams, D.R. (2011) ‘The social determinants of health: Coming of age’, </w:t>
      </w:r>
      <w:r w:rsidRPr="00E81F77">
        <w:rPr>
          <w:rFonts w:ascii="Arial" w:hAnsi="Arial" w:cs="Arial"/>
          <w:i/>
          <w:iCs/>
          <w:sz w:val="24"/>
          <w:szCs w:val="24"/>
        </w:rPr>
        <w:t>Annual Review of Public Health</w:t>
      </w:r>
      <w:r w:rsidRPr="00E81F77">
        <w:rPr>
          <w:rFonts w:ascii="Arial" w:hAnsi="Arial" w:cs="Arial"/>
          <w:sz w:val="24"/>
          <w:szCs w:val="24"/>
        </w:rPr>
        <w:t xml:space="preserve">, 32, pp. 381–398. Available </w:t>
      </w:r>
      <w:r w:rsidRPr="00E81F77">
        <w:rPr>
          <w:rFonts w:ascii="Arial" w:hAnsi="Arial" w:cs="Arial"/>
          <w:sz w:val="24"/>
          <w:szCs w:val="24"/>
        </w:rPr>
        <w:lastRenderedPageBreak/>
        <w:t xml:space="preserve">at: </w:t>
      </w:r>
      <w:hyperlink r:id="rId28" w:tgtFrame="_new" w:history="1">
        <w:r w:rsidRPr="00E81F77">
          <w:rPr>
            <w:rStyle w:val="Hyperlink"/>
            <w:rFonts w:ascii="Arial" w:hAnsi="Arial" w:cs="Arial"/>
            <w:sz w:val="24"/>
            <w:szCs w:val="24"/>
          </w:rPr>
          <w:t>https://doi.org/10.1146/annurev-publhealth-031210-101218</w:t>
        </w:r>
      </w:hyperlink>
      <w:r w:rsidRPr="00E81F77">
        <w:rPr>
          <w:rFonts w:ascii="Arial" w:hAnsi="Arial" w:cs="Arial"/>
          <w:sz w:val="24"/>
          <w:szCs w:val="24"/>
        </w:rPr>
        <w:t xml:space="preserve"> (Accessed: 6 May 2026).</w:t>
      </w:r>
    </w:p>
    <w:p w14:paraId="6ACD4116" w14:textId="4AFA949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Braveman, P. and Gottlieb, L. (2014) ‘The social determinants of health: it’s time to consider the causes of the causes’, </w:t>
      </w:r>
      <w:r w:rsidRPr="00E81F77">
        <w:rPr>
          <w:rFonts w:ascii="Arial" w:hAnsi="Arial" w:cs="Arial"/>
          <w:i/>
          <w:iCs/>
          <w:sz w:val="24"/>
          <w:szCs w:val="24"/>
        </w:rPr>
        <w:t>Public Health Reports</w:t>
      </w:r>
      <w:r w:rsidRPr="00E81F77">
        <w:rPr>
          <w:rFonts w:ascii="Arial" w:hAnsi="Arial" w:cs="Arial"/>
          <w:sz w:val="24"/>
          <w:szCs w:val="24"/>
        </w:rPr>
        <w:t xml:space="preserve">, 129(Suppl 2), pp. 19–31. Available at: </w:t>
      </w:r>
      <w:hyperlink r:id="rId29" w:tgtFrame="_new" w:history="1">
        <w:r w:rsidRPr="00E81F77">
          <w:rPr>
            <w:rStyle w:val="Hyperlink"/>
            <w:rFonts w:ascii="Arial" w:hAnsi="Arial" w:cs="Arial"/>
            <w:sz w:val="24"/>
            <w:szCs w:val="24"/>
          </w:rPr>
          <w:t>https://doi.org/10.1177/00333549141291S206</w:t>
        </w:r>
      </w:hyperlink>
      <w:r w:rsidRPr="00E81F77">
        <w:rPr>
          <w:rFonts w:ascii="Arial" w:hAnsi="Arial" w:cs="Arial"/>
          <w:sz w:val="24"/>
          <w:szCs w:val="24"/>
        </w:rPr>
        <w:t xml:space="preserve"> (Accessed: 6 May 2026).</w:t>
      </w:r>
    </w:p>
    <w:p w14:paraId="5F46D7CF" w14:textId="56190783"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Campbell, M., McKenzie, J.E., Sowden, A., et al. (2020) ‘Synthesis without meta-analysis (SWiM) in systematic reviews: Reporting guideline’, </w:t>
      </w:r>
      <w:r w:rsidRPr="00E81F77">
        <w:rPr>
          <w:rFonts w:ascii="Arial" w:hAnsi="Arial" w:cs="Arial"/>
          <w:i/>
          <w:iCs/>
          <w:sz w:val="24"/>
          <w:szCs w:val="24"/>
        </w:rPr>
        <w:t>BMJ</w:t>
      </w:r>
      <w:r w:rsidRPr="00E81F77">
        <w:rPr>
          <w:rFonts w:ascii="Arial" w:hAnsi="Arial" w:cs="Arial"/>
          <w:sz w:val="24"/>
          <w:szCs w:val="24"/>
        </w:rPr>
        <w:t xml:space="preserve">, 368, l6890. Available at: </w:t>
      </w:r>
      <w:hyperlink r:id="rId30" w:tgtFrame="_new" w:history="1">
        <w:r w:rsidRPr="00E81F77">
          <w:rPr>
            <w:rStyle w:val="Hyperlink"/>
            <w:rFonts w:ascii="Arial" w:hAnsi="Arial" w:cs="Arial"/>
            <w:sz w:val="24"/>
            <w:szCs w:val="24"/>
          </w:rPr>
          <w:t>https://doi.org/10.1136/bmj.l6890</w:t>
        </w:r>
      </w:hyperlink>
      <w:r w:rsidRPr="00E81F77">
        <w:rPr>
          <w:rFonts w:ascii="Arial" w:hAnsi="Arial" w:cs="Arial"/>
          <w:sz w:val="24"/>
          <w:szCs w:val="24"/>
        </w:rPr>
        <w:t xml:space="preserve"> (Accessed: 6 May 2026).</w:t>
      </w:r>
    </w:p>
    <w:p w14:paraId="3BD212EA" w14:textId="700FF2C5"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Carlson, S.A., Watson, K.B., Rockhill, S., Wang, Y., Pankowska, M.M. and Greenlund, K.J. (2023) ‘Linking local-level chronic disease and social vulnerability measures to inform planning efforts: a COPD example’, </w:t>
      </w:r>
      <w:r w:rsidRPr="00E81F77">
        <w:rPr>
          <w:rFonts w:ascii="Arial" w:hAnsi="Arial" w:cs="Arial"/>
          <w:i/>
          <w:iCs/>
          <w:sz w:val="24"/>
          <w:szCs w:val="24"/>
        </w:rPr>
        <w:t>Preventing Chronic Disease</w:t>
      </w:r>
      <w:r w:rsidRPr="00E81F77">
        <w:rPr>
          <w:rFonts w:ascii="Arial" w:hAnsi="Arial" w:cs="Arial"/>
          <w:sz w:val="24"/>
          <w:szCs w:val="24"/>
        </w:rPr>
        <w:t xml:space="preserve">, 20, E76. Available at: </w:t>
      </w:r>
      <w:hyperlink r:id="rId31" w:tgtFrame="_new" w:history="1">
        <w:r w:rsidRPr="00E81F77">
          <w:rPr>
            <w:rStyle w:val="Hyperlink"/>
            <w:rFonts w:ascii="Arial" w:hAnsi="Arial" w:cs="Arial"/>
            <w:sz w:val="24"/>
            <w:szCs w:val="24"/>
          </w:rPr>
          <w:t>https://doi.org/10.5888/pcd20.230025</w:t>
        </w:r>
      </w:hyperlink>
      <w:r w:rsidRPr="00E81F77">
        <w:rPr>
          <w:rFonts w:ascii="Arial" w:hAnsi="Arial" w:cs="Arial"/>
          <w:sz w:val="24"/>
          <w:szCs w:val="24"/>
        </w:rPr>
        <w:t xml:space="preserve"> (Accessed: 6 May 2026).</w:t>
      </w:r>
    </w:p>
    <w:p w14:paraId="052C785F" w14:textId="44C164B6"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CASP (2022) </w:t>
      </w:r>
      <w:r w:rsidRPr="00E81F77">
        <w:rPr>
          <w:rFonts w:ascii="Arial" w:hAnsi="Arial" w:cs="Arial"/>
          <w:i/>
          <w:iCs/>
          <w:sz w:val="24"/>
          <w:szCs w:val="24"/>
        </w:rPr>
        <w:t>CASP Checklists</w:t>
      </w:r>
      <w:r w:rsidRPr="00E81F77">
        <w:rPr>
          <w:rFonts w:ascii="Arial" w:hAnsi="Arial" w:cs="Arial"/>
          <w:sz w:val="24"/>
          <w:szCs w:val="24"/>
        </w:rPr>
        <w:t xml:space="preserve">. Available at: </w:t>
      </w:r>
      <w:hyperlink r:id="rId32" w:tgtFrame="_new" w:history="1">
        <w:r w:rsidRPr="00E81F77">
          <w:rPr>
            <w:rStyle w:val="Hyperlink"/>
            <w:rFonts w:ascii="Arial" w:hAnsi="Arial" w:cs="Arial"/>
            <w:sz w:val="24"/>
            <w:szCs w:val="24"/>
          </w:rPr>
          <w:t>https://casp-uk.net/casp-tools-checklists/</w:t>
        </w:r>
      </w:hyperlink>
      <w:r w:rsidRPr="00E81F77">
        <w:rPr>
          <w:rFonts w:ascii="Arial" w:hAnsi="Arial" w:cs="Arial"/>
          <w:sz w:val="24"/>
          <w:szCs w:val="24"/>
        </w:rPr>
        <w:t xml:space="preserve"> (Accessed: 6 May 2026).</w:t>
      </w:r>
    </w:p>
    <w:p w14:paraId="1612946E" w14:textId="02634268"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Celli, B.R. and Wedzicha, J.A. (2019) ‘Update on clinical aspects of chronic obstructive pulmonary disease’, </w:t>
      </w:r>
      <w:r w:rsidRPr="00E81F77">
        <w:rPr>
          <w:rFonts w:ascii="Arial" w:hAnsi="Arial" w:cs="Arial"/>
          <w:i/>
          <w:iCs/>
          <w:sz w:val="24"/>
          <w:szCs w:val="24"/>
        </w:rPr>
        <w:t>New England Journal of Medicine</w:t>
      </w:r>
      <w:r w:rsidRPr="00E81F77">
        <w:rPr>
          <w:rFonts w:ascii="Arial" w:hAnsi="Arial" w:cs="Arial"/>
          <w:sz w:val="24"/>
          <w:szCs w:val="24"/>
        </w:rPr>
        <w:t xml:space="preserve">, 381(13), pp. 1257–1266. Available at: </w:t>
      </w:r>
      <w:hyperlink r:id="rId33" w:tgtFrame="_new" w:history="1">
        <w:r w:rsidRPr="00E81F77">
          <w:rPr>
            <w:rStyle w:val="Hyperlink"/>
            <w:rFonts w:ascii="Arial" w:hAnsi="Arial" w:cs="Arial"/>
            <w:sz w:val="24"/>
            <w:szCs w:val="24"/>
          </w:rPr>
          <w:t>https://doi.org/10.1056/NEJMra1900500</w:t>
        </w:r>
      </w:hyperlink>
      <w:r w:rsidRPr="00E81F77">
        <w:rPr>
          <w:rFonts w:ascii="Arial" w:hAnsi="Arial" w:cs="Arial"/>
          <w:sz w:val="24"/>
          <w:szCs w:val="24"/>
        </w:rPr>
        <w:t xml:space="preserve"> (Accessed: 6 May 2026).</w:t>
      </w:r>
    </w:p>
    <w:p w14:paraId="61D4F11D" w14:textId="68953AA4"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Couper, D., LaVange, L.M., Han, M., et al. (2014) ‘Design of the Subpopulations and Intermediate Outcomes in COPD Study (SPIROMICS)’, </w:t>
      </w:r>
      <w:r w:rsidRPr="00E81F77">
        <w:rPr>
          <w:rFonts w:ascii="Arial" w:hAnsi="Arial" w:cs="Arial"/>
          <w:i/>
          <w:iCs/>
          <w:sz w:val="24"/>
          <w:szCs w:val="24"/>
        </w:rPr>
        <w:t>Thorax</w:t>
      </w:r>
      <w:r w:rsidRPr="00E81F77">
        <w:rPr>
          <w:rFonts w:ascii="Arial" w:hAnsi="Arial" w:cs="Arial"/>
          <w:sz w:val="24"/>
          <w:szCs w:val="24"/>
        </w:rPr>
        <w:t xml:space="preserve">, 69(5), pp. 491–494. Available at: </w:t>
      </w:r>
      <w:hyperlink r:id="rId34" w:tgtFrame="_new" w:history="1">
        <w:r w:rsidRPr="00E81F77">
          <w:rPr>
            <w:rStyle w:val="Hyperlink"/>
            <w:rFonts w:ascii="Arial" w:hAnsi="Arial" w:cs="Arial"/>
            <w:sz w:val="24"/>
            <w:szCs w:val="24"/>
          </w:rPr>
          <w:t>https://doi.org/10.1136/thoraxjnl-2013-203897</w:t>
        </w:r>
      </w:hyperlink>
      <w:r w:rsidRPr="00E81F77">
        <w:rPr>
          <w:rFonts w:ascii="Arial" w:hAnsi="Arial" w:cs="Arial"/>
          <w:sz w:val="24"/>
          <w:szCs w:val="24"/>
        </w:rPr>
        <w:t xml:space="preserve"> (Accessed: 6 May 2026).</w:t>
      </w:r>
    </w:p>
    <w:p w14:paraId="4132C55E" w14:textId="351C2FB3"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Davidson, S.R., Idris, M.Y., Awad, C.S., Henriques King, M., Westney, G.E., Ponce, M., Rodriguez, A.D., Lipsey, K.L., Flenaugh, E.L. and Foreman, M.G. (2024) ‘Race adjustment of pulmonary function tests in the diagnosis and management of COPD: a scoping review’, </w:t>
      </w:r>
      <w:r w:rsidRPr="00E81F77">
        <w:rPr>
          <w:rFonts w:ascii="Arial" w:hAnsi="Arial" w:cs="Arial"/>
          <w:i/>
          <w:iCs/>
          <w:sz w:val="24"/>
          <w:szCs w:val="24"/>
        </w:rPr>
        <w:t>International Journal of Chronic Obstructive Pulmonary Disease</w:t>
      </w:r>
      <w:r w:rsidRPr="00E81F77">
        <w:rPr>
          <w:rFonts w:ascii="Arial" w:hAnsi="Arial" w:cs="Arial"/>
          <w:sz w:val="24"/>
          <w:szCs w:val="24"/>
        </w:rPr>
        <w:t xml:space="preserve">, 19, pp. 969–980. Available at: </w:t>
      </w:r>
      <w:hyperlink r:id="rId35" w:tgtFrame="_new" w:history="1">
        <w:r w:rsidRPr="00E81F77">
          <w:rPr>
            <w:rStyle w:val="Hyperlink"/>
            <w:rFonts w:ascii="Arial" w:hAnsi="Arial" w:cs="Arial"/>
            <w:sz w:val="24"/>
            <w:szCs w:val="24"/>
          </w:rPr>
          <w:t>https://doi.org/10.2147/COPD.S430249</w:t>
        </w:r>
      </w:hyperlink>
      <w:r w:rsidRPr="00E81F77">
        <w:rPr>
          <w:rFonts w:ascii="Arial" w:hAnsi="Arial" w:cs="Arial"/>
          <w:sz w:val="24"/>
          <w:szCs w:val="24"/>
        </w:rPr>
        <w:t xml:space="preserve"> (Accessed: 6 May 2026).</w:t>
      </w:r>
    </w:p>
    <w:p w14:paraId="53CA8D33" w14:textId="6F55C13A"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Diez Roux, A.V. and Mair, C. (2010) ‘Neighborhoods and health’, </w:t>
      </w:r>
      <w:r w:rsidRPr="00E81F77">
        <w:rPr>
          <w:rFonts w:ascii="Arial" w:hAnsi="Arial" w:cs="Arial"/>
          <w:i/>
          <w:iCs/>
          <w:sz w:val="24"/>
          <w:szCs w:val="24"/>
        </w:rPr>
        <w:t>Annals of the New York Academy of Sciences</w:t>
      </w:r>
      <w:r w:rsidRPr="00E81F77">
        <w:rPr>
          <w:rFonts w:ascii="Arial" w:hAnsi="Arial" w:cs="Arial"/>
          <w:sz w:val="24"/>
          <w:szCs w:val="24"/>
        </w:rPr>
        <w:t xml:space="preserve">, 1186(1), pp. 125–145. Available at: </w:t>
      </w:r>
      <w:hyperlink r:id="rId36" w:tgtFrame="_new" w:history="1">
        <w:r w:rsidRPr="00E81F77">
          <w:rPr>
            <w:rStyle w:val="Hyperlink"/>
            <w:rFonts w:ascii="Arial" w:hAnsi="Arial" w:cs="Arial"/>
            <w:sz w:val="24"/>
            <w:szCs w:val="24"/>
          </w:rPr>
          <w:t>https://doi.org/10.1111/j.1749-6632.2009.05333.x</w:t>
        </w:r>
      </w:hyperlink>
      <w:r w:rsidRPr="00E81F77">
        <w:rPr>
          <w:rFonts w:ascii="Arial" w:hAnsi="Arial" w:cs="Arial"/>
          <w:sz w:val="24"/>
          <w:szCs w:val="24"/>
        </w:rPr>
        <w:t xml:space="preserve"> (Accessed: 6 May 2026).</w:t>
      </w:r>
    </w:p>
    <w:p w14:paraId="1C97C681" w14:textId="74B14730"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Doney, B., et al. (2014) ‘Occupational risk factors for COPD phenotypes in the MESA Lung Study’, </w:t>
      </w:r>
      <w:r w:rsidRPr="00E81F77">
        <w:rPr>
          <w:rFonts w:ascii="Arial" w:hAnsi="Arial" w:cs="Arial"/>
          <w:i/>
          <w:iCs/>
          <w:sz w:val="24"/>
          <w:szCs w:val="24"/>
        </w:rPr>
        <w:t>COPD</w:t>
      </w:r>
      <w:r w:rsidRPr="00E81F77">
        <w:rPr>
          <w:rFonts w:ascii="Arial" w:hAnsi="Arial" w:cs="Arial"/>
          <w:sz w:val="24"/>
          <w:szCs w:val="24"/>
        </w:rPr>
        <w:t xml:space="preserve">, 11(4), pp. 368–380. Available at: </w:t>
      </w:r>
      <w:hyperlink r:id="rId37" w:history="1">
        <w:r w:rsidRPr="00E81F77">
          <w:rPr>
            <w:rStyle w:val="Hyperlink"/>
            <w:rFonts w:ascii="Arial" w:hAnsi="Arial" w:cs="Arial"/>
            <w:sz w:val="24"/>
            <w:szCs w:val="24"/>
          </w:rPr>
          <w:t>https://doi.org/10.3109/15412555.2013.813448</w:t>
        </w:r>
      </w:hyperlink>
      <w:r w:rsidRPr="00E81F77">
        <w:rPr>
          <w:rFonts w:ascii="Arial" w:hAnsi="Arial" w:cs="Arial"/>
          <w:sz w:val="24"/>
          <w:szCs w:val="24"/>
        </w:rPr>
        <w:t xml:space="preserve"> (Accessed: 6 May 2026).</w:t>
      </w:r>
    </w:p>
    <w:p w14:paraId="05A708B3" w14:textId="593ED7E6"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Dransfield, M.T. and Bailey, W.C. (2006) ‘COPD: racial disparities in susceptibility, treatment, and outcomes’, </w:t>
      </w:r>
      <w:r w:rsidRPr="00E81F77">
        <w:rPr>
          <w:rFonts w:ascii="Arial" w:hAnsi="Arial" w:cs="Arial"/>
          <w:i/>
          <w:iCs/>
          <w:sz w:val="24"/>
          <w:szCs w:val="24"/>
        </w:rPr>
        <w:t>Clinics in Chest Medicine</w:t>
      </w:r>
      <w:r w:rsidRPr="00E81F77">
        <w:rPr>
          <w:rFonts w:ascii="Arial" w:hAnsi="Arial" w:cs="Arial"/>
          <w:sz w:val="24"/>
          <w:szCs w:val="24"/>
        </w:rPr>
        <w:t xml:space="preserve">, 27(3), pp. 463–471. Available at: </w:t>
      </w:r>
      <w:hyperlink r:id="rId38" w:tgtFrame="_new" w:history="1">
        <w:r w:rsidRPr="00E81F77">
          <w:rPr>
            <w:rStyle w:val="Hyperlink"/>
            <w:rFonts w:ascii="Arial" w:hAnsi="Arial" w:cs="Arial"/>
            <w:sz w:val="24"/>
            <w:szCs w:val="24"/>
          </w:rPr>
          <w:t>https://doi.org/10.1016/j.ccm.2006.04.005</w:t>
        </w:r>
      </w:hyperlink>
      <w:r w:rsidRPr="00E81F77">
        <w:rPr>
          <w:rFonts w:ascii="Arial" w:hAnsi="Arial" w:cs="Arial"/>
          <w:sz w:val="24"/>
          <w:szCs w:val="24"/>
        </w:rPr>
        <w:t xml:space="preserve"> (Accessed: 6 May 2026).</w:t>
      </w:r>
    </w:p>
    <w:p w14:paraId="74057997" w14:textId="06FDCF4C"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Effing, T.W., Bourbeau, J., Vercoulen, J., et al. (2012) ‘Self-management programmes for COPD: moving forward’, </w:t>
      </w:r>
      <w:r w:rsidRPr="00E81F77">
        <w:rPr>
          <w:rFonts w:ascii="Arial" w:hAnsi="Arial" w:cs="Arial"/>
          <w:i/>
          <w:iCs/>
          <w:sz w:val="24"/>
          <w:szCs w:val="24"/>
        </w:rPr>
        <w:t>Chronic Respiratory Disease</w:t>
      </w:r>
      <w:r w:rsidRPr="00E81F77">
        <w:rPr>
          <w:rFonts w:ascii="Arial" w:hAnsi="Arial" w:cs="Arial"/>
          <w:sz w:val="24"/>
          <w:szCs w:val="24"/>
        </w:rPr>
        <w:t xml:space="preserve">, 9(1), pp. </w:t>
      </w:r>
      <w:r w:rsidRPr="00E81F77">
        <w:rPr>
          <w:rFonts w:ascii="Arial" w:hAnsi="Arial" w:cs="Arial"/>
          <w:sz w:val="24"/>
          <w:szCs w:val="24"/>
        </w:rPr>
        <w:lastRenderedPageBreak/>
        <w:t xml:space="preserve">27–35. Available at: </w:t>
      </w:r>
      <w:hyperlink r:id="rId39" w:tgtFrame="_new" w:history="1">
        <w:r w:rsidRPr="00E81F77">
          <w:rPr>
            <w:rStyle w:val="Hyperlink"/>
            <w:rFonts w:ascii="Arial" w:hAnsi="Arial" w:cs="Arial"/>
            <w:sz w:val="24"/>
            <w:szCs w:val="24"/>
          </w:rPr>
          <w:t>https://doi.org/10.1177/1479972311433574</w:t>
        </w:r>
      </w:hyperlink>
      <w:r w:rsidRPr="00E81F77">
        <w:rPr>
          <w:rFonts w:ascii="Arial" w:hAnsi="Arial" w:cs="Arial"/>
          <w:sz w:val="24"/>
          <w:szCs w:val="24"/>
        </w:rPr>
        <w:t xml:space="preserve"> (Accessed: 6 May 2026).</w:t>
      </w:r>
    </w:p>
    <w:p w14:paraId="11168966" w14:textId="7FD9C3DC"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Ejike, C.O., Woo, H., Galiatsatos, P., et al. (2021) ‘Contribution of individual and neighbourhood factors to racial disparities in respiratory outcomes’,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203(8), pp. 987–997. Available at: </w:t>
      </w:r>
      <w:hyperlink r:id="rId40" w:tgtFrame="_new" w:history="1">
        <w:r w:rsidRPr="00E81F77">
          <w:rPr>
            <w:rStyle w:val="Hyperlink"/>
            <w:rFonts w:ascii="Arial" w:hAnsi="Arial" w:cs="Arial"/>
            <w:sz w:val="24"/>
            <w:szCs w:val="24"/>
          </w:rPr>
          <w:t>https://pubmed.ncbi.nlm.nih.gov/33007162/</w:t>
        </w:r>
      </w:hyperlink>
      <w:r w:rsidRPr="00E81F77">
        <w:rPr>
          <w:rFonts w:ascii="Arial" w:hAnsi="Arial" w:cs="Arial"/>
          <w:sz w:val="24"/>
          <w:szCs w:val="24"/>
        </w:rPr>
        <w:t xml:space="preserve"> (Accessed: 6 May 2026).</w:t>
      </w:r>
    </w:p>
    <w:p w14:paraId="28A1C521" w14:textId="121B1E0B"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Ford, E.S., Croft, J.B., Mannino, D.M., Wheaton, A.G., Zhang, X. and Giles, W.H. (2013) ‘COPD surveillance—United States, 1999–2011’, </w:t>
      </w:r>
      <w:r w:rsidRPr="00E81F77">
        <w:rPr>
          <w:rFonts w:ascii="Arial" w:hAnsi="Arial" w:cs="Arial"/>
          <w:i/>
          <w:iCs/>
          <w:sz w:val="24"/>
          <w:szCs w:val="24"/>
        </w:rPr>
        <w:t>Chest</w:t>
      </w:r>
      <w:r w:rsidRPr="00E81F77">
        <w:rPr>
          <w:rFonts w:ascii="Arial" w:hAnsi="Arial" w:cs="Arial"/>
          <w:sz w:val="24"/>
          <w:szCs w:val="24"/>
        </w:rPr>
        <w:t xml:space="preserve">, 143(3), pp. 668–674. Available at: </w:t>
      </w:r>
      <w:hyperlink r:id="rId41" w:tgtFrame="_new" w:history="1">
        <w:r w:rsidRPr="00E81F77">
          <w:rPr>
            <w:rStyle w:val="Hyperlink"/>
            <w:rFonts w:ascii="Arial" w:hAnsi="Arial" w:cs="Arial"/>
            <w:sz w:val="24"/>
            <w:szCs w:val="24"/>
          </w:rPr>
          <w:t>https://pubmed.ncbi.nlm.nih.gov/23619732/</w:t>
        </w:r>
      </w:hyperlink>
      <w:r w:rsidRPr="00E81F77">
        <w:rPr>
          <w:rFonts w:ascii="Arial" w:hAnsi="Arial" w:cs="Arial"/>
          <w:sz w:val="24"/>
          <w:szCs w:val="24"/>
        </w:rPr>
        <w:t xml:space="preserve"> (Accessed: 6 May 2026).</w:t>
      </w:r>
    </w:p>
    <w:p w14:paraId="611449DE" w14:textId="3ACB78AB"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Foreman, M.G., Zhang, L., Murphy, J., et al. (2011) ‘Early-onset chronic obstructive pulmonary disease is associated with female sex, maternal factors, and African American race in the COPDGene Study’,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184(4), pp. 414–420. Available at: </w:t>
      </w:r>
      <w:hyperlink r:id="rId42" w:tgtFrame="_new" w:history="1">
        <w:r w:rsidRPr="00E81F77">
          <w:rPr>
            <w:rStyle w:val="Hyperlink"/>
            <w:rFonts w:ascii="Arial" w:hAnsi="Arial" w:cs="Arial"/>
            <w:sz w:val="24"/>
            <w:szCs w:val="24"/>
          </w:rPr>
          <w:t>https://doi.org/10.1164/rccm.201011-1928OC</w:t>
        </w:r>
      </w:hyperlink>
      <w:r w:rsidRPr="00E81F77">
        <w:rPr>
          <w:rFonts w:ascii="Arial" w:hAnsi="Arial" w:cs="Arial"/>
          <w:sz w:val="24"/>
          <w:szCs w:val="24"/>
        </w:rPr>
        <w:t xml:space="preserve"> (Accessed: 6 May 2026).</w:t>
      </w:r>
    </w:p>
    <w:p w14:paraId="6262C368" w14:textId="0009E28A"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Galiatsatos, P., Woo, H., Paulin, L.M., et al. (2020) ‘Neighbourhood disadvantage and COPD outcomes’, </w:t>
      </w:r>
      <w:r w:rsidRPr="00E81F77">
        <w:rPr>
          <w:rFonts w:ascii="Arial" w:hAnsi="Arial" w:cs="Arial"/>
          <w:i/>
          <w:iCs/>
          <w:sz w:val="24"/>
          <w:szCs w:val="24"/>
        </w:rPr>
        <w:t>International Journal of COPD</w:t>
      </w:r>
      <w:r w:rsidRPr="00E81F77">
        <w:rPr>
          <w:rFonts w:ascii="Arial" w:hAnsi="Arial" w:cs="Arial"/>
          <w:sz w:val="24"/>
          <w:szCs w:val="24"/>
        </w:rPr>
        <w:t xml:space="preserve">, 15, pp. 981–993. Available at: </w:t>
      </w:r>
      <w:hyperlink r:id="rId43" w:tgtFrame="_new" w:history="1">
        <w:r w:rsidRPr="00E81F77">
          <w:rPr>
            <w:rStyle w:val="Hyperlink"/>
            <w:rFonts w:ascii="Arial" w:hAnsi="Arial" w:cs="Arial"/>
            <w:sz w:val="24"/>
            <w:szCs w:val="24"/>
          </w:rPr>
          <w:t>https://doi.org/10.2147/COPD.S238933</w:t>
        </w:r>
      </w:hyperlink>
      <w:r w:rsidRPr="00E81F77">
        <w:rPr>
          <w:rFonts w:ascii="Arial" w:hAnsi="Arial" w:cs="Arial"/>
          <w:sz w:val="24"/>
          <w:szCs w:val="24"/>
        </w:rPr>
        <w:t xml:space="preserve"> (Accessed: 6 May 2026).</w:t>
      </w:r>
    </w:p>
    <w:p w14:paraId="01EF4CFE" w14:textId="3847E60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GBD Chronic Respiratory Disease Collaborators (2020) ‘Prevalence and attributable health burden of chronic respiratory diseases, 1990–2017: a systematic analysis for the Global Burden of Disease Study 2017’, </w:t>
      </w:r>
      <w:r w:rsidRPr="00E81F77">
        <w:rPr>
          <w:rFonts w:ascii="Arial" w:hAnsi="Arial" w:cs="Arial"/>
          <w:i/>
          <w:iCs/>
          <w:sz w:val="24"/>
          <w:szCs w:val="24"/>
        </w:rPr>
        <w:t>The Lancet Respiratory Medicine</w:t>
      </w:r>
      <w:r w:rsidRPr="00E81F77">
        <w:rPr>
          <w:rFonts w:ascii="Arial" w:hAnsi="Arial" w:cs="Arial"/>
          <w:sz w:val="24"/>
          <w:szCs w:val="24"/>
        </w:rPr>
        <w:t xml:space="preserve">, 8(6), pp. 585–596. Available at: </w:t>
      </w:r>
      <w:hyperlink r:id="rId44" w:tgtFrame="_new" w:history="1">
        <w:r w:rsidRPr="00E81F77">
          <w:rPr>
            <w:rStyle w:val="Hyperlink"/>
            <w:rFonts w:ascii="Arial" w:hAnsi="Arial" w:cs="Arial"/>
            <w:sz w:val="24"/>
            <w:szCs w:val="24"/>
          </w:rPr>
          <w:t>https://doi.org/10.1016/S2213-2600(20)30105-3</w:t>
        </w:r>
      </w:hyperlink>
      <w:r w:rsidRPr="00E81F77">
        <w:rPr>
          <w:rFonts w:ascii="Arial" w:hAnsi="Arial" w:cs="Arial"/>
          <w:sz w:val="24"/>
          <w:szCs w:val="24"/>
        </w:rPr>
        <w:t xml:space="preserve"> (Accessed: 6 May 2026).</w:t>
      </w:r>
    </w:p>
    <w:p w14:paraId="54696871" w14:textId="7120BD40"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Gee, G.C. and Ford, C.L. (2011) ‘Structural racism and health inequities: old issues, new directions’, </w:t>
      </w:r>
      <w:r w:rsidRPr="00E81F77">
        <w:rPr>
          <w:rFonts w:ascii="Arial" w:hAnsi="Arial" w:cs="Arial"/>
          <w:i/>
          <w:iCs/>
          <w:sz w:val="24"/>
          <w:szCs w:val="24"/>
        </w:rPr>
        <w:t>Du Bois Review: Social Science Research on Race</w:t>
      </w:r>
      <w:r w:rsidRPr="00E81F77">
        <w:rPr>
          <w:rFonts w:ascii="Arial" w:hAnsi="Arial" w:cs="Arial"/>
          <w:sz w:val="24"/>
          <w:szCs w:val="24"/>
        </w:rPr>
        <w:t xml:space="preserve">, 8(1), pp. 115–132. Available at: </w:t>
      </w:r>
      <w:hyperlink r:id="rId45" w:tgtFrame="_new" w:history="1">
        <w:r w:rsidRPr="00E81F77">
          <w:rPr>
            <w:rStyle w:val="Hyperlink"/>
            <w:rFonts w:ascii="Arial" w:hAnsi="Arial" w:cs="Arial"/>
            <w:sz w:val="24"/>
            <w:szCs w:val="24"/>
          </w:rPr>
          <w:t>https://doi.org/10.1017/S1742058X11000130</w:t>
        </w:r>
      </w:hyperlink>
      <w:r w:rsidRPr="00E81F77">
        <w:rPr>
          <w:rFonts w:ascii="Arial" w:hAnsi="Arial" w:cs="Arial"/>
          <w:sz w:val="24"/>
          <w:szCs w:val="24"/>
        </w:rPr>
        <w:t xml:space="preserve"> (Accessed: 6 May 2026).</w:t>
      </w:r>
    </w:p>
    <w:p w14:paraId="6AD88B6C" w14:textId="00E7D36A"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Gershon, A.S., et al. (2018) ‘Underdiagnosis and overdiagnosis of chronic obstructive pulmonary disease’,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198(9), pp. 1130–1139. Available at: </w:t>
      </w:r>
      <w:hyperlink r:id="rId46" w:tgtFrame="_new" w:history="1">
        <w:r w:rsidRPr="00E81F77">
          <w:rPr>
            <w:rStyle w:val="Hyperlink"/>
            <w:rFonts w:ascii="Arial" w:hAnsi="Arial" w:cs="Arial"/>
            <w:sz w:val="24"/>
            <w:szCs w:val="24"/>
          </w:rPr>
          <w:t>https://doi.org/10.1164/rccm.201804-0621CI</w:t>
        </w:r>
      </w:hyperlink>
      <w:r w:rsidRPr="00E81F77">
        <w:rPr>
          <w:rFonts w:ascii="Arial" w:hAnsi="Arial" w:cs="Arial"/>
          <w:sz w:val="24"/>
          <w:szCs w:val="24"/>
        </w:rPr>
        <w:t xml:space="preserve"> (Accessed: 6 May 2026).</w:t>
      </w:r>
    </w:p>
    <w:p w14:paraId="10698CF2" w14:textId="4D643980"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Global Initiative for Chronic Obstructive Lung Disease (GOLD) (2024) </w:t>
      </w:r>
      <w:r w:rsidRPr="00E81F77">
        <w:rPr>
          <w:rFonts w:ascii="Arial" w:hAnsi="Arial" w:cs="Arial"/>
          <w:i/>
          <w:iCs/>
          <w:sz w:val="24"/>
          <w:szCs w:val="24"/>
        </w:rPr>
        <w:t>Global strategy for prevention, diagnosis and management of COPD: 2024 report</w:t>
      </w:r>
      <w:r w:rsidRPr="00E81F77">
        <w:rPr>
          <w:rFonts w:ascii="Arial" w:hAnsi="Arial" w:cs="Arial"/>
          <w:sz w:val="24"/>
          <w:szCs w:val="24"/>
        </w:rPr>
        <w:t xml:space="preserve">. Available at: </w:t>
      </w:r>
      <w:hyperlink r:id="rId47" w:tgtFrame="_new" w:history="1">
        <w:r w:rsidRPr="00E81F77">
          <w:rPr>
            <w:rStyle w:val="Hyperlink"/>
            <w:rFonts w:ascii="Arial" w:hAnsi="Arial" w:cs="Arial"/>
            <w:sz w:val="24"/>
            <w:szCs w:val="24"/>
          </w:rPr>
          <w:t>https://goldcopd.org/2024-gold-report/</w:t>
        </w:r>
      </w:hyperlink>
      <w:r w:rsidRPr="00E81F77">
        <w:rPr>
          <w:rFonts w:ascii="Arial" w:hAnsi="Arial" w:cs="Arial"/>
          <w:sz w:val="24"/>
          <w:szCs w:val="24"/>
        </w:rPr>
        <w:t xml:space="preserve"> (Accessed: 6 May 2026).</w:t>
      </w:r>
    </w:p>
    <w:p w14:paraId="3C50EA2B" w14:textId="150F44C5"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Graham, B.L., Steenbruggen, I., Miller, M.R., et al. (2019) ‘Standardization of spirometry 2019 update: an official American Thoracic Society and European Respiratory Society technical statement’,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200(8), pp. e70–e88. Available at: </w:t>
      </w:r>
      <w:hyperlink r:id="rId48" w:tgtFrame="_new" w:history="1">
        <w:r w:rsidRPr="00E81F77">
          <w:rPr>
            <w:rStyle w:val="Hyperlink"/>
            <w:rFonts w:ascii="Arial" w:hAnsi="Arial" w:cs="Arial"/>
            <w:sz w:val="24"/>
            <w:szCs w:val="24"/>
          </w:rPr>
          <w:t>https://doi.org/10.1164/rccm.201908-1590ST</w:t>
        </w:r>
      </w:hyperlink>
      <w:r w:rsidRPr="00E81F77">
        <w:rPr>
          <w:rFonts w:ascii="Arial" w:hAnsi="Arial" w:cs="Arial"/>
          <w:sz w:val="24"/>
          <w:szCs w:val="24"/>
        </w:rPr>
        <w:t xml:space="preserve"> (Accessed: 6 May 2026).</w:t>
      </w:r>
    </w:p>
    <w:p w14:paraId="07344DB0" w14:textId="5CE412F3"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Han, M.K., Agustí, A., Calverley, P.M.A., et al. (2010) ‘Chronic obstructive pulmonary disease phenotypes: the future of COPD’, </w:t>
      </w:r>
      <w:r w:rsidRPr="00E81F77">
        <w:rPr>
          <w:rFonts w:ascii="Arial" w:hAnsi="Arial" w:cs="Arial"/>
          <w:i/>
          <w:iCs/>
          <w:sz w:val="24"/>
          <w:szCs w:val="24"/>
        </w:rPr>
        <w:t xml:space="preserve">American Journal of </w:t>
      </w:r>
      <w:r w:rsidRPr="00E81F77">
        <w:rPr>
          <w:rFonts w:ascii="Arial" w:hAnsi="Arial" w:cs="Arial"/>
          <w:i/>
          <w:iCs/>
          <w:sz w:val="24"/>
          <w:szCs w:val="24"/>
        </w:rPr>
        <w:lastRenderedPageBreak/>
        <w:t>Respiratory and Critical Care Medicine</w:t>
      </w:r>
      <w:r w:rsidRPr="00E81F77">
        <w:rPr>
          <w:rFonts w:ascii="Arial" w:hAnsi="Arial" w:cs="Arial"/>
          <w:sz w:val="24"/>
          <w:szCs w:val="24"/>
        </w:rPr>
        <w:t xml:space="preserve">, 182(5), pp. 598–604. Available at: </w:t>
      </w:r>
      <w:hyperlink r:id="rId49" w:tgtFrame="_new" w:history="1">
        <w:r w:rsidRPr="00E81F77">
          <w:rPr>
            <w:rStyle w:val="Hyperlink"/>
            <w:rFonts w:ascii="Arial" w:hAnsi="Arial" w:cs="Arial"/>
            <w:sz w:val="24"/>
            <w:szCs w:val="24"/>
          </w:rPr>
          <w:t>https://pubmed.ncbi.nlm.nih.gov/20522794/</w:t>
        </w:r>
      </w:hyperlink>
      <w:r w:rsidRPr="00E81F77">
        <w:rPr>
          <w:rFonts w:ascii="Arial" w:hAnsi="Arial" w:cs="Arial"/>
          <w:sz w:val="24"/>
          <w:szCs w:val="24"/>
        </w:rPr>
        <w:t xml:space="preserve"> (Accessed: 6 May 2026).</w:t>
      </w:r>
    </w:p>
    <w:p w14:paraId="7C951926" w14:textId="71E5CED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Han, M.K., Curran-Everett, D., Dransfield, M.T., Criner, G.J., Zhang, L., Murphy, J.R., Hansel, N.N., DeMeo, D.L., Hanania, N.A., Regan, E.A., Make, B.J., Martinez, F.J., Westney, G.E. and Foreman, M.G. (2011) ‘Racial differences in quality of life in patients with COPD’, </w:t>
      </w:r>
      <w:r w:rsidRPr="00E81F77">
        <w:rPr>
          <w:rFonts w:ascii="Arial" w:hAnsi="Arial" w:cs="Arial"/>
          <w:i/>
          <w:iCs/>
          <w:sz w:val="24"/>
          <w:szCs w:val="24"/>
        </w:rPr>
        <w:t>Chest</w:t>
      </w:r>
      <w:r w:rsidRPr="00E81F77">
        <w:rPr>
          <w:rFonts w:ascii="Arial" w:hAnsi="Arial" w:cs="Arial"/>
          <w:sz w:val="24"/>
          <w:szCs w:val="24"/>
        </w:rPr>
        <w:t xml:space="preserve">, 140(5), pp. 1169–1176. Available at: </w:t>
      </w:r>
      <w:hyperlink r:id="rId50" w:tgtFrame="_new" w:history="1">
        <w:r w:rsidRPr="00E81F77">
          <w:rPr>
            <w:rStyle w:val="Hyperlink"/>
            <w:rFonts w:ascii="Arial" w:hAnsi="Arial" w:cs="Arial"/>
            <w:sz w:val="24"/>
            <w:szCs w:val="24"/>
          </w:rPr>
          <w:t>https://doi.org/10.1378/chest.10-2869</w:t>
        </w:r>
      </w:hyperlink>
      <w:r w:rsidRPr="00E81F77">
        <w:rPr>
          <w:rFonts w:ascii="Arial" w:hAnsi="Arial" w:cs="Arial"/>
          <w:sz w:val="24"/>
          <w:szCs w:val="24"/>
        </w:rPr>
        <w:t xml:space="preserve"> (Accessed: 6 May 2026).</w:t>
      </w:r>
    </w:p>
    <w:p w14:paraId="7EF2BA31" w14:textId="25B8497F"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Hansel, N.N., Paulin, L.M., Gassett, A.J., et al. (2017) ‘Design of the Subpopulations and Intermediate Outcome Measures in COPD Study Air Pollution Study’, </w:t>
      </w:r>
      <w:r w:rsidRPr="00E81F77">
        <w:rPr>
          <w:rFonts w:ascii="Arial" w:hAnsi="Arial" w:cs="Arial"/>
          <w:i/>
          <w:iCs/>
          <w:sz w:val="24"/>
          <w:szCs w:val="24"/>
        </w:rPr>
        <w:t>BMJ Open Respiratory Research</w:t>
      </w:r>
      <w:r w:rsidRPr="00E81F77">
        <w:rPr>
          <w:rFonts w:ascii="Arial" w:hAnsi="Arial" w:cs="Arial"/>
          <w:sz w:val="24"/>
          <w:szCs w:val="24"/>
        </w:rPr>
        <w:t xml:space="preserve">, 4(1), e000186. Available at: </w:t>
      </w:r>
      <w:hyperlink r:id="rId51" w:tgtFrame="_new" w:history="1">
        <w:r w:rsidRPr="00E81F77">
          <w:rPr>
            <w:rStyle w:val="Hyperlink"/>
            <w:rFonts w:ascii="Arial" w:hAnsi="Arial" w:cs="Arial"/>
            <w:sz w:val="24"/>
            <w:szCs w:val="24"/>
          </w:rPr>
          <w:t>https://doi.org/10.1136/bmjresp-2017-000186</w:t>
        </w:r>
      </w:hyperlink>
      <w:r w:rsidRPr="00E81F77">
        <w:rPr>
          <w:rFonts w:ascii="Arial" w:hAnsi="Arial" w:cs="Arial"/>
          <w:sz w:val="24"/>
          <w:szCs w:val="24"/>
        </w:rPr>
        <w:t xml:space="preserve"> (Accessed: 6 May 2026).</w:t>
      </w:r>
    </w:p>
    <w:p w14:paraId="40DDDF83" w14:textId="2AB9CBCC"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Higgins, J.P.T., Thomas, J., Chandler, J., et al. (2019) </w:t>
      </w:r>
      <w:r w:rsidRPr="00E81F77">
        <w:rPr>
          <w:rFonts w:ascii="Arial" w:hAnsi="Arial" w:cs="Arial"/>
          <w:i/>
          <w:iCs/>
          <w:sz w:val="24"/>
          <w:szCs w:val="24"/>
        </w:rPr>
        <w:t>Cochrane Handbook for Systematic Reviews of Interventions</w:t>
      </w:r>
      <w:r w:rsidRPr="00E81F77">
        <w:rPr>
          <w:rFonts w:ascii="Arial" w:hAnsi="Arial" w:cs="Arial"/>
          <w:sz w:val="24"/>
          <w:szCs w:val="24"/>
        </w:rPr>
        <w:t xml:space="preserve">. 2nd edn. Available at: </w:t>
      </w:r>
      <w:hyperlink r:id="rId52" w:tgtFrame="_new" w:history="1">
        <w:r w:rsidRPr="00E81F77">
          <w:rPr>
            <w:rStyle w:val="Hyperlink"/>
            <w:rFonts w:ascii="Arial" w:hAnsi="Arial" w:cs="Arial"/>
            <w:sz w:val="24"/>
            <w:szCs w:val="24"/>
          </w:rPr>
          <w:t>https://training.cochrane.org/handbook</w:t>
        </w:r>
      </w:hyperlink>
      <w:r w:rsidRPr="00E81F77">
        <w:rPr>
          <w:rFonts w:ascii="Arial" w:hAnsi="Arial" w:cs="Arial"/>
          <w:sz w:val="24"/>
          <w:szCs w:val="24"/>
        </w:rPr>
        <w:t xml:space="preserve"> (Accessed: 6 May 2026).</w:t>
      </w:r>
    </w:p>
    <w:p w14:paraId="1AD48C38" w14:textId="37FE9F83"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Holt, J.B., Zhang, X., Presley-Cantrell, L. and Croft, J.B. (2011) ‘Geographic disparities in chronic obstructive pulmonary disease hospitalization among Medicare beneficiaries in the United States’, </w:t>
      </w:r>
      <w:r w:rsidRPr="00E81F77">
        <w:rPr>
          <w:rFonts w:ascii="Arial" w:hAnsi="Arial" w:cs="Arial"/>
          <w:i/>
          <w:iCs/>
          <w:sz w:val="24"/>
          <w:szCs w:val="24"/>
        </w:rPr>
        <w:t>International Journal of Chronic Obstructive Pulmonary Disease</w:t>
      </w:r>
      <w:r w:rsidRPr="00E81F77">
        <w:rPr>
          <w:rFonts w:ascii="Arial" w:hAnsi="Arial" w:cs="Arial"/>
          <w:sz w:val="24"/>
          <w:szCs w:val="24"/>
        </w:rPr>
        <w:t xml:space="preserve">, 6, pp. 321–328. Available at: </w:t>
      </w:r>
      <w:hyperlink r:id="rId53" w:tgtFrame="_new" w:history="1">
        <w:r w:rsidRPr="00E81F77">
          <w:rPr>
            <w:rStyle w:val="Hyperlink"/>
            <w:rFonts w:ascii="Arial" w:hAnsi="Arial" w:cs="Arial"/>
            <w:sz w:val="24"/>
            <w:szCs w:val="24"/>
          </w:rPr>
          <w:t>https://doi.org/10.2147/COPD.S19945</w:t>
        </w:r>
      </w:hyperlink>
      <w:r w:rsidRPr="00E81F77">
        <w:rPr>
          <w:rFonts w:ascii="Arial" w:hAnsi="Arial" w:cs="Arial"/>
          <w:sz w:val="24"/>
          <w:szCs w:val="24"/>
        </w:rPr>
        <w:t xml:space="preserve"> (Accessed: 6 May 2026).</w:t>
      </w:r>
    </w:p>
    <w:p w14:paraId="6713FBD6" w14:textId="7DD261B1"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Hurst, J.R., Skolnik, N., Hansen, G.J., et al. (2020) ‘Understanding the impact of chronic obstructive pulmonary disease exacerbations on patient health and quality of life’, </w:t>
      </w:r>
      <w:r w:rsidRPr="00E81F77">
        <w:rPr>
          <w:rFonts w:ascii="Arial" w:hAnsi="Arial" w:cs="Arial"/>
          <w:i/>
          <w:iCs/>
          <w:sz w:val="24"/>
          <w:szCs w:val="24"/>
        </w:rPr>
        <w:t>European Journal of Internal Medicine</w:t>
      </w:r>
      <w:r w:rsidRPr="00E81F77">
        <w:rPr>
          <w:rFonts w:ascii="Arial" w:hAnsi="Arial" w:cs="Arial"/>
          <w:sz w:val="24"/>
          <w:szCs w:val="24"/>
        </w:rPr>
        <w:t xml:space="preserve">, 73, pp. 1–6. Available at: </w:t>
      </w:r>
      <w:hyperlink r:id="rId54" w:tgtFrame="_new" w:history="1">
        <w:r w:rsidRPr="00E81F77">
          <w:rPr>
            <w:rStyle w:val="Hyperlink"/>
            <w:rFonts w:ascii="Arial" w:hAnsi="Arial" w:cs="Arial"/>
            <w:sz w:val="24"/>
            <w:szCs w:val="24"/>
          </w:rPr>
          <w:t>https://doi.org/10.1016/j.ejim.2019.12.014</w:t>
        </w:r>
      </w:hyperlink>
      <w:r w:rsidRPr="00E81F77">
        <w:rPr>
          <w:rFonts w:ascii="Arial" w:hAnsi="Arial" w:cs="Arial"/>
          <w:sz w:val="24"/>
          <w:szCs w:val="24"/>
        </w:rPr>
        <w:t xml:space="preserve"> (Accessed: 6 May 2026).</w:t>
      </w:r>
    </w:p>
    <w:p w14:paraId="04B12321" w14:textId="1DC2F3D1"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Jones, C.P. (2000) ‘Levels of racism: a theoretic framework and a gardener’s tale’, </w:t>
      </w:r>
      <w:r w:rsidRPr="00E81F77">
        <w:rPr>
          <w:rFonts w:ascii="Arial" w:hAnsi="Arial" w:cs="Arial"/>
          <w:i/>
          <w:iCs/>
          <w:sz w:val="24"/>
          <w:szCs w:val="24"/>
        </w:rPr>
        <w:t>American Journal of Public Health</w:t>
      </w:r>
      <w:r w:rsidRPr="00E81F77">
        <w:rPr>
          <w:rFonts w:ascii="Arial" w:hAnsi="Arial" w:cs="Arial"/>
          <w:sz w:val="24"/>
          <w:szCs w:val="24"/>
        </w:rPr>
        <w:t xml:space="preserve">, 90(8), pp. 1212–1215. Available at: </w:t>
      </w:r>
      <w:hyperlink r:id="rId55" w:tgtFrame="_new" w:history="1">
        <w:r w:rsidRPr="00E81F77">
          <w:rPr>
            <w:rStyle w:val="Hyperlink"/>
            <w:rFonts w:ascii="Arial" w:hAnsi="Arial" w:cs="Arial"/>
            <w:sz w:val="24"/>
            <w:szCs w:val="24"/>
          </w:rPr>
          <w:t>https://doi.org/10.2105/AJPH.90.8.1212</w:t>
        </w:r>
      </w:hyperlink>
      <w:r w:rsidRPr="00E81F77">
        <w:rPr>
          <w:rFonts w:ascii="Arial" w:hAnsi="Arial" w:cs="Arial"/>
          <w:sz w:val="24"/>
          <w:szCs w:val="24"/>
        </w:rPr>
        <w:t xml:space="preserve"> (Accessed: 6 May 2026).</w:t>
      </w:r>
    </w:p>
    <w:p w14:paraId="1A9D490F" w14:textId="3AF2DF4A"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Khadke, S., Khadke, V., Kumar, A., et al. (2025) ‘Environmental justice index and COPD prevalence’, </w:t>
      </w:r>
      <w:r w:rsidRPr="00E81F77">
        <w:rPr>
          <w:rFonts w:ascii="Arial" w:hAnsi="Arial" w:cs="Arial"/>
          <w:i/>
          <w:iCs/>
          <w:sz w:val="24"/>
          <w:szCs w:val="24"/>
        </w:rPr>
        <w:t>The Lancet Regional Health – Americas</w:t>
      </w:r>
      <w:r w:rsidRPr="00E81F77">
        <w:rPr>
          <w:rFonts w:ascii="Arial" w:hAnsi="Arial" w:cs="Arial"/>
          <w:sz w:val="24"/>
          <w:szCs w:val="24"/>
        </w:rPr>
        <w:t xml:space="preserve">, 49, 101195. Available at: </w:t>
      </w:r>
      <w:hyperlink r:id="rId56" w:tgtFrame="_new" w:history="1">
        <w:r w:rsidRPr="00E81F77">
          <w:rPr>
            <w:rStyle w:val="Hyperlink"/>
            <w:rFonts w:ascii="Arial" w:hAnsi="Arial" w:cs="Arial"/>
            <w:sz w:val="24"/>
            <w:szCs w:val="24"/>
          </w:rPr>
          <w:t>https://doi.org/10.1016/j.lana.2025.101195</w:t>
        </w:r>
      </w:hyperlink>
      <w:r w:rsidRPr="00E81F77">
        <w:rPr>
          <w:rFonts w:ascii="Arial" w:hAnsi="Arial" w:cs="Arial"/>
          <w:sz w:val="24"/>
          <w:szCs w:val="24"/>
        </w:rPr>
        <w:t xml:space="preserve"> (Accessed: 6 May 2026).</w:t>
      </w:r>
    </w:p>
    <w:p w14:paraId="1F089466" w14:textId="7D5BE79A"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Krieger, N. (2014) ‘Discrimination and health inequities’, </w:t>
      </w:r>
      <w:r w:rsidRPr="00E81F77">
        <w:rPr>
          <w:rFonts w:ascii="Arial" w:hAnsi="Arial" w:cs="Arial"/>
          <w:i/>
          <w:iCs/>
          <w:sz w:val="24"/>
          <w:szCs w:val="24"/>
        </w:rPr>
        <w:t>International Journal of Health Services</w:t>
      </w:r>
      <w:r w:rsidRPr="00E81F77">
        <w:rPr>
          <w:rFonts w:ascii="Arial" w:hAnsi="Arial" w:cs="Arial"/>
          <w:sz w:val="24"/>
          <w:szCs w:val="24"/>
        </w:rPr>
        <w:t xml:space="preserve">, 44(4), pp. 643–710. Available at: </w:t>
      </w:r>
      <w:hyperlink r:id="rId57" w:tgtFrame="_new" w:history="1">
        <w:r w:rsidRPr="00E81F77">
          <w:rPr>
            <w:rStyle w:val="Hyperlink"/>
            <w:rFonts w:ascii="Arial" w:hAnsi="Arial" w:cs="Arial"/>
            <w:sz w:val="24"/>
            <w:szCs w:val="24"/>
          </w:rPr>
          <w:t>https://doi.org/10.2190/HS.44.4.b</w:t>
        </w:r>
      </w:hyperlink>
      <w:r w:rsidRPr="00E81F77">
        <w:rPr>
          <w:rFonts w:ascii="Arial" w:hAnsi="Arial" w:cs="Arial"/>
          <w:sz w:val="24"/>
          <w:szCs w:val="24"/>
        </w:rPr>
        <w:t xml:space="preserve"> (Accessed: 6 May 2026).</w:t>
      </w:r>
    </w:p>
    <w:p w14:paraId="2731DFA1" w14:textId="2B4AD1AE"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Labaki, W.W. and Han, M.K. (2019) ‘Improving detection of early chronic obstructive pulmonary disease’,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199(8), pp. 982–991. Available at: </w:t>
      </w:r>
      <w:hyperlink r:id="rId58" w:tgtFrame="_new" w:history="1">
        <w:r w:rsidRPr="00E81F77">
          <w:rPr>
            <w:rStyle w:val="Hyperlink"/>
            <w:rFonts w:ascii="Arial" w:hAnsi="Arial" w:cs="Arial"/>
            <w:sz w:val="24"/>
            <w:szCs w:val="24"/>
          </w:rPr>
          <w:t>https://pubmed.ncbi.nlm.nih.gov/30759006/</w:t>
        </w:r>
      </w:hyperlink>
      <w:r w:rsidRPr="00E81F77">
        <w:rPr>
          <w:rFonts w:ascii="Arial" w:hAnsi="Arial" w:cs="Arial"/>
          <w:sz w:val="24"/>
          <w:szCs w:val="24"/>
        </w:rPr>
        <w:t xml:space="preserve"> (Accessed: 6 May 2026).</w:t>
      </w:r>
    </w:p>
    <w:p w14:paraId="3F5CDD69" w14:textId="4A19297C"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Lamprecht, B., Soriano, J.B., Studnicka, M., et al. (2015) ‘Determinants of underdiagnosis of COPD in national and international surveys’, </w:t>
      </w:r>
      <w:r w:rsidRPr="00E81F77">
        <w:rPr>
          <w:rFonts w:ascii="Arial" w:hAnsi="Arial" w:cs="Arial"/>
          <w:i/>
          <w:iCs/>
          <w:sz w:val="24"/>
          <w:szCs w:val="24"/>
        </w:rPr>
        <w:t>Chest</w:t>
      </w:r>
      <w:r w:rsidRPr="00E81F77">
        <w:rPr>
          <w:rFonts w:ascii="Arial" w:hAnsi="Arial" w:cs="Arial"/>
          <w:sz w:val="24"/>
          <w:szCs w:val="24"/>
        </w:rPr>
        <w:t xml:space="preserve">, 148(4), pp. 971–985. Available at: </w:t>
      </w:r>
      <w:hyperlink r:id="rId59" w:tgtFrame="_new" w:history="1">
        <w:r w:rsidRPr="00E81F77">
          <w:rPr>
            <w:rStyle w:val="Hyperlink"/>
            <w:rFonts w:ascii="Arial" w:hAnsi="Arial" w:cs="Arial"/>
            <w:sz w:val="24"/>
            <w:szCs w:val="24"/>
          </w:rPr>
          <w:t>https://doi.org/10.1378/chest.14-2535</w:t>
        </w:r>
      </w:hyperlink>
      <w:r w:rsidRPr="00E81F77">
        <w:rPr>
          <w:rFonts w:ascii="Arial" w:hAnsi="Arial" w:cs="Arial"/>
          <w:sz w:val="24"/>
          <w:szCs w:val="24"/>
        </w:rPr>
        <w:t xml:space="preserve"> (Accessed: 6 May 2026).</w:t>
      </w:r>
    </w:p>
    <w:p w14:paraId="68A6C847" w14:textId="0F9CE90E" w:rsidR="00CD69CF" w:rsidRPr="00E81F77" w:rsidRDefault="00CD69CF" w:rsidP="00CD69CF">
      <w:pPr>
        <w:ind w:left="360"/>
        <w:jc w:val="both"/>
        <w:rPr>
          <w:rFonts w:ascii="Arial" w:hAnsi="Arial" w:cs="Arial"/>
          <w:sz w:val="24"/>
          <w:szCs w:val="24"/>
        </w:rPr>
      </w:pPr>
      <w:r w:rsidRPr="00E81F77">
        <w:rPr>
          <w:rFonts w:ascii="Arial" w:hAnsi="Arial" w:cs="Arial"/>
          <w:sz w:val="24"/>
          <w:szCs w:val="24"/>
        </w:rPr>
        <w:lastRenderedPageBreak/>
        <w:t xml:space="preserve">Lange, P., Celli, B., Agustí, A., et al. (2015) ‘Lung-function trajectories leading to COPD’, </w:t>
      </w:r>
      <w:r w:rsidRPr="00E81F77">
        <w:rPr>
          <w:rFonts w:ascii="Arial" w:hAnsi="Arial" w:cs="Arial"/>
          <w:i/>
          <w:iCs/>
          <w:sz w:val="24"/>
          <w:szCs w:val="24"/>
        </w:rPr>
        <w:t>New England Journal of Medicine</w:t>
      </w:r>
      <w:r w:rsidRPr="00E81F77">
        <w:rPr>
          <w:rFonts w:ascii="Arial" w:hAnsi="Arial" w:cs="Arial"/>
          <w:sz w:val="24"/>
          <w:szCs w:val="24"/>
        </w:rPr>
        <w:t xml:space="preserve">, 373, pp. 111–122. Available at: </w:t>
      </w:r>
      <w:hyperlink r:id="rId60" w:tgtFrame="_new" w:history="1">
        <w:r w:rsidRPr="00E81F77">
          <w:rPr>
            <w:rStyle w:val="Hyperlink"/>
            <w:rFonts w:ascii="Arial" w:hAnsi="Arial" w:cs="Arial"/>
            <w:sz w:val="24"/>
            <w:szCs w:val="24"/>
          </w:rPr>
          <w:t>https://doi.org/10.1056/NEJMoa1411532</w:t>
        </w:r>
      </w:hyperlink>
      <w:r w:rsidRPr="00E81F77">
        <w:rPr>
          <w:rFonts w:ascii="Arial" w:hAnsi="Arial" w:cs="Arial"/>
          <w:sz w:val="24"/>
          <w:szCs w:val="24"/>
        </w:rPr>
        <w:t xml:space="preserve"> (Accessed: 6 May 2026).</w:t>
      </w:r>
    </w:p>
    <w:p w14:paraId="615E4267" w14:textId="1847034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Levesque, J.F., Harris, M.F. and Russell, G. (2013) ‘Patient-centred access to health care’, </w:t>
      </w:r>
      <w:r w:rsidRPr="00E81F77">
        <w:rPr>
          <w:rFonts w:ascii="Arial" w:hAnsi="Arial" w:cs="Arial"/>
          <w:i/>
          <w:iCs/>
          <w:sz w:val="24"/>
          <w:szCs w:val="24"/>
        </w:rPr>
        <w:t>International Journal for Equity in Health</w:t>
      </w:r>
      <w:r w:rsidRPr="00E81F77">
        <w:rPr>
          <w:rFonts w:ascii="Arial" w:hAnsi="Arial" w:cs="Arial"/>
          <w:sz w:val="24"/>
          <w:szCs w:val="24"/>
        </w:rPr>
        <w:t xml:space="preserve">, 12, p. 18. Available at: </w:t>
      </w:r>
      <w:hyperlink r:id="rId61" w:tgtFrame="_new" w:history="1">
        <w:r w:rsidRPr="00E81F77">
          <w:rPr>
            <w:rStyle w:val="Hyperlink"/>
            <w:rFonts w:ascii="Arial" w:hAnsi="Arial" w:cs="Arial"/>
            <w:sz w:val="24"/>
            <w:szCs w:val="24"/>
          </w:rPr>
          <w:t>https://doi.org/10.1186/1475-9276-12-18</w:t>
        </w:r>
      </w:hyperlink>
      <w:r w:rsidRPr="00E81F77">
        <w:rPr>
          <w:rFonts w:ascii="Arial" w:hAnsi="Arial" w:cs="Arial"/>
          <w:sz w:val="24"/>
          <w:szCs w:val="24"/>
        </w:rPr>
        <w:t xml:space="preserve"> (Accessed: 6 May 2026).</w:t>
      </w:r>
    </w:p>
    <w:p w14:paraId="782657DC" w14:textId="6E2007A6"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Li, T., Higgins, J.P.T. and Deeks, J.J. (2019) ‘Collecting data’, in Higgins, J.P.T., Thomas, J., Chandler, J., Cumpston, M., Li, T., Page, M.J. and Welch, V.A. (eds.) </w:t>
      </w:r>
      <w:r w:rsidRPr="00E81F77">
        <w:rPr>
          <w:rFonts w:ascii="Arial" w:hAnsi="Arial" w:cs="Arial"/>
          <w:i/>
          <w:iCs/>
          <w:sz w:val="24"/>
          <w:szCs w:val="24"/>
        </w:rPr>
        <w:t>Cochrane Handbook for Systematic Reviews of Interventions</w:t>
      </w:r>
      <w:r w:rsidRPr="00E81F77">
        <w:rPr>
          <w:rFonts w:ascii="Arial" w:hAnsi="Arial" w:cs="Arial"/>
          <w:sz w:val="24"/>
          <w:szCs w:val="24"/>
        </w:rPr>
        <w:t xml:space="preserve">. 2nd edn. Chichester: Wiley, pp. 109–141. Available at: </w:t>
      </w:r>
      <w:hyperlink r:id="rId62" w:tgtFrame="_new" w:history="1">
        <w:r w:rsidRPr="00E81F77">
          <w:rPr>
            <w:rStyle w:val="Hyperlink"/>
            <w:rFonts w:ascii="Arial" w:hAnsi="Arial" w:cs="Arial"/>
            <w:sz w:val="24"/>
            <w:szCs w:val="24"/>
          </w:rPr>
          <w:t>https://training.cochrane.org/handbook</w:t>
        </w:r>
      </w:hyperlink>
      <w:r w:rsidRPr="00E81F77">
        <w:rPr>
          <w:rFonts w:ascii="Arial" w:hAnsi="Arial" w:cs="Arial"/>
          <w:sz w:val="24"/>
          <w:szCs w:val="24"/>
        </w:rPr>
        <w:t xml:space="preserve"> (Accessed: 6 May 2026).</w:t>
      </w:r>
    </w:p>
    <w:p w14:paraId="72058915" w14:textId="2D915284"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Lindenauer, P.K., Stefan, M.S., Pekow, P.S., et al. (2020) ‘Association between initiation of pulmonary rehabilitation after hospitalization for COPD and 1-year survival among Medicare beneficiaries’, </w:t>
      </w:r>
      <w:r w:rsidRPr="00E81F77">
        <w:rPr>
          <w:rFonts w:ascii="Arial" w:hAnsi="Arial" w:cs="Arial"/>
          <w:i/>
          <w:iCs/>
          <w:sz w:val="24"/>
          <w:szCs w:val="24"/>
        </w:rPr>
        <w:t>JAMA</w:t>
      </w:r>
      <w:r w:rsidRPr="00E81F77">
        <w:rPr>
          <w:rFonts w:ascii="Arial" w:hAnsi="Arial" w:cs="Arial"/>
          <w:sz w:val="24"/>
          <w:szCs w:val="24"/>
        </w:rPr>
        <w:t xml:space="preserve">, 323(18), pp. 1813–1823. Available at: </w:t>
      </w:r>
      <w:hyperlink r:id="rId63" w:tgtFrame="_new" w:history="1">
        <w:r w:rsidRPr="00E81F77">
          <w:rPr>
            <w:rStyle w:val="Hyperlink"/>
            <w:rFonts w:ascii="Arial" w:hAnsi="Arial" w:cs="Arial"/>
            <w:sz w:val="24"/>
            <w:szCs w:val="24"/>
          </w:rPr>
          <w:t>https://doi.org/10.1001/jama.2020.4437</w:t>
        </w:r>
      </w:hyperlink>
      <w:r w:rsidRPr="00E81F77">
        <w:rPr>
          <w:rFonts w:ascii="Arial" w:hAnsi="Arial" w:cs="Arial"/>
          <w:sz w:val="24"/>
          <w:szCs w:val="24"/>
        </w:rPr>
        <w:t xml:space="preserve"> (Accessed: 6 May 2026).</w:t>
      </w:r>
    </w:p>
    <w:p w14:paraId="5968D5B3" w14:textId="6FEF753F"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Liu, Y., Carlson, S.A., Watson, K.B., Xu, F. and Greenlund, K.J. (2023) ‘Trends in the prevalence of chronic obstructive pulmonary disease among adults aged ≥18 years—United States, 2011–2021’, </w:t>
      </w:r>
      <w:r w:rsidRPr="00E81F77">
        <w:rPr>
          <w:rFonts w:ascii="Arial" w:hAnsi="Arial" w:cs="Arial"/>
          <w:i/>
          <w:iCs/>
          <w:sz w:val="24"/>
          <w:szCs w:val="24"/>
        </w:rPr>
        <w:t>Morbidity and Mortality Weekly Report</w:t>
      </w:r>
      <w:r w:rsidRPr="00E81F77">
        <w:rPr>
          <w:rFonts w:ascii="Arial" w:hAnsi="Arial" w:cs="Arial"/>
          <w:sz w:val="24"/>
          <w:szCs w:val="24"/>
        </w:rPr>
        <w:t xml:space="preserve">, 72(46), pp. 1239–1244. Available at: </w:t>
      </w:r>
      <w:hyperlink r:id="rId64" w:tgtFrame="_new" w:history="1">
        <w:r w:rsidRPr="00E81F77">
          <w:rPr>
            <w:rStyle w:val="Hyperlink"/>
            <w:rFonts w:ascii="Arial" w:hAnsi="Arial" w:cs="Arial"/>
            <w:sz w:val="24"/>
            <w:szCs w:val="24"/>
          </w:rPr>
          <w:t>https://www.cdc.gov/mmwr/volumes/72/wr/pdfs/mm7246a1-H.pdf</w:t>
        </w:r>
      </w:hyperlink>
      <w:r w:rsidRPr="00E81F77">
        <w:rPr>
          <w:rFonts w:ascii="Arial" w:hAnsi="Arial" w:cs="Arial"/>
          <w:sz w:val="24"/>
          <w:szCs w:val="24"/>
        </w:rPr>
        <w:t xml:space="preserve"> (Accessed: 6 May 2026).</w:t>
      </w:r>
    </w:p>
    <w:p w14:paraId="25DB2399" w14:textId="66FC693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Mackay, A.J. and Hurst, J.R. (2013) ‘COPD exacerbations: causes, prevention, and treatment’, </w:t>
      </w:r>
      <w:r w:rsidRPr="00E81F77">
        <w:rPr>
          <w:rFonts w:ascii="Arial" w:hAnsi="Arial" w:cs="Arial"/>
          <w:i/>
          <w:iCs/>
          <w:sz w:val="24"/>
          <w:szCs w:val="24"/>
        </w:rPr>
        <w:t>Immunology and Allergy Clinics of North America</w:t>
      </w:r>
      <w:r w:rsidRPr="00E81F77">
        <w:rPr>
          <w:rFonts w:ascii="Arial" w:hAnsi="Arial" w:cs="Arial"/>
          <w:sz w:val="24"/>
          <w:szCs w:val="24"/>
        </w:rPr>
        <w:t xml:space="preserve">, 33(1), pp. 95–115. Available at: </w:t>
      </w:r>
      <w:hyperlink r:id="rId65" w:tgtFrame="_new" w:history="1">
        <w:r w:rsidRPr="00E81F77">
          <w:rPr>
            <w:rStyle w:val="Hyperlink"/>
            <w:rFonts w:ascii="Arial" w:hAnsi="Arial" w:cs="Arial"/>
            <w:sz w:val="24"/>
            <w:szCs w:val="24"/>
          </w:rPr>
          <w:t>https://doi.org/10.1016/j.iac.2012.10.006</w:t>
        </w:r>
      </w:hyperlink>
      <w:r w:rsidRPr="00E81F77">
        <w:rPr>
          <w:rFonts w:ascii="Arial" w:hAnsi="Arial" w:cs="Arial"/>
          <w:sz w:val="24"/>
          <w:szCs w:val="24"/>
        </w:rPr>
        <w:t xml:space="preserve"> (Accessed: 6 May 2026).</w:t>
      </w:r>
    </w:p>
    <w:p w14:paraId="62F169D0" w14:textId="7E9D2000"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Mamary, A.J., Stewart, J.I., Kinney, G.L., et al. (2018) ‘Race and gender disparities are evident in COPD underdiagnoses across all severities of measured airflow obstruction’, </w:t>
      </w:r>
      <w:r w:rsidRPr="00E81F77">
        <w:rPr>
          <w:rFonts w:ascii="Arial" w:hAnsi="Arial" w:cs="Arial"/>
          <w:i/>
          <w:iCs/>
          <w:sz w:val="24"/>
          <w:szCs w:val="24"/>
        </w:rPr>
        <w:t>Chronic Obstructive Pulmonary Diseases: Journal of the COPD Foundation</w:t>
      </w:r>
      <w:r w:rsidRPr="00E81F77">
        <w:rPr>
          <w:rFonts w:ascii="Arial" w:hAnsi="Arial" w:cs="Arial"/>
          <w:sz w:val="24"/>
          <w:szCs w:val="24"/>
        </w:rPr>
        <w:t xml:space="preserve">, 5(3), pp. 177–184. Available at: </w:t>
      </w:r>
      <w:hyperlink r:id="rId66" w:tgtFrame="_new" w:history="1">
        <w:r w:rsidRPr="00E81F77">
          <w:rPr>
            <w:rStyle w:val="Hyperlink"/>
            <w:rFonts w:ascii="Arial" w:hAnsi="Arial" w:cs="Arial"/>
            <w:sz w:val="24"/>
            <w:szCs w:val="24"/>
          </w:rPr>
          <w:t>https://pubmed.ncbi.nlm.nih.gov/30584581/</w:t>
        </w:r>
      </w:hyperlink>
      <w:r w:rsidRPr="00E81F77">
        <w:rPr>
          <w:rFonts w:ascii="Arial" w:hAnsi="Arial" w:cs="Arial"/>
          <w:sz w:val="24"/>
          <w:szCs w:val="24"/>
        </w:rPr>
        <w:t xml:space="preserve"> (Accessed: 6 May 2026).</w:t>
      </w:r>
    </w:p>
    <w:p w14:paraId="62754A78" w14:textId="6B314660"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Mannino, D.M. and Buist, A.S. (2007) ‘Global burden of COPD: risk factors, prevalence, and future trends’, </w:t>
      </w:r>
      <w:r w:rsidRPr="00E81F77">
        <w:rPr>
          <w:rFonts w:ascii="Arial" w:hAnsi="Arial" w:cs="Arial"/>
          <w:i/>
          <w:iCs/>
          <w:sz w:val="24"/>
          <w:szCs w:val="24"/>
        </w:rPr>
        <w:t>The Lancet</w:t>
      </w:r>
      <w:r w:rsidRPr="00E81F77">
        <w:rPr>
          <w:rFonts w:ascii="Arial" w:hAnsi="Arial" w:cs="Arial"/>
          <w:sz w:val="24"/>
          <w:szCs w:val="24"/>
        </w:rPr>
        <w:t xml:space="preserve">, 370(9589), pp. 765–773. Available at: </w:t>
      </w:r>
      <w:hyperlink r:id="rId67" w:tgtFrame="_new" w:history="1">
        <w:r w:rsidRPr="00E81F77">
          <w:rPr>
            <w:rStyle w:val="Hyperlink"/>
            <w:rFonts w:ascii="Arial" w:hAnsi="Arial" w:cs="Arial"/>
            <w:sz w:val="24"/>
            <w:szCs w:val="24"/>
          </w:rPr>
          <w:t>https://doi.org/10.1016/S0140-6736(07)61380-4</w:t>
        </w:r>
      </w:hyperlink>
      <w:r w:rsidRPr="00E81F77">
        <w:rPr>
          <w:rFonts w:ascii="Arial" w:hAnsi="Arial" w:cs="Arial"/>
          <w:sz w:val="24"/>
          <w:szCs w:val="24"/>
        </w:rPr>
        <w:t xml:space="preserve"> (Accessed: 6 May 2026).</w:t>
      </w:r>
    </w:p>
    <w:p w14:paraId="48B6CBBD"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Marmot, M. (2015) </w:t>
      </w:r>
      <w:r w:rsidRPr="00E81F77">
        <w:rPr>
          <w:rFonts w:ascii="Arial" w:hAnsi="Arial" w:cs="Arial"/>
          <w:i/>
          <w:iCs/>
          <w:sz w:val="24"/>
          <w:szCs w:val="24"/>
        </w:rPr>
        <w:t>The Health Gap: The Challenge of an Unequal World</w:t>
      </w:r>
      <w:r w:rsidRPr="00E81F77">
        <w:rPr>
          <w:rFonts w:ascii="Arial" w:hAnsi="Arial" w:cs="Arial"/>
          <w:sz w:val="24"/>
          <w:szCs w:val="24"/>
        </w:rPr>
        <w:t>. London: Bloomsbury.</w:t>
      </w:r>
    </w:p>
    <w:p w14:paraId="27B2EBF3" w14:textId="5F533355"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Martinez, F.J., Mannino, D., Leidy, N.K., et al. (2017) ‘A new approach for identifying patients with undiagnosed chronic obstructive pulmonary disease’,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195(6), pp. 748–756. Available at: </w:t>
      </w:r>
      <w:hyperlink r:id="rId68" w:tgtFrame="_new" w:history="1">
        <w:r w:rsidRPr="00E81F77">
          <w:rPr>
            <w:rStyle w:val="Hyperlink"/>
            <w:rFonts w:ascii="Arial" w:hAnsi="Arial" w:cs="Arial"/>
            <w:sz w:val="24"/>
            <w:szCs w:val="24"/>
          </w:rPr>
          <w:t>https://pubmed.ncbi.nlm.nih.gov/27783539/</w:t>
        </w:r>
      </w:hyperlink>
      <w:r w:rsidRPr="00E81F77">
        <w:rPr>
          <w:rFonts w:ascii="Arial" w:hAnsi="Arial" w:cs="Arial"/>
          <w:sz w:val="24"/>
          <w:szCs w:val="24"/>
        </w:rPr>
        <w:t xml:space="preserve"> (Accessed: 6 May 2026).</w:t>
      </w:r>
    </w:p>
    <w:p w14:paraId="16129E66" w14:textId="74BC2FBE"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McCarthy, B., Casey, D., Devane, D., Murphy, K., Murphy, E. and Lacasse, Y. (2015) ‘Pulmonary rehabilitation for chronic obstructive pulmonary disease’, </w:t>
      </w:r>
      <w:r w:rsidRPr="00E81F77">
        <w:rPr>
          <w:rFonts w:ascii="Arial" w:hAnsi="Arial" w:cs="Arial"/>
          <w:i/>
          <w:iCs/>
          <w:sz w:val="24"/>
          <w:szCs w:val="24"/>
        </w:rPr>
        <w:t xml:space="preserve">Cochrane </w:t>
      </w:r>
      <w:r w:rsidRPr="00E81F77">
        <w:rPr>
          <w:rFonts w:ascii="Arial" w:hAnsi="Arial" w:cs="Arial"/>
          <w:i/>
          <w:iCs/>
          <w:sz w:val="24"/>
          <w:szCs w:val="24"/>
        </w:rPr>
        <w:lastRenderedPageBreak/>
        <w:t>Database of Systematic Reviews</w:t>
      </w:r>
      <w:r w:rsidRPr="00E81F77">
        <w:rPr>
          <w:rFonts w:ascii="Arial" w:hAnsi="Arial" w:cs="Arial"/>
          <w:sz w:val="24"/>
          <w:szCs w:val="24"/>
        </w:rPr>
        <w:t xml:space="preserve">, 2015(2), CD003793. Available at: </w:t>
      </w:r>
      <w:hyperlink r:id="rId69" w:tgtFrame="_new" w:history="1">
        <w:r w:rsidRPr="00E81F77">
          <w:rPr>
            <w:rStyle w:val="Hyperlink"/>
            <w:rFonts w:ascii="Arial" w:hAnsi="Arial" w:cs="Arial"/>
            <w:sz w:val="24"/>
            <w:szCs w:val="24"/>
          </w:rPr>
          <w:t>https://doi.org/10.1002/14651858.CD003793.pub3</w:t>
        </w:r>
      </w:hyperlink>
      <w:r w:rsidRPr="00E81F77">
        <w:rPr>
          <w:rFonts w:ascii="Arial" w:hAnsi="Arial" w:cs="Arial"/>
          <w:sz w:val="24"/>
          <w:szCs w:val="24"/>
        </w:rPr>
        <w:t xml:space="preserve"> (Accessed: 6 May 2026).</w:t>
      </w:r>
    </w:p>
    <w:p w14:paraId="63536FB7" w14:textId="2922AE99"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Melhem, O., Savage, E., Lehane, E., et al. (2021) ‘Symptom burden in patients with chronic obstructive pulmonary disease’, </w:t>
      </w:r>
      <w:r w:rsidRPr="00E81F77">
        <w:rPr>
          <w:rFonts w:ascii="Arial" w:hAnsi="Arial" w:cs="Arial"/>
          <w:i/>
          <w:iCs/>
          <w:sz w:val="24"/>
          <w:szCs w:val="24"/>
        </w:rPr>
        <w:t>Applied Nursing Research</w:t>
      </w:r>
      <w:r w:rsidRPr="00E81F77">
        <w:rPr>
          <w:rFonts w:ascii="Arial" w:hAnsi="Arial" w:cs="Arial"/>
          <w:sz w:val="24"/>
          <w:szCs w:val="24"/>
        </w:rPr>
        <w:t xml:space="preserve">, 57, 151389. Available at: </w:t>
      </w:r>
      <w:hyperlink r:id="rId70" w:tgtFrame="_new" w:history="1">
        <w:r w:rsidRPr="00E81F77">
          <w:rPr>
            <w:rStyle w:val="Hyperlink"/>
            <w:rFonts w:ascii="Arial" w:hAnsi="Arial" w:cs="Arial"/>
            <w:sz w:val="24"/>
            <w:szCs w:val="24"/>
          </w:rPr>
          <w:t>https://doi.org/10.1016/j.apnr.2020.151389</w:t>
        </w:r>
      </w:hyperlink>
      <w:r w:rsidRPr="00E81F77">
        <w:rPr>
          <w:rFonts w:ascii="Arial" w:hAnsi="Arial" w:cs="Arial"/>
          <w:sz w:val="24"/>
          <w:szCs w:val="24"/>
        </w:rPr>
        <w:t xml:space="preserve"> (Accessed: 6 May 2026).</w:t>
      </w:r>
    </w:p>
    <w:p w14:paraId="12F1B652" w14:textId="25A7DF6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Miller, M.R., Hankinson, J., Brusasco, V., et al. (2005) ‘Standardisation of spirometry’, </w:t>
      </w:r>
      <w:r w:rsidRPr="00E81F77">
        <w:rPr>
          <w:rFonts w:ascii="Arial" w:hAnsi="Arial" w:cs="Arial"/>
          <w:i/>
          <w:iCs/>
          <w:sz w:val="24"/>
          <w:szCs w:val="24"/>
        </w:rPr>
        <w:t>European Respiratory Journal</w:t>
      </w:r>
      <w:r w:rsidRPr="00E81F77">
        <w:rPr>
          <w:rFonts w:ascii="Arial" w:hAnsi="Arial" w:cs="Arial"/>
          <w:sz w:val="24"/>
          <w:szCs w:val="24"/>
        </w:rPr>
        <w:t xml:space="preserve">, 26(2), pp. 319–338. Available at: </w:t>
      </w:r>
      <w:hyperlink r:id="rId71" w:tgtFrame="_new" w:history="1">
        <w:r w:rsidRPr="00E81F77">
          <w:rPr>
            <w:rStyle w:val="Hyperlink"/>
            <w:rFonts w:ascii="Arial" w:hAnsi="Arial" w:cs="Arial"/>
            <w:sz w:val="24"/>
            <w:szCs w:val="24"/>
          </w:rPr>
          <w:t>https://doi.org/10.1183/09031936.05.00034805</w:t>
        </w:r>
      </w:hyperlink>
      <w:r w:rsidRPr="00E81F77">
        <w:rPr>
          <w:rFonts w:ascii="Arial" w:hAnsi="Arial" w:cs="Arial"/>
          <w:sz w:val="24"/>
          <w:szCs w:val="24"/>
        </w:rPr>
        <w:t xml:space="preserve"> (Accessed: 6 May 2026).</w:t>
      </w:r>
    </w:p>
    <w:p w14:paraId="5DEC1E69" w14:textId="70E21DBB"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Miravitlles, M. and Ribera, A. (2017) ‘Understanding the impact of symptoms on the burden of COPD’, </w:t>
      </w:r>
      <w:r w:rsidRPr="00E81F77">
        <w:rPr>
          <w:rFonts w:ascii="Arial" w:hAnsi="Arial" w:cs="Arial"/>
          <w:i/>
          <w:iCs/>
          <w:sz w:val="24"/>
          <w:szCs w:val="24"/>
        </w:rPr>
        <w:t>Respiratory Research</w:t>
      </w:r>
      <w:r w:rsidRPr="00E81F77">
        <w:rPr>
          <w:rFonts w:ascii="Arial" w:hAnsi="Arial" w:cs="Arial"/>
          <w:sz w:val="24"/>
          <w:szCs w:val="24"/>
        </w:rPr>
        <w:t xml:space="preserve">, 18, 67. Available at: </w:t>
      </w:r>
      <w:hyperlink r:id="rId72" w:tgtFrame="_new" w:history="1">
        <w:r w:rsidRPr="00E81F77">
          <w:rPr>
            <w:rStyle w:val="Hyperlink"/>
            <w:rFonts w:ascii="Arial" w:hAnsi="Arial" w:cs="Arial"/>
            <w:sz w:val="24"/>
            <w:szCs w:val="24"/>
          </w:rPr>
          <w:t>https://doi.org/10.1186/s12931-017-0548-3</w:t>
        </w:r>
      </w:hyperlink>
      <w:r w:rsidRPr="00E81F77">
        <w:rPr>
          <w:rFonts w:ascii="Arial" w:hAnsi="Arial" w:cs="Arial"/>
          <w:sz w:val="24"/>
          <w:szCs w:val="24"/>
        </w:rPr>
        <w:t xml:space="preserve"> (Accessed: 6 May 2026).</w:t>
      </w:r>
    </w:p>
    <w:p w14:paraId="46578BF1" w14:textId="7A71C982"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National Academies of Sciences, Engineering, and Medicine (2017) </w:t>
      </w:r>
      <w:r w:rsidRPr="00E81F77">
        <w:rPr>
          <w:rFonts w:ascii="Arial" w:hAnsi="Arial" w:cs="Arial"/>
          <w:i/>
          <w:iCs/>
          <w:sz w:val="24"/>
          <w:szCs w:val="24"/>
        </w:rPr>
        <w:t>Environmental Justice and Health</w:t>
      </w:r>
      <w:r w:rsidRPr="00E81F77">
        <w:rPr>
          <w:rFonts w:ascii="Arial" w:hAnsi="Arial" w:cs="Arial"/>
          <w:sz w:val="24"/>
          <w:szCs w:val="24"/>
        </w:rPr>
        <w:t xml:space="preserve">. Available at: </w:t>
      </w:r>
      <w:hyperlink r:id="rId73" w:tgtFrame="_new" w:history="1">
        <w:r w:rsidRPr="00E81F77">
          <w:rPr>
            <w:rStyle w:val="Hyperlink"/>
            <w:rFonts w:ascii="Arial" w:hAnsi="Arial" w:cs="Arial"/>
            <w:sz w:val="24"/>
            <w:szCs w:val="24"/>
          </w:rPr>
          <w:t>https://nap.nationalacademies.org/catalog/24636</w:t>
        </w:r>
      </w:hyperlink>
      <w:r w:rsidRPr="00E81F77">
        <w:rPr>
          <w:rFonts w:ascii="Arial" w:hAnsi="Arial" w:cs="Arial"/>
          <w:sz w:val="24"/>
          <w:szCs w:val="24"/>
        </w:rPr>
        <w:t xml:space="preserve"> (Accessed: 6 May 2026).</w:t>
      </w:r>
    </w:p>
    <w:p w14:paraId="27A088AD" w14:textId="2498F1A6"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National Heart, Lung, and Blood Institute (2017) </w:t>
      </w:r>
      <w:r w:rsidRPr="00E81F77">
        <w:rPr>
          <w:rFonts w:ascii="Arial" w:hAnsi="Arial" w:cs="Arial"/>
          <w:i/>
          <w:iCs/>
          <w:sz w:val="24"/>
          <w:szCs w:val="24"/>
        </w:rPr>
        <w:t>COPD National Action Plan</w:t>
      </w:r>
      <w:r w:rsidRPr="00E81F77">
        <w:rPr>
          <w:rFonts w:ascii="Arial" w:hAnsi="Arial" w:cs="Arial"/>
          <w:sz w:val="24"/>
          <w:szCs w:val="24"/>
        </w:rPr>
        <w:t xml:space="preserve">. Bethesda, MD: National Institutes of Health. Available at: </w:t>
      </w:r>
      <w:hyperlink r:id="rId74" w:tgtFrame="_new" w:history="1">
        <w:r w:rsidRPr="00E81F77">
          <w:rPr>
            <w:rStyle w:val="Hyperlink"/>
            <w:rFonts w:ascii="Arial" w:hAnsi="Arial" w:cs="Arial"/>
            <w:sz w:val="24"/>
            <w:szCs w:val="24"/>
          </w:rPr>
          <w:t>https://www.nhlbi.nih.gov/sites/default/files/media/docs/National%20Action%20Plan_508c_8%2018%2017.pdf</w:t>
        </w:r>
      </w:hyperlink>
      <w:r w:rsidRPr="00E81F77">
        <w:rPr>
          <w:rFonts w:ascii="Arial" w:hAnsi="Arial" w:cs="Arial"/>
          <w:sz w:val="24"/>
          <w:szCs w:val="24"/>
        </w:rPr>
        <w:t xml:space="preserve"> (Accessed: 6 May 2026).</w:t>
      </w:r>
    </w:p>
    <w:p w14:paraId="54A80C72" w14:textId="744691CE"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National Heart, Lung, and Blood Institute (2024) </w:t>
      </w:r>
      <w:r w:rsidRPr="00E81F77">
        <w:rPr>
          <w:rFonts w:ascii="Arial" w:hAnsi="Arial" w:cs="Arial"/>
          <w:i/>
          <w:iCs/>
          <w:sz w:val="24"/>
          <w:szCs w:val="24"/>
        </w:rPr>
        <w:t>COPD: Learn More Breathe Better</w:t>
      </w:r>
      <w:r w:rsidRPr="00E81F77">
        <w:rPr>
          <w:rFonts w:ascii="Arial" w:hAnsi="Arial" w:cs="Arial"/>
          <w:sz w:val="24"/>
          <w:szCs w:val="24"/>
        </w:rPr>
        <w:t xml:space="preserve">. Available at: </w:t>
      </w:r>
      <w:hyperlink r:id="rId75" w:tgtFrame="_new" w:history="1">
        <w:r w:rsidRPr="00E81F77">
          <w:rPr>
            <w:rStyle w:val="Hyperlink"/>
            <w:rFonts w:ascii="Arial" w:hAnsi="Arial" w:cs="Arial"/>
            <w:sz w:val="24"/>
            <w:szCs w:val="24"/>
          </w:rPr>
          <w:t>https://www.nhlbi.nih.gov/health-topics/education-and-awareness/copd-learn-more-breathe-better</w:t>
        </w:r>
      </w:hyperlink>
      <w:r w:rsidRPr="00E81F77">
        <w:rPr>
          <w:rFonts w:ascii="Arial" w:hAnsi="Arial" w:cs="Arial"/>
          <w:sz w:val="24"/>
          <w:szCs w:val="24"/>
        </w:rPr>
        <w:t xml:space="preserve"> (Accessed: 6 May 2026).</w:t>
      </w:r>
    </w:p>
    <w:p w14:paraId="4DF242B6" w14:textId="7B879638"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Nici, L., Mammen, M.J., Charbek, E., et al. (2020) ‘Pharmacologic management of chronic obstructive pulmonary disease: an official American Thoracic Society clinical practice guideline’,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201(9), pp. e56–e69. Available at: </w:t>
      </w:r>
      <w:hyperlink r:id="rId76" w:tgtFrame="_new" w:history="1">
        <w:r w:rsidRPr="00E81F77">
          <w:rPr>
            <w:rStyle w:val="Hyperlink"/>
            <w:rFonts w:ascii="Arial" w:hAnsi="Arial" w:cs="Arial"/>
            <w:sz w:val="24"/>
            <w:szCs w:val="24"/>
          </w:rPr>
          <w:t>https://doi.org/10.1164/rccm.202003-0625ST</w:t>
        </w:r>
      </w:hyperlink>
      <w:r w:rsidRPr="00E81F77">
        <w:rPr>
          <w:rFonts w:ascii="Arial" w:hAnsi="Arial" w:cs="Arial"/>
          <w:sz w:val="24"/>
          <w:szCs w:val="24"/>
        </w:rPr>
        <w:t xml:space="preserve"> (Accessed: 6 May 2026).</w:t>
      </w:r>
    </w:p>
    <w:p w14:paraId="61F61D07" w14:textId="099D206A"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Odhiambo, L.A., Anaba, E., Stephens, P.C., Cheruvu, V.K. and Zullo, M.D. (2023) ‘Community-based approach to assess obstructive respiratory diseases and risk in urban African American churches’, </w:t>
      </w:r>
      <w:r w:rsidRPr="00E81F77">
        <w:rPr>
          <w:rFonts w:ascii="Arial" w:hAnsi="Arial" w:cs="Arial"/>
          <w:i/>
          <w:iCs/>
          <w:sz w:val="24"/>
          <w:szCs w:val="24"/>
        </w:rPr>
        <w:t>Journal of Immigrant and Minority Health</w:t>
      </w:r>
      <w:r w:rsidRPr="00E81F77">
        <w:rPr>
          <w:rFonts w:ascii="Arial" w:hAnsi="Arial" w:cs="Arial"/>
          <w:sz w:val="24"/>
          <w:szCs w:val="24"/>
        </w:rPr>
        <w:t xml:space="preserve">, 25(2), pp. 389–397. Available at: </w:t>
      </w:r>
      <w:hyperlink r:id="rId77" w:tgtFrame="_new" w:history="1">
        <w:r w:rsidRPr="00E81F77">
          <w:rPr>
            <w:rStyle w:val="Hyperlink"/>
            <w:rFonts w:ascii="Arial" w:hAnsi="Arial" w:cs="Arial"/>
            <w:sz w:val="24"/>
            <w:szCs w:val="24"/>
          </w:rPr>
          <w:t>https://pubmed.ncbi.nlm.nih.gov/36307622/</w:t>
        </w:r>
      </w:hyperlink>
      <w:r w:rsidRPr="00E81F77">
        <w:rPr>
          <w:rFonts w:ascii="Arial" w:hAnsi="Arial" w:cs="Arial"/>
          <w:sz w:val="24"/>
          <w:szCs w:val="24"/>
        </w:rPr>
        <w:t xml:space="preserve"> (Accessed: 6 May 2026).</w:t>
      </w:r>
    </w:p>
    <w:p w14:paraId="414AC4C1" w14:textId="73976672"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Ouzzani, M., Hammady, H., Fedorowicz, Z. and Elmagarmid, A. (2016) ‘Rayyan—a web and mobile app for systematic reviews’, </w:t>
      </w:r>
      <w:r w:rsidRPr="00E81F77">
        <w:rPr>
          <w:rFonts w:ascii="Arial" w:hAnsi="Arial" w:cs="Arial"/>
          <w:i/>
          <w:iCs/>
          <w:sz w:val="24"/>
          <w:szCs w:val="24"/>
        </w:rPr>
        <w:t>Systematic Reviews</w:t>
      </w:r>
      <w:r w:rsidRPr="00E81F77">
        <w:rPr>
          <w:rFonts w:ascii="Arial" w:hAnsi="Arial" w:cs="Arial"/>
          <w:sz w:val="24"/>
          <w:szCs w:val="24"/>
        </w:rPr>
        <w:t xml:space="preserve">, 5(1), p. 210. Available at: </w:t>
      </w:r>
      <w:hyperlink r:id="rId78" w:tgtFrame="_new" w:history="1">
        <w:r w:rsidRPr="00E81F77">
          <w:rPr>
            <w:rStyle w:val="Hyperlink"/>
            <w:rFonts w:ascii="Arial" w:hAnsi="Arial" w:cs="Arial"/>
            <w:sz w:val="24"/>
            <w:szCs w:val="24"/>
          </w:rPr>
          <w:t>https://doi.org/10.1186/s13643-016-0384-4</w:t>
        </w:r>
      </w:hyperlink>
      <w:r w:rsidRPr="00E81F77">
        <w:rPr>
          <w:rFonts w:ascii="Arial" w:hAnsi="Arial" w:cs="Arial"/>
          <w:sz w:val="24"/>
          <w:szCs w:val="24"/>
        </w:rPr>
        <w:t xml:space="preserve"> (Accessed: 6 May 2026).</w:t>
      </w:r>
    </w:p>
    <w:p w14:paraId="6C6AFDB2" w14:textId="5AAE6DBB"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Page, M.J., McKenzie, J.E., Bossuyt, P.M., et al. (2021) ‘PRISMA 2020 statement’, </w:t>
      </w:r>
      <w:r w:rsidRPr="00E81F77">
        <w:rPr>
          <w:rFonts w:ascii="Arial" w:hAnsi="Arial" w:cs="Arial"/>
          <w:i/>
          <w:iCs/>
          <w:sz w:val="24"/>
          <w:szCs w:val="24"/>
        </w:rPr>
        <w:t>BMJ</w:t>
      </w:r>
      <w:r w:rsidRPr="00E81F77">
        <w:rPr>
          <w:rFonts w:ascii="Arial" w:hAnsi="Arial" w:cs="Arial"/>
          <w:sz w:val="24"/>
          <w:szCs w:val="24"/>
        </w:rPr>
        <w:t xml:space="preserve">, 372, n71. Available at: </w:t>
      </w:r>
      <w:hyperlink r:id="rId79" w:tgtFrame="_new" w:history="1">
        <w:r w:rsidRPr="00E81F77">
          <w:rPr>
            <w:rStyle w:val="Hyperlink"/>
            <w:rFonts w:ascii="Arial" w:hAnsi="Arial" w:cs="Arial"/>
            <w:sz w:val="24"/>
            <w:szCs w:val="24"/>
          </w:rPr>
          <w:t>https://doi.org/10.1136/bmj.n71</w:t>
        </w:r>
      </w:hyperlink>
      <w:r w:rsidRPr="00E81F77">
        <w:rPr>
          <w:rFonts w:ascii="Arial" w:hAnsi="Arial" w:cs="Arial"/>
          <w:sz w:val="24"/>
          <w:szCs w:val="24"/>
        </w:rPr>
        <w:t xml:space="preserve"> (Accessed: 6 May 2026).</w:t>
      </w:r>
    </w:p>
    <w:p w14:paraId="5F9390D8" w14:textId="6AABD966"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Phelan, J.C., Link, B.G. and Tehranifar, P. (2010) ‘Social conditions as fundamental causes of health inequalities: theory, evidence, and policy implications’, </w:t>
      </w:r>
      <w:r w:rsidRPr="00E81F77">
        <w:rPr>
          <w:rFonts w:ascii="Arial" w:hAnsi="Arial" w:cs="Arial"/>
          <w:i/>
          <w:iCs/>
          <w:sz w:val="24"/>
          <w:szCs w:val="24"/>
        </w:rPr>
        <w:t>Journal of Health and Social Behavior</w:t>
      </w:r>
      <w:r w:rsidRPr="00E81F77">
        <w:rPr>
          <w:rFonts w:ascii="Arial" w:hAnsi="Arial" w:cs="Arial"/>
          <w:sz w:val="24"/>
          <w:szCs w:val="24"/>
        </w:rPr>
        <w:t xml:space="preserve">, 51(1_suppl), pp. S28–S40. Available at: </w:t>
      </w:r>
      <w:hyperlink r:id="rId80" w:tgtFrame="_new" w:history="1">
        <w:r w:rsidRPr="00E81F77">
          <w:rPr>
            <w:rStyle w:val="Hyperlink"/>
            <w:rFonts w:ascii="Arial" w:hAnsi="Arial" w:cs="Arial"/>
            <w:sz w:val="24"/>
            <w:szCs w:val="24"/>
          </w:rPr>
          <w:t>https://journals.sagepub.com/doi/10.1177/0022146510383498</w:t>
        </w:r>
      </w:hyperlink>
      <w:r w:rsidRPr="00E81F77">
        <w:rPr>
          <w:rFonts w:ascii="Arial" w:hAnsi="Arial" w:cs="Arial"/>
          <w:sz w:val="24"/>
          <w:szCs w:val="24"/>
        </w:rPr>
        <w:t xml:space="preserve"> (Accessed: 6 May 2026).</w:t>
      </w:r>
    </w:p>
    <w:p w14:paraId="3B289FFC" w14:textId="69BE0C23"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Phelan, J.C. and Link, B.G. (2015) ‘Is racism a fundamental cause of inequalities in health?’, </w:t>
      </w:r>
      <w:r w:rsidRPr="00E81F77">
        <w:rPr>
          <w:rFonts w:ascii="Arial" w:hAnsi="Arial" w:cs="Arial"/>
          <w:i/>
          <w:iCs/>
          <w:sz w:val="24"/>
          <w:szCs w:val="24"/>
        </w:rPr>
        <w:t>Annual Review of Sociology</w:t>
      </w:r>
      <w:r w:rsidRPr="00E81F77">
        <w:rPr>
          <w:rFonts w:ascii="Arial" w:hAnsi="Arial" w:cs="Arial"/>
          <w:sz w:val="24"/>
          <w:szCs w:val="24"/>
        </w:rPr>
        <w:t xml:space="preserve">, 41, pp. 311–330. Available at: </w:t>
      </w:r>
      <w:hyperlink r:id="rId81" w:tgtFrame="_new" w:history="1">
        <w:r w:rsidRPr="00E81F77">
          <w:rPr>
            <w:rStyle w:val="Hyperlink"/>
            <w:rFonts w:ascii="Arial" w:hAnsi="Arial" w:cs="Arial"/>
            <w:sz w:val="24"/>
            <w:szCs w:val="24"/>
          </w:rPr>
          <w:t>https://doi.org/10.1146/annurev-soc-073014-112305</w:t>
        </w:r>
      </w:hyperlink>
      <w:r w:rsidRPr="00E81F77">
        <w:rPr>
          <w:rFonts w:ascii="Arial" w:hAnsi="Arial" w:cs="Arial"/>
          <w:sz w:val="24"/>
          <w:szCs w:val="24"/>
        </w:rPr>
        <w:t xml:space="preserve"> (Accessed: 6 May 2026).</w:t>
      </w:r>
    </w:p>
    <w:p w14:paraId="208E6782" w14:textId="54B8B104"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Popay, J., Roberts, H., Sowden, A., et al. (2006) </w:t>
      </w:r>
      <w:r w:rsidRPr="00E81F77">
        <w:rPr>
          <w:rFonts w:ascii="Arial" w:hAnsi="Arial" w:cs="Arial"/>
          <w:i/>
          <w:iCs/>
          <w:sz w:val="24"/>
          <w:szCs w:val="24"/>
        </w:rPr>
        <w:t>Guidance on the conduct of narrative synthesis in systematic reviews: a product from the ESRC Methods Programme</w:t>
      </w:r>
      <w:r w:rsidRPr="00E81F77">
        <w:rPr>
          <w:rFonts w:ascii="Arial" w:hAnsi="Arial" w:cs="Arial"/>
          <w:sz w:val="24"/>
          <w:szCs w:val="24"/>
        </w:rPr>
        <w:t xml:space="preserve">. Available at: </w:t>
      </w:r>
      <w:hyperlink r:id="rId82" w:tgtFrame="_new" w:history="1">
        <w:r w:rsidRPr="00E81F77">
          <w:rPr>
            <w:rStyle w:val="Hyperlink"/>
            <w:rFonts w:ascii="Arial" w:hAnsi="Arial" w:cs="Arial"/>
            <w:sz w:val="24"/>
            <w:szCs w:val="24"/>
          </w:rPr>
          <w:t>https://www.york.ac.uk/media/crd/Guidance%20on%20the%20conduct%20of%20narrative%20synthesis%20in%20systematic%20review.pdf</w:t>
        </w:r>
      </w:hyperlink>
      <w:r w:rsidRPr="00E81F77">
        <w:rPr>
          <w:rFonts w:ascii="Arial" w:hAnsi="Arial" w:cs="Arial"/>
          <w:sz w:val="24"/>
          <w:szCs w:val="24"/>
        </w:rPr>
        <w:t xml:space="preserve"> (Accessed: 6 May 2026).</w:t>
      </w:r>
    </w:p>
    <w:p w14:paraId="12259B5B" w14:textId="1D2EEDB8"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Puhan, M.A., Gimeno-Santos, E., Cates, C.J. and Troosters, T. (2016) ‘Pulmonary rehabilitation following exacerbations of chronic obstructive pulmonary disease’, </w:t>
      </w:r>
      <w:r w:rsidRPr="00E81F77">
        <w:rPr>
          <w:rFonts w:ascii="Arial" w:hAnsi="Arial" w:cs="Arial"/>
          <w:i/>
          <w:iCs/>
          <w:sz w:val="24"/>
          <w:szCs w:val="24"/>
        </w:rPr>
        <w:t>Cochrane Database of Systematic Reviews</w:t>
      </w:r>
      <w:r w:rsidRPr="00E81F77">
        <w:rPr>
          <w:rFonts w:ascii="Arial" w:hAnsi="Arial" w:cs="Arial"/>
          <w:sz w:val="24"/>
          <w:szCs w:val="24"/>
        </w:rPr>
        <w:t xml:space="preserve">, 2016(12), CD005305. Available at: </w:t>
      </w:r>
      <w:hyperlink r:id="rId83" w:tgtFrame="_new" w:history="1">
        <w:r w:rsidRPr="00E81F77">
          <w:rPr>
            <w:rStyle w:val="Hyperlink"/>
            <w:rFonts w:ascii="Arial" w:hAnsi="Arial" w:cs="Arial"/>
            <w:sz w:val="24"/>
            <w:szCs w:val="24"/>
          </w:rPr>
          <w:t>https://doi.org/10.1002/14651858.CD005305.pub4</w:t>
        </w:r>
      </w:hyperlink>
      <w:r w:rsidRPr="00E81F77">
        <w:rPr>
          <w:rFonts w:ascii="Arial" w:hAnsi="Arial" w:cs="Arial"/>
          <w:sz w:val="24"/>
          <w:szCs w:val="24"/>
        </w:rPr>
        <w:t xml:space="preserve"> (Accessed: 6 May 2026).</w:t>
      </w:r>
    </w:p>
    <w:p w14:paraId="47C59D38" w14:textId="64988DA6"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Putcha, N., Han, M.K., Martinez, C.H., et al. (2014) ‘Comorbidities of COPD have a major impact on clinical outcomes, particularly in African Americans’, </w:t>
      </w:r>
      <w:r w:rsidRPr="00E81F77">
        <w:rPr>
          <w:rFonts w:ascii="Arial" w:hAnsi="Arial" w:cs="Arial"/>
          <w:i/>
          <w:iCs/>
          <w:sz w:val="24"/>
          <w:szCs w:val="24"/>
        </w:rPr>
        <w:t>Chronic Obstructive Pulmonary Diseases: Journal of the COPD Foundation</w:t>
      </w:r>
      <w:r w:rsidRPr="00E81F77">
        <w:rPr>
          <w:rFonts w:ascii="Arial" w:hAnsi="Arial" w:cs="Arial"/>
          <w:sz w:val="24"/>
          <w:szCs w:val="24"/>
        </w:rPr>
        <w:t xml:space="preserve">, 1(1), pp. 105–114. Available at: </w:t>
      </w:r>
      <w:hyperlink r:id="rId84" w:tgtFrame="_new" w:history="1">
        <w:r w:rsidRPr="00E81F77">
          <w:rPr>
            <w:rStyle w:val="Hyperlink"/>
            <w:rFonts w:ascii="Arial" w:hAnsi="Arial" w:cs="Arial"/>
            <w:sz w:val="24"/>
            <w:szCs w:val="24"/>
          </w:rPr>
          <w:t>https://journal.copdfoundation.org/jcopdf/id/1028/Comorbidities-of-COPD-Have-a-Major-Impact-on-Clinical-Outcomes-Particularly-in-African-Americans</w:t>
        </w:r>
      </w:hyperlink>
      <w:r w:rsidRPr="00E81F77">
        <w:rPr>
          <w:rFonts w:ascii="Arial" w:hAnsi="Arial" w:cs="Arial"/>
          <w:sz w:val="24"/>
          <w:szCs w:val="24"/>
        </w:rPr>
        <w:t xml:space="preserve"> (Accessed: 6 May 2026).</w:t>
      </w:r>
    </w:p>
    <w:p w14:paraId="032D38CD" w14:textId="1DDB0724"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Quaderi, S.A. and Hurst, J.R. (2018) ‘The unmet global burden of COPD’, </w:t>
      </w:r>
      <w:r w:rsidRPr="00E81F77">
        <w:rPr>
          <w:rFonts w:ascii="Arial" w:hAnsi="Arial" w:cs="Arial"/>
          <w:i/>
          <w:iCs/>
          <w:sz w:val="24"/>
          <w:szCs w:val="24"/>
        </w:rPr>
        <w:t>Global Health, Epidemiology and Genomics</w:t>
      </w:r>
      <w:r w:rsidRPr="00E81F77">
        <w:rPr>
          <w:rFonts w:ascii="Arial" w:hAnsi="Arial" w:cs="Arial"/>
          <w:sz w:val="24"/>
          <w:szCs w:val="24"/>
        </w:rPr>
        <w:t xml:space="preserve">, 3, e4. Available at: </w:t>
      </w:r>
      <w:hyperlink r:id="rId85" w:tgtFrame="_new" w:history="1">
        <w:r w:rsidRPr="00E81F77">
          <w:rPr>
            <w:rStyle w:val="Hyperlink"/>
            <w:rFonts w:ascii="Arial" w:hAnsi="Arial" w:cs="Arial"/>
            <w:sz w:val="24"/>
            <w:szCs w:val="24"/>
          </w:rPr>
          <w:t>https://doi.org/10.1017/gheg.2018.1</w:t>
        </w:r>
      </w:hyperlink>
      <w:r w:rsidRPr="00E81F77">
        <w:rPr>
          <w:rFonts w:ascii="Arial" w:hAnsi="Arial" w:cs="Arial"/>
          <w:sz w:val="24"/>
          <w:szCs w:val="24"/>
        </w:rPr>
        <w:t xml:space="preserve"> (Accessed: 6 May 2026).</w:t>
      </w:r>
    </w:p>
    <w:p w14:paraId="78E8C093" w14:textId="31A36BE5"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Quanjer, P.H., Stanojevic, S., Cole, T.J., et al. (2012) ‘Multi-ethnic reference values for spirometry for the 3–95-year age range: the Global Lung Function 2012 equations’, </w:t>
      </w:r>
      <w:r w:rsidRPr="00E81F77">
        <w:rPr>
          <w:rFonts w:ascii="Arial" w:hAnsi="Arial" w:cs="Arial"/>
          <w:i/>
          <w:iCs/>
          <w:sz w:val="24"/>
          <w:szCs w:val="24"/>
        </w:rPr>
        <w:t>European Respiratory Journal</w:t>
      </w:r>
      <w:r w:rsidRPr="00E81F77">
        <w:rPr>
          <w:rFonts w:ascii="Arial" w:hAnsi="Arial" w:cs="Arial"/>
          <w:sz w:val="24"/>
          <w:szCs w:val="24"/>
        </w:rPr>
        <w:t xml:space="preserve">, 40(6), pp. 1324–1343. Available at: </w:t>
      </w:r>
      <w:hyperlink r:id="rId86" w:tgtFrame="_new" w:history="1">
        <w:r w:rsidRPr="00E81F77">
          <w:rPr>
            <w:rStyle w:val="Hyperlink"/>
            <w:rFonts w:ascii="Arial" w:hAnsi="Arial" w:cs="Arial"/>
            <w:sz w:val="24"/>
            <w:szCs w:val="24"/>
          </w:rPr>
          <w:t>https://doi.org/10.1183/09031936.00080312</w:t>
        </w:r>
      </w:hyperlink>
      <w:r w:rsidRPr="00E81F77">
        <w:rPr>
          <w:rFonts w:ascii="Arial" w:hAnsi="Arial" w:cs="Arial"/>
          <w:sz w:val="24"/>
          <w:szCs w:val="24"/>
        </w:rPr>
        <w:t xml:space="preserve"> (Accessed: 6 May 2026).</w:t>
      </w:r>
    </w:p>
    <w:p w14:paraId="1430B8C6" w14:textId="4A2A2FAC"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Rea, J., Babek, J.T., Anderson, R.M., Bacani, R., Staggs, J. and Vassar, M. (2024) ‘The current state of health inequities in COPD’, </w:t>
      </w:r>
      <w:r w:rsidRPr="00E81F77">
        <w:rPr>
          <w:rFonts w:ascii="Arial" w:hAnsi="Arial" w:cs="Arial"/>
          <w:i/>
          <w:iCs/>
          <w:sz w:val="24"/>
          <w:szCs w:val="24"/>
        </w:rPr>
        <w:t>Respiratory Care</w:t>
      </w:r>
      <w:r w:rsidRPr="00E81F77">
        <w:rPr>
          <w:rFonts w:ascii="Arial" w:hAnsi="Arial" w:cs="Arial"/>
          <w:sz w:val="24"/>
          <w:szCs w:val="24"/>
        </w:rPr>
        <w:t xml:space="preserve">, 69(2), pp. 238–249. Available at: </w:t>
      </w:r>
      <w:hyperlink r:id="rId87" w:tgtFrame="_new" w:history="1">
        <w:r w:rsidRPr="00E81F77">
          <w:rPr>
            <w:rStyle w:val="Hyperlink"/>
            <w:rFonts w:ascii="Arial" w:hAnsi="Arial" w:cs="Arial"/>
            <w:sz w:val="24"/>
            <w:szCs w:val="24"/>
          </w:rPr>
          <w:t>https://pubmed.ncbi.nlm.nih.gov/37848254/</w:t>
        </w:r>
      </w:hyperlink>
      <w:r w:rsidRPr="00E81F77">
        <w:rPr>
          <w:rFonts w:ascii="Arial" w:hAnsi="Arial" w:cs="Arial"/>
          <w:sz w:val="24"/>
          <w:szCs w:val="24"/>
        </w:rPr>
        <w:t xml:space="preserve"> (Accessed: 6 May 2026).</w:t>
      </w:r>
    </w:p>
    <w:p w14:paraId="2C2D4797" w14:textId="6EB0068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Regan, E.A., Hokanson, J.E., Murphy, J.R., Make, B., Lynch, D.A., Beaty, T.H., Curran-Everett, D., Silverman, E.K. and Crapo, J.D. (2010) ‘Genetic epidemiology of COPD (COPDGene) study design’, </w:t>
      </w:r>
      <w:r w:rsidRPr="00E81F77">
        <w:rPr>
          <w:rFonts w:ascii="Arial" w:hAnsi="Arial" w:cs="Arial"/>
          <w:i/>
          <w:iCs/>
          <w:sz w:val="24"/>
          <w:szCs w:val="24"/>
        </w:rPr>
        <w:t>COPD: Journal of Chronic Obstructive Pulmonary Disease</w:t>
      </w:r>
      <w:r w:rsidRPr="00E81F77">
        <w:rPr>
          <w:rFonts w:ascii="Arial" w:hAnsi="Arial" w:cs="Arial"/>
          <w:sz w:val="24"/>
          <w:szCs w:val="24"/>
        </w:rPr>
        <w:t xml:space="preserve">, 7(1), pp. 32–43. Available at: </w:t>
      </w:r>
      <w:hyperlink r:id="rId88" w:tgtFrame="_new" w:history="1">
        <w:r w:rsidRPr="00E81F77">
          <w:rPr>
            <w:rStyle w:val="Hyperlink"/>
            <w:rFonts w:ascii="Arial" w:hAnsi="Arial" w:cs="Arial"/>
            <w:sz w:val="24"/>
            <w:szCs w:val="24"/>
          </w:rPr>
          <w:t>https://doi.org/10.3109/15412550903499522</w:t>
        </w:r>
      </w:hyperlink>
      <w:r w:rsidRPr="00E81F77">
        <w:rPr>
          <w:rFonts w:ascii="Arial" w:hAnsi="Arial" w:cs="Arial"/>
          <w:sz w:val="24"/>
          <w:szCs w:val="24"/>
        </w:rPr>
        <w:t xml:space="preserve"> (Accessed: 6 May 2026).</w:t>
      </w:r>
    </w:p>
    <w:p w14:paraId="60204684" w14:textId="056CA659"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Regan, E.A., et al. (2023) ‘Use of the spirometric “fixed-ratio” underdiagnoses COPD in African Americans’, </w:t>
      </w:r>
      <w:r w:rsidRPr="00E81F77">
        <w:rPr>
          <w:rFonts w:ascii="Arial" w:hAnsi="Arial" w:cs="Arial"/>
          <w:i/>
          <w:iCs/>
          <w:sz w:val="24"/>
          <w:szCs w:val="24"/>
        </w:rPr>
        <w:t>Journal of General Internal Medicine</w:t>
      </w:r>
      <w:r w:rsidRPr="00E81F77">
        <w:rPr>
          <w:rFonts w:ascii="Arial" w:hAnsi="Arial" w:cs="Arial"/>
          <w:sz w:val="24"/>
          <w:szCs w:val="24"/>
        </w:rPr>
        <w:t xml:space="preserve">, 38(13), pp. 2988–2997. Available at: </w:t>
      </w:r>
      <w:hyperlink r:id="rId89" w:tgtFrame="_new" w:history="1">
        <w:r w:rsidRPr="00E81F77">
          <w:rPr>
            <w:rStyle w:val="Hyperlink"/>
            <w:rFonts w:ascii="Arial" w:hAnsi="Arial" w:cs="Arial"/>
            <w:sz w:val="24"/>
            <w:szCs w:val="24"/>
          </w:rPr>
          <w:t>https://pubmed.ncbi.nlm.nih.gov/37072532/</w:t>
        </w:r>
      </w:hyperlink>
      <w:r w:rsidRPr="00E81F77">
        <w:rPr>
          <w:rFonts w:ascii="Arial" w:hAnsi="Arial" w:cs="Arial"/>
          <w:sz w:val="24"/>
          <w:szCs w:val="24"/>
        </w:rPr>
        <w:t xml:space="preserve"> (Accessed: 6 May 2026).</w:t>
      </w:r>
    </w:p>
    <w:p w14:paraId="513E2DEA" w14:textId="758FB564" w:rsidR="00CD69CF" w:rsidRPr="00E81F77" w:rsidRDefault="00CD69CF" w:rsidP="00CD69CF">
      <w:pPr>
        <w:ind w:left="360"/>
        <w:jc w:val="both"/>
        <w:rPr>
          <w:rFonts w:ascii="Arial" w:hAnsi="Arial" w:cs="Arial"/>
          <w:sz w:val="24"/>
          <w:szCs w:val="24"/>
        </w:rPr>
      </w:pPr>
      <w:r w:rsidRPr="00E81F77">
        <w:rPr>
          <w:rFonts w:ascii="Arial" w:hAnsi="Arial" w:cs="Arial"/>
          <w:sz w:val="24"/>
          <w:szCs w:val="24"/>
        </w:rPr>
        <w:lastRenderedPageBreak/>
        <w:t xml:space="preserve">Rethlefsen, M.L., Kirtley, S., Waffenschmidt, S., et al. (2021) ‘PRISMA-S: an extension to the PRISMA Statement for reporting literature searches in systematic reviews’, </w:t>
      </w:r>
      <w:r w:rsidRPr="00E81F77">
        <w:rPr>
          <w:rFonts w:ascii="Arial" w:hAnsi="Arial" w:cs="Arial"/>
          <w:i/>
          <w:iCs/>
          <w:sz w:val="24"/>
          <w:szCs w:val="24"/>
        </w:rPr>
        <w:t>Systematic Reviews</w:t>
      </w:r>
      <w:r w:rsidRPr="00E81F77">
        <w:rPr>
          <w:rFonts w:ascii="Arial" w:hAnsi="Arial" w:cs="Arial"/>
          <w:sz w:val="24"/>
          <w:szCs w:val="24"/>
        </w:rPr>
        <w:t xml:space="preserve">, 10, p. 39. Available at: </w:t>
      </w:r>
      <w:hyperlink r:id="rId90" w:history="1">
        <w:r w:rsidR="00600B32" w:rsidRPr="00600B32">
          <w:rPr>
            <w:rStyle w:val="Hyperlink"/>
            <w:rFonts w:ascii="Arial" w:hAnsi="Arial" w:cs="Arial"/>
            <w:sz w:val="24"/>
            <w:szCs w:val="24"/>
          </w:rPr>
          <w:t>https://doi.org/10.1186/s13643-020-01542-z</w:t>
        </w:r>
      </w:hyperlink>
      <w:r w:rsidR="00600B32" w:rsidRPr="00600B32">
        <w:rPr>
          <w:rFonts w:ascii="Arial" w:hAnsi="Arial" w:cs="Arial"/>
          <w:sz w:val="24"/>
          <w:szCs w:val="24"/>
        </w:rPr>
        <w:t xml:space="preserve"> </w:t>
      </w:r>
      <w:r w:rsidRPr="00E81F77">
        <w:rPr>
          <w:rFonts w:ascii="Arial" w:hAnsi="Arial" w:cs="Arial"/>
          <w:sz w:val="24"/>
          <w:szCs w:val="24"/>
        </w:rPr>
        <w:t>(Accessed: 6 May 2026).</w:t>
      </w:r>
    </w:p>
    <w:p w14:paraId="59743C6D" w14:textId="4B285E6B"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Schraufnagel, D.E., Blasi, F., Kraft, M., Gaga, M., Finn, P.W. and Rabe, K.F. (2013) ‘An official American Thoracic Society/European Respiratory Society policy statement: disparities in respiratory health’,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188(7), pp. 865–871. Available at: </w:t>
      </w:r>
      <w:hyperlink r:id="rId91" w:tgtFrame="_new" w:history="1">
        <w:r w:rsidRPr="00E81F77">
          <w:rPr>
            <w:rStyle w:val="Hyperlink"/>
            <w:rFonts w:ascii="Arial" w:hAnsi="Arial" w:cs="Arial"/>
            <w:sz w:val="24"/>
            <w:szCs w:val="24"/>
          </w:rPr>
          <w:t>https://doi.org/10.1164/rccm.201308-1509ST</w:t>
        </w:r>
      </w:hyperlink>
      <w:r w:rsidRPr="00E81F77">
        <w:rPr>
          <w:rFonts w:ascii="Arial" w:hAnsi="Arial" w:cs="Arial"/>
          <w:sz w:val="24"/>
          <w:szCs w:val="24"/>
        </w:rPr>
        <w:t xml:space="preserve"> (Accessed: 6 May 2026).</w:t>
      </w:r>
    </w:p>
    <w:p w14:paraId="5B3F1A4E"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Schraufnagel, D.E., Balmes, J.R., Cowl, C.T., et al. (2019) ‘Air pollution and noncommunicable diseases: a review by the Forum of International Respiratory Societies’,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200(6), pp. 650–658. Available at: </w:t>
      </w:r>
      <w:hyperlink r:id="rId92" w:tgtFrame="_new" w:history="1">
        <w:r w:rsidRPr="00E81F77">
          <w:rPr>
            <w:rStyle w:val="Hyperlink"/>
            <w:rFonts w:ascii="Arial" w:hAnsi="Arial" w:cs="Arial"/>
            <w:sz w:val="24"/>
            <w:szCs w:val="24"/>
          </w:rPr>
          <w:t>https://www.sciencedirect.com/science/article/abs/pii/S0012369218327223</w:t>
        </w:r>
      </w:hyperlink>
      <w:r w:rsidRPr="00E81F77">
        <w:rPr>
          <w:rFonts w:ascii="Arial" w:hAnsi="Arial" w:cs="Arial"/>
          <w:sz w:val="24"/>
          <w:szCs w:val="24"/>
        </w:rPr>
        <w:t xml:space="preserve"> (Accessed: 6 May 2026).</w:t>
      </w:r>
    </w:p>
    <w:p w14:paraId="1EE11414"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Schrijver, J., Lenferink, A., Brusse-Keizer, M., et al. (2022) ‘Self-management interventions for people with chronic obstructive pulmonary disease’, </w:t>
      </w:r>
      <w:r w:rsidRPr="00E81F77">
        <w:rPr>
          <w:rFonts w:ascii="Arial" w:hAnsi="Arial" w:cs="Arial"/>
          <w:i/>
          <w:iCs/>
          <w:sz w:val="24"/>
          <w:szCs w:val="24"/>
        </w:rPr>
        <w:t>Cochrane Database of Systematic Reviews</w:t>
      </w:r>
      <w:r w:rsidRPr="00E81F77">
        <w:rPr>
          <w:rFonts w:ascii="Arial" w:hAnsi="Arial" w:cs="Arial"/>
          <w:sz w:val="24"/>
          <w:szCs w:val="24"/>
        </w:rPr>
        <w:t xml:space="preserve">, 2022(1), CD002990. Available at: </w:t>
      </w:r>
      <w:hyperlink r:id="rId93" w:tgtFrame="_new" w:history="1">
        <w:r w:rsidRPr="00E81F77">
          <w:rPr>
            <w:rStyle w:val="Hyperlink"/>
            <w:rFonts w:ascii="Arial" w:hAnsi="Arial" w:cs="Arial"/>
            <w:sz w:val="24"/>
            <w:szCs w:val="24"/>
          </w:rPr>
          <w:t>https://doi.org/10.1002/14651858.CD002990.pub4</w:t>
        </w:r>
      </w:hyperlink>
      <w:r w:rsidRPr="00E81F77">
        <w:rPr>
          <w:rFonts w:ascii="Arial" w:hAnsi="Arial" w:cs="Arial"/>
          <w:sz w:val="24"/>
          <w:szCs w:val="24"/>
        </w:rPr>
        <w:t xml:space="preserve"> (Accessed: 6 May 2026).</w:t>
      </w:r>
    </w:p>
    <w:p w14:paraId="3BCC12C4"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Shaya, F.T., Maneval, M.S., Gbarayor, C.M., et al. (2009) ‘Burden of COPD, asthma, and concomitant COPD and asthma among adults: racial disparities in a Medicaid population’, </w:t>
      </w:r>
      <w:r w:rsidRPr="00E81F77">
        <w:rPr>
          <w:rFonts w:ascii="Arial" w:hAnsi="Arial" w:cs="Arial"/>
          <w:i/>
          <w:iCs/>
          <w:sz w:val="24"/>
          <w:szCs w:val="24"/>
        </w:rPr>
        <w:t>Chest</w:t>
      </w:r>
      <w:r w:rsidRPr="00E81F77">
        <w:rPr>
          <w:rFonts w:ascii="Arial" w:hAnsi="Arial" w:cs="Arial"/>
          <w:sz w:val="24"/>
          <w:szCs w:val="24"/>
        </w:rPr>
        <w:t xml:space="preserve">, 136(2), pp. 405–411. Available at: </w:t>
      </w:r>
      <w:hyperlink r:id="rId94" w:tgtFrame="_new" w:history="1">
        <w:r w:rsidRPr="00E81F77">
          <w:rPr>
            <w:rStyle w:val="Hyperlink"/>
            <w:rFonts w:ascii="Arial" w:hAnsi="Arial" w:cs="Arial"/>
            <w:sz w:val="24"/>
            <w:szCs w:val="24"/>
          </w:rPr>
          <w:t>https://doi.org/10.1378/chest.08-2304</w:t>
        </w:r>
      </w:hyperlink>
      <w:r w:rsidRPr="00E81F77">
        <w:rPr>
          <w:rFonts w:ascii="Arial" w:hAnsi="Arial" w:cs="Arial"/>
          <w:sz w:val="24"/>
          <w:szCs w:val="24"/>
        </w:rPr>
        <w:t xml:space="preserve"> (Accessed: 6 May 2026).</w:t>
      </w:r>
    </w:p>
    <w:p w14:paraId="1EF8B854"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Singh, S.J., ZuWallack, R.L., Garvey, C. and Spruit, M.A. (2013) ‘Learn from the past and create the future: the 2013 ATS/ERS statement on pulmonary rehabilitation’, </w:t>
      </w:r>
      <w:r w:rsidRPr="00E81F77">
        <w:rPr>
          <w:rFonts w:ascii="Arial" w:hAnsi="Arial" w:cs="Arial"/>
          <w:i/>
          <w:iCs/>
          <w:sz w:val="24"/>
          <w:szCs w:val="24"/>
        </w:rPr>
        <w:t>European Respiratory Journal</w:t>
      </w:r>
      <w:r w:rsidRPr="00E81F77">
        <w:rPr>
          <w:rFonts w:ascii="Arial" w:hAnsi="Arial" w:cs="Arial"/>
          <w:sz w:val="24"/>
          <w:szCs w:val="24"/>
        </w:rPr>
        <w:t xml:space="preserve">, 42(5), pp. 1169–1174. Available at: </w:t>
      </w:r>
      <w:hyperlink r:id="rId95" w:tgtFrame="_new" w:history="1">
        <w:r w:rsidRPr="00E81F77">
          <w:rPr>
            <w:rStyle w:val="Hyperlink"/>
            <w:rFonts w:ascii="Arial" w:hAnsi="Arial" w:cs="Arial"/>
            <w:sz w:val="24"/>
            <w:szCs w:val="24"/>
          </w:rPr>
          <w:t>https://doi.org/10.1183/09031936.00207912</w:t>
        </w:r>
      </w:hyperlink>
      <w:r w:rsidRPr="00E81F77">
        <w:rPr>
          <w:rFonts w:ascii="Arial" w:hAnsi="Arial" w:cs="Arial"/>
          <w:sz w:val="24"/>
          <w:szCs w:val="24"/>
        </w:rPr>
        <w:t xml:space="preserve"> (Accessed: 6 May 2026).</w:t>
      </w:r>
    </w:p>
    <w:p w14:paraId="46C44129" w14:textId="4227EE5A"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Siu, D.C.H., Wiener, R.S., Shapiro, S.D., et al. (2024) ‘Addressing barriers to chronic obstructive pulmonary disease care: three innovative evidence-based approaches’, </w:t>
      </w:r>
      <w:r w:rsidRPr="00E81F77">
        <w:rPr>
          <w:rFonts w:ascii="Arial" w:hAnsi="Arial" w:cs="Arial"/>
          <w:i/>
          <w:iCs/>
          <w:sz w:val="24"/>
          <w:szCs w:val="24"/>
        </w:rPr>
        <w:t>Chest</w:t>
      </w:r>
      <w:r w:rsidRPr="00E81F77">
        <w:rPr>
          <w:rFonts w:ascii="Arial" w:hAnsi="Arial" w:cs="Arial"/>
          <w:sz w:val="24"/>
          <w:szCs w:val="24"/>
        </w:rPr>
        <w:t xml:space="preserve">, 165(2), pp. 424–436. Available at: </w:t>
      </w:r>
      <w:hyperlink r:id="rId96" w:tgtFrame="_new" w:history="1">
        <w:r w:rsidRPr="00E81F77">
          <w:rPr>
            <w:rStyle w:val="Hyperlink"/>
            <w:rFonts w:ascii="Arial" w:hAnsi="Arial" w:cs="Arial"/>
            <w:sz w:val="24"/>
            <w:szCs w:val="24"/>
          </w:rPr>
          <w:t>https://pubmed.ncbi.nlm.nih.gov/38317666/</w:t>
        </w:r>
      </w:hyperlink>
      <w:r w:rsidRPr="00E81F77">
        <w:rPr>
          <w:rFonts w:ascii="Arial" w:hAnsi="Arial" w:cs="Arial"/>
          <w:sz w:val="24"/>
          <w:szCs w:val="24"/>
        </w:rPr>
        <w:t xml:space="preserve"> (Accessed: 6 May 2026).</w:t>
      </w:r>
    </w:p>
    <w:p w14:paraId="7204A925" w14:textId="3FE453C5"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Solar, O. and Irwin, A. (2010) </w:t>
      </w:r>
      <w:r w:rsidRPr="00E81F77">
        <w:rPr>
          <w:rFonts w:ascii="Arial" w:hAnsi="Arial" w:cs="Arial"/>
          <w:i/>
          <w:iCs/>
          <w:sz w:val="24"/>
          <w:szCs w:val="24"/>
        </w:rPr>
        <w:t>A conceptual framework for action on the social determinants of health</w:t>
      </w:r>
      <w:r w:rsidRPr="00E81F77">
        <w:rPr>
          <w:rFonts w:ascii="Arial" w:hAnsi="Arial" w:cs="Arial"/>
          <w:sz w:val="24"/>
          <w:szCs w:val="24"/>
        </w:rPr>
        <w:t xml:space="preserve">. Geneva: World Health Organization. Available at: </w:t>
      </w:r>
      <w:hyperlink r:id="rId97" w:history="1">
        <w:r w:rsidR="00600B32" w:rsidRPr="00600B32">
          <w:rPr>
            <w:rStyle w:val="Hyperlink"/>
            <w:rFonts w:ascii="Arial" w:hAnsi="Arial" w:cs="Arial"/>
            <w:sz w:val="24"/>
            <w:szCs w:val="24"/>
          </w:rPr>
          <w:t>https://iris.who.int/handle/10665/44489</w:t>
        </w:r>
      </w:hyperlink>
      <w:r w:rsidRPr="00E81F77">
        <w:rPr>
          <w:rFonts w:ascii="Arial" w:hAnsi="Arial" w:cs="Arial"/>
          <w:sz w:val="24"/>
          <w:szCs w:val="24"/>
        </w:rPr>
        <w:t xml:space="preserve"> (Accessed: 6 May 2026).</w:t>
      </w:r>
    </w:p>
    <w:p w14:paraId="37D9D5D2" w14:textId="01BF44DD"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Spitzer, K.A., Stefan, M.S., Priya, A., Pack, Q.R. and Lindenauer, P.K. (2020) ‘A geographic analysis of racial disparities in use of pulmonary rehabilitation after hospitalization for COPD exacerbation’, </w:t>
      </w:r>
      <w:r w:rsidRPr="00E81F77">
        <w:rPr>
          <w:rFonts w:ascii="Arial" w:hAnsi="Arial" w:cs="Arial"/>
          <w:i/>
          <w:iCs/>
          <w:sz w:val="24"/>
          <w:szCs w:val="24"/>
        </w:rPr>
        <w:t>Chest</w:t>
      </w:r>
      <w:r w:rsidRPr="00E81F77">
        <w:rPr>
          <w:rFonts w:ascii="Arial" w:hAnsi="Arial" w:cs="Arial"/>
          <w:sz w:val="24"/>
          <w:szCs w:val="24"/>
        </w:rPr>
        <w:t xml:space="preserve">, 157(5), pp. 1130–1137. Available at: </w:t>
      </w:r>
      <w:hyperlink r:id="rId98" w:tgtFrame="_new" w:history="1">
        <w:r w:rsidRPr="00E81F77">
          <w:rPr>
            <w:rStyle w:val="Hyperlink"/>
            <w:rFonts w:ascii="Arial" w:hAnsi="Arial" w:cs="Arial"/>
            <w:sz w:val="24"/>
            <w:szCs w:val="24"/>
          </w:rPr>
          <w:t>https://pubmed.ncbi.nlm.nih.gov/31958438/</w:t>
        </w:r>
      </w:hyperlink>
      <w:r w:rsidRPr="00E81F77">
        <w:rPr>
          <w:rFonts w:ascii="Arial" w:hAnsi="Arial" w:cs="Arial"/>
          <w:sz w:val="24"/>
          <w:szCs w:val="24"/>
        </w:rPr>
        <w:t xml:space="preserve"> (Accessed: 6 May 2026).</w:t>
      </w:r>
    </w:p>
    <w:p w14:paraId="3AECA9FD"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Spruit, M.A., Singh, S.J., Garvey, C., et al. (2013) ‘An official American Thoracic Society/European Respiratory Society statement: key concepts and advances in pulmonary rehabilitation’, </w:t>
      </w:r>
      <w:r w:rsidRPr="00E81F77">
        <w:rPr>
          <w:rFonts w:ascii="Arial" w:hAnsi="Arial" w:cs="Arial"/>
          <w:i/>
          <w:iCs/>
          <w:sz w:val="24"/>
          <w:szCs w:val="24"/>
        </w:rPr>
        <w:t xml:space="preserve">American Journal of Respiratory and Critical Care </w:t>
      </w:r>
      <w:r w:rsidRPr="00E81F77">
        <w:rPr>
          <w:rFonts w:ascii="Arial" w:hAnsi="Arial" w:cs="Arial"/>
          <w:i/>
          <w:iCs/>
          <w:sz w:val="24"/>
          <w:szCs w:val="24"/>
        </w:rPr>
        <w:lastRenderedPageBreak/>
        <w:t>Medicine</w:t>
      </w:r>
      <w:r w:rsidRPr="00E81F77">
        <w:rPr>
          <w:rFonts w:ascii="Arial" w:hAnsi="Arial" w:cs="Arial"/>
          <w:sz w:val="24"/>
          <w:szCs w:val="24"/>
        </w:rPr>
        <w:t xml:space="preserve">, 188(8), pp. e13–e64. Available at: </w:t>
      </w:r>
      <w:hyperlink r:id="rId99" w:tgtFrame="_new" w:history="1">
        <w:r w:rsidRPr="00E81F77">
          <w:rPr>
            <w:rStyle w:val="Hyperlink"/>
            <w:rFonts w:ascii="Arial" w:hAnsi="Arial" w:cs="Arial"/>
            <w:sz w:val="24"/>
            <w:szCs w:val="24"/>
          </w:rPr>
          <w:t>https://doi.org/10.1164/rccm.201309-1634ST</w:t>
        </w:r>
      </w:hyperlink>
      <w:r w:rsidRPr="00E81F77">
        <w:rPr>
          <w:rFonts w:ascii="Arial" w:hAnsi="Arial" w:cs="Arial"/>
          <w:sz w:val="24"/>
          <w:szCs w:val="24"/>
        </w:rPr>
        <w:t xml:space="preserve"> (Accessed: 6 May 2026).</w:t>
      </w:r>
    </w:p>
    <w:p w14:paraId="24421A71"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Syamlal, G., Doney, B., Mazurek, J.M. and Blackley, D.J. (2019) ‘Chronic obstructive pulmonary disease prevalence among adults who have never smoked, by industry and occupation — United States, 2013–2017’, </w:t>
      </w:r>
      <w:r w:rsidRPr="00E81F77">
        <w:rPr>
          <w:rFonts w:ascii="Arial" w:hAnsi="Arial" w:cs="Arial"/>
          <w:i/>
          <w:iCs/>
          <w:sz w:val="24"/>
          <w:szCs w:val="24"/>
        </w:rPr>
        <w:t>Morbidity and Mortality Weekly Report</w:t>
      </w:r>
      <w:r w:rsidRPr="00E81F77">
        <w:rPr>
          <w:rFonts w:ascii="Arial" w:hAnsi="Arial" w:cs="Arial"/>
          <w:sz w:val="24"/>
          <w:szCs w:val="24"/>
        </w:rPr>
        <w:t xml:space="preserve">, 68(13), pp. 303–307. Available at: </w:t>
      </w:r>
      <w:hyperlink r:id="rId100" w:tgtFrame="_new" w:history="1">
        <w:r w:rsidRPr="00E81F77">
          <w:rPr>
            <w:rStyle w:val="Hyperlink"/>
            <w:rFonts w:ascii="Arial" w:hAnsi="Arial" w:cs="Arial"/>
            <w:sz w:val="24"/>
            <w:szCs w:val="24"/>
          </w:rPr>
          <w:t>https://doi.org/10.15585/mmwr.mm6813a2</w:t>
        </w:r>
      </w:hyperlink>
      <w:r w:rsidRPr="00E81F77">
        <w:rPr>
          <w:rFonts w:ascii="Arial" w:hAnsi="Arial" w:cs="Arial"/>
          <w:sz w:val="24"/>
          <w:szCs w:val="24"/>
        </w:rPr>
        <w:t xml:space="preserve"> (Accessed: 6 May 2026).</w:t>
      </w:r>
    </w:p>
    <w:p w14:paraId="16FD1820"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Thomas, J. and Harden, A. (2008) ‘Thematic synthesis of qualitative research’, </w:t>
      </w:r>
      <w:r w:rsidRPr="00E81F77">
        <w:rPr>
          <w:rFonts w:ascii="Arial" w:hAnsi="Arial" w:cs="Arial"/>
          <w:i/>
          <w:iCs/>
          <w:sz w:val="24"/>
          <w:szCs w:val="24"/>
        </w:rPr>
        <w:t>BMC Medical Research Methodology</w:t>
      </w:r>
      <w:r w:rsidRPr="00E81F77">
        <w:rPr>
          <w:rFonts w:ascii="Arial" w:hAnsi="Arial" w:cs="Arial"/>
          <w:sz w:val="24"/>
          <w:szCs w:val="24"/>
        </w:rPr>
        <w:t xml:space="preserve">, 8, p. 45. Available at: </w:t>
      </w:r>
      <w:hyperlink r:id="rId101" w:tgtFrame="_new" w:history="1">
        <w:r w:rsidRPr="00E81F77">
          <w:rPr>
            <w:rStyle w:val="Hyperlink"/>
            <w:rFonts w:ascii="Arial" w:hAnsi="Arial" w:cs="Arial"/>
            <w:sz w:val="24"/>
            <w:szCs w:val="24"/>
          </w:rPr>
          <w:t>https://doi.org/10.1186/1471-2288-8-45</w:t>
        </w:r>
      </w:hyperlink>
      <w:r w:rsidRPr="00E81F77">
        <w:rPr>
          <w:rFonts w:ascii="Arial" w:hAnsi="Arial" w:cs="Arial"/>
          <w:sz w:val="24"/>
          <w:szCs w:val="24"/>
        </w:rPr>
        <w:t xml:space="preserve"> (Accessed: 6 May 2026).</w:t>
      </w:r>
    </w:p>
    <w:p w14:paraId="06934A83" w14:textId="24A5C804"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Thorpe, R.J. Jr, Szanton, S.L., Bell, C.N. and Whitfield, K.E. (2013) ‘Education, income and disability in African Americans’, </w:t>
      </w:r>
      <w:r w:rsidRPr="00E81F77">
        <w:rPr>
          <w:rFonts w:ascii="Arial" w:hAnsi="Arial" w:cs="Arial"/>
          <w:i/>
          <w:iCs/>
          <w:sz w:val="24"/>
          <w:szCs w:val="24"/>
        </w:rPr>
        <w:t>Ethnicity &amp; Disease</w:t>
      </w:r>
      <w:r w:rsidRPr="00E81F77">
        <w:rPr>
          <w:rFonts w:ascii="Arial" w:hAnsi="Arial" w:cs="Arial"/>
          <w:sz w:val="24"/>
          <w:szCs w:val="24"/>
        </w:rPr>
        <w:t xml:space="preserve">, 23(1), pp. 12–17. Available at: </w:t>
      </w:r>
      <w:hyperlink r:id="rId102" w:tgtFrame="_new" w:history="1">
        <w:r w:rsidRPr="00E81F77">
          <w:rPr>
            <w:rStyle w:val="Hyperlink"/>
            <w:rFonts w:ascii="Arial" w:hAnsi="Arial" w:cs="Arial"/>
            <w:sz w:val="24"/>
            <w:szCs w:val="24"/>
          </w:rPr>
          <w:t>https://pubmed.ncbi.nlm.nih.gov/23495616/</w:t>
        </w:r>
      </w:hyperlink>
      <w:r w:rsidRPr="00E81F77">
        <w:rPr>
          <w:rFonts w:ascii="Arial" w:hAnsi="Arial" w:cs="Arial"/>
          <w:sz w:val="24"/>
          <w:szCs w:val="24"/>
        </w:rPr>
        <w:t xml:space="preserve"> (Accessed: 6 May 2026).</w:t>
      </w:r>
    </w:p>
    <w:p w14:paraId="5B9E309F"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Torén, K., Vikgren, J., Olin, A.C., Rosengren, A., Bergström, G. and Brandberg, J. (2017) ‘Occupational exposure to vapor, gas, dust, or fumes and chronic airflow limitation, COPD, and emphysema: the Swedish CArdioPulmonary BioImage Study (SCAPIS pilot)’, </w:t>
      </w:r>
      <w:r w:rsidRPr="00E81F77">
        <w:rPr>
          <w:rFonts w:ascii="Arial" w:hAnsi="Arial" w:cs="Arial"/>
          <w:i/>
          <w:iCs/>
          <w:sz w:val="24"/>
          <w:szCs w:val="24"/>
        </w:rPr>
        <w:t>International Journal of Chronic Obstructive Pulmonary Disease</w:t>
      </w:r>
      <w:r w:rsidRPr="00E81F77">
        <w:rPr>
          <w:rFonts w:ascii="Arial" w:hAnsi="Arial" w:cs="Arial"/>
          <w:sz w:val="24"/>
          <w:szCs w:val="24"/>
        </w:rPr>
        <w:t xml:space="preserve">, 12, pp. 3407–3413. Available at: </w:t>
      </w:r>
      <w:hyperlink r:id="rId103" w:tgtFrame="_new" w:history="1">
        <w:r w:rsidRPr="00E81F77">
          <w:rPr>
            <w:rStyle w:val="Hyperlink"/>
            <w:rFonts w:ascii="Arial" w:hAnsi="Arial" w:cs="Arial"/>
            <w:sz w:val="24"/>
            <w:szCs w:val="24"/>
          </w:rPr>
          <w:t>https://doi.org/10.2147/COPD.S144933</w:t>
        </w:r>
      </w:hyperlink>
      <w:r w:rsidRPr="00E81F77">
        <w:rPr>
          <w:rFonts w:ascii="Arial" w:hAnsi="Arial" w:cs="Arial"/>
          <w:sz w:val="24"/>
          <w:szCs w:val="24"/>
        </w:rPr>
        <w:t xml:space="preserve"> (Accessed: 6 May 2026).</w:t>
      </w:r>
    </w:p>
    <w:p w14:paraId="5EBC23F8" w14:textId="2AFF9BCB"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United States Preventive Services Task Force (2022) ‘Screening for chronic obstructive pulmonary disease: US Preventive Services Task Force reaffirmation recommendation statement’, </w:t>
      </w:r>
      <w:r w:rsidRPr="00E81F77">
        <w:rPr>
          <w:rFonts w:ascii="Arial" w:hAnsi="Arial" w:cs="Arial"/>
          <w:i/>
          <w:iCs/>
          <w:sz w:val="24"/>
          <w:szCs w:val="24"/>
        </w:rPr>
        <w:t>JAMA</w:t>
      </w:r>
      <w:r w:rsidRPr="00E81F77">
        <w:rPr>
          <w:rFonts w:ascii="Arial" w:hAnsi="Arial" w:cs="Arial"/>
          <w:sz w:val="24"/>
          <w:szCs w:val="24"/>
        </w:rPr>
        <w:t xml:space="preserve">, 327(18), pp. 1806–1811. Available at: </w:t>
      </w:r>
      <w:hyperlink r:id="rId104" w:tgtFrame="_new" w:history="1">
        <w:r w:rsidRPr="00E81F77">
          <w:rPr>
            <w:rStyle w:val="Hyperlink"/>
            <w:rFonts w:ascii="Arial" w:hAnsi="Arial" w:cs="Arial"/>
            <w:sz w:val="24"/>
            <w:szCs w:val="24"/>
          </w:rPr>
          <w:t>https://pubmed.ncbi.nlm.nih.gov/35536260/</w:t>
        </w:r>
      </w:hyperlink>
      <w:r w:rsidRPr="00E81F77">
        <w:rPr>
          <w:rFonts w:ascii="Arial" w:hAnsi="Arial" w:cs="Arial"/>
          <w:sz w:val="24"/>
          <w:szCs w:val="24"/>
        </w:rPr>
        <w:t xml:space="preserve"> (Accessed: 6 May 2026).</w:t>
      </w:r>
    </w:p>
    <w:p w14:paraId="72BCC39F"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Van Boven, J.F.M., Chavannes, N.H., Van der Molen, T., Rutten-van Mölken, M.P.M.H., Postma, M.J. and Vegter, S. (2014) ‘Clinical and economic impact of non-adherence in COPD: a systematic review’, </w:t>
      </w:r>
      <w:r w:rsidRPr="00E81F77">
        <w:rPr>
          <w:rFonts w:ascii="Arial" w:hAnsi="Arial" w:cs="Arial"/>
          <w:i/>
          <w:iCs/>
          <w:sz w:val="24"/>
          <w:szCs w:val="24"/>
        </w:rPr>
        <w:t>Respiratory Medicine</w:t>
      </w:r>
      <w:r w:rsidRPr="00E81F77">
        <w:rPr>
          <w:rFonts w:ascii="Arial" w:hAnsi="Arial" w:cs="Arial"/>
          <w:sz w:val="24"/>
          <w:szCs w:val="24"/>
        </w:rPr>
        <w:t xml:space="preserve">, 108(1), pp. 103–113. Available at: </w:t>
      </w:r>
      <w:hyperlink r:id="rId105" w:tgtFrame="_new" w:history="1">
        <w:r w:rsidRPr="00E81F77">
          <w:rPr>
            <w:rStyle w:val="Hyperlink"/>
            <w:rFonts w:ascii="Arial" w:hAnsi="Arial" w:cs="Arial"/>
            <w:sz w:val="24"/>
            <w:szCs w:val="24"/>
          </w:rPr>
          <w:t>https://doi.org/10.1016/j.rmed.2013.08.044</w:t>
        </w:r>
      </w:hyperlink>
      <w:r w:rsidRPr="00E81F77">
        <w:rPr>
          <w:rFonts w:ascii="Arial" w:hAnsi="Arial" w:cs="Arial"/>
          <w:sz w:val="24"/>
          <w:szCs w:val="24"/>
        </w:rPr>
        <w:t xml:space="preserve"> (Accessed: 6 May 2026).</w:t>
      </w:r>
    </w:p>
    <w:p w14:paraId="4EA9A57E"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Vestbo, J., Hurd, S.S., Agustí, A.G., Jones, P.W., Vogelmeier, C., Anzueto, A., Barnes, P.J., Fabbri, L.M., Martinez, F.J., Nishimura, M. and Stockley, R.A. (2013) ‘Global strategy for the diagnosis, management, and prevention of chronic obstructive pulmonary disease: GOLD executive summary’,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187(4), pp. 347–365. Available at: </w:t>
      </w:r>
      <w:hyperlink r:id="rId106" w:tgtFrame="_new" w:history="1">
        <w:r w:rsidRPr="00E81F77">
          <w:rPr>
            <w:rStyle w:val="Hyperlink"/>
            <w:rFonts w:ascii="Arial" w:hAnsi="Arial" w:cs="Arial"/>
            <w:sz w:val="24"/>
            <w:szCs w:val="24"/>
          </w:rPr>
          <w:t>https://pubmed.ncbi.nlm.nih.gov/22878278/</w:t>
        </w:r>
      </w:hyperlink>
      <w:r w:rsidRPr="00E81F77">
        <w:rPr>
          <w:rFonts w:ascii="Arial" w:hAnsi="Arial" w:cs="Arial"/>
          <w:sz w:val="24"/>
          <w:szCs w:val="24"/>
        </w:rPr>
        <w:t xml:space="preserve"> (Accessed: 6 May 2026).</w:t>
      </w:r>
    </w:p>
    <w:p w14:paraId="5D3EC0FE"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Ward, B.W., Nugent, C.N., Blumberg, S.J. and Vahratian, A. (2017) ‘Measuring the prevalence of diagnosed chronic obstructive pulmonary disease in the United States using data from the 2012–2014 National Health Interview Survey’, </w:t>
      </w:r>
      <w:r w:rsidRPr="00E81F77">
        <w:rPr>
          <w:rFonts w:ascii="Arial" w:hAnsi="Arial" w:cs="Arial"/>
          <w:i/>
          <w:iCs/>
          <w:sz w:val="24"/>
          <w:szCs w:val="24"/>
        </w:rPr>
        <w:t>Public Health Reports</w:t>
      </w:r>
      <w:r w:rsidRPr="00E81F77">
        <w:rPr>
          <w:rFonts w:ascii="Arial" w:hAnsi="Arial" w:cs="Arial"/>
          <w:sz w:val="24"/>
          <w:szCs w:val="24"/>
        </w:rPr>
        <w:t xml:space="preserve">, 132(2), pp. 149–156. Available at: </w:t>
      </w:r>
      <w:hyperlink r:id="rId107" w:tgtFrame="_new" w:history="1">
        <w:r w:rsidRPr="00E81F77">
          <w:rPr>
            <w:rStyle w:val="Hyperlink"/>
            <w:rFonts w:ascii="Arial" w:hAnsi="Arial" w:cs="Arial"/>
            <w:sz w:val="24"/>
            <w:szCs w:val="24"/>
          </w:rPr>
          <w:t>https://doi.org/10.1177/0033354916688197</w:t>
        </w:r>
      </w:hyperlink>
      <w:r w:rsidRPr="00E81F77">
        <w:rPr>
          <w:rFonts w:ascii="Arial" w:hAnsi="Arial" w:cs="Arial"/>
          <w:sz w:val="24"/>
          <w:szCs w:val="24"/>
        </w:rPr>
        <w:t xml:space="preserve"> (Accessed: 6 May 2026).</w:t>
      </w:r>
    </w:p>
    <w:p w14:paraId="4B7EB188" w14:textId="6EF8F960"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Wedzicha, J.A. and Seemungal, T.A.R. (2007) ‘COPD exacerbations: defining their cause and prevention’, </w:t>
      </w:r>
      <w:r w:rsidRPr="00E81F77">
        <w:rPr>
          <w:rFonts w:ascii="Arial" w:hAnsi="Arial" w:cs="Arial"/>
          <w:i/>
          <w:iCs/>
          <w:sz w:val="24"/>
          <w:szCs w:val="24"/>
        </w:rPr>
        <w:t>The Lancet</w:t>
      </w:r>
      <w:r w:rsidRPr="00E81F77">
        <w:rPr>
          <w:rFonts w:ascii="Arial" w:hAnsi="Arial" w:cs="Arial"/>
          <w:sz w:val="24"/>
          <w:szCs w:val="24"/>
        </w:rPr>
        <w:t xml:space="preserve">, 370(9589), pp. 786–796. Available at: </w:t>
      </w:r>
      <w:hyperlink r:id="rId108" w:tgtFrame="_new" w:history="1">
        <w:r w:rsidRPr="00E81F77">
          <w:rPr>
            <w:rStyle w:val="Hyperlink"/>
            <w:rFonts w:ascii="Arial" w:hAnsi="Arial" w:cs="Arial"/>
            <w:sz w:val="24"/>
            <w:szCs w:val="24"/>
          </w:rPr>
          <w:t>https://doi.org/10.1016/S0140-6736(07)61382-8</w:t>
        </w:r>
      </w:hyperlink>
      <w:r w:rsidRPr="00E81F77">
        <w:rPr>
          <w:rFonts w:ascii="Arial" w:hAnsi="Arial" w:cs="Arial"/>
          <w:sz w:val="24"/>
          <w:szCs w:val="24"/>
        </w:rPr>
        <w:t xml:space="preserve"> (Accessed: 6 May 2026).</w:t>
      </w:r>
    </w:p>
    <w:p w14:paraId="566D7F67"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lastRenderedPageBreak/>
        <w:t xml:space="preserve">Weeks, J.D. and Elgaddal, N. (2025) </w:t>
      </w:r>
      <w:r w:rsidRPr="00E81F77">
        <w:rPr>
          <w:rFonts w:ascii="Arial" w:hAnsi="Arial" w:cs="Arial"/>
          <w:i/>
          <w:iCs/>
          <w:sz w:val="24"/>
          <w:szCs w:val="24"/>
        </w:rPr>
        <w:t>Chronic obstructive pulmonary disease in adults age 18 and older: United States, 2023</w:t>
      </w:r>
      <w:r w:rsidRPr="00E81F77">
        <w:rPr>
          <w:rFonts w:ascii="Arial" w:hAnsi="Arial" w:cs="Arial"/>
          <w:sz w:val="24"/>
          <w:szCs w:val="24"/>
        </w:rPr>
        <w:t xml:space="preserve">. NCHS Data Brief, no. 529. Hyattsville, MD: National Center for Health Statistics. Available at: </w:t>
      </w:r>
      <w:hyperlink r:id="rId109" w:tgtFrame="_new" w:history="1">
        <w:r w:rsidRPr="00E81F77">
          <w:rPr>
            <w:rStyle w:val="Hyperlink"/>
            <w:rFonts w:ascii="Arial" w:hAnsi="Arial" w:cs="Arial"/>
            <w:sz w:val="24"/>
            <w:szCs w:val="24"/>
          </w:rPr>
          <w:t>https://doi.org/10.15620/cdc/174596</w:t>
        </w:r>
      </w:hyperlink>
      <w:r w:rsidRPr="00E81F77">
        <w:rPr>
          <w:rFonts w:ascii="Arial" w:hAnsi="Arial" w:cs="Arial"/>
          <w:sz w:val="24"/>
          <w:szCs w:val="24"/>
        </w:rPr>
        <w:t xml:space="preserve"> (Accessed: 6 May 2026).</w:t>
      </w:r>
    </w:p>
    <w:p w14:paraId="41BD79D2" w14:textId="6B03CDC4"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Williams, D.R. and Collins, C. (2001) ‘Racial residential segregation: a fundamental cause of racial disparities in health’, </w:t>
      </w:r>
      <w:r w:rsidRPr="00E81F77">
        <w:rPr>
          <w:rFonts w:ascii="Arial" w:hAnsi="Arial" w:cs="Arial"/>
          <w:i/>
          <w:iCs/>
          <w:sz w:val="24"/>
          <w:szCs w:val="24"/>
        </w:rPr>
        <w:t>Public Health Reports</w:t>
      </w:r>
      <w:r w:rsidRPr="00E81F77">
        <w:rPr>
          <w:rFonts w:ascii="Arial" w:hAnsi="Arial" w:cs="Arial"/>
          <w:sz w:val="24"/>
          <w:szCs w:val="24"/>
        </w:rPr>
        <w:t xml:space="preserve">, 116(5), pp. 404–416. Available at: </w:t>
      </w:r>
      <w:hyperlink r:id="rId110" w:tgtFrame="_new" w:history="1">
        <w:r w:rsidRPr="00E81F77">
          <w:rPr>
            <w:rStyle w:val="Hyperlink"/>
            <w:rFonts w:ascii="Arial" w:hAnsi="Arial" w:cs="Arial"/>
            <w:sz w:val="24"/>
            <w:szCs w:val="24"/>
          </w:rPr>
          <w:t>https://pmc.ncbi.nlm.nih.gov/articles/PMC1497358/</w:t>
        </w:r>
      </w:hyperlink>
      <w:r w:rsidRPr="00E81F77">
        <w:rPr>
          <w:rFonts w:ascii="Arial" w:hAnsi="Arial" w:cs="Arial"/>
          <w:sz w:val="24"/>
          <w:szCs w:val="24"/>
        </w:rPr>
        <w:t xml:space="preserve"> (Accessed: 6 May 2026).</w:t>
      </w:r>
    </w:p>
    <w:p w14:paraId="1CF73A3E" w14:textId="34666256"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Williams, D.R. and Mohammed, S.A. (2013) ‘Racism and health’, </w:t>
      </w:r>
      <w:r w:rsidRPr="00E81F77">
        <w:rPr>
          <w:rFonts w:ascii="Arial" w:hAnsi="Arial" w:cs="Arial"/>
          <w:i/>
          <w:iCs/>
          <w:sz w:val="24"/>
          <w:szCs w:val="24"/>
        </w:rPr>
        <w:t>American Behavioral Scientist</w:t>
      </w:r>
      <w:r w:rsidRPr="00E81F77">
        <w:rPr>
          <w:rFonts w:ascii="Arial" w:hAnsi="Arial" w:cs="Arial"/>
          <w:sz w:val="24"/>
          <w:szCs w:val="24"/>
        </w:rPr>
        <w:t xml:space="preserve">, 57(8), pp. 1152–1173. Available at: </w:t>
      </w:r>
      <w:hyperlink r:id="rId111" w:tgtFrame="_new" w:history="1">
        <w:r w:rsidRPr="00E81F77">
          <w:rPr>
            <w:rStyle w:val="Hyperlink"/>
            <w:rFonts w:ascii="Arial" w:hAnsi="Arial" w:cs="Arial"/>
            <w:sz w:val="24"/>
            <w:szCs w:val="24"/>
          </w:rPr>
          <w:t>https://pmc.ncbi.nlm.nih.gov/articles/PMC3863357/</w:t>
        </w:r>
      </w:hyperlink>
      <w:r w:rsidRPr="00E81F77">
        <w:rPr>
          <w:rFonts w:ascii="Arial" w:hAnsi="Arial" w:cs="Arial"/>
          <w:sz w:val="24"/>
          <w:szCs w:val="24"/>
        </w:rPr>
        <w:t xml:space="preserve"> (Accessed: 6 May 2026).</w:t>
      </w:r>
    </w:p>
    <w:p w14:paraId="538224E7"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Williams, D.R., Lawrence, J.A. and Davis, B.A. (2019) ‘Racism and health inequities’, </w:t>
      </w:r>
      <w:r w:rsidRPr="00E81F77">
        <w:rPr>
          <w:rFonts w:ascii="Arial" w:hAnsi="Arial" w:cs="Arial"/>
          <w:i/>
          <w:iCs/>
          <w:sz w:val="24"/>
          <w:szCs w:val="24"/>
        </w:rPr>
        <w:t>Annual Review of Public Health</w:t>
      </w:r>
      <w:r w:rsidRPr="00E81F77">
        <w:rPr>
          <w:rFonts w:ascii="Arial" w:hAnsi="Arial" w:cs="Arial"/>
          <w:sz w:val="24"/>
          <w:szCs w:val="24"/>
        </w:rPr>
        <w:t xml:space="preserve">, 40, pp. 105–125. Available at: </w:t>
      </w:r>
      <w:hyperlink r:id="rId112" w:tgtFrame="_new" w:history="1">
        <w:r w:rsidRPr="00E81F77">
          <w:rPr>
            <w:rStyle w:val="Hyperlink"/>
            <w:rFonts w:ascii="Arial" w:hAnsi="Arial" w:cs="Arial"/>
            <w:sz w:val="24"/>
            <w:szCs w:val="24"/>
          </w:rPr>
          <w:t>https://pmc.ncbi.nlm.nih.gov/articles/PMC6532402/</w:t>
        </w:r>
      </w:hyperlink>
      <w:r w:rsidRPr="00E81F77">
        <w:rPr>
          <w:rFonts w:ascii="Arial" w:hAnsi="Arial" w:cs="Arial"/>
          <w:sz w:val="24"/>
          <w:szCs w:val="24"/>
        </w:rPr>
        <w:t xml:space="preserve"> (Accessed: 6 May 2026).</w:t>
      </w:r>
    </w:p>
    <w:p w14:paraId="42CE9D97" w14:textId="722D2E5E"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Woo, H., Brigham, E.P., Allbright, K., et al. (2021) ‘Racial segregation and respiratory outcomes among urban Black residents with and at risk for chronic obstructive pulmonary disease’, </w:t>
      </w:r>
      <w:r w:rsidRPr="00E81F77">
        <w:rPr>
          <w:rFonts w:ascii="Arial" w:hAnsi="Arial" w:cs="Arial"/>
          <w:i/>
          <w:iCs/>
          <w:sz w:val="24"/>
          <w:szCs w:val="24"/>
        </w:rPr>
        <w:t>American Journal of Respiratory and Critical Care Medicine</w:t>
      </w:r>
      <w:r w:rsidRPr="00E81F77">
        <w:rPr>
          <w:rFonts w:ascii="Arial" w:hAnsi="Arial" w:cs="Arial"/>
          <w:sz w:val="24"/>
          <w:szCs w:val="24"/>
        </w:rPr>
        <w:t xml:space="preserve">, 204(5), pp. 536–545. Available at: </w:t>
      </w:r>
      <w:hyperlink r:id="rId113" w:tgtFrame="_new" w:history="1">
        <w:r w:rsidRPr="00E81F77">
          <w:rPr>
            <w:rStyle w:val="Hyperlink"/>
            <w:rFonts w:ascii="Arial" w:hAnsi="Arial" w:cs="Arial"/>
            <w:sz w:val="24"/>
            <w:szCs w:val="24"/>
          </w:rPr>
          <w:t>https://pmc.ncbi.nlm.nih.gov/articles/PMC8491265/</w:t>
        </w:r>
      </w:hyperlink>
      <w:r w:rsidRPr="00E81F77">
        <w:rPr>
          <w:rFonts w:ascii="Arial" w:hAnsi="Arial" w:cs="Arial"/>
          <w:sz w:val="24"/>
          <w:szCs w:val="24"/>
        </w:rPr>
        <w:t xml:space="preserve"> (Accessed: 6 May 2026).</w:t>
      </w:r>
    </w:p>
    <w:p w14:paraId="0B80845F" w14:textId="682C13F6"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World Health Organization (2024) </w:t>
      </w:r>
      <w:r w:rsidRPr="00E81F77">
        <w:rPr>
          <w:rFonts w:ascii="Arial" w:hAnsi="Arial" w:cs="Arial"/>
          <w:i/>
          <w:iCs/>
          <w:sz w:val="24"/>
          <w:szCs w:val="24"/>
        </w:rPr>
        <w:t>Chronic obstructive pulmonary disease (COPD)</w:t>
      </w:r>
      <w:r w:rsidRPr="00E81F77">
        <w:rPr>
          <w:rFonts w:ascii="Arial" w:hAnsi="Arial" w:cs="Arial"/>
          <w:sz w:val="24"/>
          <w:szCs w:val="24"/>
        </w:rPr>
        <w:t xml:space="preserve">. Available at: </w:t>
      </w:r>
      <w:hyperlink r:id="rId114" w:tgtFrame="_new" w:history="1">
        <w:r w:rsidRPr="00E81F77">
          <w:rPr>
            <w:rStyle w:val="Hyperlink"/>
            <w:rFonts w:ascii="Arial" w:hAnsi="Arial" w:cs="Arial"/>
            <w:sz w:val="24"/>
            <w:szCs w:val="24"/>
          </w:rPr>
          <w:t>https://www.who.int/news-room/fact-sheets/detail/chronic-obstructive-pulmonary-disease-(copd)</w:t>
        </w:r>
      </w:hyperlink>
      <w:r w:rsidRPr="00E81F77">
        <w:rPr>
          <w:rFonts w:ascii="Arial" w:hAnsi="Arial" w:cs="Arial"/>
          <w:sz w:val="24"/>
          <w:szCs w:val="24"/>
        </w:rPr>
        <w:t xml:space="preserve"> (Accessed: 6 May 2026).</w:t>
      </w:r>
    </w:p>
    <w:p w14:paraId="5C62F42C" w14:textId="77777777" w:rsidR="00CD69CF" w:rsidRPr="00E81F77" w:rsidRDefault="00CD69CF" w:rsidP="00CD69CF">
      <w:pPr>
        <w:ind w:left="360"/>
        <w:jc w:val="both"/>
        <w:rPr>
          <w:rFonts w:ascii="Arial" w:hAnsi="Arial" w:cs="Arial"/>
          <w:sz w:val="24"/>
          <w:szCs w:val="24"/>
        </w:rPr>
      </w:pPr>
      <w:r w:rsidRPr="00E81F77">
        <w:rPr>
          <w:rFonts w:ascii="Arial" w:hAnsi="Arial" w:cs="Arial"/>
          <w:sz w:val="24"/>
          <w:szCs w:val="24"/>
        </w:rPr>
        <w:t xml:space="preserve">Zafari, Z., Li, S., Eakin, M.N., Bellanger, M. and Reed, R.M. (2021) ‘Projecting long-term health and economic burden of COPD in the United States’, </w:t>
      </w:r>
      <w:r w:rsidRPr="00E81F77">
        <w:rPr>
          <w:rFonts w:ascii="Arial" w:hAnsi="Arial" w:cs="Arial"/>
          <w:i/>
          <w:iCs/>
          <w:sz w:val="24"/>
          <w:szCs w:val="24"/>
        </w:rPr>
        <w:t>Chest</w:t>
      </w:r>
      <w:r w:rsidRPr="00E81F77">
        <w:rPr>
          <w:rFonts w:ascii="Arial" w:hAnsi="Arial" w:cs="Arial"/>
          <w:sz w:val="24"/>
          <w:szCs w:val="24"/>
        </w:rPr>
        <w:t xml:space="preserve">, 159(4), pp. 1400–1410. Available at: </w:t>
      </w:r>
      <w:hyperlink r:id="rId115" w:tgtFrame="_new" w:history="1">
        <w:r w:rsidRPr="00E81F77">
          <w:rPr>
            <w:rStyle w:val="Hyperlink"/>
            <w:rFonts w:ascii="Arial" w:hAnsi="Arial" w:cs="Arial"/>
            <w:sz w:val="24"/>
            <w:szCs w:val="24"/>
          </w:rPr>
          <w:t>https://doi.org/10.1016/j.chest.2020.09.255</w:t>
        </w:r>
      </w:hyperlink>
      <w:r w:rsidRPr="00E81F77">
        <w:rPr>
          <w:rFonts w:ascii="Arial" w:hAnsi="Arial" w:cs="Arial"/>
          <w:sz w:val="24"/>
          <w:szCs w:val="24"/>
        </w:rPr>
        <w:t xml:space="preserve"> (Accessed: 6 May 2026).</w:t>
      </w:r>
    </w:p>
    <w:p w14:paraId="186D603E" w14:textId="77777777" w:rsidR="009F64C5" w:rsidRPr="007F1C8A" w:rsidRDefault="009F64C5">
      <w:pPr>
        <w:spacing w:after="158"/>
        <w:ind w:left="720"/>
        <w:rPr>
          <w:rFonts w:asciiTheme="minorBidi" w:hAnsiTheme="minorBidi"/>
        </w:rPr>
      </w:pPr>
      <w:r w:rsidRPr="007F1C8A">
        <w:rPr>
          <w:rFonts w:asciiTheme="minorBidi" w:hAnsiTheme="minorBidi"/>
        </w:rPr>
        <w:t xml:space="preserve"> </w:t>
      </w:r>
    </w:p>
    <w:p w14:paraId="7008C4AD" w14:textId="77777777" w:rsidR="005B5A00" w:rsidRDefault="009F64C5" w:rsidP="005B5A00">
      <w:pPr>
        <w:spacing w:after="0"/>
        <w:rPr>
          <w:rFonts w:asciiTheme="minorBidi" w:hAnsiTheme="minorBidi"/>
        </w:rPr>
      </w:pPr>
      <w:r w:rsidRPr="007F1C8A">
        <w:rPr>
          <w:rFonts w:asciiTheme="minorBidi" w:eastAsia="Times New Roman" w:hAnsiTheme="minorBidi"/>
          <w:b/>
        </w:rPr>
        <w:t xml:space="preserve"> </w:t>
      </w:r>
      <w:r w:rsidRPr="007F1C8A">
        <w:rPr>
          <w:rFonts w:asciiTheme="minorBidi" w:eastAsia="Times New Roman" w:hAnsiTheme="minorBidi"/>
          <w:b/>
        </w:rPr>
        <w:tab/>
        <w:t xml:space="preserve"> </w:t>
      </w:r>
    </w:p>
    <w:p w14:paraId="6A75675D" w14:textId="77777777" w:rsidR="005B5A00" w:rsidRDefault="005B5A00" w:rsidP="005B5A00">
      <w:pPr>
        <w:spacing w:after="0"/>
        <w:rPr>
          <w:rFonts w:asciiTheme="minorBidi" w:hAnsiTheme="minorBidi"/>
        </w:rPr>
      </w:pPr>
    </w:p>
    <w:p w14:paraId="0AFFC384" w14:textId="77777777" w:rsidR="005B5A00" w:rsidRDefault="005B5A00" w:rsidP="005B5A00">
      <w:pPr>
        <w:spacing w:after="0"/>
        <w:rPr>
          <w:rFonts w:asciiTheme="minorBidi" w:hAnsiTheme="minorBidi"/>
        </w:rPr>
      </w:pPr>
    </w:p>
    <w:p w14:paraId="39B405FD" w14:textId="77777777" w:rsidR="005B5A00" w:rsidRDefault="005B5A00" w:rsidP="005B5A00">
      <w:pPr>
        <w:spacing w:after="0"/>
        <w:rPr>
          <w:rFonts w:asciiTheme="minorBidi" w:hAnsiTheme="minorBidi"/>
        </w:rPr>
      </w:pPr>
    </w:p>
    <w:p w14:paraId="1241793C" w14:textId="77777777" w:rsidR="00473636" w:rsidRDefault="00473636" w:rsidP="005B5A00">
      <w:pPr>
        <w:spacing w:after="0"/>
        <w:rPr>
          <w:rFonts w:asciiTheme="minorBidi" w:hAnsiTheme="minorBidi"/>
        </w:rPr>
      </w:pPr>
    </w:p>
    <w:p w14:paraId="1C4F24DD" w14:textId="77777777" w:rsidR="00473636" w:rsidRDefault="00473636" w:rsidP="005B5A00">
      <w:pPr>
        <w:spacing w:after="0"/>
        <w:rPr>
          <w:rFonts w:asciiTheme="minorBidi" w:hAnsiTheme="minorBidi"/>
        </w:rPr>
      </w:pPr>
    </w:p>
    <w:p w14:paraId="4E101E8B" w14:textId="77777777" w:rsidR="00473636" w:rsidRDefault="00473636" w:rsidP="005B5A00">
      <w:pPr>
        <w:spacing w:after="0"/>
        <w:rPr>
          <w:rFonts w:asciiTheme="minorBidi" w:hAnsiTheme="minorBidi"/>
        </w:rPr>
      </w:pPr>
    </w:p>
    <w:p w14:paraId="088A3DD5" w14:textId="77777777" w:rsidR="00473636" w:rsidRDefault="00473636" w:rsidP="005B5A00">
      <w:pPr>
        <w:spacing w:after="0"/>
        <w:rPr>
          <w:rFonts w:asciiTheme="minorBidi" w:hAnsiTheme="minorBidi"/>
        </w:rPr>
      </w:pPr>
    </w:p>
    <w:p w14:paraId="60D16993" w14:textId="77777777" w:rsidR="00473636" w:rsidRDefault="00473636" w:rsidP="005B5A00">
      <w:pPr>
        <w:spacing w:after="0"/>
        <w:rPr>
          <w:rFonts w:asciiTheme="minorBidi" w:hAnsiTheme="minorBidi"/>
        </w:rPr>
      </w:pPr>
    </w:p>
    <w:p w14:paraId="1ACA822E" w14:textId="77777777" w:rsidR="00473636" w:rsidRDefault="00473636" w:rsidP="005B5A00">
      <w:pPr>
        <w:spacing w:after="0"/>
        <w:rPr>
          <w:rFonts w:asciiTheme="minorBidi" w:hAnsiTheme="minorBidi"/>
        </w:rPr>
      </w:pPr>
    </w:p>
    <w:p w14:paraId="649F3761" w14:textId="77777777" w:rsidR="00473636" w:rsidRDefault="00473636" w:rsidP="005B5A00">
      <w:pPr>
        <w:spacing w:after="0"/>
        <w:rPr>
          <w:rFonts w:asciiTheme="minorBidi" w:hAnsiTheme="minorBidi"/>
        </w:rPr>
      </w:pPr>
    </w:p>
    <w:p w14:paraId="1FBB789B" w14:textId="77777777" w:rsidR="00473636" w:rsidRDefault="00473636" w:rsidP="005B5A00">
      <w:pPr>
        <w:spacing w:after="0"/>
        <w:rPr>
          <w:rFonts w:asciiTheme="minorBidi" w:hAnsiTheme="minorBidi"/>
        </w:rPr>
      </w:pPr>
    </w:p>
    <w:p w14:paraId="2765B3BA" w14:textId="77777777" w:rsidR="00473636" w:rsidRDefault="00473636" w:rsidP="005B5A00">
      <w:pPr>
        <w:spacing w:after="0"/>
        <w:rPr>
          <w:rFonts w:asciiTheme="minorBidi" w:hAnsiTheme="minorBidi"/>
        </w:rPr>
      </w:pPr>
    </w:p>
    <w:p w14:paraId="11DD762B" w14:textId="77777777" w:rsidR="00473636" w:rsidRDefault="00473636" w:rsidP="005B5A00">
      <w:pPr>
        <w:spacing w:after="0"/>
        <w:rPr>
          <w:rFonts w:asciiTheme="minorBidi" w:hAnsiTheme="minorBidi"/>
        </w:rPr>
      </w:pPr>
    </w:p>
    <w:p w14:paraId="7614013D" w14:textId="77777777" w:rsidR="005B5A00" w:rsidRDefault="005B5A00" w:rsidP="005B5A00">
      <w:pPr>
        <w:spacing w:after="0"/>
        <w:rPr>
          <w:rFonts w:asciiTheme="minorBidi" w:hAnsiTheme="minorBidi"/>
        </w:rPr>
      </w:pPr>
    </w:p>
    <w:p w14:paraId="73EA0A39" w14:textId="77777777" w:rsidR="005B5A00" w:rsidRDefault="005B5A00" w:rsidP="005B5A00">
      <w:pPr>
        <w:spacing w:after="0"/>
        <w:rPr>
          <w:rFonts w:asciiTheme="minorBidi" w:hAnsiTheme="minorBidi"/>
        </w:rPr>
      </w:pPr>
    </w:p>
    <w:p w14:paraId="6549C7E9" w14:textId="77777777" w:rsidR="005B5A00" w:rsidRDefault="005B5A00" w:rsidP="005B5A00">
      <w:pPr>
        <w:spacing w:after="0"/>
        <w:rPr>
          <w:rFonts w:asciiTheme="minorBidi" w:hAnsiTheme="minorBidi"/>
        </w:rPr>
      </w:pPr>
    </w:p>
    <w:p w14:paraId="37E1009D" w14:textId="2BA1A556" w:rsidR="00DA0112" w:rsidRPr="005B5A00" w:rsidRDefault="00DA0112" w:rsidP="005B5A00">
      <w:pPr>
        <w:spacing w:after="0"/>
        <w:jc w:val="center"/>
        <w:rPr>
          <w:rFonts w:asciiTheme="minorBidi" w:hAnsiTheme="minorBidi"/>
          <w:b/>
          <w:bCs/>
          <w:sz w:val="24"/>
          <w:szCs w:val="24"/>
        </w:rPr>
      </w:pPr>
      <w:r w:rsidRPr="005B5A00">
        <w:rPr>
          <w:rFonts w:asciiTheme="minorBidi" w:hAnsiTheme="minorBidi"/>
          <w:b/>
          <w:bCs/>
          <w:sz w:val="24"/>
          <w:szCs w:val="24"/>
        </w:rPr>
        <w:lastRenderedPageBreak/>
        <w:t xml:space="preserve">Appendix 1: </w:t>
      </w:r>
      <w:r w:rsidR="00CE415F" w:rsidRPr="00CE415F">
        <w:rPr>
          <w:rFonts w:asciiTheme="minorBidi" w:hAnsiTheme="minorBidi"/>
          <w:b/>
          <w:bCs/>
          <w:sz w:val="24"/>
          <w:szCs w:val="24"/>
        </w:rPr>
        <w:t>PRISMA Flow Diagram</w:t>
      </w:r>
    </w:p>
    <w:p w14:paraId="5973CCE0" w14:textId="77777777" w:rsidR="00DA0112" w:rsidRDefault="00DA0112" w:rsidP="003D2729">
      <w:pPr>
        <w:rPr>
          <w:rFonts w:ascii="Arial" w:hAnsi="Arial" w:cs="Arial"/>
        </w:rPr>
      </w:pPr>
    </w:p>
    <w:p w14:paraId="53D0B728" w14:textId="132A927F" w:rsidR="003D2729" w:rsidRPr="003D2729" w:rsidRDefault="00CD61B9" w:rsidP="003D2729">
      <w:pPr>
        <w:rPr>
          <w:rFonts w:ascii="Arial" w:hAnsi="Arial" w:cs="Arial"/>
        </w:rPr>
      </w:pPr>
      <w:r w:rsidRPr="003D2729">
        <w:rPr>
          <w:rFonts w:ascii="Arial" w:hAnsi="Arial" w:cs="Arial"/>
          <w:noProof/>
        </w:rPr>
        <mc:AlternateContent>
          <mc:Choice Requires="wps">
            <w:drawing>
              <wp:anchor distT="0" distB="0" distL="114300" distR="114300" simplePos="0" relativeHeight="251664384" behindDoc="0" locked="0" layoutInCell="1" allowOverlap="1" wp14:anchorId="1CFA12F3" wp14:editId="0254EF50">
                <wp:simplePos x="0" y="0"/>
                <wp:positionH relativeFrom="column">
                  <wp:posOffset>254442</wp:posOffset>
                </wp:positionH>
                <wp:positionV relativeFrom="paragraph">
                  <wp:posOffset>16869</wp:posOffset>
                </wp:positionV>
                <wp:extent cx="2456539" cy="1046480"/>
                <wp:effectExtent l="0" t="0" r="20320" b="20320"/>
                <wp:wrapNone/>
                <wp:docPr id="1" name="Rectangle 1"/>
                <wp:cNvGraphicFramePr/>
                <a:graphic xmlns:a="http://schemas.openxmlformats.org/drawingml/2006/main">
                  <a:graphicData uri="http://schemas.microsoft.com/office/word/2010/wordprocessingShape">
                    <wps:wsp>
                      <wps:cNvSpPr/>
                      <wps:spPr>
                        <a:xfrm>
                          <a:off x="0" y="0"/>
                          <a:ext cx="2456539" cy="104648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8549A5" w14:textId="6E912452" w:rsidR="00CD61B9" w:rsidRPr="003D2729" w:rsidRDefault="003D2729" w:rsidP="00E034C0">
                            <w:pPr>
                              <w:spacing w:after="40"/>
                              <w:jc w:val="center"/>
                              <w:rPr>
                                <w:rFonts w:ascii="Arial" w:hAnsi="Arial" w:cs="Arial"/>
                                <w:color w:val="000000" w:themeColor="text1"/>
                              </w:rPr>
                            </w:pPr>
                            <w:r w:rsidRPr="003D2729">
                              <w:rPr>
                                <w:rFonts w:ascii="Arial" w:hAnsi="Arial" w:cs="Arial"/>
                                <w:color w:val="000000" w:themeColor="text1"/>
                              </w:rPr>
                              <w:t xml:space="preserve">Record Identified Through database search (n= </w:t>
                            </w:r>
                            <w:r w:rsidR="00746608">
                              <w:rPr>
                                <w:rFonts w:ascii="Arial" w:hAnsi="Arial" w:cs="Arial"/>
                                <w:color w:val="000000" w:themeColor="text1"/>
                              </w:rPr>
                              <w:t>588</w:t>
                            </w:r>
                            <w:r w:rsidRPr="003D2729">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FA12F3" id="Rectangle 1" o:spid="_x0000_s1026" style="position:absolute;margin-left:20.05pt;margin-top:1.35pt;width:193.45pt;height:8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" fillcolor="white [3212]" strokecolor="black [3213]" strokeweight="1pt">
                <v:textbox>
                  <w:txbxContent>
                    <w:p w14:paraId="478549A5" w14:textId="6E912452" w:rsidR="00CD61B9" w:rsidRPr="003D2729" w:rsidRDefault="003D2729" w:rsidP="00E034C0">
                      <w:pPr>
                        <w:spacing w:after="40"/>
                        <w:jc w:val="center"/>
                        <w:rPr>
                          <w:rFonts w:ascii="Arial" w:hAnsi="Arial" w:cs="Arial"/>
                          <w:color w:val="000000" w:themeColor="text1"/>
                        </w:rPr>
                      </w:pPr>
                      <w:r w:rsidRPr="003D2729">
                        <w:rPr>
                          <w:rFonts w:ascii="Arial" w:hAnsi="Arial" w:cs="Arial"/>
                          <w:color w:val="000000" w:themeColor="text1"/>
                        </w:rPr>
                        <w:t xml:space="preserve">Record Identified Through database search (n= </w:t>
                      </w:r>
                      <w:r w:rsidR="00746608">
                        <w:rPr>
                          <w:rFonts w:ascii="Arial" w:hAnsi="Arial" w:cs="Arial"/>
                          <w:color w:val="000000" w:themeColor="text1"/>
                        </w:rPr>
                        <w:t>588</w:t>
                      </w:r>
                      <w:r w:rsidRPr="003D2729">
                        <w:rPr>
                          <w:rFonts w:ascii="Arial" w:hAnsi="Arial" w:cs="Arial"/>
                          <w:color w:val="000000" w:themeColor="text1"/>
                        </w:rPr>
                        <w:t>)</w:t>
                      </w:r>
                    </w:p>
                  </w:txbxContent>
                </v:textbox>
              </v:rect>
            </w:pict>
          </mc:Fallback>
        </mc:AlternateContent>
      </w:r>
      <w:r w:rsidRPr="003D2729">
        <w:rPr>
          <w:rFonts w:ascii="Arial" w:hAnsi="Arial" w:cs="Arial"/>
          <w:noProof/>
        </w:rPr>
        <mc:AlternateContent>
          <mc:Choice Requires="wps">
            <w:drawing>
              <wp:anchor distT="0" distB="0" distL="114300" distR="114300" simplePos="0" relativeHeight="251665408" behindDoc="0" locked="0" layoutInCell="1" allowOverlap="1" wp14:anchorId="44D28652" wp14:editId="5E71AA6C">
                <wp:simplePos x="0" y="0"/>
                <wp:positionH relativeFrom="column">
                  <wp:posOffset>2878372</wp:posOffset>
                </wp:positionH>
                <wp:positionV relativeFrom="paragraph">
                  <wp:posOffset>8918</wp:posOffset>
                </wp:positionV>
                <wp:extent cx="1838325" cy="1054541"/>
                <wp:effectExtent l="0" t="0" r="28575" b="12700"/>
                <wp:wrapNone/>
                <wp:docPr id="49" name="Rectangle 49"/>
                <wp:cNvGraphicFramePr/>
                <a:graphic xmlns:a="http://schemas.openxmlformats.org/drawingml/2006/main">
                  <a:graphicData uri="http://schemas.microsoft.com/office/word/2010/wordprocessingShape">
                    <wps:wsp>
                      <wps:cNvSpPr/>
                      <wps:spPr>
                        <a:xfrm>
                          <a:off x="0" y="0"/>
                          <a:ext cx="1838325" cy="1054541"/>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0A5301" w14:textId="0878078F" w:rsidR="003D2729" w:rsidRPr="003D2729" w:rsidRDefault="003D2729" w:rsidP="00CD61B9">
                            <w:pPr>
                              <w:jc w:val="center"/>
                              <w:rPr>
                                <w:rFonts w:ascii="Arial" w:hAnsi="Arial" w:cs="Arial"/>
                                <w:color w:val="000000" w:themeColor="text1"/>
                              </w:rPr>
                            </w:pPr>
                            <w:r w:rsidRPr="003D2729">
                              <w:rPr>
                                <w:rFonts w:ascii="Arial" w:hAnsi="Arial" w:cs="Arial"/>
                                <w:color w:val="000000" w:themeColor="text1"/>
                              </w:rPr>
                              <w:t xml:space="preserve">Additional Records identified through </w:t>
                            </w:r>
                            <w:r w:rsidR="00CD61B9">
                              <w:rPr>
                                <w:rFonts w:ascii="Arial" w:hAnsi="Arial" w:cs="Arial"/>
                                <w:color w:val="000000" w:themeColor="text1"/>
                              </w:rPr>
                              <w:t>citation searching</w:t>
                            </w:r>
                            <w:r w:rsidRPr="003D2729">
                              <w:rPr>
                                <w:rFonts w:ascii="Arial" w:hAnsi="Arial" w:cs="Arial"/>
                                <w:color w:val="000000" w:themeColor="text1"/>
                              </w:rPr>
                              <w:t xml:space="preserve"> (n= </w:t>
                            </w:r>
                            <w:r w:rsidR="00CD61B9">
                              <w:rPr>
                                <w:rFonts w:ascii="Arial" w:hAnsi="Arial" w:cs="Arial"/>
                                <w:color w:val="000000" w:themeColor="text1"/>
                              </w:rPr>
                              <w:t>18</w:t>
                            </w:r>
                            <w:r w:rsidRPr="003D2729">
                              <w:rPr>
                                <w:rFonts w:ascii="Arial" w:hAnsi="Arial" w:cs="Arial"/>
                                <w:color w:val="000000" w:themeColor="text1"/>
                              </w:rPr>
                              <w:t>)</w:t>
                            </w:r>
                          </w:p>
                          <w:p w14:paraId="2E1F264E" w14:textId="77777777" w:rsidR="003D2729" w:rsidRDefault="003D2729" w:rsidP="003D27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D28652" id="Rectangle 49" o:spid="_x0000_s1027" style="position:absolute;margin-left:226.65pt;margin-top:.7pt;width:144.75pt;height:83.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" fillcolor="white [3212]" strokecolor="black [3213]" strokeweight="1pt">
                <v:textbox>
                  <w:txbxContent>
                    <w:p w14:paraId="330A5301" w14:textId="0878078F" w:rsidR="003D2729" w:rsidRPr="003D2729" w:rsidRDefault="003D2729" w:rsidP="00CD61B9">
                      <w:pPr>
                        <w:jc w:val="center"/>
                        <w:rPr>
                          <w:rFonts w:ascii="Arial" w:hAnsi="Arial" w:cs="Arial"/>
                          <w:color w:val="000000" w:themeColor="text1"/>
                        </w:rPr>
                      </w:pPr>
                      <w:r w:rsidRPr="003D2729">
                        <w:rPr>
                          <w:rFonts w:ascii="Arial" w:hAnsi="Arial" w:cs="Arial"/>
                          <w:color w:val="000000" w:themeColor="text1"/>
                        </w:rPr>
                        <w:t xml:space="preserve">Additional Records identified through </w:t>
                      </w:r>
                      <w:r w:rsidR="00CD61B9">
                        <w:rPr>
                          <w:rFonts w:ascii="Arial" w:hAnsi="Arial" w:cs="Arial"/>
                          <w:color w:val="000000" w:themeColor="text1"/>
                        </w:rPr>
                        <w:t>citation searching</w:t>
                      </w:r>
                      <w:r w:rsidRPr="003D2729">
                        <w:rPr>
                          <w:rFonts w:ascii="Arial" w:hAnsi="Arial" w:cs="Arial"/>
                          <w:color w:val="000000" w:themeColor="text1"/>
                        </w:rPr>
                        <w:t xml:space="preserve"> (n= </w:t>
                      </w:r>
                      <w:r w:rsidR="00CD61B9">
                        <w:rPr>
                          <w:rFonts w:ascii="Arial" w:hAnsi="Arial" w:cs="Arial"/>
                          <w:color w:val="000000" w:themeColor="text1"/>
                        </w:rPr>
                        <w:t>18</w:t>
                      </w:r>
                      <w:r w:rsidRPr="003D2729">
                        <w:rPr>
                          <w:rFonts w:ascii="Arial" w:hAnsi="Arial" w:cs="Arial"/>
                          <w:color w:val="000000" w:themeColor="text1"/>
                        </w:rPr>
                        <w:t>)</w:t>
                      </w:r>
                    </w:p>
                    <w:p w14:paraId="2E1F264E" w14:textId="77777777" w:rsidR="003D2729" w:rsidRDefault="003D2729" w:rsidP="003D2729">
                      <w:pPr>
                        <w:jc w:val="center"/>
                      </w:pPr>
                    </w:p>
                  </w:txbxContent>
                </v:textbox>
              </v:rect>
            </w:pict>
          </mc:Fallback>
        </mc:AlternateContent>
      </w:r>
      <w:r w:rsidR="003D2729" w:rsidRPr="003D2729">
        <w:rPr>
          <w:rFonts w:ascii="Arial" w:hAnsi="Arial" w:cs="Arial"/>
          <w:noProof/>
        </w:rPr>
        <mc:AlternateContent>
          <mc:Choice Requires="wps">
            <w:drawing>
              <wp:anchor distT="0" distB="0" distL="114300" distR="114300" simplePos="0" relativeHeight="251672576" behindDoc="0" locked="0" layoutInCell="1" allowOverlap="1" wp14:anchorId="136EAA92" wp14:editId="1603357A">
                <wp:simplePos x="0" y="0"/>
                <wp:positionH relativeFrom="column">
                  <wp:posOffset>-788035</wp:posOffset>
                </wp:positionH>
                <wp:positionV relativeFrom="paragraph">
                  <wp:posOffset>721995</wp:posOffset>
                </wp:positionV>
                <wp:extent cx="1105853" cy="381000"/>
                <wp:effectExtent l="318" t="0" r="18732" b="18733"/>
                <wp:wrapNone/>
                <wp:docPr id="36" name="Rounded Rectangle 36"/>
                <wp:cNvGraphicFramePr/>
                <a:graphic xmlns:a="http://schemas.openxmlformats.org/drawingml/2006/main">
                  <a:graphicData uri="http://schemas.microsoft.com/office/word/2010/wordprocessingShape">
                    <wps:wsp>
                      <wps:cNvSpPr/>
                      <wps:spPr>
                        <a:xfrm rot="16200000">
                          <a:off x="0" y="0"/>
                          <a:ext cx="1105853" cy="381000"/>
                        </a:xfrm>
                        <a:prstGeom prst="roundRect">
                          <a:avLst/>
                        </a:prstGeom>
                        <a:solidFill>
                          <a:schemeClr val="accent1">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795FC0" w14:textId="77777777" w:rsidR="003D2729" w:rsidRPr="003D2729" w:rsidRDefault="003D2729" w:rsidP="003D2729">
                            <w:pPr>
                              <w:jc w:val="center"/>
                              <w:rPr>
                                <w:rFonts w:ascii="Arial" w:hAnsi="Arial" w:cs="Arial"/>
                                <w:color w:val="000000" w:themeColor="text1"/>
                                <w:sz w:val="24"/>
                              </w:rPr>
                            </w:pPr>
                            <w:r w:rsidRPr="003D2729">
                              <w:rPr>
                                <w:rFonts w:ascii="Arial" w:hAnsi="Arial" w:cs="Arial"/>
                                <w:color w:val="000000" w:themeColor="text1"/>
                                <w:sz w:val="24"/>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EAA92" id="Rounded Rectangle 36" o:spid="_x0000_s1028" style="position:absolute;margin-left:-62.05pt;margin-top:56.85pt;width:87.1pt;height:30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" fillcolor="#b4c6e7 [1300]" strokecolor="black [3213]" strokeweight="1pt">
                <v:stroke joinstyle="miter"/>
                <v:textbox>
                  <w:txbxContent>
                    <w:p w14:paraId="6E795FC0" w14:textId="77777777" w:rsidR="003D2729" w:rsidRPr="003D2729" w:rsidRDefault="003D2729" w:rsidP="003D2729">
                      <w:pPr>
                        <w:jc w:val="center"/>
                        <w:rPr>
                          <w:rFonts w:ascii="Arial" w:hAnsi="Arial" w:cs="Arial"/>
                          <w:color w:val="000000" w:themeColor="text1"/>
                          <w:sz w:val="24"/>
                        </w:rPr>
                      </w:pPr>
                      <w:r w:rsidRPr="003D2729">
                        <w:rPr>
                          <w:rFonts w:ascii="Arial" w:hAnsi="Arial" w:cs="Arial"/>
                          <w:color w:val="000000" w:themeColor="text1"/>
                          <w:sz w:val="24"/>
                        </w:rPr>
                        <w:t>Identification</w:t>
                      </w:r>
                    </w:p>
                  </w:txbxContent>
                </v:textbox>
              </v:roundrect>
            </w:pict>
          </mc:Fallback>
        </mc:AlternateContent>
      </w:r>
      <w:r w:rsidR="003D2729" w:rsidRPr="003D2729">
        <w:rPr>
          <w:rFonts w:ascii="Arial" w:hAnsi="Arial" w:cs="Arial"/>
          <w:noProof/>
        </w:rPr>
        <mc:AlternateContent>
          <mc:Choice Requires="wps">
            <w:drawing>
              <wp:anchor distT="0" distB="0" distL="114300" distR="114300" simplePos="0" relativeHeight="251679744" behindDoc="0" locked="0" layoutInCell="1" allowOverlap="1" wp14:anchorId="3416951F" wp14:editId="3AA7DA02">
                <wp:simplePos x="0" y="0"/>
                <wp:positionH relativeFrom="column">
                  <wp:posOffset>3028950</wp:posOffset>
                </wp:positionH>
                <wp:positionV relativeFrom="paragraph">
                  <wp:posOffset>3514725</wp:posOffset>
                </wp:positionV>
                <wp:extent cx="533400" cy="219075"/>
                <wp:effectExtent l="0" t="19050" r="38100" b="47625"/>
                <wp:wrapNone/>
                <wp:docPr id="38" name="Right Arrow 38"/>
                <wp:cNvGraphicFramePr/>
                <a:graphic xmlns:a="http://schemas.openxmlformats.org/drawingml/2006/main">
                  <a:graphicData uri="http://schemas.microsoft.com/office/word/2010/wordprocessingShape">
                    <wps:wsp>
                      <wps:cNvSpPr/>
                      <wps:spPr>
                        <a:xfrm>
                          <a:off x="0" y="0"/>
                          <a:ext cx="533400" cy="219075"/>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DE6D6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8" o:spid="_x0000_s1026" type="#_x0000_t13" style="position:absolute;margin-left:238.5pt;margin-top:276.75pt;width:42pt;height:1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" adj="17164" fillcolor="black [3200]" strokecolor="black [1600]" strokeweight="1pt"/>
            </w:pict>
          </mc:Fallback>
        </mc:AlternateContent>
      </w:r>
      <w:r w:rsidR="003D2729" w:rsidRPr="003D2729">
        <w:rPr>
          <w:rFonts w:ascii="Arial" w:hAnsi="Arial" w:cs="Arial"/>
          <w:noProof/>
        </w:rPr>
        <mc:AlternateContent>
          <mc:Choice Requires="wps">
            <w:drawing>
              <wp:anchor distT="0" distB="0" distL="114300" distR="114300" simplePos="0" relativeHeight="251678720" behindDoc="0" locked="0" layoutInCell="1" allowOverlap="1" wp14:anchorId="423C0292" wp14:editId="133B7807">
                <wp:simplePos x="0" y="0"/>
                <wp:positionH relativeFrom="column">
                  <wp:posOffset>3028950</wp:posOffset>
                </wp:positionH>
                <wp:positionV relativeFrom="paragraph">
                  <wp:posOffset>2552700</wp:posOffset>
                </wp:positionV>
                <wp:extent cx="533400" cy="219075"/>
                <wp:effectExtent l="0" t="19050" r="38100" b="47625"/>
                <wp:wrapNone/>
                <wp:docPr id="39" name="Right Arrow 39"/>
                <wp:cNvGraphicFramePr/>
                <a:graphic xmlns:a="http://schemas.openxmlformats.org/drawingml/2006/main">
                  <a:graphicData uri="http://schemas.microsoft.com/office/word/2010/wordprocessingShape">
                    <wps:wsp>
                      <wps:cNvSpPr/>
                      <wps:spPr>
                        <a:xfrm>
                          <a:off x="0" y="0"/>
                          <a:ext cx="533400" cy="219075"/>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62F20" id="Right Arrow 39" o:spid="_x0000_s1026" type="#_x0000_t13" style="position:absolute;margin-left:238.5pt;margin-top:201pt;width:42pt;height:1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" adj="17164" fillcolor="black [3200]" strokecolor="black [1600]" strokeweight="1pt"/>
            </w:pict>
          </mc:Fallback>
        </mc:AlternateContent>
      </w:r>
      <w:r w:rsidR="003D2729" w:rsidRPr="003D2729">
        <w:rPr>
          <w:rFonts w:ascii="Arial" w:hAnsi="Arial" w:cs="Arial"/>
          <w:noProof/>
        </w:rPr>
        <mc:AlternateContent>
          <mc:Choice Requires="wps">
            <w:drawing>
              <wp:anchor distT="0" distB="0" distL="114300" distR="114300" simplePos="0" relativeHeight="251677696" behindDoc="0" locked="0" layoutInCell="1" allowOverlap="1" wp14:anchorId="159E7497" wp14:editId="00EDAF31">
                <wp:simplePos x="0" y="0"/>
                <wp:positionH relativeFrom="column">
                  <wp:posOffset>2099627</wp:posOffset>
                </wp:positionH>
                <wp:positionV relativeFrom="paragraph">
                  <wp:posOffset>4082097</wp:posOffset>
                </wp:positionV>
                <wp:extent cx="397510" cy="182245"/>
                <wp:effectExtent l="12382" t="6668" r="33973" b="33972"/>
                <wp:wrapNone/>
                <wp:docPr id="41" name="Right Arrow 41"/>
                <wp:cNvGraphicFramePr/>
                <a:graphic xmlns:a="http://schemas.openxmlformats.org/drawingml/2006/main">
                  <a:graphicData uri="http://schemas.microsoft.com/office/word/2010/wordprocessingShape">
                    <wps:wsp>
                      <wps:cNvSpPr/>
                      <wps:spPr>
                        <a:xfrm rot="5400000">
                          <a:off x="0" y="0"/>
                          <a:ext cx="397510" cy="182245"/>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9C80DEA" id="Right Arrow 41" o:spid="_x0000_s1026" type="#_x0000_t13" style="position:absolute;margin-left:165.3pt;margin-top:321.4pt;width:31.3pt;height:14.35pt;rotation:90;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" adj="16649" fillcolor="black [3200]" strokecolor="black [1600]" strokeweight="1pt"/>
            </w:pict>
          </mc:Fallback>
        </mc:AlternateContent>
      </w:r>
      <w:r w:rsidR="003D2729" w:rsidRPr="003D2729">
        <w:rPr>
          <w:rFonts w:ascii="Arial" w:hAnsi="Arial" w:cs="Arial"/>
          <w:noProof/>
        </w:rPr>
        <mc:AlternateContent>
          <mc:Choice Requires="wps">
            <w:drawing>
              <wp:anchor distT="0" distB="0" distL="114300" distR="114300" simplePos="0" relativeHeight="251676672" behindDoc="0" locked="0" layoutInCell="1" allowOverlap="1" wp14:anchorId="3637C944" wp14:editId="153118FC">
                <wp:simplePos x="0" y="0"/>
                <wp:positionH relativeFrom="column">
                  <wp:posOffset>2084704</wp:posOffset>
                </wp:positionH>
                <wp:positionV relativeFrom="paragraph">
                  <wp:posOffset>3049270</wp:posOffset>
                </wp:positionV>
                <wp:extent cx="416560" cy="190500"/>
                <wp:effectExtent l="0" t="1270" r="39370" b="39370"/>
                <wp:wrapNone/>
                <wp:docPr id="42" name="Right Arrow 42"/>
                <wp:cNvGraphicFramePr/>
                <a:graphic xmlns:a="http://schemas.openxmlformats.org/drawingml/2006/main">
                  <a:graphicData uri="http://schemas.microsoft.com/office/word/2010/wordprocessingShape">
                    <wps:wsp>
                      <wps:cNvSpPr/>
                      <wps:spPr>
                        <a:xfrm rot="5400000">
                          <a:off x="0" y="0"/>
                          <a:ext cx="416560" cy="190500"/>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358ED" id="Right Arrow 42" o:spid="_x0000_s1026" type="#_x0000_t13" style="position:absolute;margin-left:164.15pt;margin-top:240.1pt;width:32.8pt;height:15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" adj="16661" fillcolor="black [3200]" strokecolor="black [1600]" strokeweight="1pt"/>
            </w:pict>
          </mc:Fallback>
        </mc:AlternateContent>
      </w:r>
      <w:r w:rsidR="003D2729" w:rsidRPr="003D2729">
        <w:rPr>
          <w:rFonts w:ascii="Arial" w:hAnsi="Arial" w:cs="Arial"/>
          <w:noProof/>
        </w:rPr>
        <mc:AlternateContent>
          <mc:Choice Requires="wps">
            <w:drawing>
              <wp:anchor distT="0" distB="0" distL="114300" distR="114300" simplePos="0" relativeHeight="251675648" behindDoc="0" locked="0" layoutInCell="1" allowOverlap="1" wp14:anchorId="179848E0" wp14:editId="48307E3C">
                <wp:simplePos x="0" y="0"/>
                <wp:positionH relativeFrom="column">
                  <wp:posOffset>2089467</wp:posOffset>
                </wp:positionH>
                <wp:positionV relativeFrom="paragraph">
                  <wp:posOffset>2072957</wp:posOffset>
                </wp:positionV>
                <wp:extent cx="416560" cy="171450"/>
                <wp:effectExtent l="27305" t="0" r="29845" b="29845"/>
                <wp:wrapNone/>
                <wp:docPr id="43" name="Right Arrow 43"/>
                <wp:cNvGraphicFramePr/>
                <a:graphic xmlns:a="http://schemas.openxmlformats.org/drawingml/2006/main">
                  <a:graphicData uri="http://schemas.microsoft.com/office/word/2010/wordprocessingShape">
                    <wps:wsp>
                      <wps:cNvSpPr/>
                      <wps:spPr>
                        <a:xfrm rot="5400000">
                          <a:off x="0" y="0"/>
                          <a:ext cx="416560" cy="171450"/>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E2698" id="Right Arrow 43" o:spid="_x0000_s1026" type="#_x0000_t13" style="position:absolute;margin-left:164.5pt;margin-top:163.2pt;width:32.8pt;height:13.5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" adj="17155" fillcolor="black [3200]" strokecolor="black [1600]" strokeweight="1pt"/>
            </w:pict>
          </mc:Fallback>
        </mc:AlternateContent>
      </w:r>
      <w:r w:rsidR="003D2729" w:rsidRPr="003D2729">
        <w:rPr>
          <w:rFonts w:ascii="Arial" w:hAnsi="Arial" w:cs="Arial"/>
          <w:noProof/>
        </w:rPr>
        <mc:AlternateContent>
          <mc:Choice Requires="wps">
            <w:drawing>
              <wp:anchor distT="0" distB="0" distL="114300" distR="114300" simplePos="0" relativeHeight="251674624" behindDoc="0" locked="0" layoutInCell="1" allowOverlap="1" wp14:anchorId="07679ADE" wp14:editId="2CACECAC">
                <wp:simplePos x="0" y="0"/>
                <wp:positionH relativeFrom="column">
                  <wp:posOffset>3411695</wp:posOffset>
                </wp:positionH>
                <wp:positionV relativeFrom="paragraph">
                  <wp:posOffset>1179354</wp:posOffset>
                </wp:positionV>
                <wp:extent cx="401003" cy="180975"/>
                <wp:effectExtent l="14605" t="4445" r="33020" b="33020"/>
                <wp:wrapNone/>
                <wp:docPr id="44" name="Right Arrow 44"/>
                <wp:cNvGraphicFramePr/>
                <a:graphic xmlns:a="http://schemas.openxmlformats.org/drawingml/2006/main">
                  <a:graphicData uri="http://schemas.microsoft.com/office/word/2010/wordprocessingShape">
                    <wps:wsp>
                      <wps:cNvSpPr/>
                      <wps:spPr>
                        <a:xfrm rot="5400000">
                          <a:off x="0" y="0"/>
                          <a:ext cx="401003" cy="180975"/>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DFF4B96" id="Right Arrow 44" o:spid="_x0000_s1026" type="#_x0000_t13" style="position:absolute;margin-left:268.65pt;margin-top:92.85pt;width:31.6pt;height:14.25pt;rotation:90;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" adj="16726" fillcolor="black [3200]" strokecolor="black [1600]" strokeweight="1pt"/>
            </w:pict>
          </mc:Fallback>
        </mc:AlternateContent>
      </w:r>
      <w:r w:rsidR="003D2729" w:rsidRPr="003D2729">
        <w:rPr>
          <w:rFonts w:ascii="Arial" w:hAnsi="Arial" w:cs="Arial"/>
          <w:noProof/>
        </w:rPr>
        <mc:AlternateContent>
          <mc:Choice Requires="wps">
            <w:drawing>
              <wp:anchor distT="0" distB="0" distL="114300" distR="114300" simplePos="0" relativeHeight="251673600" behindDoc="0" locked="0" layoutInCell="1" allowOverlap="1" wp14:anchorId="01005AE7" wp14:editId="05AC1049">
                <wp:simplePos x="0" y="0"/>
                <wp:positionH relativeFrom="column">
                  <wp:posOffset>1298892</wp:posOffset>
                </wp:positionH>
                <wp:positionV relativeFrom="paragraph">
                  <wp:posOffset>1177607</wp:posOffset>
                </wp:positionV>
                <wp:extent cx="397510" cy="180975"/>
                <wp:effectExtent l="13017" t="6033" r="34608" b="34607"/>
                <wp:wrapNone/>
                <wp:docPr id="45" name="Right Arrow 45"/>
                <wp:cNvGraphicFramePr/>
                <a:graphic xmlns:a="http://schemas.openxmlformats.org/drawingml/2006/main">
                  <a:graphicData uri="http://schemas.microsoft.com/office/word/2010/wordprocessingShape">
                    <wps:wsp>
                      <wps:cNvSpPr/>
                      <wps:spPr>
                        <a:xfrm rot="5400000">
                          <a:off x="0" y="0"/>
                          <a:ext cx="397510" cy="180975"/>
                        </a:xfrm>
                        <a:prstGeom prst="rightArrow">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24B5C7" id="Right Arrow 45" o:spid="_x0000_s1026" type="#_x0000_t13" style="position:absolute;margin-left:102.25pt;margin-top:92.7pt;width:31.3pt;height:14.25pt;rotation:90;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" adj="16683" fillcolor="black [3200]" strokecolor="black [1600]" strokeweight="1pt"/>
            </w:pict>
          </mc:Fallback>
        </mc:AlternateContent>
      </w:r>
      <w:r w:rsidR="003D2729" w:rsidRPr="003D2729">
        <w:rPr>
          <w:rFonts w:ascii="Arial" w:hAnsi="Arial" w:cs="Arial"/>
          <w:noProof/>
        </w:rPr>
        <mc:AlternateContent>
          <mc:Choice Requires="wps">
            <w:drawing>
              <wp:anchor distT="0" distB="0" distL="114300" distR="114300" simplePos="0" relativeHeight="251671552" behindDoc="0" locked="0" layoutInCell="1" allowOverlap="1" wp14:anchorId="34F9751F" wp14:editId="1270578C">
                <wp:simplePos x="0" y="0"/>
                <wp:positionH relativeFrom="column">
                  <wp:posOffset>1190625</wp:posOffset>
                </wp:positionH>
                <wp:positionV relativeFrom="paragraph">
                  <wp:posOffset>4371975</wp:posOffset>
                </wp:positionV>
                <wp:extent cx="1838325" cy="609600"/>
                <wp:effectExtent l="0" t="0" r="28575" b="19050"/>
                <wp:wrapNone/>
                <wp:docPr id="46" name="Rectangle 46"/>
                <wp:cNvGraphicFramePr/>
                <a:graphic xmlns:a="http://schemas.openxmlformats.org/drawingml/2006/main">
                  <a:graphicData uri="http://schemas.microsoft.com/office/word/2010/wordprocessingShape">
                    <wps:wsp>
                      <wps:cNvSpPr/>
                      <wps:spPr>
                        <a:xfrm>
                          <a:off x="0" y="0"/>
                          <a:ext cx="1838325" cy="6096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31F0FA" w14:textId="0DF68276" w:rsidR="00CD61B9" w:rsidRDefault="003D2729" w:rsidP="00CD61B9">
                            <w:pPr>
                              <w:spacing w:after="0"/>
                              <w:jc w:val="center"/>
                              <w:rPr>
                                <w:rFonts w:ascii="Arial" w:hAnsi="Arial" w:cs="Arial"/>
                                <w:color w:val="000000" w:themeColor="text1"/>
                              </w:rPr>
                            </w:pPr>
                            <w:r w:rsidRPr="003D2729">
                              <w:rPr>
                                <w:rFonts w:ascii="Arial" w:hAnsi="Arial" w:cs="Arial"/>
                                <w:color w:val="000000" w:themeColor="text1"/>
                              </w:rPr>
                              <w:t>Studies included for review</w:t>
                            </w:r>
                          </w:p>
                          <w:p w14:paraId="6BD2919F" w14:textId="040587A8" w:rsidR="003D2729" w:rsidRPr="003D2729" w:rsidRDefault="003D2729" w:rsidP="00CD61B9">
                            <w:pPr>
                              <w:spacing w:after="0"/>
                              <w:jc w:val="center"/>
                              <w:rPr>
                                <w:rFonts w:ascii="Arial" w:hAnsi="Arial" w:cs="Arial"/>
                                <w:color w:val="000000" w:themeColor="text1"/>
                              </w:rPr>
                            </w:pPr>
                            <w:r w:rsidRPr="003D2729">
                              <w:rPr>
                                <w:rFonts w:ascii="Arial" w:hAnsi="Arial" w:cs="Arial"/>
                                <w:color w:val="000000" w:themeColor="text1"/>
                              </w:rPr>
                              <w:t>(n=1</w:t>
                            </w:r>
                            <w:r w:rsidR="00CD61B9">
                              <w:rPr>
                                <w:rFonts w:ascii="Arial" w:hAnsi="Arial" w:cs="Arial"/>
                                <w:color w:val="000000" w:themeColor="text1"/>
                              </w:rPr>
                              <w:t>2</w:t>
                            </w:r>
                            <w:r w:rsidRPr="003D2729">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F9751F" id="Rectangle 46" o:spid="_x0000_s1029" style="position:absolute;margin-left:93.75pt;margin-top:344.25pt;width:144.75pt;height:48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" fillcolor="white [3212]" strokecolor="black [3213]" strokeweight="1pt">
                <v:textbox>
                  <w:txbxContent>
                    <w:p w14:paraId="6331F0FA" w14:textId="0DF68276" w:rsidR="00CD61B9" w:rsidRDefault="003D2729" w:rsidP="00CD61B9">
                      <w:pPr>
                        <w:spacing w:after="0"/>
                        <w:jc w:val="center"/>
                        <w:rPr>
                          <w:rFonts w:ascii="Arial" w:hAnsi="Arial" w:cs="Arial"/>
                          <w:color w:val="000000" w:themeColor="text1"/>
                        </w:rPr>
                      </w:pPr>
                      <w:r w:rsidRPr="003D2729">
                        <w:rPr>
                          <w:rFonts w:ascii="Arial" w:hAnsi="Arial" w:cs="Arial"/>
                          <w:color w:val="000000" w:themeColor="text1"/>
                        </w:rPr>
                        <w:t>Studies included for review</w:t>
                      </w:r>
                    </w:p>
                    <w:p w14:paraId="6BD2919F" w14:textId="040587A8" w:rsidR="003D2729" w:rsidRPr="003D2729" w:rsidRDefault="003D2729" w:rsidP="00CD61B9">
                      <w:pPr>
                        <w:spacing w:after="0"/>
                        <w:jc w:val="center"/>
                        <w:rPr>
                          <w:rFonts w:ascii="Arial" w:hAnsi="Arial" w:cs="Arial"/>
                          <w:color w:val="000000" w:themeColor="text1"/>
                        </w:rPr>
                      </w:pPr>
                      <w:r w:rsidRPr="003D2729">
                        <w:rPr>
                          <w:rFonts w:ascii="Arial" w:hAnsi="Arial" w:cs="Arial"/>
                          <w:color w:val="000000" w:themeColor="text1"/>
                        </w:rPr>
                        <w:t>(n=1</w:t>
                      </w:r>
                      <w:r w:rsidR="00CD61B9">
                        <w:rPr>
                          <w:rFonts w:ascii="Arial" w:hAnsi="Arial" w:cs="Arial"/>
                          <w:color w:val="000000" w:themeColor="text1"/>
                        </w:rPr>
                        <w:t>2</w:t>
                      </w:r>
                      <w:r w:rsidRPr="003D2729">
                        <w:rPr>
                          <w:rFonts w:ascii="Arial" w:hAnsi="Arial" w:cs="Arial"/>
                          <w:color w:val="000000" w:themeColor="text1"/>
                        </w:rPr>
                        <w:t>)</w:t>
                      </w:r>
                    </w:p>
                  </w:txbxContent>
                </v:textbox>
              </v:rect>
            </w:pict>
          </mc:Fallback>
        </mc:AlternateContent>
      </w:r>
      <w:r w:rsidR="003D2729" w:rsidRPr="003D2729">
        <w:rPr>
          <w:rFonts w:ascii="Arial" w:hAnsi="Arial" w:cs="Arial"/>
          <w:noProof/>
        </w:rPr>
        <mc:AlternateContent>
          <mc:Choice Requires="wps">
            <w:drawing>
              <wp:anchor distT="0" distB="0" distL="114300" distR="114300" simplePos="0" relativeHeight="251669504" behindDoc="0" locked="0" layoutInCell="1" allowOverlap="1" wp14:anchorId="166E2598" wp14:editId="74C5EDCE">
                <wp:simplePos x="0" y="0"/>
                <wp:positionH relativeFrom="column">
                  <wp:posOffset>1190625</wp:posOffset>
                </wp:positionH>
                <wp:positionV relativeFrom="paragraph">
                  <wp:posOffset>3352800</wp:posOffset>
                </wp:positionV>
                <wp:extent cx="1838325" cy="619125"/>
                <wp:effectExtent l="0" t="0" r="28575" b="28575"/>
                <wp:wrapNone/>
                <wp:docPr id="47" name="Rectangle 47"/>
                <wp:cNvGraphicFramePr/>
                <a:graphic xmlns:a="http://schemas.openxmlformats.org/drawingml/2006/main">
                  <a:graphicData uri="http://schemas.microsoft.com/office/word/2010/wordprocessingShape">
                    <wps:wsp>
                      <wps:cNvSpPr/>
                      <wps:spPr>
                        <a:xfrm>
                          <a:off x="0" y="0"/>
                          <a:ext cx="1838325" cy="619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B7A8BA" w14:textId="64D0A768" w:rsidR="00CD61B9" w:rsidRDefault="003D2729" w:rsidP="00CD61B9">
                            <w:pPr>
                              <w:spacing w:after="0"/>
                              <w:jc w:val="center"/>
                              <w:rPr>
                                <w:rFonts w:ascii="Arial" w:hAnsi="Arial" w:cs="Arial"/>
                                <w:color w:val="000000" w:themeColor="text1"/>
                              </w:rPr>
                            </w:pPr>
                            <w:r w:rsidRPr="003D2729">
                              <w:rPr>
                                <w:rFonts w:ascii="Arial" w:hAnsi="Arial" w:cs="Arial"/>
                                <w:color w:val="000000" w:themeColor="text1"/>
                              </w:rPr>
                              <w:t>Full texted articles assessed for eligibility</w:t>
                            </w:r>
                          </w:p>
                          <w:p w14:paraId="3B4DF52A" w14:textId="2296F813" w:rsidR="003D2729" w:rsidRPr="003D2729" w:rsidRDefault="003D2729" w:rsidP="00CD61B9">
                            <w:pPr>
                              <w:spacing w:after="0"/>
                              <w:jc w:val="center"/>
                              <w:rPr>
                                <w:rFonts w:ascii="Arial" w:hAnsi="Arial" w:cs="Arial"/>
                                <w:color w:val="000000" w:themeColor="text1"/>
                              </w:rPr>
                            </w:pPr>
                            <w:r w:rsidRPr="003D2729">
                              <w:rPr>
                                <w:rFonts w:ascii="Arial" w:hAnsi="Arial" w:cs="Arial"/>
                                <w:color w:val="000000" w:themeColor="text1"/>
                              </w:rPr>
                              <w:t xml:space="preserve">(n= </w:t>
                            </w:r>
                            <w:r w:rsidR="00CD61B9">
                              <w:rPr>
                                <w:rFonts w:ascii="Arial" w:hAnsi="Arial" w:cs="Arial"/>
                                <w:color w:val="000000" w:themeColor="text1"/>
                              </w:rPr>
                              <w:t>36</w:t>
                            </w:r>
                            <w:r w:rsidRPr="003D2729">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6E2598" id="Rectangle 47" o:spid="_x0000_s1030" style="position:absolute;margin-left:93.75pt;margin-top:264pt;width:144.75pt;height:48.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" fillcolor="white [3212]" strokecolor="black [3213]" strokeweight="1pt">
                <v:textbox>
                  <w:txbxContent>
                    <w:p w14:paraId="14B7A8BA" w14:textId="64D0A768" w:rsidR="00CD61B9" w:rsidRDefault="003D2729" w:rsidP="00CD61B9">
                      <w:pPr>
                        <w:spacing w:after="0"/>
                        <w:jc w:val="center"/>
                        <w:rPr>
                          <w:rFonts w:ascii="Arial" w:hAnsi="Arial" w:cs="Arial"/>
                          <w:color w:val="000000" w:themeColor="text1"/>
                        </w:rPr>
                      </w:pPr>
                      <w:r w:rsidRPr="003D2729">
                        <w:rPr>
                          <w:rFonts w:ascii="Arial" w:hAnsi="Arial" w:cs="Arial"/>
                          <w:color w:val="000000" w:themeColor="text1"/>
                        </w:rPr>
                        <w:t>Full texted articles assessed for eligibility</w:t>
                      </w:r>
                    </w:p>
                    <w:p w14:paraId="3B4DF52A" w14:textId="2296F813" w:rsidR="003D2729" w:rsidRPr="003D2729" w:rsidRDefault="003D2729" w:rsidP="00CD61B9">
                      <w:pPr>
                        <w:spacing w:after="0"/>
                        <w:jc w:val="center"/>
                        <w:rPr>
                          <w:rFonts w:ascii="Arial" w:hAnsi="Arial" w:cs="Arial"/>
                          <w:color w:val="000000" w:themeColor="text1"/>
                        </w:rPr>
                      </w:pPr>
                      <w:r w:rsidRPr="003D2729">
                        <w:rPr>
                          <w:rFonts w:ascii="Arial" w:hAnsi="Arial" w:cs="Arial"/>
                          <w:color w:val="000000" w:themeColor="text1"/>
                        </w:rPr>
                        <w:t xml:space="preserve">(n= </w:t>
                      </w:r>
                      <w:r w:rsidR="00CD61B9">
                        <w:rPr>
                          <w:rFonts w:ascii="Arial" w:hAnsi="Arial" w:cs="Arial"/>
                          <w:color w:val="000000" w:themeColor="text1"/>
                        </w:rPr>
                        <w:t>36</w:t>
                      </w:r>
                      <w:r w:rsidRPr="003D2729">
                        <w:rPr>
                          <w:rFonts w:ascii="Arial" w:hAnsi="Arial" w:cs="Arial"/>
                          <w:color w:val="000000" w:themeColor="text1"/>
                        </w:rPr>
                        <w:t>)</w:t>
                      </w:r>
                    </w:p>
                  </w:txbxContent>
                </v:textbox>
              </v:rect>
            </w:pict>
          </mc:Fallback>
        </mc:AlternateContent>
      </w:r>
    </w:p>
    <w:p w14:paraId="090F6AAD" w14:textId="77777777" w:rsidR="003D2729" w:rsidRPr="003D2729" w:rsidRDefault="003D2729" w:rsidP="003D2729">
      <w:pPr>
        <w:spacing w:line="360" w:lineRule="auto"/>
        <w:jc w:val="both"/>
        <w:rPr>
          <w:rFonts w:ascii="Arial" w:hAnsi="Arial" w:cs="Arial"/>
          <w:b/>
          <w:sz w:val="24"/>
          <w:szCs w:val="24"/>
        </w:rPr>
      </w:pPr>
    </w:p>
    <w:p w14:paraId="2F7C2CF7" w14:textId="77777777" w:rsidR="003D2729" w:rsidRPr="003D2729" w:rsidRDefault="003D2729" w:rsidP="003D2729">
      <w:pPr>
        <w:spacing w:line="360" w:lineRule="auto"/>
        <w:jc w:val="both"/>
        <w:rPr>
          <w:rFonts w:ascii="Arial" w:hAnsi="Arial" w:cs="Arial"/>
          <w:sz w:val="24"/>
          <w:szCs w:val="24"/>
        </w:rPr>
      </w:pPr>
    </w:p>
    <w:p w14:paraId="49D5C976" w14:textId="77777777" w:rsidR="003D2729" w:rsidRPr="003D2729" w:rsidRDefault="003D2729" w:rsidP="003D2729">
      <w:pPr>
        <w:spacing w:line="360" w:lineRule="auto"/>
        <w:jc w:val="both"/>
        <w:rPr>
          <w:rFonts w:ascii="Arial" w:hAnsi="Arial" w:cs="Arial"/>
          <w:sz w:val="24"/>
          <w:szCs w:val="24"/>
        </w:rPr>
      </w:pPr>
    </w:p>
    <w:p w14:paraId="299E8385" w14:textId="1E297F9D" w:rsidR="003D2729" w:rsidRPr="003D2729" w:rsidRDefault="00CD61B9" w:rsidP="003D2729">
      <w:pPr>
        <w:spacing w:line="360" w:lineRule="auto"/>
        <w:jc w:val="both"/>
        <w:rPr>
          <w:rFonts w:ascii="Arial" w:hAnsi="Arial" w:cs="Arial"/>
          <w:sz w:val="24"/>
          <w:szCs w:val="24"/>
        </w:rPr>
      </w:pPr>
      <w:r w:rsidRPr="003D2729">
        <w:rPr>
          <w:rFonts w:ascii="Arial" w:hAnsi="Arial" w:cs="Arial"/>
          <w:noProof/>
        </w:rPr>
        <mc:AlternateContent>
          <mc:Choice Requires="wps">
            <w:drawing>
              <wp:anchor distT="0" distB="0" distL="114300" distR="114300" simplePos="0" relativeHeight="251666432" behindDoc="0" locked="0" layoutInCell="1" allowOverlap="1" wp14:anchorId="760737F0" wp14:editId="239574B8">
                <wp:simplePos x="0" y="0"/>
                <wp:positionH relativeFrom="column">
                  <wp:posOffset>898498</wp:posOffset>
                </wp:positionH>
                <wp:positionV relativeFrom="paragraph">
                  <wp:posOffset>95581</wp:posOffset>
                </wp:positionV>
                <wp:extent cx="2981822" cy="485775"/>
                <wp:effectExtent l="0" t="0" r="28575" b="28575"/>
                <wp:wrapNone/>
                <wp:docPr id="48" name="Rectangle 48"/>
                <wp:cNvGraphicFramePr/>
                <a:graphic xmlns:a="http://schemas.openxmlformats.org/drawingml/2006/main">
                  <a:graphicData uri="http://schemas.microsoft.com/office/word/2010/wordprocessingShape">
                    <wps:wsp>
                      <wps:cNvSpPr/>
                      <wps:spPr>
                        <a:xfrm>
                          <a:off x="0" y="0"/>
                          <a:ext cx="2981822" cy="4857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D43522" w14:textId="39117650" w:rsidR="003D2729" w:rsidRPr="003D2729" w:rsidRDefault="003D2729" w:rsidP="00CD61B9">
                            <w:pPr>
                              <w:spacing w:after="0"/>
                              <w:jc w:val="center"/>
                              <w:rPr>
                                <w:rFonts w:ascii="Arial" w:hAnsi="Arial" w:cs="Arial"/>
                                <w:color w:val="000000" w:themeColor="text1"/>
                              </w:rPr>
                            </w:pPr>
                            <w:r w:rsidRPr="003D2729">
                              <w:rPr>
                                <w:rFonts w:ascii="Arial" w:hAnsi="Arial" w:cs="Arial"/>
                                <w:color w:val="000000" w:themeColor="text1"/>
                              </w:rPr>
                              <w:t>Record after Duplicated removed</w:t>
                            </w:r>
                          </w:p>
                          <w:p w14:paraId="070716A6" w14:textId="355DCB34" w:rsidR="003D2729" w:rsidRPr="003D2729" w:rsidRDefault="003D2729" w:rsidP="00CD61B9">
                            <w:pPr>
                              <w:spacing w:after="0"/>
                              <w:jc w:val="center"/>
                              <w:rPr>
                                <w:rFonts w:ascii="Arial" w:hAnsi="Arial" w:cs="Arial"/>
                                <w:color w:val="000000" w:themeColor="text1"/>
                              </w:rPr>
                            </w:pPr>
                            <w:r w:rsidRPr="003D2729">
                              <w:rPr>
                                <w:rFonts w:ascii="Arial" w:hAnsi="Arial" w:cs="Arial"/>
                                <w:color w:val="000000" w:themeColor="text1"/>
                              </w:rPr>
                              <w:t xml:space="preserve">(n= </w:t>
                            </w:r>
                            <w:r w:rsidR="00E034C0">
                              <w:rPr>
                                <w:rFonts w:ascii="Arial" w:hAnsi="Arial" w:cs="Arial"/>
                                <w:color w:val="000000" w:themeColor="text1"/>
                              </w:rPr>
                              <w:t>60</w:t>
                            </w:r>
                            <w:r w:rsidRPr="003D2729">
                              <w:rPr>
                                <w:rFonts w:ascii="Arial" w:hAnsi="Arial" w:cs="Arial"/>
                                <w:color w:val="000000" w:themeColor="text1"/>
                              </w:rPr>
                              <w:t>)</w:t>
                            </w:r>
                          </w:p>
                          <w:p w14:paraId="5B338CBC" w14:textId="77777777" w:rsidR="003D2729" w:rsidRDefault="003D272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737F0" id="Rectangle 48" o:spid="_x0000_s1031" style="position:absolute;left:0;text-align:left;margin-left:70.75pt;margin-top:7.55pt;width:234.8pt;height:3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" fillcolor="white [3212]" strokecolor="black [3213]" strokeweight="1pt">
                <v:textbox>
                  <w:txbxContent>
                    <w:p w14:paraId="2BD43522" w14:textId="39117650" w:rsidR="003D2729" w:rsidRPr="003D2729" w:rsidRDefault="003D2729" w:rsidP="00CD61B9">
                      <w:pPr>
                        <w:spacing w:after="0"/>
                        <w:jc w:val="center"/>
                        <w:rPr>
                          <w:rFonts w:ascii="Arial" w:hAnsi="Arial" w:cs="Arial"/>
                          <w:color w:val="000000" w:themeColor="text1"/>
                        </w:rPr>
                      </w:pPr>
                      <w:r w:rsidRPr="003D2729">
                        <w:rPr>
                          <w:rFonts w:ascii="Arial" w:hAnsi="Arial" w:cs="Arial"/>
                          <w:color w:val="000000" w:themeColor="text1"/>
                        </w:rPr>
                        <w:t>Record after Duplicated removed</w:t>
                      </w:r>
                    </w:p>
                    <w:p w14:paraId="070716A6" w14:textId="355DCB34" w:rsidR="003D2729" w:rsidRPr="003D2729" w:rsidRDefault="003D2729" w:rsidP="00CD61B9">
                      <w:pPr>
                        <w:spacing w:after="0"/>
                        <w:jc w:val="center"/>
                        <w:rPr>
                          <w:rFonts w:ascii="Arial" w:hAnsi="Arial" w:cs="Arial"/>
                          <w:color w:val="000000" w:themeColor="text1"/>
                        </w:rPr>
                      </w:pPr>
                      <w:r w:rsidRPr="003D2729">
                        <w:rPr>
                          <w:rFonts w:ascii="Arial" w:hAnsi="Arial" w:cs="Arial"/>
                          <w:color w:val="000000" w:themeColor="text1"/>
                        </w:rPr>
                        <w:t xml:space="preserve">(n= </w:t>
                      </w:r>
                      <w:r w:rsidR="00E034C0">
                        <w:rPr>
                          <w:rFonts w:ascii="Arial" w:hAnsi="Arial" w:cs="Arial"/>
                          <w:color w:val="000000" w:themeColor="text1"/>
                        </w:rPr>
                        <w:t>60</w:t>
                      </w:r>
                      <w:r w:rsidRPr="003D2729">
                        <w:rPr>
                          <w:rFonts w:ascii="Arial" w:hAnsi="Arial" w:cs="Arial"/>
                          <w:color w:val="000000" w:themeColor="text1"/>
                        </w:rPr>
                        <w:t>)</w:t>
                      </w:r>
                    </w:p>
                    <w:p w14:paraId="5B338CBC" w14:textId="77777777" w:rsidR="003D2729" w:rsidRDefault="003D2729"/>
                  </w:txbxContent>
                </v:textbox>
              </v:rect>
            </w:pict>
          </mc:Fallback>
        </mc:AlternateContent>
      </w:r>
    </w:p>
    <w:p w14:paraId="41283C04" w14:textId="1BF9D3A1" w:rsidR="003D2729" w:rsidRPr="003D2729" w:rsidRDefault="00D720D9" w:rsidP="003D2729">
      <w:pPr>
        <w:spacing w:line="360" w:lineRule="auto"/>
        <w:jc w:val="both"/>
        <w:rPr>
          <w:rFonts w:ascii="Arial" w:hAnsi="Arial" w:cs="Arial"/>
          <w:sz w:val="24"/>
          <w:szCs w:val="24"/>
        </w:rPr>
      </w:pPr>
      <w:r w:rsidRPr="003D2729">
        <w:rPr>
          <w:rFonts w:ascii="Arial" w:hAnsi="Arial" w:cs="Arial"/>
          <w:noProof/>
        </w:rPr>
        <mc:AlternateContent>
          <mc:Choice Requires="wps">
            <w:drawing>
              <wp:anchor distT="0" distB="0" distL="114300" distR="114300" simplePos="0" relativeHeight="251680768" behindDoc="0" locked="0" layoutInCell="1" allowOverlap="1" wp14:anchorId="484CD30E" wp14:editId="2F8658B7">
                <wp:simplePos x="0" y="0"/>
                <wp:positionH relativeFrom="column">
                  <wp:posOffset>-808182</wp:posOffset>
                </wp:positionH>
                <wp:positionV relativeFrom="paragraph">
                  <wp:posOffset>248457</wp:posOffset>
                </wp:positionV>
                <wp:extent cx="1105535" cy="381000"/>
                <wp:effectExtent l="318" t="0" r="18732" b="18733"/>
                <wp:wrapNone/>
                <wp:docPr id="35" name="Rounded Rectangle 35"/>
                <wp:cNvGraphicFramePr/>
                <a:graphic xmlns:a="http://schemas.openxmlformats.org/drawingml/2006/main">
                  <a:graphicData uri="http://schemas.microsoft.com/office/word/2010/wordprocessingShape">
                    <wps:wsp>
                      <wps:cNvSpPr/>
                      <wps:spPr>
                        <a:xfrm rot="16200000">
                          <a:off x="0" y="0"/>
                          <a:ext cx="1105535" cy="381000"/>
                        </a:xfrm>
                        <a:prstGeom prst="roundRect">
                          <a:avLst/>
                        </a:prstGeom>
                        <a:solidFill>
                          <a:schemeClr val="accent1">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45E3D9" w14:textId="77777777" w:rsidR="003D2729" w:rsidRPr="003D2729" w:rsidRDefault="003D2729" w:rsidP="003D2729">
                            <w:pPr>
                              <w:jc w:val="center"/>
                              <w:rPr>
                                <w:rFonts w:ascii="Arial" w:hAnsi="Arial" w:cs="Arial"/>
                                <w:color w:val="000000" w:themeColor="text1"/>
                                <w:sz w:val="24"/>
                              </w:rPr>
                            </w:pPr>
                            <w:r w:rsidRPr="003D2729">
                              <w:rPr>
                                <w:rFonts w:ascii="Arial" w:hAnsi="Arial" w:cs="Arial"/>
                                <w:color w:val="000000" w:themeColor="text1"/>
                                <w:sz w:val="24"/>
                              </w:rPr>
                              <w:t>Screening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4CD30E" id="Rounded Rectangle 35" o:spid="_x0000_s1032" style="position:absolute;left:0;text-align:left;margin-left:-63.65pt;margin-top:19.55pt;width:87.05pt;height:30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" fillcolor="#b4c6e7 [1300]" strokecolor="black [3213]" strokeweight="1pt">
                <v:stroke joinstyle="miter"/>
                <v:textbox>
                  <w:txbxContent>
                    <w:p w14:paraId="2C45E3D9" w14:textId="77777777" w:rsidR="003D2729" w:rsidRPr="003D2729" w:rsidRDefault="003D2729" w:rsidP="003D2729">
                      <w:pPr>
                        <w:jc w:val="center"/>
                        <w:rPr>
                          <w:rFonts w:ascii="Arial" w:hAnsi="Arial" w:cs="Arial"/>
                          <w:color w:val="000000" w:themeColor="text1"/>
                          <w:sz w:val="24"/>
                        </w:rPr>
                      </w:pPr>
                      <w:r w:rsidRPr="003D2729">
                        <w:rPr>
                          <w:rFonts w:ascii="Arial" w:hAnsi="Arial" w:cs="Arial"/>
                          <w:color w:val="000000" w:themeColor="text1"/>
                          <w:sz w:val="24"/>
                        </w:rPr>
                        <w:t>Screening</w:t>
                      </w:r>
                    </w:p>
                  </w:txbxContent>
                </v:textbox>
              </v:roundrect>
            </w:pict>
          </mc:Fallback>
        </mc:AlternateContent>
      </w:r>
    </w:p>
    <w:p w14:paraId="3F932FDB" w14:textId="7D14B5DB" w:rsidR="003D2729" w:rsidRDefault="00CD61B9" w:rsidP="003D2729">
      <w:pPr>
        <w:spacing w:line="360" w:lineRule="auto"/>
        <w:jc w:val="both"/>
        <w:rPr>
          <w:rFonts w:ascii="Times New Roman" w:hAnsi="Times New Roman" w:cs="Times New Roman"/>
          <w:sz w:val="24"/>
          <w:szCs w:val="24"/>
        </w:rPr>
      </w:pPr>
      <w:r w:rsidRPr="003D2729">
        <w:rPr>
          <w:rFonts w:ascii="Arial" w:hAnsi="Arial" w:cs="Arial"/>
          <w:noProof/>
        </w:rPr>
        <mc:AlternateContent>
          <mc:Choice Requires="wps">
            <w:drawing>
              <wp:anchor distT="0" distB="0" distL="114300" distR="114300" simplePos="0" relativeHeight="251668480" behindDoc="0" locked="0" layoutInCell="1" allowOverlap="1" wp14:anchorId="6B7867FA" wp14:editId="204FC69E">
                <wp:simplePos x="0" y="0"/>
                <wp:positionH relativeFrom="margin">
                  <wp:posOffset>3562184</wp:posOffset>
                </wp:positionH>
                <wp:positionV relativeFrom="paragraph">
                  <wp:posOffset>281001</wp:posOffset>
                </wp:positionV>
                <wp:extent cx="2727298" cy="652007"/>
                <wp:effectExtent l="0" t="0" r="16510" b="15240"/>
                <wp:wrapNone/>
                <wp:docPr id="40" name="Rectangle 40"/>
                <wp:cNvGraphicFramePr/>
                <a:graphic xmlns:a="http://schemas.openxmlformats.org/drawingml/2006/main">
                  <a:graphicData uri="http://schemas.microsoft.com/office/word/2010/wordprocessingShape">
                    <wps:wsp>
                      <wps:cNvSpPr/>
                      <wps:spPr>
                        <a:xfrm>
                          <a:off x="0" y="0"/>
                          <a:ext cx="2727298" cy="652007"/>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7EEE31" w14:textId="2F83613C" w:rsidR="00CD61B9" w:rsidRDefault="003D2729" w:rsidP="00CD61B9">
                            <w:pPr>
                              <w:spacing w:after="0"/>
                              <w:jc w:val="center"/>
                              <w:rPr>
                                <w:rFonts w:ascii="Arial" w:hAnsi="Arial" w:cs="Arial"/>
                                <w:color w:val="000000" w:themeColor="text1"/>
                              </w:rPr>
                            </w:pPr>
                            <w:r w:rsidRPr="003D2729">
                              <w:rPr>
                                <w:rFonts w:ascii="Arial" w:hAnsi="Arial" w:cs="Arial"/>
                                <w:color w:val="000000" w:themeColor="text1"/>
                              </w:rPr>
                              <w:t xml:space="preserve">Record excluded </w:t>
                            </w:r>
                            <w:r w:rsidR="00CD61B9">
                              <w:rPr>
                                <w:rFonts w:ascii="Arial" w:hAnsi="Arial" w:cs="Arial"/>
                                <w:color w:val="000000" w:themeColor="text1"/>
                              </w:rPr>
                              <w:t>after title and abstract screening</w:t>
                            </w:r>
                          </w:p>
                          <w:p w14:paraId="5A628DB9" w14:textId="60C91E55" w:rsidR="003D2729" w:rsidRPr="003D2729" w:rsidRDefault="003D2729" w:rsidP="00CD61B9">
                            <w:pPr>
                              <w:spacing w:after="0"/>
                              <w:jc w:val="center"/>
                              <w:rPr>
                                <w:rFonts w:ascii="Arial" w:hAnsi="Arial" w:cs="Arial"/>
                                <w:color w:val="000000" w:themeColor="text1"/>
                              </w:rPr>
                            </w:pPr>
                            <w:r w:rsidRPr="003D2729">
                              <w:rPr>
                                <w:rFonts w:ascii="Arial" w:hAnsi="Arial" w:cs="Arial"/>
                                <w:color w:val="000000" w:themeColor="text1"/>
                              </w:rPr>
                              <w:t>(n=</w:t>
                            </w:r>
                            <w:r w:rsidR="00746608">
                              <w:rPr>
                                <w:rFonts w:ascii="Arial" w:hAnsi="Arial" w:cs="Arial"/>
                                <w:color w:val="000000" w:themeColor="text1"/>
                              </w:rPr>
                              <w:t>510</w:t>
                            </w:r>
                            <w:r w:rsidRPr="003D2729">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7867FA" id="Rectangle 40" o:spid="_x0000_s1033" style="position:absolute;left:0;text-align:left;margin-left:280.5pt;margin-top:22.15pt;width:214.75pt;height:51.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" fillcolor="white [3212]" strokecolor="black [3213]" strokeweight="1pt">
                <v:textbox>
                  <w:txbxContent>
                    <w:p w14:paraId="4F7EEE31" w14:textId="2F83613C" w:rsidR="00CD61B9" w:rsidRDefault="003D2729" w:rsidP="00CD61B9">
                      <w:pPr>
                        <w:spacing w:after="0"/>
                        <w:jc w:val="center"/>
                        <w:rPr>
                          <w:rFonts w:ascii="Arial" w:hAnsi="Arial" w:cs="Arial"/>
                          <w:color w:val="000000" w:themeColor="text1"/>
                        </w:rPr>
                      </w:pPr>
                      <w:r w:rsidRPr="003D2729">
                        <w:rPr>
                          <w:rFonts w:ascii="Arial" w:hAnsi="Arial" w:cs="Arial"/>
                          <w:color w:val="000000" w:themeColor="text1"/>
                        </w:rPr>
                        <w:t xml:space="preserve">Record excluded </w:t>
                      </w:r>
                      <w:r w:rsidR="00CD61B9">
                        <w:rPr>
                          <w:rFonts w:ascii="Arial" w:hAnsi="Arial" w:cs="Arial"/>
                          <w:color w:val="000000" w:themeColor="text1"/>
                        </w:rPr>
                        <w:t>after title and abstract screening</w:t>
                      </w:r>
                    </w:p>
                    <w:p w14:paraId="5A628DB9" w14:textId="60C91E55" w:rsidR="003D2729" w:rsidRPr="003D2729" w:rsidRDefault="003D2729" w:rsidP="00CD61B9">
                      <w:pPr>
                        <w:spacing w:after="0"/>
                        <w:jc w:val="center"/>
                        <w:rPr>
                          <w:rFonts w:ascii="Arial" w:hAnsi="Arial" w:cs="Arial"/>
                          <w:color w:val="000000" w:themeColor="text1"/>
                        </w:rPr>
                      </w:pPr>
                      <w:r w:rsidRPr="003D2729">
                        <w:rPr>
                          <w:rFonts w:ascii="Arial" w:hAnsi="Arial" w:cs="Arial"/>
                          <w:color w:val="000000" w:themeColor="text1"/>
                        </w:rPr>
                        <w:t>(n=</w:t>
                      </w:r>
                      <w:r w:rsidR="00746608">
                        <w:rPr>
                          <w:rFonts w:ascii="Arial" w:hAnsi="Arial" w:cs="Arial"/>
                          <w:color w:val="000000" w:themeColor="text1"/>
                        </w:rPr>
                        <w:t>510</w:t>
                      </w:r>
                      <w:r w:rsidRPr="003D2729">
                        <w:rPr>
                          <w:rFonts w:ascii="Arial" w:hAnsi="Arial" w:cs="Arial"/>
                          <w:color w:val="000000" w:themeColor="text1"/>
                        </w:rPr>
                        <w:t>)</w:t>
                      </w:r>
                    </w:p>
                  </w:txbxContent>
                </v:textbox>
                <w10:wrap anchorx="margin"/>
              </v:rect>
            </w:pict>
          </mc:Fallback>
        </mc:AlternateContent>
      </w:r>
      <w:r w:rsidRPr="003D2729">
        <w:rPr>
          <w:rFonts w:ascii="Arial" w:hAnsi="Arial" w:cs="Arial"/>
          <w:noProof/>
        </w:rPr>
        <mc:AlternateContent>
          <mc:Choice Requires="wps">
            <w:drawing>
              <wp:anchor distT="0" distB="0" distL="114300" distR="114300" simplePos="0" relativeHeight="251667456" behindDoc="0" locked="0" layoutInCell="1" allowOverlap="1" wp14:anchorId="45D2E7BD" wp14:editId="32BBEF16">
                <wp:simplePos x="0" y="0"/>
                <wp:positionH relativeFrom="column">
                  <wp:posOffset>469128</wp:posOffset>
                </wp:positionH>
                <wp:positionV relativeFrom="paragraph">
                  <wp:posOffset>273050</wp:posOffset>
                </wp:positionV>
                <wp:extent cx="2561894" cy="562610"/>
                <wp:effectExtent l="0" t="0" r="10160" b="27940"/>
                <wp:wrapNone/>
                <wp:docPr id="4" name="Rectangle 4"/>
                <wp:cNvGraphicFramePr/>
                <a:graphic xmlns:a="http://schemas.openxmlformats.org/drawingml/2006/main">
                  <a:graphicData uri="http://schemas.microsoft.com/office/word/2010/wordprocessingShape">
                    <wps:wsp>
                      <wps:cNvSpPr/>
                      <wps:spPr>
                        <a:xfrm>
                          <a:off x="0" y="0"/>
                          <a:ext cx="2561894" cy="56261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6C6540" w14:textId="77777777" w:rsidR="00CD61B9" w:rsidRDefault="003D2729" w:rsidP="00CD61B9">
                            <w:pPr>
                              <w:spacing w:after="0"/>
                              <w:jc w:val="center"/>
                              <w:rPr>
                                <w:rFonts w:ascii="Arial" w:hAnsi="Arial" w:cs="Arial"/>
                                <w:color w:val="000000" w:themeColor="text1"/>
                              </w:rPr>
                            </w:pPr>
                            <w:r w:rsidRPr="003D2729">
                              <w:rPr>
                                <w:rFonts w:ascii="Arial" w:hAnsi="Arial" w:cs="Arial"/>
                                <w:color w:val="000000" w:themeColor="text1"/>
                              </w:rPr>
                              <w:t xml:space="preserve">Record screened </w:t>
                            </w:r>
                            <w:r w:rsidR="00CD61B9">
                              <w:rPr>
                                <w:rFonts w:ascii="Arial" w:hAnsi="Arial" w:cs="Arial"/>
                                <w:color w:val="000000" w:themeColor="text1"/>
                              </w:rPr>
                              <w:t>by title and abstract</w:t>
                            </w:r>
                          </w:p>
                          <w:p w14:paraId="31C47CD1" w14:textId="30821A0F" w:rsidR="003D2729" w:rsidRPr="003D2729" w:rsidRDefault="00CD61B9" w:rsidP="00CD61B9">
                            <w:pPr>
                              <w:jc w:val="center"/>
                              <w:rPr>
                                <w:rFonts w:ascii="Arial" w:hAnsi="Arial" w:cs="Arial"/>
                                <w:color w:val="000000" w:themeColor="text1"/>
                              </w:rPr>
                            </w:pPr>
                            <w:r>
                              <w:rPr>
                                <w:rFonts w:ascii="Arial" w:hAnsi="Arial" w:cs="Arial"/>
                                <w:color w:val="000000" w:themeColor="text1"/>
                              </w:rPr>
                              <w:t xml:space="preserve"> </w:t>
                            </w:r>
                            <w:r w:rsidR="003D2729" w:rsidRPr="003D2729">
                              <w:rPr>
                                <w:rFonts w:ascii="Arial" w:hAnsi="Arial" w:cs="Arial"/>
                                <w:color w:val="000000" w:themeColor="text1"/>
                              </w:rPr>
                              <w:t>(n=</w:t>
                            </w:r>
                            <w:r w:rsidR="00746608">
                              <w:rPr>
                                <w:rFonts w:ascii="Arial" w:hAnsi="Arial" w:cs="Arial"/>
                                <w:color w:val="000000" w:themeColor="text1"/>
                              </w:rPr>
                              <w:t>546</w:t>
                            </w:r>
                            <w:r w:rsidR="003D2729" w:rsidRPr="003D2729">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2E7BD" id="Rectangle 4" o:spid="_x0000_s1034" style="position:absolute;left:0;text-align:left;margin-left:36.95pt;margin-top:21.5pt;width:201.7pt;height:44.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" fillcolor="white [3212]" strokecolor="black [3213]" strokeweight="1pt">
                <v:textbox>
                  <w:txbxContent>
                    <w:p w14:paraId="7D6C6540" w14:textId="77777777" w:rsidR="00CD61B9" w:rsidRDefault="003D2729" w:rsidP="00CD61B9">
                      <w:pPr>
                        <w:spacing w:after="0"/>
                        <w:jc w:val="center"/>
                        <w:rPr>
                          <w:rFonts w:ascii="Arial" w:hAnsi="Arial" w:cs="Arial"/>
                          <w:color w:val="000000" w:themeColor="text1"/>
                        </w:rPr>
                      </w:pPr>
                      <w:r w:rsidRPr="003D2729">
                        <w:rPr>
                          <w:rFonts w:ascii="Arial" w:hAnsi="Arial" w:cs="Arial"/>
                          <w:color w:val="000000" w:themeColor="text1"/>
                        </w:rPr>
                        <w:t xml:space="preserve">Record screened </w:t>
                      </w:r>
                      <w:r w:rsidR="00CD61B9">
                        <w:rPr>
                          <w:rFonts w:ascii="Arial" w:hAnsi="Arial" w:cs="Arial"/>
                          <w:color w:val="000000" w:themeColor="text1"/>
                        </w:rPr>
                        <w:t>by title and abstract</w:t>
                      </w:r>
                    </w:p>
                    <w:p w14:paraId="31C47CD1" w14:textId="30821A0F" w:rsidR="003D2729" w:rsidRPr="003D2729" w:rsidRDefault="00CD61B9" w:rsidP="00CD61B9">
                      <w:pPr>
                        <w:jc w:val="center"/>
                        <w:rPr>
                          <w:rFonts w:ascii="Arial" w:hAnsi="Arial" w:cs="Arial"/>
                          <w:color w:val="000000" w:themeColor="text1"/>
                        </w:rPr>
                      </w:pPr>
                      <w:r>
                        <w:rPr>
                          <w:rFonts w:ascii="Arial" w:hAnsi="Arial" w:cs="Arial"/>
                          <w:color w:val="000000" w:themeColor="text1"/>
                        </w:rPr>
                        <w:t xml:space="preserve"> </w:t>
                      </w:r>
                      <w:r w:rsidR="003D2729" w:rsidRPr="003D2729">
                        <w:rPr>
                          <w:rFonts w:ascii="Arial" w:hAnsi="Arial" w:cs="Arial"/>
                          <w:color w:val="000000" w:themeColor="text1"/>
                        </w:rPr>
                        <w:t>(n=</w:t>
                      </w:r>
                      <w:r w:rsidR="00746608">
                        <w:rPr>
                          <w:rFonts w:ascii="Arial" w:hAnsi="Arial" w:cs="Arial"/>
                          <w:color w:val="000000" w:themeColor="text1"/>
                        </w:rPr>
                        <w:t>546</w:t>
                      </w:r>
                      <w:r w:rsidR="003D2729" w:rsidRPr="003D2729">
                        <w:rPr>
                          <w:rFonts w:ascii="Arial" w:hAnsi="Arial" w:cs="Arial"/>
                          <w:color w:val="000000" w:themeColor="text1"/>
                        </w:rPr>
                        <w:t>)</w:t>
                      </w:r>
                    </w:p>
                  </w:txbxContent>
                </v:textbox>
              </v:rect>
            </w:pict>
          </mc:Fallback>
        </mc:AlternateContent>
      </w:r>
    </w:p>
    <w:p w14:paraId="0C9FCC90" w14:textId="77777777" w:rsidR="003D2729" w:rsidRDefault="003D2729" w:rsidP="003D2729">
      <w:pPr>
        <w:spacing w:line="360" w:lineRule="auto"/>
        <w:jc w:val="both"/>
        <w:rPr>
          <w:rFonts w:ascii="Times New Roman" w:hAnsi="Times New Roman" w:cs="Times New Roman"/>
          <w:sz w:val="24"/>
          <w:szCs w:val="24"/>
        </w:rPr>
      </w:pPr>
    </w:p>
    <w:p w14:paraId="69776848" w14:textId="36EA6370" w:rsidR="003D2729" w:rsidRDefault="00D720D9" w:rsidP="003D2729">
      <w:pPr>
        <w:spacing w:line="360" w:lineRule="auto"/>
        <w:jc w:val="both"/>
        <w:rPr>
          <w:rFonts w:ascii="Times New Roman" w:hAnsi="Times New Roman" w:cs="Times New Roman"/>
          <w:sz w:val="24"/>
          <w:szCs w:val="24"/>
        </w:rPr>
      </w:pPr>
      <w:r w:rsidRPr="003D2729">
        <w:rPr>
          <w:rFonts w:ascii="Arial" w:hAnsi="Arial" w:cs="Arial"/>
          <w:noProof/>
        </w:rPr>
        <mc:AlternateContent>
          <mc:Choice Requires="wps">
            <w:drawing>
              <wp:anchor distT="0" distB="0" distL="114300" distR="114300" simplePos="0" relativeHeight="251681792" behindDoc="0" locked="0" layoutInCell="1" allowOverlap="1" wp14:anchorId="5B52D255" wp14:editId="385051B9">
                <wp:simplePos x="0" y="0"/>
                <wp:positionH relativeFrom="column">
                  <wp:posOffset>-802370</wp:posOffset>
                </wp:positionH>
                <wp:positionV relativeFrom="paragraph">
                  <wp:posOffset>353232</wp:posOffset>
                </wp:positionV>
                <wp:extent cx="1105535" cy="381000"/>
                <wp:effectExtent l="318" t="0" r="18732" b="18733"/>
                <wp:wrapNone/>
                <wp:docPr id="34" name="Rounded Rectangle 34"/>
                <wp:cNvGraphicFramePr/>
                <a:graphic xmlns:a="http://schemas.openxmlformats.org/drawingml/2006/main">
                  <a:graphicData uri="http://schemas.microsoft.com/office/word/2010/wordprocessingShape">
                    <wps:wsp>
                      <wps:cNvSpPr/>
                      <wps:spPr>
                        <a:xfrm rot="16200000">
                          <a:off x="0" y="0"/>
                          <a:ext cx="1105535" cy="381000"/>
                        </a:xfrm>
                        <a:prstGeom prst="roundRect">
                          <a:avLst/>
                        </a:prstGeom>
                        <a:solidFill>
                          <a:schemeClr val="accent1">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7B1FBA" w14:textId="77777777" w:rsidR="003D2729" w:rsidRPr="003D2729" w:rsidRDefault="003D2729" w:rsidP="003D2729">
                            <w:pPr>
                              <w:jc w:val="center"/>
                              <w:rPr>
                                <w:rFonts w:ascii="Arial" w:hAnsi="Arial" w:cs="Arial"/>
                                <w:color w:val="000000" w:themeColor="text1"/>
                                <w:sz w:val="24"/>
                              </w:rPr>
                            </w:pPr>
                            <w:r w:rsidRPr="003D2729">
                              <w:rPr>
                                <w:rFonts w:ascii="Arial" w:hAnsi="Arial" w:cs="Arial"/>
                                <w:color w:val="000000" w:themeColor="text1"/>
                                <w:sz w:val="24"/>
                              </w:rPr>
                              <w:t>Eligibility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52D255" id="Rounded Rectangle 34" o:spid="_x0000_s1035" style="position:absolute;left:0;text-align:left;margin-left:-63.2pt;margin-top:27.8pt;width:87.05pt;height:30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" fillcolor="#b4c6e7 [1300]" strokecolor="black [3213]" strokeweight="1pt">
                <v:stroke joinstyle="miter"/>
                <v:textbox>
                  <w:txbxContent>
                    <w:p w14:paraId="247B1FBA" w14:textId="77777777" w:rsidR="003D2729" w:rsidRPr="003D2729" w:rsidRDefault="003D2729" w:rsidP="003D2729">
                      <w:pPr>
                        <w:jc w:val="center"/>
                        <w:rPr>
                          <w:rFonts w:ascii="Arial" w:hAnsi="Arial" w:cs="Arial"/>
                          <w:color w:val="000000" w:themeColor="text1"/>
                          <w:sz w:val="24"/>
                        </w:rPr>
                      </w:pPr>
                      <w:r w:rsidRPr="003D2729">
                        <w:rPr>
                          <w:rFonts w:ascii="Arial" w:hAnsi="Arial" w:cs="Arial"/>
                          <w:color w:val="000000" w:themeColor="text1"/>
                          <w:sz w:val="24"/>
                        </w:rPr>
                        <w:t>Eligibility</w:t>
                      </w:r>
                    </w:p>
                  </w:txbxContent>
                </v:textbox>
              </v:roundrect>
            </w:pict>
          </mc:Fallback>
        </mc:AlternateContent>
      </w:r>
    </w:p>
    <w:p w14:paraId="24E8864C" w14:textId="327CA6F0" w:rsidR="003D2729" w:rsidRDefault="00CD61B9" w:rsidP="003D2729">
      <w:pPr>
        <w:spacing w:line="360" w:lineRule="auto"/>
        <w:jc w:val="both"/>
        <w:rPr>
          <w:rFonts w:ascii="Times New Roman" w:hAnsi="Times New Roman" w:cs="Times New Roman"/>
          <w:sz w:val="24"/>
          <w:szCs w:val="24"/>
        </w:rPr>
      </w:pPr>
      <w:r w:rsidRPr="003D2729">
        <w:rPr>
          <w:rFonts w:ascii="Arial" w:hAnsi="Arial" w:cs="Arial"/>
          <w:noProof/>
        </w:rPr>
        <mc:AlternateContent>
          <mc:Choice Requires="wps">
            <w:drawing>
              <wp:anchor distT="0" distB="0" distL="114300" distR="114300" simplePos="0" relativeHeight="251670528" behindDoc="0" locked="0" layoutInCell="1" allowOverlap="1" wp14:anchorId="656F67B7" wp14:editId="29754DA3">
                <wp:simplePos x="0" y="0"/>
                <wp:positionH relativeFrom="column">
                  <wp:posOffset>3570136</wp:posOffset>
                </wp:positionH>
                <wp:positionV relativeFrom="paragraph">
                  <wp:posOffset>157590</wp:posOffset>
                </wp:positionV>
                <wp:extent cx="2735248" cy="2385392"/>
                <wp:effectExtent l="0" t="0" r="27305" b="15240"/>
                <wp:wrapNone/>
                <wp:docPr id="37" name="Rectangle 37"/>
                <wp:cNvGraphicFramePr/>
                <a:graphic xmlns:a="http://schemas.openxmlformats.org/drawingml/2006/main">
                  <a:graphicData uri="http://schemas.microsoft.com/office/word/2010/wordprocessingShape">
                    <wps:wsp>
                      <wps:cNvSpPr/>
                      <wps:spPr>
                        <a:xfrm>
                          <a:off x="0" y="0"/>
                          <a:ext cx="2735248" cy="238539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F9CDC4" w14:textId="3CDDC3D0" w:rsidR="003D2729" w:rsidRPr="003D2729" w:rsidRDefault="003D2729" w:rsidP="00CD61B9">
                            <w:pPr>
                              <w:jc w:val="center"/>
                              <w:rPr>
                                <w:rFonts w:ascii="Arial" w:hAnsi="Arial" w:cs="Arial"/>
                                <w:color w:val="000000" w:themeColor="text1"/>
                              </w:rPr>
                            </w:pPr>
                            <w:r w:rsidRPr="003D2729">
                              <w:rPr>
                                <w:rFonts w:ascii="Arial" w:hAnsi="Arial" w:cs="Arial"/>
                                <w:color w:val="000000" w:themeColor="text1"/>
                              </w:rPr>
                              <w:t>Full texted article excluded with reason (n=</w:t>
                            </w:r>
                            <w:r w:rsidR="00CD61B9">
                              <w:rPr>
                                <w:rFonts w:ascii="Arial" w:hAnsi="Arial" w:cs="Arial"/>
                                <w:color w:val="000000" w:themeColor="text1"/>
                              </w:rPr>
                              <w:t>24</w:t>
                            </w:r>
                            <w:r w:rsidRPr="003D2729">
                              <w:rPr>
                                <w:rFonts w:ascii="Arial" w:hAnsi="Arial" w:cs="Arial"/>
                                <w:color w:val="000000" w:themeColor="text1"/>
                              </w:rPr>
                              <w:t>)</w:t>
                            </w:r>
                          </w:p>
                          <w:p w14:paraId="4A7E042D" w14:textId="57DEDA87" w:rsidR="003D2729" w:rsidRDefault="00CD61B9" w:rsidP="00CD61B9">
                            <w:pPr>
                              <w:jc w:val="center"/>
                              <w:rPr>
                                <w:rFonts w:ascii="Arial" w:hAnsi="Arial" w:cs="Arial"/>
                                <w:color w:val="000000" w:themeColor="text1"/>
                              </w:rPr>
                            </w:pPr>
                            <w:r>
                              <w:rPr>
                                <w:rFonts w:ascii="Arial" w:hAnsi="Arial" w:cs="Arial"/>
                                <w:color w:val="000000" w:themeColor="text1"/>
                              </w:rPr>
                              <w:t>Not focused on Africans American/Black adults (n=7)</w:t>
                            </w:r>
                          </w:p>
                          <w:p w14:paraId="0CEA7D30" w14:textId="529CDF3B" w:rsidR="00CD61B9" w:rsidRDefault="00CD61B9" w:rsidP="00CD61B9">
                            <w:pPr>
                              <w:jc w:val="center"/>
                              <w:rPr>
                                <w:rFonts w:ascii="Arial" w:hAnsi="Arial" w:cs="Arial"/>
                                <w:color w:val="000000" w:themeColor="text1"/>
                              </w:rPr>
                            </w:pPr>
                            <w:r>
                              <w:rPr>
                                <w:rFonts w:ascii="Arial" w:hAnsi="Arial" w:cs="Arial"/>
                                <w:color w:val="000000" w:themeColor="text1"/>
                              </w:rPr>
                              <w:t>Not COPD-specific (n=5)</w:t>
                            </w:r>
                          </w:p>
                          <w:p w14:paraId="3979EE30" w14:textId="026FD9E5" w:rsidR="00CD61B9" w:rsidRDefault="00CD61B9" w:rsidP="00CD61B9">
                            <w:pPr>
                              <w:jc w:val="center"/>
                              <w:rPr>
                                <w:rFonts w:ascii="Arial" w:hAnsi="Arial" w:cs="Arial"/>
                                <w:color w:val="000000" w:themeColor="text1"/>
                              </w:rPr>
                            </w:pPr>
                            <w:r>
                              <w:rPr>
                                <w:rFonts w:ascii="Arial" w:hAnsi="Arial" w:cs="Arial"/>
                                <w:color w:val="000000" w:themeColor="text1"/>
                              </w:rPr>
                              <w:t>Not United States-based (n=3)</w:t>
                            </w:r>
                          </w:p>
                          <w:p w14:paraId="5B1E182E" w14:textId="1B87B270" w:rsidR="00CD61B9" w:rsidRDefault="00CD61B9" w:rsidP="00CD61B9">
                            <w:pPr>
                              <w:jc w:val="center"/>
                              <w:rPr>
                                <w:rFonts w:ascii="Arial" w:hAnsi="Arial" w:cs="Arial"/>
                                <w:color w:val="000000" w:themeColor="text1"/>
                              </w:rPr>
                            </w:pPr>
                            <w:r>
                              <w:rPr>
                                <w:rFonts w:ascii="Arial" w:hAnsi="Arial" w:cs="Arial"/>
                                <w:color w:val="000000" w:themeColor="text1"/>
                              </w:rPr>
                              <w:t>No age relevance to 40-65 years (n=4)</w:t>
                            </w:r>
                          </w:p>
                          <w:p w14:paraId="725374B7" w14:textId="4D28E480" w:rsidR="00CD61B9" w:rsidRPr="00FD0BBD" w:rsidRDefault="00CD61B9" w:rsidP="00CD61B9">
                            <w:pPr>
                              <w:jc w:val="center"/>
                              <w:rPr>
                                <w:color w:val="000000" w:themeColor="text1"/>
                              </w:rPr>
                            </w:pPr>
                            <w:r>
                              <w:rPr>
                                <w:rFonts w:ascii="Arial" w:hAnsi="Arial" w:cs="Arial"/>
                                <w:color w:val="000000" w:themeColor="text1"/>
                              </w:rPr>
                              <w:t>Insufficient relevance to awareness, diagnosis prevention or management (n=5)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6F67B7" id="Rectangle 37" o:spid="_x0000_s1036" style="position:absolute;left:0;text-align:left;margin-left:281.1pt;margin-top:12.4pt;width:215.35pt;height:187.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" fillcolor="white [3212]" strokecolor="black [3213]" strokeweight="1pt">
                <v:textbox>
                  <w:txbxContent>
                    <w:p w14:paraId="62F9CDC4" w14:textId="3CDDC3D0" w:rsidR="003D2729" w:rsidRPr="003D2729" w:rsidRDefault="003D2729" w:rsidP="00CD61B9">
                      <w:pPr>
                        <w:jc w:val="center"/>
                        <w:rPr>
                          <w:rFonts w:ascii="Arial" w:hAnsi="Arial" w:cs="Arial"/>
                          <w:color w:val="000000" w:themeColor="text1"/>
                        </w:rPr>
                      </w:pPr>
                      <w:r w:rsidRPr="003D2729">
                        <w:rPr>
                          <w:rFonts w:ascii="Arial" w:hAnsi="Arial" w:cs="Arial"/>
                          <w:color w:val="000000" w:themeColor="text1"/>
                        </w:rPr>
                        <w:t>Full texted article excluded with reason (n=</w:t>
                      </w:r>
                      <w:r w:rsidR="00CD61B9">
                        <w:rPr>
                          <w:rFonts w:ascii="Arial" w:hAnsi="Arial" w:cs="Arial"/>
                          <w:color w:val="000000" w:themeColor="text1"/>
                        </w:rPr>
                        <w:t>24</w:t>
                      </w:r>
                      <w:r w:rsidRPr="003D2729">
                        <w:rPr>
                          <w:rFonts w:ascii="Arial" w:hAnsi="Arial" w:cs="Arial"/>
                          <w:color w:val="000000" w:themeColor="text1"/>
                        </w:rPr>
                        <w:t>)</w:t>
                      </w:r>
                    </w:p>
                    <w:p w14:paraId="4A7E042D" w14:textId="57DEDA87" w:rsidR="003D2729" w:rsidRDefault="00CD61B9" w:rsidP="00CD61B9">
                      <w:pPr>
                        <w:jc w:val="center"/>
                        <w:rPr>
                          <w:rFonts w:ascii="Arial" w:hAnsi="Arial" w:cs="Arial"/>
                          <w:color w:val="000000" w:themeColor="text1"/>
                        </w:rPr>
                      </w:pPr>
                      <w:r>
                        <w:rPr>
                          <w:rFonts w:ascii="Arial" w:hAnsi="Arial" w:cs="Arial"/>
                          <w:color w:val="000000" w:themeColor="text1"/>
                        </w:rPr>
                        <w:t>Not focused on Africans American/Black adults (n=7)</w:t>
                      </w:r>
                    </w:p>
                    <w:p w14:paraId="0CEA7D30" w14:textId="529CDF3B" w:rsidR="00CD61B9" w:rsidRDefault="00CD61B9" w:rsidP="00CD61B9">
                      <w:pPr>
                        <w:jc w:val="center"/>
                        <w:rPr>
                          <w:rFonts w:ascii="Arial" w:hAnsi="Arial" w:cs="Arial"/>
                          <w:color w:val="000000" w:themeColor="text1"/>
                        </w:rPr>
                      </w:pPr>
                      <w:r>
                        <w:rPr>
                          <w:rFonts w:ascii="Arial" w:hAnsi="Arial" w:cs="Arial"/>
                          <w:color w:val="000000" w:themeColor="text1"/>
                        </w:rPr>
                        <w:t>Not COPD-specific (n=5)</w:t>
                      </w:r>
                    </w:p>
                    <w:p w14:paraId="3979EE30" w14:textId="026FD9E5" w:rsidR="00CD61B9" w:rsidRDefault="00CD61B9" w:rsidP="00CD61B9">
                      <w:pPr>
                        <w:jc w:val="center"/>
                        <w:rPr>
                          <w:rFonts w:ascii="Arial" w:hAnsi="Arial" w:cs="Arial"/>
                          <w:color w:val="000000" w:themeColor="text1"/>
                        </w:rPr>
                      </w:pPr>
                      <w:r>
                        <w:rPr>
                          <w:rFonts w:ascii="Arial" w:hAnsi="Arial" w:cs="Arial"/>
                          <w:color w:val="000000" w:themeColor="text1"/>
                        </w:rPr>
                        <w:t>Not United States-based (n=3)</w:t>
                      </w:r>
                    </w:p>
                    <w:p w14:paraId="5B1E182E" w14:textId="1B87B270" w:rsidR="00CD61B9" w:rsidRDefault="00CD61B9" w:rsidP="00CD61B9">
                      <w:pPr>
                        <w:jc w:val="center"/>
                        <w:rPr>
                          <w:rFonts w:ascii="Arial" w:hAnsi="Arial" w:cs="Arial"/>
                          <w:color w:val="000000" w:themeColor="text1"/>
                        </w:rPr>
                      </w:pPr>
                      <w:r>
                        <w:rPr>
                          <w:rFonts w:ascii="Arial" w:hAnsi="Arial" w:cs="Arial"/>
                          <w:color w:val="000000" w:themeColor="text1"/>
                        </w:rPr>
                        <w:t>No age relevance to 40-65 years (n=4)</w:t>
                      </w:r>
                    </w:p>
                    <w:p w14:paraId="725374B7" w14:textId="4D28E480" w:rsidR="00CD61B9" w:rsidRPr="00FD0BBD" w:rsidRDefault="00CD61B9" w:rsidP="00CD61B9">
                      <w:pPr>
                        <w:jc w:val="center"/>
                        <w:rPr>
                          <w:color w:val="000000" w:themeColor="text1"/>
                        </w:rPr>
                      </w:pPr>
                      <w:r>
                        <w:rPr>
                          <w:rFonts w:ascii="Arial" w:hAnsi="Arial" w:cs="Arial"/>
                          <w:color w:val="000000" w:themeColor="text1"/>
                        </w:rPr>
                        <w:t>Insufficient relevance to awareness, diagnosis prevention or management (n=5)</w:t>
                      </w:r>
                    </w:p>
                  </w:txbxContent>
                </v:textbox>
              </v:rect>
            </w:pict>
          </mc:Fallback>
        </mc:AlternateContent>
      </w:r>
    </w:p>
    <w:p w14:paraId="0774D9EB" w14:textId="77777777" w:rsidR="003D2729" w:rsidRDefault="003D2729" w:rsidP="003D2729">
      <w:pPr>
        <w:spacing w:line="360" w:lineRule="auto"/>
        <w:jc w:val="both"/>
        <w:rPr>
          <w:rFonts w:ascii="Times New Roman" w:hAnsi="Times New Roman" w:cs="Times New Roman"/>
          <w:sz w:val="24"/>
          <w:szCs w:val="24"/>
        </w:rPr>
      </w:pPr>
    </w:p>
    <w:p w14:paraId="28D8CAB7" w14:textId="1233481E" w:rsidR="003D2729" w:rsidRDefault="003D2729" w:rsidP="003D2729">
      <w:pPr>
        <w:spacing w:line="360" w:lineRule="auto"/>
        <w:jc w:val="both"/>
        <w:rPr>
          <w:rFonts w:ascii="Times New Roman" w:hAnsi="Times New Roman" w:cs="Times New Roman"/>
          <w:sz w:val="24"/>
          <w:szCs w:val="24"/>
        </w:rPr>
      </w:pPr>
    </w:p>
    <w:p w14:paraId="1FE586C1" w14:textId="27A8D61B" w:rsidR="003D2729" w:rsidRDefault="00D720D9" w:rsidP="003D2729">
      <w:pPr>
        <w:spacing w:line="360" w:lineRule="auto"/>
        <w:jc w:val="both"/>
        <w:rPr>
          <w:rFonts w:ascii="Times New Roman" w:hAnsi="Times New Roman" w:cs="Times New Roman"/>
          <w:sz w:val="24"/>
          <w:szCs w:val="24"/>
        </w:rPr>
      </w:pPr>
      <w:r w:rsidRPr="003D2729">
        <w:rPr>
          <w:rFonts w:ascii="Arial" w:hAnsi="Arial" w:cs="Arial"/>
          <w:noProof/>
        </w:rPr>
        <mc:AlternateContent>
          <mc:Choice Requires="wps">
            <w:drawing>
              <wp:anchor distT="0" distB="0" distL="114300" distR="114300" simplePos="0" relativeHeight="251682816" behindDoc="0" locked="0" layoutInCell="1" allowOverlap="1" wp14:anchorId="225EF03E" wp14:editId="53B6B88B">
                <wp:simplePos x="0" y="0"/>
                <wp:positionH relativeFrom="column">
                  <wp:posOffset>-802371</wp:posOffset>
                </wp:positionH>
                <wp:positionV relativeFrom="paragraph">
                  <wp:posOffset>170303</wp:posOffset>
                </wp:positionV>
                <wp:extent cx="1105535" cy="381000"/>
                <wp:effectExtent l="318" t="0" r="18732" b="18733"/>
                <wp:wrapNone/>
                <wp:docPr id="33" name="Rounded Rectangle 33"/>
                <wp:cNvGraphicFramePr/>
                <a:graphic xmlns:a="http://schemas.openxmlformats.org/drawingml/2006/main">
                  <a:graphicData uri="http://schemas.microsoft.com/office/word/2010/wordprocessingShape">
                    <wps:wsp>
                      <wps:cNvSpPr/>
                      <wps:spPr>
                        <a:xfrm rot="16200000">
                          <a:off x="0" y="0"/>
                          <a:ext cx="1105535" cy="381000"/>
                        </a:xfrm>
                        <a:prstGeom prst="roundRect">
                          <a:avLst/>
                        </a:prstGeom>
                        <a:solidFill>
                          <a:schemeClr val="accent1">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247085" w14:textId="77777777" w:rsidR="003D2729" w:rsidRPr="003D2729" w:rsidRDefault="003D2729" w:rsidP="003D2729">
                            <w:pPr>
                              <w:jc w:val="center"/>
                              <w:rPr>
                                <w:rFonts w:ascii="Arial" w:hAnsi="Arial" w:cs="Arial"/>
                                <w:color w:val="000000" w:themeColor="text1"/>
                                <w:sz w:val="24"/>
                              </w:rPr>
                            </w:pPr>
                            <w:r w:rsidRPr="003D2729">
                              <w:rPr>
                                <w:rFonts w:ascii="Arial" w:hAnsi="Arial" w:cs="Arial"/>
                                <w:color w:val="000000" w:themeColor="text1"/>
                                <w:sz w:val="24"/>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5EF03E" id="Rounded Rectangle 33" o:spid="_x0000_s1037" style="position:absolute;left:0;text-align:left;margin-left:-63.2pt;margin-top:13.4pt;width:87.05pt;height:30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" fillcolor="#b4c6e7 [1300]" strokecolor="black [3213]" strokeweight="1pt">
                <v:stroke joinstyle="miter"/>
                <v:textbox>
                  <w:txbxContent>
                    <w:p w14:paraId="6A247085" w14:textId="77777777" w:rsidR="003D2729" w:rsidRPr="003D2729" w:rsidRDefault="003D2729" w:rsidP="003D2729">
                      <w:pPr>
                        <w:jc w:val="center"/>
                        <w:rPr>
                          <w:rFonts w:ascii="Arial" w:hAnsi="Arial" w:cs="Arial"/>
                          <w:color w:val="000000" w:themeColor="text1"/>
                          <w:sz w:val="24"/>
                        </w:rPr>
                      </w:pPr>
                      <w:r w:rsidRPr="003D2729">
                        <w:rPr>
                          <w:rFonts w:ascii="Arial" w:hAnsi="Arial" w:cs="Arial"/>
                          <w:color w:val="000000" w:themeColor="text1"/>
                          <w:sz w:val="24"/>
                        </w:rPr>
                        <w:t>Included</w:t>
                      </w:r>
                    </w:p>
                  </w:txbxContent>
                </v:textbox>
              </v:roundrect>
            </w:pict>
          </mc:Fallback>
        </mc:AlternateContent>
      </w:r>
    </w:p>
    <w:p w14:paraId="436F5D66" w14:textId="77777777" w:rsidR="003D2729" w:rsidRDefault="003D2729" w:rsidP="003D2729">
      <w:pPr>
        <w:spacing w:line="360" w:lineRule="auto"/>
        <w:jc w:val="both"/>
        <w:rPr>
          <w:rFonts w:ascii="Times New Roman" w:hAnsi="Times New Roman" w:cs="Times New Roman"/>
          <w:sz w:val="24"/>
          <w:szCs w:val="24"/>
        </w:rPr>
      </w:pPr>
    </w:p>
    <w:p w14:paraId="5F2FD2D6" w14:textId="68E9C738" w:rsidR="00444EB4" w:rsidRPr="00444EB4" w:rsidRDefault="00444EB4" w:rsidP="00444EB4">
      <w:pPr>
        <w:spacing w:after="158"/>
        <w:rPr>
          <w:rFonts w:asciiTheme="minorBidi" w:hAnsiTheme="minorBidi"/>
        </w:rPr>
      </w:pPr>
    </w:p>
    <w:p w14:paraId="5DE6A70F" w14:textId="77777777" w:rsidR="00444EB4" w:rsidRDefault="00444EB4">
      <w:pPr>
        <w:spacing w:after="0"/>
        <w:rPr>
          <w:rFonts w:asciiTheme="minorBidi" w:eastAsia="Times New Roman" w:hAnsiTheme="minorBidi"/>
          <w:b/>
          <w:bCs/>
        </w:rPr>
      </w:pPr>
    </w:p>
    <w:p w14:paraId="747F319E" w14:textId="47B6788A" w:rsidR="009F64C5" w:rsidRPr="00444EB4" w:rsidRDefault="009F64C5" w:rsidP="00444EB4">
      <w:pPr>
        <w:rPr>
          <w:rFonts w:asciiTheme="minorBidi" w:hAnsiTheme="minorBidi"/>
          <w:b/>
          <w:bCs/>
        </w:rPr>
      </w:pPr>
      <w:r w:rsidRPr="00444EB4">
        <w:rPr>
          <w:rFonts w:asciiTheme="minorBidi" w:hAnsiTheme="minorBidi"/>
          <w:b/>
          <w:bCs/>
        </w:rPr>
        <w:br w:type="page"/>
      </w:r>
    </w:p>
    <w:p w14:paraId="4E9F67F1" w14:textId="057F97D2" w:rsidR="009F64C5" w:rsidRPr="007F1C8A" w:rsidRDefault="009F64C5">
      <w:pPr>
        <w:pStyle w:val="Heading1"/>
        <w:spacing w:after="144" w:line="259" w:lineRule="auto"/>
        <w:ind w:left="0" w:right="3531" w:firstLine="0"/>
        <w:jc w:val="right"/>
        <w:rPr>
          <w:rFonts w:asciiTheme="minorBidi" w:hAnsiTheme="minorBidi" w:cstheme="minorBidi"/>
        </w:rPr>
      </w:pPr>
      <w:bookmarkStart w:id="7" w:name="_Toc12224"/>
      <w:r w:rsidRPr="007F1C8A">
        <w:rPr>
          <w:rFonts w:asciiTheme="minorBidi" w:hAnsiTheme="minorBidi" w:cstheme="minorBidi"/>
        </w:rPr>
        <w:lastRenderedPageBreak/>
        <w:t xml:space="preserve">Appendix 2: </w:t>
      </w:r>
      <w:r w:rsidR="00DA0112">
        <w:rPr>
          <w:rFonts w:asciiTheme="minorBidi" w:hAnsiTheme="minorBidi" w:cstheme="minorBidi"/>
        </w:rPr>
        <w:t>CASP</w:t>
      </w:r>
      <w:r w:rsidRPr="007F1C8A">
        <w:rPr>
          <w:rFonts w:asciiTheme="minorBidi" w:hAnsiTheme="minorBidi" w:cstheme="minorBidi"/>
        </w:rPr>
        <w:t xml:space="preserve"> </w:t>
      </w:r>
      <w:bookmarkEnd w:id="7"/>
    </w:p>
    <w:p w14:paraId="546377F8" w14:textId="77777777" w:rsidR="009F64C5" w:rsidRDefault="009F64C5">
      <w:pPr>
        <w:spacing w:after="158"/>
        <w:rPr>
          <w:rFonts w:asciiTheme="minorBidi" w:eastAsia="Calibri" w:hAnsiTheme="minorBidi"/>
        </w:rPr>
      </w:pPr>
      <w:r w:rsidRPr="007F1C8A">
        <w:rPr>
          <w:rFonts w:asciiTheme="minorBidi" w:eastAsia="Calibri" w:hAnsiTheme="minorBidi"/>
        </w:rPr>
        <w:t xml:space="preserve"> </w:t>
      </w:r>
    </w:p>
    <w:tbl>
      <w:tblPr>
        <w:tblStyle w:val="TableGrid"/>
        <w:tblW w:w="10910" w:type="dxa"/>
        <w:jc w:val="center"/>
        <w:tblLayout w:type="fixed"/>
        <w:tblLook w:val="04A0" w:firstRow="1" w:lastRow="0" w:firstColumn="1" w:lastColumn="0" w:noHBand="0" w:noVBand="1"/>
      </w:tblPr>
      <w:tblGrid>
        <w:gridCol w:w="421"/>
        <w:gridCol w:w="1484"/>
        <w:gridCol w:w="1640"/>
        <w:gridCol w:w="425"/>
        <w:gridCol w:w="567"/>
        <w:gridCol w:w="992"/>
        <w:gridCol w:w="851"/>
        <w:gridCol w:w="3396"/>
        <w:gridCol w:w="1134"/>
      </w:tblGrid>
      <w:tr w:rsidR="00C26730" w14:paraId="7CC5A847" w14:textId="77777777" w:rsidTr="00DA0112">
        <w:trPr>
          <w:cantSplit/>
          <w:tblHeader/>
          <w:jc w:val="center"/>
        </w:trPr>
        <w:tc>
          <w:tcPr>
            <w:tcW w:w="421" w:type="dxa"/>
            <w:shd w:val="clear" w:color="auto" w:fill="D9EAF7"/>
            <w:tcMar>
              <w:top w:w="30" w:type="dxa"/>
              <w:left w:w="30" w:type="dxa"/>
              <w:bottom w:w="30" w:type="dxa"/>
              <w:right w:w="30" w:type="dxa"/>
            </w:tcMar>
          </w:tcPr>
          <w:p w14:paraId="7F7DE2EB" w14:textId="77777777" w:rsidR="00C26730" w:rsidRPr="00C26730" w:rsidRDefault="00C26730" w:rsidP="00C26730">
            <w:pPr>
              <w:jc w:val="center"/>
            </w:pPr>
            <w:r w:rsidRPr="00C26730">
              <w:rPr>
                <w:b/>
              </w:rPr>
              <w:t>No.</w:t>
            </w:r>
          </w:p>
        </w:tc>
        <w:tc>
          <w:tcPr>
            <w:tcW w:w="1484" w:type="dxa"/>
            <w:shd w:val="clear" w:color="auto" w:fill="D9EAF7"/>
            <w:tcMar>
              <w:top w:w="30" w:type="dxa"/>
              <w:left w:w="30" w:type="dxa"/>
              <w:bottom w:w="30" w:type="dxa"/>
              <w:right w:w="30" w:type="dxa"/>
            </w:tcMar>
          </w:tcPr>
          <w:p w14:paraId="1B773CAC" w14:textId="77777777" w:rsidR="00C26730" w:rsidRPr="00C26730" w:rsidRDefault="00C26730" w:rsidP="00C26730">
            <w:pPr>
              <w:jc w:val="center"/>
            </w:pPr>
            <w:r w:rsidRPr="00C26730">
              <w:rPr>
                <w:b/>
              </w:rPr>
              <w:t>Author/year</w:t>
            </w:r>
          </w:p>
        </w:tc>
        <w:tc>
          <w:tcPr>
            <w:tcW w:w="1640" w:type="dxa"/>
            <w:shd w:val="clear" w:color="auto" w:fill="D9EAF7"/>
            <w:tcMar>
              <w:top w:w="30" w:type="dxa"/>
              <w:left w:w="30" w:type="dxa"/>
              <w:bottom w:w="30" w:type="dxa"/>
              <w:right w:w="30" w:type="dxa"/>
            </w:tcMar>
          </w:tcPr>
          <w:p w14:paraId="485F4A28" w14:textId="77777777" w:rsidR="00C26730" w:rsidRPr="00C26730" w:rsidRDefault="00C26730" w:rsidP="00C26730">
            <w:pPr>
              <w:jc w:val="center"/>
            </w:pPr>
            <w:r w:rsidRPr="00C26730">
              <w:rPr>
                <w:b/>
              </w:rPr>
              <w:t>Study type</w:t>
            </w:r>
          </w:p>
        </w:tc>
        <w:tc>
          <w:tcPr>
            <w:tcW w:w="425" w:type="dxa"/>
            <w:shd w:val="clear" w:color="auto" w:fill="D9EAF7"/>
            <w:tcMar>
              <w:top w:w="30" w:type="dxa"/>
              <w:left w:w="30" w:type="dxa"/>
              <w:bottom w:w="30" w:type="dxa"/>
              <w:right w:w="30" w:type="dxa"/>
            </w:tcMar>
          </w:tcPr>
          <w:p w14:paraId="0AACB8CD" w14:textId="77777777" w:rsidR="00C26730" w:rsidRPr="00C26730" w:rsidRDefault="00C26730" w:rsidP="00C26730">
            <w:pPr>
              <w:jc w:val="center"/>
            </w:pPr>
            <w:r w:rsidRPr="00C26730">
              <w:rPr>
                <w:b/>
              </w:rPr>
              <w:t>Clear aims?</w:t>
            </w:r>
          </w:p>
        </w:tc>
        <w:tc>
          <w:tcPr>
            <w:tcW w:w="567" w:type="dxa"/>
            <w:shd w:val="clear" w:color="auto" w:fill="D9EAF7"/>
            <w:tcMar>
              <w:top w:w="30" w:type="dxa"/>
              <w:left w:w="30" w:type="dxa"/>
              <w:bottom w:w="30" w:type="dxa"/>
              <w:right w:w="30" w:type="dxa"/>
            </w:tcMar>
          </w:tcPr>
          <w:p w14:paraId="1F3A42E7" w14:textId="77777777" w:rsidR="00C26730" w:rsidRPr="00C26730" w:rsidRDefault="00C26730" w:rsidP="00C26730">
            <w:pPr>
              <w:jc w:val="center"/>
            </w:pPr>
            <w:r w:rsidRPr="00C26730">
              <w:rPr>
                <w:b/>
              </w:rPr>
              <w:t>Appropriate method?</w:t>
            </w:r>
          </w:p>
        </w:tc>
        <w:tc>
          <w:tcPr>
            <w:tcW w:w="992" w:type="dxa"/>
            <w:shd w:val="clear" w:color="auto" w:fill="D9EAF7"/>
            <w:tcMar>
              <w:top w:w="30" w:type="dxa"/>
              <w:left w:w="30" w:type="dxa"/>
              <w:bottom w:w="30" w:type="dxa"/>
              <w:right w:w="30" w:type="dxa"/>
            </w:tcMar>
          </w:tcPr>
          <w:p w14:paraId="192554C3" w14:textId="77777777" w:rsidR="00C26730" w:rsidRPr="00C26730" w:rsidRDefault="00C26730" w:rsidP="00C26730">
            <w:pPr>
              <w:jc w:val="center"/>
            </w:pPr>
            <w:r w:rsidRPr="00C26730">
              <w:rPr>
                <w:b/>
              </w:rPr>
              <w:t>Sample/population clear?</w:t>
            </w:r>
          </w:p>
        </w:tc>
        <w:tc>
          <w:tcPr>
            <w:tcW w:w="851" w:type="dxa"/>
            <w:shd w:val="clear" w:color="auto" w:fill="D9EAF7"/>
            <w:tcMar>
              <w:top w:w="30" w:type="dxa"/>
              <w:left w:w="30" w:type="dxa"/>
              <w:bottom w:w="30" w:type="dxa"/>
              <w:right w:w="30" w:type="dxa"/>
            </w:tcMar>
          </w:tcPr>
          <w:p w14:paraId="48318333" w14:textId="77777777" w:rsidR="00C26730" w:rsidRPr="00C26730" w:rsidRDefault="00C26730" w:rsidP="00C26730">
            <w:pPr>
              <w:jc w:val="center"/>
            </w:pPr>
            <w:r w:rsidRPr="00C26730">
              <w:rPr>
                <w:b/>
              </w:rPr>
              <w:t>Findings clearly reported?</w:t>
            </w:r>
          </w:p>
        </w:tc>
        <w:tc>
          <w:tcPr>
            <w:tcW w:w="3396" w:type="dxa"/>
            <w:shd w:val="clear" w:color="auto" w:fill="D9EAF7"/>
            <w:tcMar>
              <w:top w:w="30" w:type="dxa"/>
              <w:left w:w="30" w:type="dxa"/>
              <w:bottom w:w="30" w:type="dxa"/>
              <w:right w:w="30" w:type="dxa"/>
            </w:tcMar>
          </w:tcPr>
          <w:p w14:paraId="2E830482" w14:textId="77777777" w:rsidR="00C26730" w:rsidRPr="00C26730" w:rsidRDefault="00C26730" w:rsidP="00C26730">
            <w:pPr>
              <w:jc w:val="center"/>
            </w:pPr>
            <w:r w:rsidRPr="00C26730">
              <w:rPr>
                <w:b/>
              </w:rPr>
              <w:t>Key limitations</w:t>
            </w:r>
          </w:p>
        </w:tc>
        <w:tc>
          <w:tcPr>
            <w:tcW w:w="1134" w:type="dxa"/>
            <w:shd w:val="clear" w:color="auto" w:fill="D9EAF7"/>
            <w:tcMar>
              <w:top w:w="30" w:type="dxa"/>
              <w:left w:w="30" w:type="dxa"/>
              <w:bottom w:w="30" w:type="dxa"/>
              <w:right w:w="30" w:type="dxa"/>
            </w:tcMar>
          </w:tcPr>
          <w:p w14:paraId="7350C5EA" w14:textId="77777777" w:rsidR="00C26730" w:rsidRPr="00C26730" w:rsidRDefault="00C26730" w:rsidP="00C26730">
            <w:pPr>
              <w:jc w:val="center"/>
            </w:pPr>
            <w:r w:rsidRPr="00C26730">
              <w:rPr>
                <w:b/>
              </w:rPr>
              <w:t>Overall quality</w:t>
            </w:r>
          </w:p>
        </w:tc>
      </w:tr>
      <w:tr w:rsidR="00C26730" w14:paraId="5B5F3E8E" w14:textId="77777777" w:rsidTr="00DA0112">
        <w:trPr>
          <w:cantSplit/>
          <w:jc w:val="center"/>
        </w:trPr>
        <w:tc>
          <w:tcPr>
            <w:tcW w:w="421" w:type="dxa"/>
            <w:tcMar>
              <w:top w:w="30" w:type="dxa"/>
              <w:left w:w="30" w:type="dxa"/>
              <w:bottom w:w="30" w:type="dxa"/>
              <w:right w:w="30" w:type="dxa"/>
            </w:tcMar>
          </w:tcPr>
          <w:p w14:paraId="45D598D0" w14:textId="77777777" w:rsidR="00C26730" w:rsidRPr="00C26730" w:rsidRDefault="00C26730" w:rsidP="00C26730">
            <w:pPr>
              <w:jc w:val="center"/>
            </w:pPr>
            <w:r w:rsidRPr="00C26730">
              <w:t>1</w:t>
            </w:r>
          </w:p>
        </w:tc>
        <w:tc>
          <w:tcPr>
            <w:tcW w:w="1484" w:type="dxa"/>
            <w:tcMar>
              <w:top w:w="30" w:type="dxa"/>
              <w:left w:w="30" w:type="dxa"/>
              <w:bottom w:w="30" w:type="dxa"/>
              <w:right w:w="30" w:type="dxa"/>
            </w:tcMar>
          </w:tcPr>
          <w:p w14:paraId="2E54487E" w14:textId="77777777" w:rsidR="00C26730" w:rsidRPr="00C26730" w:rsidRDefault="00C26730" w:rsidP="00C26730">
            <w:pPr>
              <w:jc w:val="center"/>
            </w:pPr>
            <w:r w:rsidRPr="00C26730">
              <w:t>Bailey et al. (2017)</w:t>
            </w:r>
          </w:p>
        </w:tc>
        <w:tc>
          <w:tcPr>
            <w:tcW w:w="1640" w:type="dxa"/>
            <w:tcMar>
              <w:top w:w="30" w:type="dxa"/>
              <w:left w:w="30" w:type="dxa"/>
              <w:bottom w:w="30" w:type="dxa"/>
              <w:right w:w="30" w:type="dxa"/>
            </w:tcMar>
          </w:tcPr>
          <w:p w14:paraId="726DD6F2" w14:textId="77777777" w:rsidR="00C26730" w:rsidRPr="00C26730" w:rsidRDefault="00C26730" w:rsidP="00C26730">
            <w:pPr>
              <w:jc w:val="center"/>
            </w:pPr>
            <w:r w:rsidRPr="00C26730">
              <w:t>Review/conceptual analysis</w:t>
            </w:r>
          </w:p>
        </w:tc>
        <w:tc>
          <w:tcPr>
            <w:tcW w:w="425" w:type="dxa"/>
            <w:tcMar>
              <w:top w:w="30" w:type="dxa"/>
              <w:left w:w="30" w:type="dxa"/>
              <w:bottom w:w="30" w:type="dxa"/>
              <w:right w:w="30" w:type="dxa"/>
            </w:tcMar>
          </w:tcPr>
          <w:p w14:paraId="7ADC058F" w14:textId="77777777" w:rsidR="00C26730" w:rsidRPr="00C26730" w:rsidRDefault="00C26730" w:rsidP="00C26730">
            <w:pPr>
              <w:jc w:val="center"/>
            </w:pPr>
            <w:r w:rsidRPr="00C26730">
              <w:t>Yes</w:t>
            </w:r>
          </w:p>
        </w:tc>
        <w:tc>
          <w:tcPr>
            <w:tcW w:w="567" w:type="dxa"/>
            <w:tcMar>
              <w:top w:w="30" w:type="dxa"/>
              <w:left w:w="30" w:type="dxa"/>
              <w:bottom w:w="30" w:type="dxa"/>
              <w:right w:w="30" w:type="dxa"/>
            </w:tcMar>
          </w:tcPr>
          <w:p w14:paraId="65CE44B2" w14:textId="77777777" w:rsidR="00C26730" w:rsidRPr="00C26730" w:rsidRDefault="00C26730" w:rsidP="00C26730">
            <w:pPr>
              <w:jc w:val="center"/>
            </w:pPr>
            <w:r w:rsidRPr="00C26730">
              <w:t>Yes</w:t>
            </w:r>
          </w:p>
        </w:tc>
        <w:tc>
          <w:tcPr>
            <w:tcW w:w="992" w:type="dxa"/>
            <w:tcMar>
              <w:top w:w="30" w:type="dxa"/>
              <w:left w:w="30" w:type="dxa"/>
              <w:bottom w:w="30" w:type="dxa"/>
              <w:right w:w="30" w:type="dxa"/>
            </w:tcMar>
          </w:tcPr>
          <w:p w14:paraId="352E4358" w14:textId="77777777" w:rsidR="00C26730" w:rsidRPr="00C26730" w:rsidRDefault="00C26730" w:rsidP="00C26730">
            <w:pPr>
              <w:jc w:val="center"/>
            </w:pPr>
            <w:r w:rsidRPr="00C26730">
              <w:t>Yes</w:t>
            </w:r>
          </w:p>
        </w:tc>
        <w:tc>
          <w:tcPr>
            <w:tcW w:w="851" w:type="dxa"/>
            <w:tcMar>
              <w:top w:w="30" w:type="dxa"/>
              <w:left w:w="30" w:type="dxa"/>
              <w:bottom w:w="30" w:type="dxa"/>
              <w:right w:w="30" w:type="dxa"/>
            </w:tcMar>
          </w:tcPr>
          <w:p w14:paraId="4ADA6946" w14:textId="77777777" w:rsidR="00C26730" w:rsidRPr="00C26730" w:rsidRDefault="00C26730" w:rsidP="00C26730">
            <w:pPr>
              <w:jc w:val="center"/>
            </w:pPr>
            <w:r w:rsidRPr="00C26730">
              <w:t>Yes</w:t>
            </w:r>
          </w:p>
        </w:tc>
        <w:tc>
          <w:tcPr>
            <w:tcW w:w="3396" w:type="dxa"/>
            <w:tcMar>
              <w:top w:w="30" w:type="dxa"/>
              <w:left w:w="30" w:type="dxa"/>
              <w:bottom w:w="30" w:type="dxa"/>
              <w:right w:w="30" w:type="dxa"/>
            </w:tcMar>
          </w:tcPr>
          <w:p w14:paraId="38058842" w14:textId="77777777" w:rsidR="00C26730" w:rsidRPr="00C26730" w:rsidRDefault="00C26730" w:rsidP="00C26730">
            <w:pPr>
              <w:jc w:val="center"/>
            </w:pPr>
            <w:r w:rsidRPr="00C26730">
              <w:t>Not COPD-specific; mainly conceptual and policy-focused.</w:t>
            </w:r>
          </w:p>
        </w:tc>
        <w:tc>
          <w:tcPr>
            <w:tcW w:w="1134" w:type="dxa"/>
            <w:tcMar>
              <w:top w:w="30" w:type="dxa"/>
              <w:left w:w="30" w:type="dxa"/>
              <w:bottom w:w="30" w:type="dxa"/>
              <w:right w:w="30" w:type="dxa"/>
            </w:tcMar>
          </w:tcPr>
          <w:p w14:paraId="4749200C" w14:textId="77777777" w:rsidR="00C26730" w:rsidRPr="00C26730" w:rsidRDefault="00C26730" w:rsidP="00C26730">
            <w:pPr>
              <w:jc w:val="center"/>
            </w:pPr>
            <w:r w:rsidRPr="00C26730">
              <w:t>High</w:t>
            </w:r>
          </w:p>
        </w:tc>
      </w:tr>
      <w:tr w:rsidR="00C26730" w14:paraId="27083AF1" w14:textId="77777777" w:rsidTr="00DA0112">
        <w:trPr>
          <w:cantSplit/>
          <w:jc w:val="center"/>
        </w:trPr>
        <w:tc>
          <w:tcPr>
            <w:tcW w:w="421" w:type="dxa"/>
            <w:tcMar>
              <w:top w:w="30" w:type="dxa"/>
              <w:left w:w="30" w:type="dxa"/>
              <w:bottom w:w="30" w:type="dxa"/>
              <w:right w:w="30" w:type="dxa"/>
            </w:tcMar>
          </w:tcPr>
          <w:p w14:paraId="6FEFB163" w14:textId="77777777" w:rsidR="00C26730" w:rsidRPr="00C26730" w:rsidRDefault="00C26730" w:rsidP="00C26730">
            <w:pPr>
              <w:jc w:val="center"/>
            </w:pPr>
            <w:r w:rsidRPr="00C26730">
              <w:t>2</w:t>
            </w:r>
          </w:p>
        </w:tc>
        <w:tc>
          <w:tcPr>
            <w:tcW w:w="1484" w:type="dxa"/>
            <w:tcMar>
              <w:top w:w="30" w:type="dxa"/>
              <w:left w:w="30" w:type="dxa"/>
              <w:bottom w:w="30" w:type="dxa"/>
              <w:right w:w="30" w:type="dxa"/>
            </w:tcMar>
          </w:tcPr>
          <w:p w14:paraId="59752111" w14:textId="77777777" w:rsidR="00C26730" w:rsidRPr="00C26730" w:rsidRDefault="00C26730" w:rsidP="00C26730">
            <w:pPr>
              <w:jc w:val="center"/>
            </w:pPr>
            <w:r w:rsidRPr="00C26730">
              <w:t>Doney et al. (2014)</w:t>
            </w:r>
          </w:p>
        </w:tc>
        <w:tc>
          <w:tcPr>
            <w:tcW w:w="1640" w:type="dxa"/>
            <w:tcMar>
              <w:top w:w="30" w:type="dxa"/>
              <w:left w:w="30" w:type="dxa"/>
              <w:bottom w:w="30" w:type="dxa"/>
              <w:right w:w="30" w:type="dxa"/>
            </w:tcMar>
          </w:tcPr>
          <w:p w14:paraId="7D827DFC" w14:textId="77777777" w:rsidR="00C26730" w:rsidRPr="00C26730" w:rsidRDefault="00C26730" w:rsidP="00C26730">
            <w:pPr>
              <w:jc w:val="center"/>
            </w:pPr>
            <w:r w:rsidRPr="00C26730">
              <w:t>Observational cohort analysis</w:t>
            </w:r>
          </w:p>
        </w:tc>
        <w:tc>
          <w:tcPr>
            <w:tcW w:w="425" w:type="dxa"/>
            <w:tcMar>
              <w:top w:w="30" w:type="dxa"/>
              <w:left w:w="30" w:type="dxa"/>
              <w:bottom w:w="30" w:type="dxa"/>
              <w:right w:w="30" w:type="dxa"/>
            </w:tcMar>
          </w:tcPr>
          <w:p w14:paraId="12283392" w14:textId="77777777" w:rsidR="00C26730" w:rsidRPr="00C26730" w:rsidRDefault="00C26730" w:rsidP="00C26730">
            <w:pPr>
              <w:jc w:val="center"/>
            </w:pPr>
            <w:r w:rsidRPr="00C26730">
              <w:t>Yes</w:t>
            </w:r>
          </w:p>
        </w:tc>
        <w:tc>
          <w:tcPr>
            <w:tcW w:w="567" w:type="dxa"/>
            <w:tcMar>
              <w:top w:w="30" w:type="dxa"/>
              <w:left w:w="30" w:type="dxa"/>
              <w:bottom w:w="30" w:type="dxa"/>
              <w:right w:w="30" w:type="dxa"/>
            </w:tcMar>
          </w:tcPr>
          <w:p w14:paraId="2B4F27CE" w14:textId="77777777" w:rsidR="00C26730" w:rsidRPr="00C26730" w:rsidRDefault="00C26730" w:rsidP="00C26730">
            <w:pPr>
              <w:jc w:val="center"/>
            </w:pPr>
            <w:r w:rsidRPr="00C26730">
              <w:t>Yes</w:t>
            </w:r>
          </w:p>
        </w:tc>
        <w:tc>
          <w:tcPr>
            <w:tcW w:w="992" w:type="dxa"/>
            <w:tcMar>
              <w:top w:w="30" w:type="dxa"/>
              <w:left w:w="30" w:type="dxa"/>
              <w:bottom w:w="30" w:type="dxa"/>
              <w:right w:w="30" w:type="dxa"/>
            </w:tcMar>
          </w:tcPr>
          <w:p w14:paraId="16B6D36B" w14:textId="77777777" w:rsidR="00C26730" w:rsidRPr="00C26730" w:rsidRDefault="00C26730" w:rsidP="00C26730">
            <w:pPr>
              <w:jc w:val="center"/>
            </w:pPr>
            <w:r w:rsidRPr="00C26730">
              <w:t>Yes</w:t>
            </w:r>
          </w:p>
        </w:tc>
        <w:tc>
          <w:tcPr>
            <w:tcW w:w="851" w:type="dxa"/>
            <w:tcMar>
              <w:top w:w="30" w:type="dxa"/>
              <w:left w:w="30" w:type="dxa"/>
              <w:bottom w:w="30" w:type="dxa"/>
              <w:right w:w="30" w:type="dxa"/>
            </w:tcMar>
          </w:tcPr>
          <w:p w14:paraId="7ED97194" w14:textId="77777777" w:rsidR="00C26730" w:rsidRPr="00C26730" w:rsidRDefault="00C26730" w:rsidP="00C26730">
            <w:pPr>
              <w:jc w:val="center"/>
            </w:pPr>
            <w:r w:rsidRPr="00C26730">
              <w:t>Yes</w:t>
            </w:r>
          </w:p>
        </w:tc>
        <w:tc>
          <w:tcPr>
            <w:tcW w:w="3396" w:type="dxa"/>
            <w:tcMar>
              <w:top w:w="30" w:type="dxa"/>
              <w:left w:w="30" w:type="dxa"/>
              <w:bottom w:w="30" w:type="dxa"/>
              <w:right w:w="30" w:type="dxa"/>
            </w:tcMar>
          </w:tcPr>
          <w:p w14:paraId="76E7466E" w14:textId="77777777" w:rsidR="00C26730" w:rsidRPr="00C26730" w:rsidRDefault="00C26730" w:rsidP="00C26730">
            <w:pPr>
              <w:jc w:val="center"/>
            </w:pPr>
            <w:r w:rsidRPr="00C26730">
              <w:t>Occupational exposure classification may involve recall or measurement limitations.</w:t>
            </w:r>
          </w:p>
        </w:tc>
        <w:tc>
          <w:tcPr>
            <w:tcW w:w="1134" w:type="dxa"/>
            <w:tcMar>
              <w:top w:w="30" w:type="dxa"/>
              <w:left w:w="30" w:type="dxa"/>
              <w:bottom w:w="30" w:type="dxa"/>
              <w:right w:w="30" w:type="dxa"/>
            </w:tcMar>
          </w:tcPr>
          <w:p w14:paraId="2185D9FB" w14:textId="77777777" w:rsidR="00C26730" w:rsidRPr="00C26730" w:rsidRDefault="00C26730" w:rsidP="00C26730">
            <w:pPr>
              <w:jc w:val="center"/>
            </w:pPr>
            <w:r w:rsidRPr="00C26730">
              <w:t>High</w:t>
            </w:r>
          </w:p>
        </w:tc>
      </w:tr>
      <w:tr w:rsidR="00C26730" w14:paraId="55874456" w14:textId="77777777" w:rsidTr="00DA0112">
        <w:trPr>
          <w:cantSplit/>
          <w:jc w:val="center"/>
        </w:trPr>
        <w:tc>
          <w:tcPr>
            <w:tcW w:w="421" w:type="dxa"/>
            <w:tcMar>
              <w:top w:w="30" w:type="dxa"/>
              <w:left w:w="30" w:type="dxa"/>
              <w:bottom w:w="30" w:type="dxa"/>
              <w:right w:w="30" w:type="dxa"/>
            </w:tcMar>
          </w:tcPr>
          <w:p w14:paraId="01C9F158" w14:textId="77777777" w:rsidR="00C26730" w:rsidRPr="00C26730" w:rsidRDefault="00C26730" w:rsidP="00C26730">
            <w:pPr>
              <w:jc w:val="center"/>
            </w:pPr>
            <w:r w:rsidRPr="00C26730">
              <w:t>3</w:t>
            </w:r>
          </w:p>
        </w:tc>
        <w:tc>
          <w:tcPr>
            <w:tcW w:w="1484" w:type="dxa"/>
            <w:tcMar>
              <w:top w:w="30" w:type="dxa"/>
              <w:left w:w="30" w:type="dxa"/>
              <w:bottom w:w="30" w:type="dxa"/>
              <w:right w:w="30" w:type="dxa"/>
            </w:tcMar>
          </w:tcPr>
          <w:p w14:paraId="3B3C5C84" w14:textId="77777777" w:rsidR="00C26730" w:rsidRPr="00C26730" w:rsidRDefault="00C26730" w:rsidP="00C26730">
            <w:pPr>
              <w:jc w:val="center"/>
            </w:pPr>
            <w:r w:rsidRPr="00C26730">
              <w:t>Ejike et al. (2021)</w:t>
            </w:r>
          </w:p>
        </w:tc>
        <w:tc>
          <w:tcPr>
            <w:tcW w:w="1640" w:type="dxa"/>
            <w:tcMar>
              <w:top w:w="30" w:type="dxa"/>
              <w:left w:w="30" w:type="dxa"/>
              <w:bottom w:w="30" w:type="dxa"/>
              <w:right w:w="30" w:type="dxa"/>
            </w:tcMar>
          </w:tcPr>
          <w:p w14:paraId="15B5F97E" w14:textId="77777777" w:rsidR="00C26730" w:rsidRPr="00C26730" w:rsidRDefault="00C26730" w:rsidP="00C26730">
            <w:pPr>
              <w:jc w:val="center"/>
            </w:pPr>
            <w:r w:rsidRPr="00C26730">
              <w:t>Cohort analysis</w:t>
            </w:r>
          </w:p>
        </w:tc>
        <w:tc>
          <w:tcPr>
            <w:tcW w:w="425" w:type="dxa"/>
            <w:tcMar>
              <w:top w:w="30" w:type="dxa"/>
              <w:left w:w="30" w:type="dxa"/>
              <w:bottom w:w="30" w:type="dxa"/>
              <w:right w:w="30" w:type="dxa"/>
            </w:tcMar>
          </w:tcPr>
          <w:p w14:paraId="01311079" w14:textId="77777777" w:rsidR="00C26730" w:rsidRPr="00C26730" w:rsidRDefault="00C26730" w:rsidP="00C26730">
            <w:pPr>
              <w:jc w:val="center"/>
            </w:pPr>
            <w:r w:rsidRPr="00C26730">
              <w:t>Yes</w:t>
            </w:r>
          </w:p>
        </w:tc>
        <w:tc>
          <w:tcPr>
            <w:tcW w:w="567" w:type="dxa"/>
            <w:tcMar>
              <w:top w:w="30" w:type="dxa"/>
              <w:left w:w="30" w:type="dxa"/>
              <w:bottom w:w="30" w:type="dxa"/>
              <w:right w:w="30" w:type="dxa"/>
            </w:tcMar>
          </w:tcPr>
          <w:p w14:paraId="5251A030" w14:textId="77777777" w:rsidR="00C26730" w:rsidRPr="00C26730" w:rsidRDefault="00C26730" w:rsidP="00C26730">
            <w:pPr>
              <w:jc w:val="center"/>
            </w:pPr>
            <w:r w:rsidRPr="00C26730">
              <w:t>Yes</w:t>
            </w:r>
          </w:p>
        </w:tc>
        <w:tc>
          <w:tcPr>
            <w:tcW w:w="992" w:type="dxa"/>
            <w:tcMar>
              <w:top w:w="30" w:type="dxa"/>
              <w:left w:w="30" w:type="dxa"/>
              <w:bottom w:w="30" w:type="dxa"/>
              <w:right w:w="30" w:type="dxa"/>
            </w:tcMar>
          </w:tcPr>
          <w:p w14:paraId="207B2E0D" w14:textId="77777777" w:rsidR="00C26730" w:rsidRPr="00C26730" w:rsidRDefault="00C26730" w:rsidP="00C26730">
            <w:pPr>
              <w:jc w:val="center"/>
            </w:pPr>
            <w:r w:rsidRPr="00C26730">
              <w:t>Yes</w:t>
            </w:r>
          </w:p>
        </w:tc>
        <w:tc>
          <w:tcPr>
            <w:tcW w:w="851" w:type="dxa"/>
            <w:tcMar>
              <w:top w:w="30" w:type="dxa"/>
              <w:left w:w="30" w:type="dxa"/>
              <w:bottom w:w="30" w:type="dxa"/>
              <w:right w:w="30" w:type="dxa"/>
            </w:tcMar>
          </w:tcPr>
          <w:p w14:paraId="30A27B25" w14:textId="77777777" w:rsidR="00C26730" w:rsidRPr="00C26730" w:rsidRDefault="00C26730" w:rsidP="00C26730">
            <w:pPr>
              <w:jc w:val="center"/>
            </w:pPr>
            <w:r w:rsidRPr="00C26730">
              <w:t>Yes</w:t>
            </w:r>
          </w:p>
        </w:tc>
        <w:tc>
          <w:tcPr>
            <w:tcW w:w="3396" w:type="dxa"/>
            <w:tcMar>
              <w:top w:w="30" w:type="dxa"/>
              <w:left w:w="30" w:type="dxa"/>
              <w:bottom w:w="30" w:type="dxa"/>
              <w:right w:w="30" w:type="dxa"/>
            </w:tcMar>
          </w:tcPr>
          <w:p w14:paraId="645B0CC9" w14:textId="77777777" w:rsidR="00C26730" w:rsidRPr="00C26730" w:rsidRDefault="00C26730" w:rsidP="00C26730">
            <w:pPr>
              <w:jc w:val="center"/>
            </w:pPr>
            <w:r w:rsidRPr="00C26730">
              <w:t>Observational design limits causal certainty; residual confounding may remain.</w:t>
            </w:r>
          </w:p>
        </w:tc>
        <w:tc>
          <w:tcPr>
            <w:tcW w:w="1134" w:type="dxa"/>
            <w:tcMar>
              <w:top w:w="30" w:type="dxa"/>
              <w:left w:w="30" w:type="dxa"/>
              <w:bottom w:w="30" w:type="dxa"/>
              <w:right w:w="30" w:type="dxa"/>
            </w:tcMar>
          </w:tcPr>
          <w:p w14:paraId="14066CC4" w14:textId="77777777" w:rsidR="00C26730" w:rsidRPr="00C26730" w:rsidRDefault="00C26730" w:rsidP="00C26730">
            <w:pPr>
              <w:jc w:val="center"/>
            </w:pPr>
            <w:r w:rsidRPr="00C26730">
              <w:t>High</w:t>
            </w:r>
          </w:p>
        </w:tc>
      </w:tr>
      <w:tr w:rsidR="00C26730" w14:paraId="20DA0244" w14:textId="77777777" w:rsidTr="00DA0112">
        <w:trPr>
          <w:cantSplit/>
          <w:jc w:val="center"/>
        </w:trPr>
        <w:tc>
          <w:tcPr>
            <w:tcW w:w="421" w:type="dxa"/>
            <w:tcMar>
              <w:top w:w="30" w:type="dxa"/>
              <w:left w:w="30" w:type="dxa"/>
              <w:bottom w:w="30" w:type="dxa"/>
              <w:right w:w="30" w:type="dxa"/>
            </w:tcMar>
          </w:tcPr>
          <w:p w14:paraId="41558CBB" w14:textId="77777777" w:rsidR="00C26730" w:rsidRPr="00C26730" w:rsidRDefault="00C26730" w:rsidP="00C26730">
            <w:pPr>
              <w:jc w:val="center"/>
            </w:pPr>
            <w:r w:rsidRPr="00C26730">
              <w:t>4</w:t>
            </w:r>
          </w:p>
        </w:tc>
        <w:tc>
          <w:tcPr>
            <w:tcW w:w="1484" w:type="dxa"/>
            <w:tcMar>
              <w:top w:w="30" w:type="dxa"/>
              <w:left w:w="30" w:type="dxa"/>
              <w:bottom w:w="30" w:type="dxa"/>
              <w:right w:w="30" w:type="dxa"/>
            </w:tcMar>
          </w:tcPr>
          <w:p w14:paraId="0A04B495" w14:textId="77777777" w:rsidR="00C26730" w:rsidRPr="00C26730" w:rsidRDefault="00C26730" w:rsidP="00C26730">
            <w:pPr>
              <w:jc w:val="center"/>
            </w:pPr>
            <w:r w:rsidRPr="00C26730">
              <w:t>Galiatsatos et al. (2020)</w:t>
            </w:r>
          </w:p>
        </w:tc>
        <w:tc>
          <w:tcPr>
            <w:tcW w:w="1640" w:type="dxa"/>
            <w:tcMar>
              <w:top w:w="30" w:type="dxa"/>
              <w:left w:w="30" w:type="dxa"/>
              <w:bottom w:w="30" w:type="dxa"/>
              <w:right w:w="30" w:type="dxa"/>
            </w:tcMar>
          </w:tcPr>
          <w:p w14:paraId="71907904" w14:textId="77777777" w:rsidR="00C26730" w:rsidRPr="00C26730" w:rsidRDefault="00C26730" w:rsidP="00C26730">
            <w:pPr>
              <w:jc w:val="center"/>
            </w:pPr>
            <w:r w:rsidRPr="00C26730">
              <w:t>Observational neighbourhood study</w:t>
            </w:r>
          </w:p>
        </w:tc>
        <w:tc>
          <w:tcPr>
            <w:tcW w:w="425" w:type="dxa"/>
            <w:tcMar>
              <w:top w:w="30" w:type="dxa"/>
              <w:left w:w="30" w:type="dxa"/>
              <w:bottom w:w="30" w:type="dxa"/>
              <w:right w:w="30" w:type="dxa"/>
            </w:tcMar>
          </w:tcPr>
          <w:p w14:paraId="4E7F73D5" w14:textId="77777777" w:rsidR="00C26730" w:rsidRPr="00C26730" w:rsidRDefault="00C26730" w:rsidP="00C26730">
            <w:pPr>
              <w:jc w:val="center"/>
            </w:pPr>
            <w:r w:rsidRPr="00C26730">
              <w:t>Yes</w:t>
            </w:r>
          </w:p>
        </w:tc>
        <w:tc>
          <w:tcPr>
            <w:tcW w:w="567" w:type="dxa"/>
            <w:tcMar>
              <w:top w:w="30" w:type="dxa"/>
              <w:left w:w="30" w:type="dxa"/>
              <w:bottom w:w="30" w:type="dxa"/>
              <w:right w:w="30" w:type="dxa"/>
            </w:tcMar>
          </w:tcPr>
          <w:p w14:paraId="0A8B8315" w14:textId="77777777" w:rsidR="00C26730" w:rsidRPr="00C26730" w:rsidRDefault="00C26730" w:rsidP="00C26730">
            <w:pPr>
              <w:jc w:val="center"/>
            </w:pPr>
            <w:r w:rsidRPr="00C26730">
              <w:t>Yes</w:t>
            </w:r>
          </w:p>
        </w:tc>
        <w:tc>
          <w:tcPr>
            <w:tcW w:w="992" w:type="dxa"/>
            <w:tcMar>
              <w:top w:w="30" w:type="dxa"/>
              <w:left w:w="30" w:type="dxa"/>
              <w:bottom w:w="30" w:type="dxa"/>
              <w:right w:w="30" w:type="dxa"/>
            </w:tcMar>
          </w:tcPr>
          <w:p w14:paraId="253061CC" w14:textId="77777777" w:rsidR="00C26730" w:rsidRPr="00C26730" w:rsidRDefault="00C26730" w:rsidP="00C26730">
            <w:pPr>
              <w:jc w:val="center"/>
            </w:pPr>
            <w:r w:rsidRPr="00C26730">
              <w:t>Yes</w:t>
            </w:r>
          </w:p>
        </w:tc>
        <w:tc>
          <w:tcPr>
            <w:tcW w:w="851" w:type="dxa"/>
            <w:tcMar>
              <w:top w:w="30" w:type="dxa"/>
              <w:left w:w="30" w:type="dxa"/>
              <w:bottom w:w="30" w:type="dxa"/>
              <w:right w:w="30" w:type="dxa"/>
            </w:tcMar>
          </w:tcPr>
          <w:p w14:paraId="4C24862E" w14:textId="77777777" w:rsidR="00C26730" w:rsidRPr="00C26730" w:rsidRDefault="00C26730" w:rsidP="00C26730">
            <w:pPr>
              <w:jc w:val="center"/>
            </w:pPr>
            <w:r w:rsidRPr="00C26730">
              <w:t>Yes</w:t>
            </w:r>
          </w:p>
        </w:tc>
        <w:tc>
          <w:tcPr>
            <w:tcW w:w="3396" w:type="dxa"/>
            <w:tcMar>
              <w:top w:w="30" w:type="dxa"/>
              <w:left w:w="30" w:type="dxa"/>
              <w:bottom w:w="30" w:type="dxa"/>
              <w:right w:w="30" w:type="dxa"/>
            </w:tcMar>
          </w:tcPr>
          <w:p w14:paraId="303C7FF5" w14:textId="77777777" w:rsidR="00C26730" w:rsidRPr="00C26730" w:rsidRDefault="00C26730" w:rsidP="00C26730">
            <w:pPr>
              <w:jc w:val="center"/>
            </w:pPr>
            <w:r w:rsidRPr="00C26730">
              <w:t>Neighbourhood disadvantage may not capture full life-course exposure.</w:t>
            </w:r>
          </w:p>
        </w:tc>
        <w:tc>
          <w:tcPr>
            <w:tcW w:w="1134" w:type="dxa"/>
            <w:tcMar>
              <w:top w:w="30" w:type="dxa"/>
              <w:left w:w="30" w:type="dxa"/>
              <w:bottom w:w="30" w:type="dxa"/>
              <w:right w:w="30" w:type="dxa"/>
            </w:tcMar>
          </w:tcPr>
          <w:p w14:paraId="1C05AD67" w14:textId="77777777" w:rsidR="00C26730" w:rsidRPr="00C26730" w:rsidRDefault="00C26730" w:rsidP="00C26730">
            <w:pPr>
              <w:jc w:val="center"/>
            </w:pPr>
            <w:r w:rsidRPr="00C26730">
              <w:t>Moderate</w:t>
            </w:r>
          </w:p>
        </w:tc>
      </w:tr>
      <w:tr w:rsidR="00C26730" w14:paraId="072A884A" w14:textId="77777777" w:rsidTr="00DA0112">
        <w:trPr>
          <w:cantSplit/>
          <w:jc w:val="center"/>
        </w:trPr>
        <w:tc>
          <w:tcPr>
            <w:tcW w:w="421" w:type="dxa"/>
            <w:tcMar>
              <w:top w:w="30" w:type="dxa"/>
              <w:left w:w="30" w:type="dxa"/>
              <w:bottom w:w="30" w:type="dxa"/>
              <w:right w:w="30" w:type="dxa"/>
            </w:tcMar>
          </w:tcPr>
          <w:p w14:paraId="6695A6DE" w14:textId="77777777" w:rsidR="00C26730" w:rsidRPr="00C26730" w:rsidRDefault="00C26730" w:rsidP="00C26730">
            <w:pPr>
              <w:jc w:val="center"/>
            </w:pPr>
            <w:r w:rsidRPr="00C26730">
              <w:t>5</w:t>
            </w:r>
          </w:p>
        </w:tc>
        <w:tc>
          <w:tcPr>
            <w:tcW w:w="1484" w:type="dxa"/>
            <w:tcMar>
              <w:top w:w="30" w:type="dxa"/>
              <w:left w:w="30" w:type="dxa"/>
              <w:bottom w:w="30" w:type="dxa"/>
              <w:right w:w="30" w:type="dxa"/>
            </w:tcMar>
          </w:tcPr>
          <w:p w14:paraId="162F8D62" w14:textId="77777777" w:rsidR="00C26730" w:rsidRPr="00C26730" w:rsidRDefault="00C26730" w:rsidP="00C26730">
            <w:pPr>
              <w:jc w:val="center"/>
            </w:pPr>
            <w:r w:rsidRPr="00C26730">
              <w:t>Khadke et al. (2025)</w:t>
            </w:r>
          </w:p>
        </w:tc>
        <w:tc>
          <w:tcPr>
            <w:tcW w:w="1640" w:type="dxa"/>
            <w:tcMar>
              <w:top w:w="30" w:type="dxa"/>
              <w:left w:w="30" w:type="dxa"/>
              <w:bottom w:w="30" w:type="dxa"/>
              <w:right w:w="30" w:type="dxa"/>
            </w:tcMar>
          </w:tcPr>
          <w:p w14:paraId="394FB04F" w14:textId="77777777" w:rsidR="00C26730" w:rsidRPr="00C26730" w:rsidRDefault="00C26730" w:rsidP="00C26730">
            <w:pPr>
              <w:jc w:val="center"/>
            </w:pPr>
            <w:r w:rsidRPr="00C26730">
              <w:t>Population-based ecological study</w:t>
            </w:r>
          </w:p>
        </w:tc>
        <w:tc>
          <w:tcPr>
            <w:tcW w:w="425" w:type="dxa"/>
            <w:tcMar>
              <w:top w:w="30" w:type="dxa"/>
              <w:left w:w="30" w:type="dxa"/>
              <w:bottom w:w="30" w:type="dxa"/>
              <w:right w:w="30" w:type="dxa"/>
            </w:tcMar>
          </w:tcPr>
          <w:p w14:paraId="412B9A05" w14:textId="77777777" w:rsidR="00C26730" w:rsidRPr="00C26730" w:rsidRDefault="00C26730" w:rsidP="00C26730">
            <w:pPr>
              <w:jc w:val="center"/>
            </w:pPr>
            <w:r w:rsidRPr="00C26730">
              <w:t>Yes</w:t>
            </w:r>
          </w:p>
        </w:tc>
        <w:tc>
          <w:tcPr>
            <w:tcW w:w="567" w:type="dxa"/>
            <w:tcMar>
              <w:top w:w="30" w:type="dxa"/>
              <w:left w:w="30" w:type="dxa"/>
              <w:bottom w:w="30" w:type="dxa"/>
              <w:right w:w="30" w:type="dxa"/>
            </w:tcMar>
          </w:tcPr>
          <w:p w14:paraId="40C08B0E" w14:textId="77777777" w:rsidR="00C26730" w:rsidRPr="00C26730" w:rsidRDefault="00C26730" w:rsidP="00C26730">
            <w:pPr>
              <w:jc w:val="center"/>
            </w:pPr>
            <w:r w:rsidRPr="00C26730">
              <w:t>Yes</w:t>
            </w:r>
          </w:p>
        </w:tc>
        <w:tc>
          <w:tcPr>
            <w:tcW w:w="992" w:type="dxa"/>
            <w:tcMar>
              <w:top w:w="30" w:type="dxa"/>
              <w:left w:w="30" w:type="dxa"/>
              <w:bottom w:w="30" w:type="dxa"/>
              <w:right w:w="30" w:type="dxa"/>
            </w:tcMar>
          </w:tcPr>
          <w:p w14:paraId="35A37EBD" w14:textId="77777777" w:rsidR="00C26730" w:rsidRPr="00C26730" w:rsidRDefault="00C26730" w:rsidP="00C26730">
            <w:pPr>
              <w:jc w:val="center"/>
            </w:pPr>
            <w:r w:rsidRPr="00C26730">
              <w:t>Yes</w:t>
            </w:r>
          </w:p>
        </w:tc>
        <w:tc>
          <w:tcPr>
            <w:tcW w:w="851" w:type="dxa"/>
            <w:tcMar>
              <w:top w:w="30" w:type="dxa"/>
              <w:left w:w="30" w:type="dxa"/>
              <w:bottom w:w="30" w:type="dxa"/>
              <w:right w:w="30" w:type="dxa"/>
            </w:tcMar>
          </w:tcPr>
          <w:p w14:paraId="5C41ECA7" w14:textId="77777777" w:rsidR="00C26730" w:rsidRPr="00C26730" w:rsidRDefault="00C26730" w:rsidP="00C26730">
            <w:pPr>
              <w:jc w:val="center"/>
            </w:pPr>
            <w:r w:rsidRPr="00C26730">
              <w:t>Yes</w:t>
            </w:r>
          </w:p>
        </w:tc>
        <w:tc>
          <w:tcPr>
            <w:tcW w:w="3396" w:type="dxa"/>
            <w:tcMar>
              <w:top w:w="30" w:type="dxa"/>
              <w:left w:w="30" w:type="dxa"/>
              <w:bottom w:w="30" w:type="dxa"/>
              <w:right w:w="30" w:type="dxa"/>
            </w:tcMar>
          </w:tcPr>
          <w:p w14:paraId="6820B442" w14:textId="77777777" w:rsidR="00C26730" w:rsidRPr="00C26730" w:rsidRDefault="00C26730" w:rsidP="00C26730">
            <w:pPr>
              <w:jc w:val="center"/>
            </w:pPr>
            <w:r w:rsidRPr="00C26730">
              <w:t>Ecological design means findings cannot be directly applied to individuals.</w:t>
            </w:r>
          </w:p>
        </w:tc>
        <w:tc>
          <w:tcPr>
            <w:tcW w:w="1134" w:type="dxa"/>
            <w:tcMar>
              <w:top w:w="30" w:type="dxa"/>
              <w:left w:w="30" w:type="dxa"/>
              <w:bottom w:w="30" w:type="dxa"/>
              <w:right w:w="30" w:type="dxa"/>
            </w:tcMar>
          </w:tcPr>
          <w:p w14:paraId="49B02FE7" w14:textId="77777777" w:rsidR="00C26730" w:rsidRPr="00C26730" w:rsidRDefault="00C26730" w:rsidP="00C26730">
            <w:pPr>
              <w:jc w:val="center"/>
            </w:pPr>
            <w:r w:rsidRPr="00C26730">
              <w:t>Moderate</w:t>
            </w:r>
          </w:p>
        </w:tc>
      </w:tr>
      <w:tr w:rsidR="00C26730" w14:paraId="7AAC07B9" w14:textId="77777777" w:rsidTr="00DA0112">
        <w:trPr>
          <w:cantSplit/>
          <w:jc w:val="center"/>
        </w:trPr>
        <w:tc>
          <w:tcPr>
            <w:tcW w:w="421" w:type="dxa"/>
            <w:tcMar>
              <w:top w:w="30" w:type="dxa"/>
              <w:left w:w="30" w:type="dxa"/>
              <w:bottom w:w="30" w:type="dxa"/>
              <w:right w:w="30" w:type="dxa"/>
            </w:tcMar>
          </w:tcPr>
          <w:p w14:paraId="66D90711" w14:textId="6FC9B8EC" w:rsidR="00C26730" w:rsidRPr="00C26730" w:rsidRDefault="00C26730" w:rsidP="00C26730">
            <w:pPr>
              <w:jc w:val="center"/>
            </w:pPr>
            <w:r w:rsidRPr="00C26730">
              <w:t>6</w:t>
            </w:r>
          </w:p>
        </w:tc>
        <w:tc>
          <w:tcPr>
            <w:tcW w:w="1484" w:type="dxa"/>
            <w:tcMar>
              <w:top w:w="30" w:type="dxa"/>
              <w:left w:w="30" w:type="dxa"/>
              <w:bottom w:w="30" w:type="dxa"/>
              <w:right w:w="30" w:type="dxa"/>
            </w:tcMar>
          </w:tcPr>
          <w:p w14:paraId="2EF100E7" w14:textId="28C81C2A" w:rsidR="00C26730" w:rsidRPr="00C26730" w:rsidRDefault="00C26730" w:rsidP="00C26730">
            <w:pPr>
              <w:jc w:val="center"/>
            </w:pPr>
            <w:r w:rsidRPr="00C26730">
              <w:t>Mamary et al. (2018)</w:t>
            </w:r>
          </w:p>
        </w:tc>
        <w:tc>
          <w:tcPr>
            <w:tcW w:w="1640" w:type="dxa"/>
            <w:tcMar>
              <w:top w:w="30" w:type="dxa"/>
              <w:left w:w="30" w:type="dxa"/>
              <w:bottom w:w="30" w:type="dxa"/>
              <w:right w:w="30" w:type="dxa"/>
            </w:tcMar>
          </w:tcPr>
          <w:p w14:paraId="6EBC5CB5" w14:textId="1FED366D" w:rsidR="00C26730" w:rsidRPr="00C26730" w:rsidRDefault="00C26730" w:rsidP="00C26730">
            <w:pPr>
              <w:jc w:val="center"/>
            </w:pPr>
            <w:r w:rsidRPr="00C26730">
              <w:t>Cohort analysis</w:t>
            </w:r>
          </w:p>
        </w:tc>
        <w:tc>
          <w:tcPr>
            <w:tcW w:w="425" w:type="dxa"/>
            <w:tcMar>
              <w:top w:w="30" w:type="dxa"/>
              <w:left w:w="30" w:type="dxa"/>
              <w:bottom w:w="30" w:type="dxa"/>
              <w:right w:w="30" w:type="dxa"/>
            </w:tcMar>
          </w:tcPr>
          <w:p w14:paraId="4B3D6DD6" w14:textId="6A4DABCB" w:rsidR="00C26730" w:rsidRPr="00C26730" w:rsidRDefault="00C26730" w:rsidP="00C26730">
            <w:pPr>
              <w:jc w:val="center"/>
            </w:pPr>
            <w:r w:rsidRPr="00C26730">
              <w:t>Yes</w:t>
            </w:r>
          </w:p>
        </w:tc>
        <w:tc>
          <w:tcPr>
            <w:tcW w:w="567" w:type="dxa"/>
            <w:tcMar>
              <w:top w:w="30" w:type="dxa"/>
              <w:left w:w="30" w:type="dxa"/>
              <w:bottom w:w="30" w:type="dxa"/>
              <w:right w:w="30" w:type="dxa"/>
            </w:tcMar>
          </w:tcPr>
          <w:p w14:paraId="0EAB7BBE" w14:textId="40C46D6D" w:rsidR="00C26730" w:rsidRPr="00C26730" w:rsidRDefault="00C26730" w:rsidP="00C26730">
            <w:pPr>
              <w:jc w:val="center"/>
            </w:pPr>
            <w:r w:rsidRPr="00C26730">
              <w:t>Yes</w:t>
            </w:r>
          </w:p>
        </w:tc>
        <w:tc>
          <w:tcPr>
            <w:tcW w:w="992" w:type="dxa"/>
            <w:tcMar>
              <w:top w:w="30" w:type="dxa"/>
              <w:left w:w="30" w:type="dxa"/>
              <w:bottom w:w="30" w:type="dxa"/>
              <w:right w:w="30" w:type="dxa"/>
            </w:tcMar>
          </w:tcPr>
          <w:p w14:paraId="63B6E90F" w14:textId="4AA6D0E7" w:rsidR="00C26730" w:rsidRPr="00C26730" w:rsidRDefault="00C26730" w:rsidP="00C26730">
            <w:pPr>
              <w:jc w:val="center"/>
            </w:pPr>
            <w:r w:rsidRPr="00C26730">
              <w:t>Yes</w:t>
            </w:r>
          </w:p>
        </w:tc>
        <w:tc>
          <w:tcPr>
            <w:tcW w:w="851" w:type="dxa"/>
            <w:tcMar>
              <w:top w:w="30" w:type="dxa"/>
              <w:left w:w="30" w:type="dxa"/>
              <w:bottom w:w="30" w:type="dxa"/>
              <w:right w:w="30" w:type="dxa"/>
            </w:tcMar>
          </w:tcPr>
          <w:p w14:paraId="7B17D7C3" w14:textId="7CA913BE" w:rsidR="00C26730" w:rsidRPr="00C26730" w:rsidRDefault="00C26730" w:rsidP="00C26730">
            <w:pPr>
              <w:jc w:val="center"/>
            </w:pPr>
            <w:r w:rsidRPr="00C26730">
              <w:t>Yes</w:t>
            </w:r>
          </w:p>
        </w:tc>
        <w:tc>
          <w:tcPr>
            <w:tcW w:w="3396" w:type="dxa"/>
            <w:tcMar>
              <w:top w:w="30" w:type="dxa"/>
              <w:left w:w="30" w:type="dxa"/>
              <w:bottom w:w="30" w:type="dxa"/>
              <w:right w:w="30" w:type="dxa"/>
            </w:tcMar>
          </w:tcPr>
          <w:p w14:paraId="5CBD4295" w14:textId="7D675A74" w:rsidR="00C26730" w:rsidRPr="00C26730" w:rsidRDefault="00C26730" w:rsidP="00C26730">
            <w:pPr>
              <w:jc w:val="center"/>
            </w:pPr>
            <w:r w:rsidRPr="00C26730">
              <w:t>COPDGene cohort may not represent all African American adults aged 40-65.</w:t>
            </w:r>
          </w:p>
        </w:tc>
        <w:tc>
          <w:tcPr>
            <w:tcW w:w="1134" w:type="dxa"/>
            <w:tcMar>
              <w:top w:w="30" w:type="dxa"/>
              <w:left w:w="30" w:type="dxa"/>
              <w:bottom w:w="30" w:type="dxa"/>
              <w:right w:w="30" w:type="dxa"/>
            </w:tcMar>
          </w:tcPr>
          <w:p w14:paraId="63B039F3" w14:textId="01060CDB" w:rsidR="00C26730" w:rsidRPr="00C26730" w:rsidRDefault="00C26730" w:rsidP="00C26730">
            <w:pPr>
              <w:jc w:val="center"/>
            </w:pPr>
            <w:r w:rsidRPr="00C26730">
              <w:t>High</w:t>
            </w:r>
          </w:p>
        </w:tc>
      </w:tr>
      <w:tr w:rsidR="00C26730" w14:paraId="69E6F31D" w14:textId="77777777" w:rsidTr="00DA0112">
        <w:trPr>
          <w:cantSplit/>
          <w:jc w:val="center"/>
        </w:trPr>
        <w:tc>
          <w:tcPr>
            <w:tcW w:w="421" w:type="dxa"/>
            <w:tcMar>
              <w:top w:w="30" w:type="dxa"/>
              <w:left w:w="30" w:type="dxa"/>
              <w:bottom w:w="30" w:type="dxa"/>
              <w:right w:w="30" w:type="dxa"/>
            </w:tcMar>
          </w:tcPr>
          <w:p w14:paraId="3B665695" w14:textId="7B348F66" w:rsidR="00C26730" w:rsidRPr="00C26730" w:rsidRDefault="00C26730" w:rsidP="00C26730">
            <w:pPr>
              <w:jc w:val="center"/>
            </w:pPr>
            <w:r w:rsidRPr="00C26730">
              <w:t>7</w:t>
            </w:r>
          </w:p>
        </w:tc>
        <w:tc>
          <w:tcPr>
            <w:tcW w:w="1484" w:type="dxa"/>
            <w:tcMar>
              <w:top w:w="30" w:type="dxa"/>
              <w:left w:w="30" w:type="dxa"/>
              <w:bottom w:w="30" w:type="dxa"/>
              <w:right w:w="30" w:type="dxa"/>
            </w:tcMar>
          </w:tcPr>
          <w:p w14:paraId="601467EC" w14:textId="2A6E4600" w:rsidR="00C26730" w:rsidRPr="00C26730" w:rsidRDefault="00C26730" w:rsidP="00C26730">
            <w:pPr>
              <w:jc w:val="center"/>
            </w:pPr>
            <w:r w:rsidRPr="00C26730">
              <w:t>Odhiambo et al. (2023)</w:t>
            </w:r>
          </w:p>
        </w:tc>
        <w:tc>
          <w:tcPr>
            <w:tcW w:w="1640" w:type="dxa"/>
            <w:tcMar>
              <w:top w:w="30" w:type="dxa"/>
              <w:left w:w="30" w:type="dxa"/>
              <w:bottom w:w="30" w:type="dxa"/>
              <w:right w:w="30" w:type="dxa"/>
            </w:tcMar>
          </w:tcPr>
          <w:p w14:paraId="09E3AD38" w14:textId="638030E9" w:rsidR="00C26730" w:rsidRPr="00C26730" w:rsidRDefault="00C26730" w:rsidP="00C26730">
            <w:pPr>
              <w:jc w:val="center"/>
            </w:pPr>
            <w:r w:rsidRPr="00C26730">
              <w:t>Community-based study</w:t>
            </w:r>
          </w:p>
        </w:tc>
        <w:tc>
          <w:tcPr>
            <w:tcW w:w="425" w:type="dxa"/>
            <w:tcMar>
              <w:top w:w="30" w:type="dxa"/>
              <w:left w:w="30" w:type="dxa"/>
              <w:bottom w:w="30" w:type="dxa"/>
              <w:right w:w="30" w:type="dxa"/>
            </w:tcMar>
          </w:tcPr>
          <w:p w14:paraId="7E78E0B5" w14:textId="47E13C5A" w:rsidR="00C26730" w:rsidRPr="00C26730" w:rsidRDefault="00C26730" w:rsidP="00C26730">
            <w:pPr>
              <w:jc w:val="center"/>
            </w:pPr>
            <w:r w:rsidRPr="00C26730">
              <w:t>Yes</w:t>
            </w:r>
          </w:p>
        </w:tc>
        <w:tc>
          <w:tcPr>
            <w:tcW w:w="567" w:type="dxa"/>
            <w:tcMar>
              <w:top w:w="30" w:type="dxa"/>
              <w:left w:w="30" w:type="dxa"/>
              <w:bottom w:w="30" w:type="dxa"/>
              <w:right w:w="30" w:type="dxa"/>
            </w:tcMar>
          </w:tcPr>
          <w:p w14:paraId="7E5175C3" w14:textId="26D51D24" w:rsidR="00C26730" w:rsidRPr="00C26730" w:rsidRDefault="00C26730" w:rsidP="00C26730">
            <w:pPr>
              <w:jc w:val="center"/>
            </w:pPr>
            <w:r w:rsidRPr="00C26730">
              <w:t>Yes</w:t>
            </w:r>
          </w:p>
        </w:tc>
        <w:tc>
          <w:tcPr>
            <w:tcW w:w="992" w:type="dxa"/>
            <w:tcMar>
              <w:top w:w="30" w:type="dxa"/>
              <w:left w:w="30" w:type="dxa"/>
              <w:bottom w:w="30" w:type="dxa"/>
              <w:right w:w="30" w:type="dxa"/>
            </w:tcMar>
          </w:tcPr>
          <w:p w14:paraId="161FBD58" w14:textId="58CBBCC0" w:rsidR="00C26730" w:rsidRPr="00C26730" w:rsidRDefault="00C26730" w:rsidP="00C26730">
            <w:pPr>
              <w:jc w:val="center"/>
            </w:pPr>
            <w:r w:rsidRPr="00C26730">
              <w:t>Yes</w:t>
            </w:r>
          </w:p>
        </w:tc>
        <w:tc>
          <w:tcPr>
            <w:tcW w:w="851" w:type="dxa"/>
            <w:tcMar>
              <w:top w:w="30" w:type="dxa"/>
              <w:left w:w="30" w:type="dxa"/>
              <w:bottom w:w="30" w:type="dxa"/>
              <w:right w:w="30" w:type="dxa"/>
            </w:tcMar>
          </w:tcPr>
          <w:p w14:paraId="5AAF840D" w14:textId="1B150751" w:rsidR="00C26730" w:rsidRPr="00C26730" w:rsidRDefault="00C26730" w:rsidP="00C26730">
            <w:pPr>
              <w:jc w:val="center"/>
            </w:pPr>
            <w:r w:rsidRPr="00C26730">
              <w:t>Yes</w:t>
            </w:r>
          </w:p>
        </w:tc>
        <w:tc>
          <w:tcPr>
            <w:tcW w:w="3396" w:type="dxa"/>
            <w:tcMar>
              <w:top w:w="30" w:type="dxa"/>
              <w:left w:w="30" w:type="dxa"/>
              <w:bottom w:w="30" w:type="dxa"/>
              <w:right w:w="30" w:type="dxa"/>
            </w:tcMar>
          </w:tcPr>
          <w:p w14:paraId="1A69D193" w14:textId="10C661AE" w:rsidR="00C26730" w:rsidRPr="00C26730" w:rsidRDefault="00C26730" w:rsidP="00C26730">
            <w:pPr>
              <w:jc w:val="center"/>
            </w:pPr>
            <w:r w:rsidRPr="00C26730">
              <w:t>Church-based sample may limit generalisability to wider African American populations.</w:t>
            </w:r>
          </w:p>
        </w:tc>
        <w:tc>
          <w:tcPr>
            <w:tcW w:w="1134" w:type="dxa"/>
            <w:tcMar>
              <w:top w:w="30" w:type="dxa"/>
              <w:left w:w="30" w:type="dxa"/>
              <w:bottom w:w="30" w:type="dxa"/>
              <w:right w:w="30" w:type="dxa"/>
            </w:tcMar>
          </w:tcPr>
          <w:p w14:paraId="6899A8A0" w14:textId="259E0CFB" w:rsidR="00C26730" w:rsidRPr="00C26730" w:rsidRDefault="00C26730" w:rsidP="00C26730">
            <w:pPr>
              <w:jc w:val="center"/>
            </w:pPr>
            <w:r w:rsidRPr="00C26730">
              <w:t>Moderate</w:t>
            </w:r>
          </w:p>
        </w:tc>
      </w:tr>
      <w:tr w:rsidR="00C26730" w14:paraId="510A597D" w14:textId="77777777" w:rsidTr="00DA0112">
        <w:trPr>
          <w:cantSplit/>
          <w:jc w:val="center"/>
        </w:trPr>
        <w:tc>
          <w:tcPr>
            <w:tcW w:w="421" w:type="dxa"/>
            <w:tcMar>
              <w:top w:w="30" w:type="dxa"/>
              <w:left w:w="30" w:type="dxa"/>
              <w:bottom w:w="30" w:type="dxa"/>
              <w:right w:w="30" w:type="dxa"/>
            </w:tcMar>
          </w:tcPr>
          <w:p w14:paraId="67FAB4A7" w14:textId="4487F8A3" w:rsidR="00C26730" w:rsidRPr="00C26730" w:rsidRDefault="00C26730" w:rsidP="00C26730">
            <w:pPr>
              <w:jc w:val="center"/>
            </w:pPr>
            <w:r w:rsidRPr="00C26730">
              <w:t>8</w:t>
            </w:r>
          </w:p>
        </w:tc>
        <w:tc>
          <w:tcPr>
            <w:tcW w:w="1484" w:type="dxa"/>
            <w:tcMar>
              <w:top w:w="30" w:type="dxa"/>
              <w:left w:w="30" w:type="dxa"/>
              <w:bottom w:w="30" w:type="dxa"/>
              <w:right w:w="30" w:type="dxa"/>
            </w:tcMar>
          </w:tcPr>
          <w:p w14:paraId="17F147CE" w14:textId="2F5A59BC" w:rsidR="00C26730" w:rsidRPr="00C26730" w:rsidRDefault="00C26730" w:rsidP="00C26730">
            <w:pPr>
              <w:jc w:val="center"/>
            </w:pPr>
            <w:r w:rsidRPr="00C26730">
              <w:t>Putcha et al. (2014)</w:t>
            </w:r>
          </w:p>
        </w:tc>
        <w:tc>
          <w:tcPr>
            <w:tcW w:w="1640" w:type="dxa"/>
            <w:tcMar>
              <w:top w:w="30" w:type="dxa"/>
              <w:left w:w="30" w:type="dxa"/>
              <w:bottom w:w="30" w:type="dxa"/>
              <w:right w:w="30" w:type="dxa"/>
            </w:tcMar>
          </w:tcPr>
          <w:p w14:paraId="1E5C7B36" w14:textId="383156F1" w:rsidR="00C26730" w:rsidRPr="00C26730" w:rsidRDefault="00C26730" w:rsidP="00C26730">
            <w:pPr>
              <w:jc w:val="center"/>
            </w:pPr>
            <w:r w:rsidRPr="00C26730">
              <w:t>Cohort analysis</w:t>
            </w:r>
          </w:p>
        </w:tc>
        <w:tc>
          <w:tcPr>
            <w:tcW w:w="425" w:type="dxa"/>
            <w:tcMar>
              <w:top w:w="30" w:type="dxa"/>
              <w:left w:w="30" w:type="dxa"/>
              <w:bottom w:w="30" w:type="dxa"/>
              <w:right w:w="30" w:type="dxa"/>
            </w:tcMar>
          </w:tcPr>
          <w:p w14:paraId="5CEF8422" w14:textId="57E126A1" w:rsidR="00C26730" w:rsidRPr="00C26730" w:rsidRDefault="00C26730" w:rsidP="00C26730">
            <w:pPr>
              <w:jc w:val="center"/>
            </w:pPr>
            <w:r w:rsidRPr="00C26730">
              <w:t>Yes</w:t>
            </w:r>
          </w:p>
        </w:tc>
        <w:tc>
          <w:tcPr>
            <w:tcW w:w="567" w:type="dxa"/>
            <w:tcMar>
              <w:top w:w="30" w:type="dxa"/>
              <w:left w:w="30" w:type="dxa"/>
              <w:bottom w:w="30" w:type="dxa"/>
              <w:right w:w="30" w:type="dxa"/>
            </w:tcMar>
          </w:tcPr>
          <w:p w14:paraId="6BACEB0F" w14:textId="7393C879" w:rsidR="00C26730" w:rsidRPr="00C26730" w:rsidRDefault="00C26730" w:rsidP="00C26730">
            <w:pPr>
              <w:jc w:val="center"/>
            </w:pPr>
            <w:r w:rsidRPr="00C26730">
              <w:t>Yes</w:t>
            </w:r>
          </w:p>
        </w:tc>
        <w:tc>
          <w:tcPr>
            <w:tcW w:w="992" w:type="dxa"/>
            <w:tcMar>
              <w:top w:w="30" w:type="dxa"/>
              <w:left w:w="30" w:type="dxa"/>
              <w:bottom w:w="30" w:type="dxa"/>
              <w:right w:w="30" w:type="dxa"/>
            </w:tcMar>
          </w:tcPr>
          <w:p w14:paraId="63C28F11" w14:textId="077ECFEF" w:rsidR="00C26730" w:rsidRPr="00C26730" w:rsidRDefault="00C26730" w:rsidP="00C26730">
            <w:pPr>
              <w:jc w:val="center"/>
            </w:pPr>
            <w:r w:rsidRPr="00C26730">
              <w:t>Yes</w:t>
            </w:r>
          </w:p>
        </w:tc>
        <w:tc>
          <w:tcPr>
            <w:tcW w:w="851" w:type="dxa"/>
            <w:tcMar>
              <w:top w:w="30" w:type="dxa"/>
              <w:left w:w="30" w:type="dxa"/>
              <w:bottom w:w="30" w:type="dxa"/>
              <w:right w:w="30" w:type="dxa"/>
            </w:tcMar>
          </w:tcPr>
          <w:p w14:paraId="39F75951" w14:textId="26FBAE9C" w:rsidR="00C26730" w:rsidRPr="00C26730" w:rsidRDefault="00C26730" w:rsidP="00C26730">
            <w:pPr>
              <w:jc w:val="center"/>
            </w:pPr>
            <w:r w:rsidRPr="00C26730">
              <w:t>Yes</w:t>
            </w:r>
          </w:p>
        </w:tc>
        <w:tc>
          <w:tcPr>
            <w:tcW w:w="3396" w:type="dxa"/>
            <w:tcMar>
              <w:top w:w="30" w:type="dxa"/>
              <w:left w:w="30" w:type="dxa"/>
              <w:bottom w:w="30" w:type="dxa"/>
              <w:right w:w="30" w:type="dxa"/>
            </w:tcMar>
          </w:tcPr>
          <w:p w14:paraId="612A3F9B" w14:textId="206665A6" w:rsidR="00C26730" w:rsidRPr="00C26730" w:rsidRDefault="00C26730" w:rsidP="00C26730">
            <w:pPr>
              <w:jc w:val="center"/>
            </w:pPr>
            <w:r w:rsidRPr="00C26730">
              <w:t>Comorbidities may be influenced by previous diagnosis and access to healthcare.</w:t>
            </w:r>
          </w:p>
        </w:tc>
        <w:tc>
          <w:tcPr>
            <w:tcW w:w="1134" w:type="dxa"/>
            <w:tcMar>
              <w:top w:w="30" w:type="dxa"/>
              <w:left w:w="30" w:type="dxa"/>
              <w:bottom w:w="30" w:type="dxa"/>
              <w:right w:w="30" w:type="dxa"/>
            </w:tcMar>
          </w:tcPr>
          <w:p w14:paraId="2CD70C94" w14:textId="13565604" w:rsidR="00C26730" w:rsidRPr="00C26730" w:rsidRDefault="00C26730" w:rsidP="00C26730">
            <w:pPr>
              <w:jc w:val="center"/>
            </w:pPr>
            <w:r w:rsidRPr="00C26730">
              <w:t>High</w:t>
            </w:r>
          </w:p>
        </w:tc>
      </w:tr>
      <w:tr w:rsidR="00C26730" w14:paraId="30623E53" w14:textId="77777777" w:rsidTr="00DA0112">
        <w:trPr>
          <w:cantSplit/>
          <w:jc w:val="center"/>
        </w:trPr>
        <w:tc>
          <w:tcPr>
            <w:tcW w:w="421" w:type="dxa"/>
            <w:tcMar>
              <w:top w:w="30" w:type="dxa"/>
              <w:left w:w="30" w:type="dxa"/>
              <w:bottom w:w="30" w:type="dxa"/>
              <w:right w:w="30" w:type="dxa"/>
            </w:tcMar>
          </w:tcPr>
          <w:p w14:paraId="1CC699C7" w14:textId="1AA442BA" w:rsidR="00C26730" w:rsidRPr="00C26730" w:rsidRDefault="00C26730" w:rsidP="00C26730">
            <w:pPr>
              <w:jc w:val="center"/>
            </w:pPr>
            <w:r w:rsidRPr="00C26730">
              <w:t>9</w:t>
            </w:r>
          </w:p>
        </w:tc>
        <w:tc>
          <w:tcPr>
            <w:tcW w:w="1484" w:type="dxa"/>
            <w:tcMar>
              <w:top w:w="30" w:type="dxa"/>
              <w:left w:w="30" w:type="dxa"/>
              <w:bottom w:w="30" w:type="dxa"/>
              <w:right w:w="30" w:type="dxa"/>
            </w:tcMar>
          </w:tcPr>
          <w:p w14:paraId="0A061DB2" w14:textId="2AA09AC2" w:rsidR="00C26730" w:rsidRPr="00C26730" w:rsidRDefault="00C26730" w:rsidP="00C26730">
            <w:pPr>
              <w:jc w:val="center"/>
            </w:pPr>
            <w:r w:rsidRPr="00C26730">
              <w:t>Rea et al. (2024)</w:t>
            </w:r>
          </w:p>
        </w:tc>
        <w:tc>
          <w:tcPr>
            <w:tcW w:w="1640" w:type="dxa"/>
            <w:tcMar>
              <w:top w:w="30" w:type="dxa"/>
              <w:left w:w="30" w:type="dxa"/>
              <w:bottom w:w="30" w:type="dxa"/>
              <w:right w:w="30" w:type="dxa"/>
            </w:tcMar>
          </w:tcPr>
          <w:p w14:paraId="27ADE432" w14:textId="6E5DDF5D" w:rsidR="00C26730" w:rsidRPr="00C26730" w:rsidRDefault="00C26730" w:rsidP="00C26730">
            <w:pPr>
              <w:jc w:val="center"/>
            </w:pPr>
            <w:r w:rsidRPr="00C26730">
              <w:t>Review/scoping review</w:t>
            </w:r>
          </w:p>
        </w:tc>
        <w:tc>
          <w:tcPr>
            <w:tcW w:w="425" w:type="dxa"/>
            <w:tcMar>
              <w:top w:w="30" w:type="dxa"/>
              <w:left w:w="30" w:type="dxa"/>
              <w:bottom w:w="30" w:type="dxa"/>
              <w:right w:w="30" w:type="dxa"/>
            </w:tcMar>
          </w:tcPr>
          <w:p w14:paraId="55182449" w14:textId="224ED94A" w:rsidR="00C26730" w:rsidRPr="00C26730" w:rsidRDefault="00C26730" w:rsidP="00C26730">
            <w:pPr>
              <w:jc w:val="center"/>
            </w:pPr>
            <w:r w:rsidRPr="00C26730">
              <w:t>Yes</w:t>
            </w:r>
          </w:p>
        </w:tc>
        <w:tc>
          <w:tcPr>
            <w:tcW w:w="567" w:type="dxa"/>
            <w:tcMar>
              <w:top w:w="30" w:type="dxa"/>
              <w:left w:w="30" w:type="dxa"/>
              <w:bottom w:w="30" w:type="dxa"/>
              <w:right w:w="30" w:type="dxa"/>
            </w:tcMar>
          </w:tcPr>
          <w:p w14:paraId="1A34E15C" w14:textId="45F2B1F1" w:rsidR="00C26730" w:rsidRPr="00C26730" w:rsidRDefault="00C26730" w:rsidP="00C26730">
            <w:pPr>
              <w:jc w:val="center"/>
            </w:pPr>
            <w:r w:rsidRPr="00C26730">
              <w:t>Yes</w:t>
            </w:r>
          </w:p>
        </w:tc>
        <w:tc>
          <w:tcPr>
            <w:tcW w:w="992" w:type="dxa"/>
            <w:tcMar>
              <w:top w:w="30" w:type="dxa"/>
              <w:left w:w="30" w:type="dxa"/>
              <w:bottom w:w="30" w:type="dxa"/>
              <w:right w:w="30" w:type="dxa"/>
            </w:tcMar>
          </w:tcPr>
          <w:p w14:paraId="79B63BEB" w14:textId="0AA13E06" w:rsidR="00C26730" w:rsidRPr="00C26730" w:rsidRDefault="00C26730" w:rsidP="00C26730">
            <w:pPr>
              <w:jc w:val="center"/>
            </w:pPr>
            <w:r w:rsidRPr="00C26730">
              <w:t>Yes</w:t>
            </w:r>
          </w:p>
        </w:tc>
        <w:tc>
          <w:tcPr>
            <w:tcW w:w="851" w:type="dxa"/>
            <w:tcMar>
              <w:top w:w="30" w:type="dxa"/>
              <w:left w:w="30" w:type="dxa"/>
              <w:bottom w:w="30" w:type="dxa"/>
              <w:right w:w="30" w:type="dxa"/>
            </w:tcMar>
          </w:tcPr>
          <w:p w14:paraId="5F259ABC" w14:textId="66D52CFE" w:rsidR="00C26730" w:rsidRPr="00C26730" w:rsidRDefault="00C26730" w:rsidP="00C26730">
            <w:pPr>
              <w:jc w:val="center"/>
            </w:pPr>
            <w:r w:rsidRPr="00C26730">
              <w:t>Yes</w:t>
            </w:r>
          </w:p>
        </w:tc>
        <w:tc>
          <w:tcPr>
            <w:tcW w:w="3396" w:type="dxa"/>
            <w:tcMar>
              <w:top w:w="30" w:type="dxa"/>
              <w:left w:w="30" w:type="dxa"/>
              <w:bottom w:w="30" w:type="dxa"/>
              <w:right w:w="30" w:type="dxa"/>
            </w:tcMar>
          </w:tcPr>
          <w:p w14:paraId="40ADFB95" w14:textId="1B2BEAB0" w:rsidR="00C26730" w:rsidRPr="00C26730" w:rsidRDefault="00C26730" w:rsidP="00C26730">
            <w:pPr>
              <w:jc w:val="center"/>
            </w:pPr>
            <w:r w:rsidRPr="00C26730">
              <w:t>Strong for mapping inequities, but weaker for proving which interventions reduce disparities.</w:t>
            </w:r>
          </w:p>
        </w:tc>
        <w:tc>
          <w:tcPr>
            <w:tcW w:w="1134" w:type="dxa"/>
            <w:tcMar>
              <w:top w:w="30" w:type="dxa"/>
              <w:left w:w="30" w:type="dxa"/>
              <w:bottom w:w="30" w:type="dxa"/>
              <w:right w:w="30" w:type="dxa"/>
            </w:tcMar>
          </w:tcPr>
          <w:p w14:paraId="6D99626F" w14:textId="7ED71051" w:rsidR="00C26730" w:rsidRPr="00C26730" w:rsidRDefault="00C26730" w:rsidP="00C26730">
            <w:pPr>
              <w:jc w:val="center"/>
            </w:pPr>
            <w:r w:rsidRPr="00C26730">
              <w:t>High</w:t>
            </w:r>
          </w:p>
        </w:tc>
      </w:tr>
      <w:tr w:rsidR="00C26730" w14:paraId="059AAB40" w14:textId="77777777" w:rsidTr="00DA0112">
        <w:trPr>
          <w:cantSplit/>
          <w:jc w:val="center"/>
        </w:trPr>
        <w:tc>
          <w:tcPr>
            <w:tcW w:w="421" w:type="dxa"/>
            <w:tcMar>
              <w:top w:w="30" w:type="dxa"/>
              <w:left w:w="30" w:type="dxa"/>
              <w:bottom w:w="30" w:type="dxa"/>
              <w:right w:w="30" w:type="dxa"/>
            </w:tcMar>
          </w:tcPr>
          <w:p w14:paraId="62C7162A" w14:textId="11ED8D4B" w:rsidR="00C26730" w:rsidRPr="00C26730" w:rsidRDefault="00C26730" w:rsidP="00C26730">
            <w:pPr>
              <w:jc w:val="center"/>
            </w:pPr>
            <w:r w:rsidRPr="00C26730">
              <w:t>10</w:t>
            </w:r>
          </w:p>
        </w:tc>
        <w:tc>
          <w:tcPr>
            <w:tcW w:w="1484" w:type="dxa"/>
            <w:tcMar>
              <w:top w:w="30" w:type="dxa"/>
              <w:left w:w="30" w:type="dxa"/>
              <w:bottom w:w="30" w:type="dxa"/>
              <w:right w:w="30" w:type="dxa"/>
            </w:tcMar>
          </w:tcPr>
          <w:p w14:paraId="0AAA4245" w14:textId="615222FA" w:rsidR="00C26730" w:rsidRPr="00C26730" w:rsidRDefault="00C26730" w:rsidP="00C26730">
            <w:pPr>
              <w:jc w:val="center"/>
            </w:pPr>
            <w:r w:rsidRPr="00C26730">
              <w:t>Regan et al. (2023)</w:t>
            </w:r>
          </w:p>
        </w:tc>
        <w:tc>
          <w:tcPr>
            <w:tcW w:w="1640" w:type="dxa"/>
            <w:tcMar>
              <w:top w:w="30" w:type="dxa"/>
              <w:left w:w="30" w:type="dxa"/>
              <w:bottom w:w="30" w:type="dxa"/>
              <w:right w:w="30" w:type="dxa"/>
            </w:tcMar>
          </w:tcPr>
          <w:p w14:paraId="40BD11F4" w14:textId="2714BB85" w:rsidR="00C26730" w:rsidRPr="00C26730" w:rsidRDefault="00C26730" w:rsidP="00C26730">
            <w:pPr>
              <w:jc w:val="center"/>
            </w:pPr>
            <w:r w:rsidRPr="00C26730">
              <w:t>Cohort analysis/diagnostic classification study</w:t>
            </w:r>
          </w:p>
        </w:tc>
        <w:tc>
          <w:tcPr>
            <w:tcW w:w="425" w:type="dxa"/>
            <w:tcMar>
              <w:top w:w="30" w:type="dxa"/>
              <w:left w:w="30" w:type="dxa"/>
              <w:bottom w:w="30" w:type="dxa"/>
              <w:right w:w="30" w:type="dxa"/>
            </w:tcMar>
          </w:tcPr>
          <w:p w14:paraId="3066A305" w14:textId="616AA9F7" w:rsidR="00C26730" w:rsidRPr="00C26730" w:rsidRDefault="00C26730" w:rsidP="00C26730">
            <w:pPr>
              <w:jc w:val="center"/>
            </w:pPr>
            <w:r w:rsidRPr="00C26730">
              <w:t>Yes</w:t>
            </w:r>
          </w:p>
        </w:tc>
        <w:tc>
          <w:tcPr>
            <w:tcW w:w="567" w:type="dxa"/>
            <w:tcMar>
              <w:top w:w="30" w:type="dxa"/>
              <w:left w:w="30" w:type="dxa"/>
              <w:bottom w:w="30" w:type="dxa"/>
              <w:right w:w="30" w:type="dxa"/>
            </w:tcMar>
          </w:tcPr>
          <w:p w14:paraId="6C88C770" w14:textId="540761F7" w:rsidR="00C26730" w:rsidRPr="00C26730" w:rsidRDefault="00C26730" w:rsidP="00C26730">
            <w:pPr>
              <w:jc w:val="center"/>
            </w:pPr>
            <w:r w:rsidRPr="00C26730">
              <w:t>Yes</w:t>
            </w:r>
          </w:p>
        </w:tc>
        <w:tc>
          <w:tcPr>
            <w:tcW w:w="992" w:type="dxa"/>
            <w:tcMar>
              <w:top w:w="30" w:type="dxa"/>
              <w:left w:w="30" w:type="dxa"/>
              <w:bottom w:w="30" w:type="dxa"/>
              <w:right w:w="30" w:type="dxa"/>
            </w:tcMar>
          </w:tcPr>
          <w:p w14:paraId="5657FE9C" w14:textId="3A461686" w:rsidR="00C26730" w:rsidRPr="00C26730" w:rsidRDefault="00C26730" w:rsidP="00C26730">
            <w:pPr>
              <w:jc w:val="center"/>
            </w:pPr>
            <w:r w:rsidRPr="00C26730">
              <w:t>Yes</w:t>
            </w:r>
          </w:p>
        </w:tc>
        <w:tc>
          <w:tcPr>
            <w:tcW w:w="851" w:type="dxa"/>
            <w:tcMar>
              <w:top w:w="30" w:type="dxa"/>
              <w:left w:w="30" w:type="dxa"/>
              <w:bottom w:w="30" w:type="dxa"/>
              <w:right w:w="30" w:type="dxa"/>
            </w:tcMar>
          </w:tcPr>
          <w:p w14:paraId="08CF884F" w14:textId="2DDAEBB2" w:rsidR="00C26730" w:rsidRPr="00C26730" w:rsidRDefault="00C26730" w:rsidP="00C26730">
            <w:pPr>
              <w:jc w:val="center"/>
            </w:pPr>
            <w:r w:rsidRPr="00C26730">
              <w:t>Yes</w:t>
            </w:r>
          </w:p>
        </w:tc>
        <w:tc>
          <w:tcPr>
            <w:tcW w:w="3396" w:type="dxa"/>
            <w:tcMar>
              <w:top w:w="30" w:type="dxa"/>
              <w:left w:w="30" w:type="dxa"/>
              <w:bottom w:w="30" w:type="dxa"/>
              <w:right w:w="30" w:type="dxa"/>
            </w:tcMar>
          </w:tcPr>
          <w:p w14:paraId="1CACE5D0" w14:textId="044549AD" w:rsidR="00C26730" w:rsidRPr="00C26730" w:rsidRDefault="00C26730" w:rsidP="00C26730">
            <w:pPr>
              <w:jc w:val="center"/>
            </w:pPr>
            <w:r w:rsidRPr="00C26730">
              <w:t xml:space="preserve">Findings on </w:t>
            </w:r>
            <w:r w:rsidR="002464A9" w:rsidRPr="00C26730">
              <w:t>fixed ratio</w:t>
            </w:r>
            <w:r w:rsidRPr="00C26730">
              <w:t xml:space="preserve"> underdiagnosis need wider validation in other populations and settings.</w:t>
            </w:r>
          </w:p>
        </w:tc>
        <w:tc>
          <w:tcPr>
            <w:tcW w:w="1134" w:type="dxa"/>
            <w:tcMar>
              <w:top w:w="30" w:type="dxa"/>
              <w:left w:w="30" w:type="dxa"/>
              <w:bottom w:w="30" w:type="dxa"/>
              <w:right w:w="30" w:type="dxa"/>
            </w:tcMar>
          </w:tcPr>
          <w:p w14:paraId="2FF92F5C" w14:textId="4A8AE581" w:rsidR="00C26730" w:rsidRPr="00C26730" w:rsidRDefault="00C26730" w:rsidP="00C26730">
            <w:pPr>
              <w:jc w:val="center"/>
            </w:pPr>
            <w:r w:rsidRPr="00C26730">
              <w:t>High</w:t>
            </w:r>
          </w:p>
        </w:tc>
      </w:tr>
      <w:tr w:rsidR="00C26730" w14:paraId="7BE23B2C" w14:textId="77777777" w:rsidTr="00DA0112">
        <w:trPr>
          <w:cantSplit/>
          <w:jc w:val="center"/>
        </w:trPr>
        <w:tc>
          <w:tcPr>
            <w:tcW w:w="421" w:type="dxa"/>
            <w:tcMar>
              <w:top w:w="30" w:type="dxa"/>
              <w:left w:w="30" w:type="dxa"/>
              <w:bottom w:w="30" w:type="dxa"/>
              <w:right w:w="30" w:type="dxa"/>
            </w:tcMar>
          </w:tcPr>
          <w:p w14:paraId="4FBD7A48" w14:textId="346CF23A" w:rsidR="00C26730" w:rsidRPr="00C26730" w:rsidRDefault="00C26730" w:rsidP="00C26730">
            <w:pPr>
              <w:jc w:val="center"/>
            </w:pPr>
            <w:r w:rsidRPr="00C26730">
              <w:t>11</w:t>
            </w:r>
          </w:p>
        </w:tc>
        <w:tc>
          <w:tcPr>
            <w:tcW w:w="1484" w:type="dxa"/>
            <w:tcMar>
              <w:top w:w="30" w:type="dxa"/>
              <w:left w:w="30" w:type="dxa"/>
              <w:bottom w:w="30" w:type="dxa"/>
              <w:right w:w="30" w:type="dxa"/>
            </w:tcMar>
          </w:tcPr>
          <w:p w14:paraId="3308F94B" w14:textId="52957535" w:rsidR="00C26730" w:rsidRPr="00C26730" w:rsidRDefault="00C26730" w:rsidP="00C26730">
            <w:pPr>
              <w:jc w:val="center"/>
            </w:pPr>
            <w:r w:rsidRPr="00C26730">
              <w:t>Spitzer et al. (2020)</w:t>
            </w:r>
          </w:p>
        </w:tc>
        <w:tc>
          <w:tcPr>
            <w:tcW w:w="1640" w:type="dxa"/>
            <w:tcMar>
              <w:top w:w="30" w:type="dxa"/>
              <w:left w:w="30" w:type="dxa"/>
              <w:bottom w:w="30" w:type="dxa"/>
              <w:right w:w="30" w:type="dxa"/>
            </w:tcMar>
          </w:tcPr>
          <w:p w14:paraId="7A50839D" w14:textId="4ABE5FCC" w:rsidR="00C26730" w:rsidRPr="00C26730" w:rsidRDefault="00C26730" w:rsidP="00C26730">
            <w:pPr>
              <w:jc w:val="center"/>
            </w:pPr>
            <w:r w:rsidRPr="00C26730">
              <w:t>Geographic/health services analysis</w:t>
            </w:r>
          </w:p>
        </w:tc>
        <w:tc>
          <w:tcPr>
            <w:tcW w:w="425" w:type="dxa"/>
            <w:tcMar>
              <w:top w:w="30" w:type="dxa"/>
              <w:left w:w="30" w:type="dxa"/>
              <w:bottom w:w="30" w:type="dxa"/>
              <w:right w:w="30" w:type="dxa"/>
            </w:tcMar>
          </w:tcPr>
          <w:p w14:paraId="7DD62846" w14:textId="046E0462" w:rsidR="00C26730" w:rsidRPr="00C26730" w:rsidRDefault="00C26730" w:rsidP="00C26730">
            <w:pPr>
              <w:jc w:val="center"/>
            </w:pPr>
            <w:r w:rsidRPr="00C26730">
              <w:t>Yes</w:t>
            </w:r>
          </w:p>
        </w:tc>
        <w:tc>
          <w:tcPr>
            <w:tcW w:w="567" w:type="dxa"/>
            <w:tcMar>
              <w:top w:w="30" w:type="dxa"/>
              <w:left w:w="30" w:type="dxa"/>
              <w:bottom w:w="30" w:type="dxa"/>
              <w:right w:w="30" w:type="dxa"/>
            </w:tcMar>
          </w:tcPr>
          <w:p w14:paraId="1BD40A94" w14:textId="0BAACCF7" w:rsidR="00C26730" w:rsidRPr="00C26730" w:rsidRDefault="00C26730" w:rsidP="00C26730">
            <w:pPr>
              <w:jc w:val="center"/>
            </w:pPr>
            <w:r w:rsidRPr="00C26730">
              <w:t>Yes</w:t>
            </w:r>
          </w:p>
        </w:tc>
        <w:tc>
          <w:tcPr>
            <w:tcW w:w="992" w:type="dxa"/>
            <w:tcMar>
              <w:top w:w="30" w:type="dxa"/>
              <w:left w:w="30" w:type="dxa"/>
              <w:bottom w:w="30" w:type="dxa"/>
              <w:right w:w="30" w:type="dxa"/>
            </w:tcMar>
          </w:tcPr>
          <w:p w14:paraId="30A6A110" w14:textId="3285DD66" w:rsidR="00C26730" w:rsidRPr="00C26730" w:rsidRDefault="00C26730" w:rsidP="00C26730">
            <w:pPr>
              <w:jc w:val="center"/>
            </w:pPr>
            <w:r w:rsidRPr="00C26730">
              <w:t>Yes</w:t>
            </w:r>
          </w:p>
        </w:tc>
        <w:tc>
          <w:tcPr>
            <w:tcW w:w="851" w:type="dxa"/>
            <w:tcMar>
              <w:top w:w="30" w:type="dxa"/>
              <w:left w:w="30" w:type="dxa"/>
              <w:bottom w:w="30" w:type="dxa"/>
              <w:right w:w="30" w:type="dxa"/>
            </w:tcMar>
          </w:tcPr>
          <w:p w14:paraId="037DBFBA" w14:textId="548B5856" w:rsidR="00C26730" w:rsidRPr="00C26730" w:rsidRDefault="00C26730" w:rsidP="00C26730">
            <w:pPr>
              <w:jc w:val="center"/>
            </w:pPr>
            <w:r w:rsidRPr="00C26730">
              <w:t>Yes</w:t>
            </w:r>
          </w:p>
        </w:tc>
        <w:tc>
          <w:tcPr>
            <w:tcW w:w="3396" w:type="dxa"/>
            <w:tcMar>
              <w:top w:w="30" w:type="dxa"/>
              <w:left w:w="30" w:type="dxa"/>
              <w:bottom w:w="30" w:type="dxa"/>
              <w:right w:w="30" w:type="dxa"/>
            </w:tcMar>
          </w:tcPr>
          <w:p w14:paraId="0A30FF0B" w14:textId="54124500" w:rsidR="00C26730" w:rsidRPr="00C26730" w:rsidRDefault="00C26730" w:rsidP="00C26730">
            <w:pPr>
              <w:jc w:val="center"/>
            </w:pPr>
            <w:r w:rsidRPr="00C26730">
              <w:t xml:space="preserve">Medicare </w:t>
            </w:r>
            <w:r w:rsidR="002464A9" w:rsidRPr="00C26730">
              <w:t>samples are</w:t>
            </w:r>
            <w:r w:rsidRPr="00C26730">
              <w:t xml:space="preserve"> older than the main 40-65 target group, so age relevance is indirect.</w:t>
            </w:r>
          </w:p>
        </w:tc>
        <w:tc>
          <w:tcPr>
            <w:tcW w:w="1134" w:type="dxa"/>
            <w:tcMar>
              <w:top w:w="30" w:type="dxa"/>
              <w:left w:w="30" w:type="dxa"/>
              <w:bottom w:w="30" w:type="dxa"/>
              <w:right w:w="30" w:type="dxa"/>
            </w:tcMar>
          </w:tcPr>
          <w:p w14:paraId="14B4EC84" w14:textId="31055F36" w:rsidR="00C26730" w:rsidRPr="00C26730" w:rsidRDefault="00C26730" w:rsidP="00C26730">
            <w:pPr>
              <w:jc w:val="center"/>
            </w:pPr>
            <w:r w:rsidRPr="00C26730">
              <w:t>High</w:t>
            </w:r>
          </w:p>
        </w:tc>
      </w:tr>
      <w:tr w:rsidR="00C26730" w14:paraId="30BEF1A3" w14:textId="77777777" w:rsidTr="00DA0112">
        <w:trPr>
          <w:cantSplit/>
          <w:jc w:val="center"/>
        </w:trPr>
        <w:tc>
          <w:tcPr>
            <w:tcW w:w="421" w:type="dxa"/>
            <w:tcMar>
              <w:top w:w="30" w:type="dxa"/>
              <w:left w:w="30" w:type="dxa"/>
              <w:bottom w:w="30" w:type="dxa"/>
              <w:right w:w="30" w:type="dxa"/>
            </w:tcMar>
          </w:tcPr>
          <w:p w14:paraId="05BB2A6C" w14:textId="482C7336" w:rsidR="00C26730" w:rsidRPr="00C26730" w:rsidRDefault="00C26730" w:rsidP="00C26730">
            <w:pPr>
              <w:jc w:val="center"/>
            </w:pPr>
            <w:r w:rsidRPr="00C26730">
              <w:t>12</w:t>
            </w:r>
          </w:p>
        </w:tc>
        <w:tc>
          <w:tcPr>
            <w:tcW w:w="1484" w:type="dxa"/>
            <w:tcMar>
              <w:top w:w="30" w:type="dxa"/>
              <w:left w:w="30" w:type="dxa"/>
              <w:bottom w:w="30" w:type="dxa"/>
              <w:right w:w="30" w:type="dxa"/>
            </w:tcMar>
          </w:tcPr>
          <w:p w14:paraId="785712CD" w14:textId="5755A647" w:rsidR="00C26730" w:rsidRPr="00C26730" w:rsidRDefault="00C26730" w:rsidP="00C26730">
            <w:pPr>
              <w:jc w:val="center"/>
            </w:pPr>
            <w:r w:rsidRPr="00C26730">
              <w:t>Woo et al. (2021)</w:t>
            </w:r>
          </w:p>
        </w:tc>
        <w:tc>
          <w:tcPr>
            <w:tcW w:w="1640" w:type="dxa"/>
            <w:tcMar>
              <w:top w:w="30" w:type="dxa"/>
              <w:left w:w="30" w:type="dxa"/>
              <w:bottom w:w="30" w:type="dxa"/>
              <w:right w:w="30" w:type="dxa"/>
            </w:tcMar>
          </w:tcPr>
          <w:p w14:paraId="3F792AB3" w14:textId="17A9D049" w:rsidR="00C26730" w:rsidRPr="00C26730" w:rsidRDefault="00C26730" w:rsidP="00C26730">
            <w:pPr>
              <w:jc w:val="center"/>
            </w:pPr>
            <w:r w:rsidRPr="00C26730">
              <w:t>Observational cohort/neighbourhood study</w:t>
            </w:r>
          </w:p>
        </w:tc>
        <w:tc>
          <w:tcPr>
            <w:tcW w:w="425" w:type="dxa"/>
            <w:tcMar>
              <w:top w:w="30" w:type="dxa"/>
              <w:left w:w="30" w:type="dxa"/>
              <w:bottom w:w="30" w:type="dxa"/>
              <w:right w:w="30" w:type="dxa"/>
            </w:tcMar>
          </w:tcPr>
          <w:p w14:paraId="2667E1FB" w14:textId="17B7511F" w:rsidR="00C26730" w:rsidRPr="00C26730" w:rsidRDefault="00C26730" w:rsidP="00C26730">
            <w:pPr>
              <w:jc w:val="center"/>
            </w:pPr>
            <w:r w:rsidRPr="00C26730">
              <w:t>Yes</w:t>
            </w:r>
          </w:p>
        </w:tc>
        <w:tc>
          <w:tcPr>
            <w:tcW w:w="567" w:type="dxa"/>
            <w:tcMar>
              <w:top w:w="30" w:type="dxa"/>
              <w:left w:w="30" w:type="dxa"/>
              <w:bottom w:w="30" w:type="dxa"/>
              <w:right w:w="30" w:type="dxa"/>
            </w:tcMar>
          </w:tcPr>
          <w:p w14:paraId="7A552290" w14:textId="6B1614BD" w:rsidR="00C26730" w:rsidRPr="00C26730" w:rsidRDefault="00C26730" w:rsidP="00C26730">
            <w:pPr>
              <w:jc w:val="center"/>
            </w:pPr>
            <w:r w:rsidRPr="00C26730">
              <w:t>Yes</w:t>
            </w:r>
          </w:p>
        </w:tc>
        <w:tc>
          <w:tcPr>
            <w:tcW w:w="992" w:type="dxa"/>
            <w:tcMar>
              <w:top w:w="30" w:type="dxa"/>
              <w:left w:w="30" w:type="dxa"/>
              <w:bottom w:w="30" w:type="dxa"/>
              <w:right w:w="30" w:type="dxa"/>
            </w:tcMar>
          </w:tcPr>
          <w:p w14:paraId="2F1BD9FC" w14:textId="68037334" w:rsidR="00C26730" w:rsidRPr="00C26730" w:rsidRDefault="00C26730" w:rsidP="00C26730">
            <w:pPr>
              <w:jc w:val="center"/>
            </w:pPr>
            <w:r w:rsidRPr="00C26730">
              <w:t>Yes</w:t>
            </w:r>
          </w:p>
        </w:tc>
        <w:tc>
          <w:tcPr>
            <w:tcW w:w="851" w:type="dxa"/>
            <w:tcMar>
              <w:top w:w="30" w:type="dxa"/>
              <w:left w:w="30" w:type="dxa"/>
              <w:bottom w:w="30" w:type="dxa"/>
              <w:right w:w="30" w:type="dxa"/>
            </w:tcMar>
          </w:tcPr>
          <w:p w14:paraId="5A867322" w14:textId="084BB7B3" w:rsidR="00C26730" w:rsidRPr="00C26730" w:rsidRDefault="00C26730" w:rsidP="00C26730">
            <w:pPr>
              <w:jc w:val="center"/>
            </w:pPr>
            <w:r w:rsidRPr="00C26730">
              <w:t>Yes</w:t>
            </w:r>
          </w:p>
        </w:tc>
        <w:tc>
          <w:tcPr>
            <w:tcW w:w="3396" w:type="dxa"/>
            <w:tcMar>
              <w:top w:w="30" w:type="dxa"/>
              <w:left w:w="30" w:type="dxa"/>
              <w:bottom w:w="30" w:type="dxa"/>
              <w:right w:w="30" w:type="dxa"/>
            </w:tcMar>
          </w:tcPr>
          <w:p w14:paraId="72FBD057" w14:textId="4ABC4EB7" w:rsidR="00C26730" w:rsidRPr="00C26730" w:rsidRDefault="00C26730" w:rsidP="00C26730">
            <w:pPr>
              <w:jc w:val="center"/>
            </w:pPr>
            <w:r w:rsidRPr="00C26730">
              <w:t>Observational design limits causal inference; segregation is complex to measure.</w:t>
            </w:r>
          </w:p>
        </w:tc>
        <w:tc>
          <w:tcPr>
            <w:tcW w:w="1134" w:type="dxa"/>
            <w:tcMar>
              <w:top w:w="30" w:type="dxa"/>
              <w:left w:w="30" w:type="dxa"/>
              <w:bottom w:w="30" w:type="dxa"/>
              <w:right w:w="30" w:type="dxa"/>
            </w:tcMar>
          </w:tcPr>
          <w:p w14:paraId="41749683" w14:textId="56CA7BC4" w:rsidR="00C26730" w:rsidRPr="00C26730" w:rsidRDefault="00C26730" w:rsidP="00C26730">
            <w:pPr>
              <w:jc w:val="center"/>
            </w:pPr>
            <w:r w:rsidRPr="00C26730">
              <w:t>High</w:t>
            </w:r>
          </w:p>
        </w:tc>
      </w:tr>
    </w:tbl>
    <w:p w14:paraId="0C63959E" w14:textId="301129A8" w:rsidR="00C26730" w:rsidRDefault="00C26730" w:rsidP="00C26730"/>
    <w:p w14:paraId="259FD367" w14:textId="77777777" w:rsidR="00C26730" w:rsidRPr="007F1C8A" w:rsidRDefault="00C26730">
      <w:pPr>
        <w:spacing w:after="158"/>
        <w:rPr>
          <w:rFonts w:asciiTheme="minorBidi" w:hAnsiTheme="minorBidi"/>
        </w:rPr>
      </w:pPr>
    </w:p>
    <w:p w14:paraId="0EF5AC8F" w14:textId="1DB35C36" w:rsidR="009F64C5" w:rsidRPr="007F1C8A" w:rsidRDefault="009F64C5" w:rsidP="00F47712">
      <w:pPr>
        <w:rPr>
          <w:rFonts w:asciiTheme="minorBidi" w:hAnsiTheme="minorBidi"/>
        </w:rPr>
      </w:pPr>
    </w:p>
    <w:sectPr w:rsidR="009F64C5" w:rsidRPr="007F1C8A" w:rsidSect="00B2505E">
      <w:footerReference w:type="even" r:id="rId116"/>
      <w:footerReference w:type="default" r:id="rId117"/>
      <w:footerReference w:type="first" r:id="rId1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E931C" w14:textId="77777777" w:rsidR="008B32FC" w:rsidRDefault="008B32FC">
      <w:pPr>
        <w:spacing w:after="0" w:line="240" w:lineRule="auto"/>
      </w:pPr>
      <w:r>
        <w:separator/>
      </w:r>
    </w:p>
  </w:endnote>
  <w:endnote w:type="continuationSeparator" w:id="0">
    <w:p w14:paraId="7C95AF74" w14:textId="77777777" w:rsidR="008B32FC" w:rsidRDefault="008B3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Body cs">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B69E3F4" w14:textId="537392E0" w:rsidR="009A1B64" w:rsidRDefault="002220C9">
    <w:pPr>
      <w:tabs>
        <w:tab w:val="center" w:pos="4405"/>
      </w:tabs>
      <w:spacing w:after="0"/>
    </w:pPr>
    <w:r>
      <w:rPr>
        <w:rFonts w:ascii="Calibri" w:eastAsia="Calibri" w:hAnsi="Calibri" w:cs="Calibri"/>
      </w:rPr>
      <w:t>Vishal Hirani</w:t>
    </w:r>
    <w:r w:rsidR="007446D0">
      <w:rPr>
        <w:rFonts w:ascii="Calibri" w:eastAsia="Calibri" w:hAnsi="Calibri" w:cs="Calibri"/>
      </w:rPr>
      <w:t xml:space="preserve"> </w:t>
    </w:r>
    <w:r w:rsidR="007446D0">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93A2B" w14:textId="77777777" w:rsidR="008B32FC" w:rsidRDefault="008B32FC">
      <w:pPr>
        <w:spacing w:after="0" w:line="240" w:lineRule="auto"/>
      </w:pPr>
      <w:r>
        <w:separator/>
      </w:r>
    </w:p>
  </w:footnote>
  <w:footnote w:type="continuationSeparator" w:id="0">
    <w:p w14:paraId="4FE66579" w14:textId="77777777" w:rsidR="008B32FC" w:rsidRDefault="008B32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640FAE"/>
    <w:multiLevelType w:val="multilevel"/>
    <w:tmpl w:val="4FC8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B1DC9"/>
    <w:multiLevelType w:val="multilevel"/>
    <w:tmpl w:val="D722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97979"/>
    <w:multiLevelType w:val="hybridMultilevel"/>
    <w:tmpl w:val="E4A89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0D575B"/>
    <w:multiLevelType w:val="hybridMultilevel"/>
    <w:tmpl w:val="06C40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55609"/>
    <w:multiLevelType w:val="hybridMultilevel"/>
    <w:tmpl w:val="CF683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11F5B"/>
    <w:multiLevelType w:val="hybridMultilevel"/>
    <w:tmpl w:val="7BA00ACE"/>
    <w:lvl w:ilvl="0" w:tplc="F5A67F34">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C7FDB"/>
    <w:multiLevelType w:val="multilevel"/>
    <w:tmpl w:val="B3FC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DE42BD"/>
    <w:multiLevelType w:val="hybridMultilevel"/>
    <w:tmpl w:val="3708BDBE"/>
    <w:lvl w:ilvl="0" w:tplc="BCA2078E">
      <w:start w:val="6"/>
      <w:numFmt w:val="bullet"/>
      <w:lvlText w:val=""/>
      <w:lvlJc w:val="left"/>
      <w:pPr>
        <w:ind w:left="720" w:hanging="360"/>
      </w:pPr>
      <w:rPr>
        <w:rFonts w:ascii="Wingdings" w:eastAsia="Times New Roman"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B4C96"/>
    <w:multiLevelType w:val="hybridMultilevel"/>
    <w:tmpl w:val="923ED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B010BD"/>
    <w:multiLevelType w:val="multilevel"/>
    <w:tmpl w:val="ABE06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C7E36FF"/>
    <w:multiLevelType w:val="hybridMultilevel"/>
    <w:tmpl w:val="129C3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86103B"/>
    <w:multiLevelType w:val="hybridMultilevel"/>
    <w:tmpl w:val="D0EA5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4F65FA5"/>
    <w:multiLevelType w:val="multilevel"/>
    <w:tmpl w:val="34002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AAB44FB"/>
    <w:multiLevelType w:val="multilevel"/>
    <w:tmpl w:val="38986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774614">
    <w:abstractNumId w:val="20"/>
  </w:num>
  <w:num w:numId="2" w16cid:durableId="941229834">
    <w:abstractNumId w:val="0"/>
  </w:num>
  <w:num w:numId="3" w16cid:durableId="1012418139">
    <w:abstractNumId w:val="16"/>
  </w:num>
  <w:num w:numId="4" w16cid:durableId="1373456878">
    <w:abstractNumId w:val="11"/>
  </w:num>
  <w:num w:numId="5" w16cid:durableId="1904363585">
    <w:abstractNumId w:val="12"/>
  </w:num>
  <w:num w:numId="6" w16cid:durableId="550387977">
    <w:abstractNumId w:val="17"/>
  </w:num>
  <w:num w:numId="7" w16cid:durableId="1167091014">
    <w:abstractNumId w:val="18"/>
  </w:num>
  <w:num w:numId="8" w16cid:durableId="2031225886">
    <w:abstractNumId w:val="13"/>
  </w:num>
  <w:num w:numId="9" w16cid:durableId="188033100">
    <w:abstractNumId w:val="10"/>
  </w:num>
  <w:num w:numId="10" w16cid:durableId="338242749">
    <w:abstractNumId w:val="5"/>
  </w:num>
  <w:num w:numId="11" w16cid:durableId="957680047">
    <w:abstractNumId w:val="7"/>
  </w:num>
  <w:num w:numId="12" w16cid:durableId="926235765">
    <w:abstractNumId w:val="21"/>
  </w:num>
  <w:num w:numId="13" w16cid:durableId="1942031243">
    <w:abstractNumId w:val="1"/>
  </w:num>
  <w:num w:numId="14" w16cid:durableId="1091976054">
    <w:abstractNumId w:val="14"/>
  </w:num>
  <w:num w:numId="15" w16cid:durableId="527914858">
    <w:abstractNumId w:val="2"/>
  </w:num>
  <w:num w:numId="16" w16cid:durableId="245263657">
    <w:abstractNumId w:val="9"/>
  </w:num>
  <w:num w:numId="17" w16cid:durableId="1386418059">
    <w:abstractNumId w:val="19"/>
  </w:num>
  <w:num w:numId="18" w16cid:durableId="1695616841">
    <w:abstractNumId w:val="4"/>
  </w:num>
  <w:num w:numId="19" w16cid:durableId="506015502">
    <w:abstractNumId w:val="15"/>
  </w:num>
  <w:num w:numId="20" w16cid:durableId="1237209657">
    <w:abstractNumId w:val="3"/>
  </w:num>
  <w:num w:numId="21" w16cid:durableId="1706178986">
    <w:abstractNumId w:val="8"/>
  </w:num>
  <w:num w:numId="22" w16cid:durableId="9337819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555DE"/>
    <w:rsid w:val="00074A36"/>
    <w:rsid w:val="00095C72"/>
    <w:rsid w:val="000A4928"/>
    <w:rsid w:val="000C39D5"/>
    <w:rsid w:val="000E28AF"/>
    <w:rsid w:val="00113366"/>
    <w:rsid w:val="001170D1"/>
    <w:rsid w:val="001349B1"/>
    <w:rsid w:val="001629A1"/>
    <w:rsid w:val="00180F86"/>
    <w:rsid w:val="001A1063"/>
    <w:rsid w:val="001C5965"/>
    <w:rsid w:val="001D12E1"/>
    <w:rsid w:val="001D174E"/>
    <w:rsid w:val="001F0668"/>
    <w:rsid w:val="002220C9"/>
    <w:rsid w:val="00231375"/>
    <w:rsid w:val="0023385A"/>
    <w:rsid w:val="002464A9"/>
    <w:rsid w:val="00274729"/>
    <w:rsid w:val="002976C9"/>
    <w:rsid w:val="002A6657"/>
    <w:rsid w:val="002B04A6"/>
    <w:rsid w:val="002B523E"/>
    <w:rsid w:val="002C5A5F"/>
    <w:rsid w:val="003132AB"/>
    <w:rsid w:val="0034071E"/>
    <w:rsid w:val="003B0F3B"/>
    <w:rsid w:val="003C24D0"/>
    <w:rsid w:val="003C35D2"/>
    <w:rsid w:val="003C4C21"/>
    <w:rsid w:val="003C6E35"/>
    <w:rsid w:val="003D2729"/>
    <w:rsid w:val="00444EB4"/>
    <w:rsid w:val="004528E6"/>
    <w:rsid w:val="00473636"/>
    <w:rsid w:val="00476C51"/>
    <w:rsid w:val="0048020E"/>
    <w:rsid w:val="004B2B12"/>
    <w:rsid w:val="004B46E3"/>
    <w:rsid w:val="004B769A"/>
    <w:rsid w:val="004B7DAB"/>
    <w:rsid w:val="004E2F42"/>
    <w:rsid w:val="004E3D59"/>
    <w:rsid w:val="004F31F1"/>
    <w:rsid w:val="00510343"/>
    <w:rsid w:val="0052573A"/>
    <w:rsid w:val="00536FD3"/>
    <w:rsid w:val="00553822"/>
    <w:rsid w:val="005749C8"/>
    <w:rsid w:val="00581608"/>
    <w:rsid w:val="005A2DCF"/>
    <w:rsid w:val="005B5A00"/>
    <w:rsid w:val="00600B32"/>
    <w:rsid w:val="00614EA6"/>
    <w:rsid w:val="00623C0E"/>
    <w:rsid w:val="00660B8D"/>
    <w:rsid w:val="00693613"/>
    <w:rsid w:val="006B03D2"/>
    <w:rsid w:val="006D748E"/>
    <w:rsid w:val="0070279F"/>
    <w:rsid w:val="00704FC8"/>
    <w:rsid w:val="00712AF3"/>
    <w:rsid w:val="00733847"/>
    <w:rsid w:val="007446D0"/>
    <w:rsid w:val="00746608"/>
    <w:rsid w:val="00762132"/>
    <w:rsid w:val="00781B80"/>
    <w:rsid w:val="007843AD"/>
    <w:rsid w:val="007A70EA"/>
    <w:rsid w:val="007C6E78"/>
    <w:rsid w:val="007D3723"/>
    <w:rsid w:val="007F1C8A"/>
    <w:rsid w:val="007F3292"/>
    <w:rsid w:val="008256B7"/>
    <w:rsid w:val="0083383F"/>
    <w:rsid w:val="00851D37"/>
    <w:rsid w:val="008A1CF5"/>
    <w:rsid w:val="008A73BC"/>
    <w:rsid w:val="008B21F2"/>
    <w:rsid w:val="008B32FC"/>
    <w:rsid w:val="008B6F81"/>
    <w:rsid w:val="008C173B"/>
    <w:rsid w:val="008D6BF7"/>
    <w:rsid w:val="009262DE"/>
    <w:rsid w:val="00951A45"/>
    <w:rsid w:val="00954E4C"/>
    <w:rsid w:val="00962886"/>
    <w:rsid w:val="009706D0"/>
    <w:rsid w:val="00986A40"/>
    <w:rsid w:val="009A1B64"/>
    <w:rsid w:val="009F64C5"/>
    <w:rsid w:val="00A076FB"/>
    <w:rsid w:val="00A63D4E"/>
    <w:rsid w:val="00A6469D"/>
    <w:rsid w:val="00A70DB0"/>
    <w:rsid w:val="00A9635A"/>
    <w:rsid w:val="00A96C82"/>
    <w:rsid w:val="00AC0A4F"/>
    <w:rsid w:val="00AE411E"/>
    <w:rsid w:val="00AF1AE5"/>
    <w:rsid w:val="00B01737"/>
    <w:rsid w:val="00B129B6"/>
    <w:rsid w:val="00B17AEA"/>
    <w:rsid w:val="00BA4D50"/>
    <w:rsid w:val="00BB2738"/>
    <w:rsid w:val="00BB486C"/>
    <w:rsid w:val="00BC221F"/>
    <w:rsid w:val="00BC67C0"/>
    <w:rsid w:val="00BD583D"/>
    <w:rsid w:val="00BE2BFA"/>
    <w:rsid w:val="00BF47CB"/>
    <w:rsid w:val="00C12ED7"/>
    <w:rsid w:val="00C26730"/>
    <w:rsid w:val="00C34376"/>
    <w:rsid w:val="00C37BFA"/>
    <w:rsid w:val="00C9753B"/>
    <w:rsid w:val="00CC7E1F"/>
    <w:rsid w:val="00CD61B9"/>
    <w:rsid w:val="00CD69CF"/>
    <w:rsid w:val="00CE415F"/>
    <w:rsid w:val="00CF0926"/>
    <w:rsid w:val="00D00F94"/>
    <w:rsid w:val="00D02567"/>
    <w:rsid w:val="00D156F2"/>
    <w:rsid w:val="00D46050"/>
    <w:rsid w:val="00D5190D"/>
    <w:rsid w:val="00D55180"/>
    <w:rsid w:val="00D720D9"/>
    <w:rsid w:val="00DA0112"/>
    <w:rsid w:val="00DA055B"/>
    <w:rsid w:val="00DA1247"/>
    <w:rsid w:val="00DB06F9"/>
    <w:rsid w:val="00DC40CD"/>
    <w:rsid w:val="00DC624E"/>
    <w:rsid w:val="00DD7AA5"/>
    <w:rsid w:val="00DE506B"/>
    <w:rsid w:val="00E034C0"/>
    <w:rsid w:val="00E23063"/>
    <w:rsid w:val="00E80543"/>
    <w:rsid w:val="00EB7CF8"/>
    <w:rsid w:val="00EC6C1A"/>
    <w:rsid w:val="00EF3A36"/>
    <w:rsid w:val="00F02B2C"/>
    <w:rsid w:val="00F068FC"/>
    <w:rsid w:val="00F06B03"/>
    <w:rsid w:val="00F24400"/>
    <w:rsid w:val="00F47712"/>
    <w:rsid w:val="00F7255D"/>
    <w:rsid w:val="00F82053"/>
    <w:rsid w:val="00F90FE8"/>
    <w:rsid w:val="00FA17BE"/>
    <w:rsid w:val="00FD0BDD"/>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F64C5"/>
    <w:pPr>
      <w:keepNext/>
      <w:keepLines/>
      <w:spacing w:after="152" w:line="265" w:lineRule="auto"/>
      <w:ind w:left="10" w:right="2"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9F64C5"/>
    <w:pPr>
      <w:keepNext/>
      <w:keepLines/>
      <w:spacing w:after="152" w:line="265" w:lineRule="auto"/>
      <w:ind w:left="10" w:right="2"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paragraph" w:styleId="Heading4">
    <w:name w:val="heading 4"/>
    <w:basedOn w:val="Normal"/>
    <w:next w:val="Normal"/>
    <w:link w:val="Heading4Char"/>
    <w:uiPriority w:val="9"/>
    <w:semiHidden/>
    <w:unhideWhenUsed/>
    <w:qFormat/>
    <w:rsid w:val="00CD69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69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69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69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69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69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4C5"/>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9F64C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uiPriority w:val="9"/>
    <w:rsid w:val="009F64C5"/>
    <w:rPr>
      <w:rFonts w:ascii="Times New Roman" w:eastAsia="Times New Roman" w:hAnsi="Times New Roman" w:cs="Times New Roman"/>
      <w:color w:val="000000"/>
      <w:sz w:val="24"/>
      <w:u w:val="single" w:color="000000"/>
    </w:rPr>
  </w:style>
  <w:style w:type="paragraph" w:styleId="TOC1">
    <w:name w:val="toc 1"/>
    <w:hidden/>
    <w:rsid w:val="009F64C5"/>
    <w:pPr>
      <w:spacing w:after="109" w:line="249" w:lineRule="auto"/>
      <w:ind w:left="25" w:right="19" w:hanging="10"/>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222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0C9"/>
  </w:style>
  <w:style w:type="paragraph" w:styleId="ListParagraph">
    <w:name w:val="List Paragraph"/>
    <w:basedOn w:val="Normal"/>
    <w:uiPriority w:val="34"/>
    <w:qFormat/>
    <w:rsid w:val="002A6657"/>
    <w:pPr>
      <w:ind w:left="720"/>
      <w:contextualSpacing/>
    </w:pPr>
  </w:style>
  <w:style w:type="paragraph" w:styleId="NormalWeb">
    <w:name w:val="Normal (Web)"/>
    <w:basedOn w:val="Normal"/>
    <w:uiPriority w:val="99"/>
    <w:unhideWhenUsed/>
    <w:rsid w:val="00F7255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4Char">
    <w:name w:val="Heading 4 Char"/>
    <w:basedOn w:val="DefaultParagraphFont"/>
    <w:link w:val="Heading4"/>
    <w:uiPriority w:val="9"/>
    <w:semiHidden/>
    <w:rsid w:val="00CD69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69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69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69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69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69CF"/>
    <w:rPr>
      <w:rFonts w:eastAsiaTheme="majorEastAsia" w:cstheme="majorBidi"/>
      <w:color w:val="272727" w:themeColor="text1" w:themeTint="D8"/>
    </w:rPr>
  </w:style>
  <w:style w:type="paragraph" w:styleId="Title">
    <w:name w:val="Title"/>
    <w:basedOn w:val="Normal"/>
    <w:next w:val="Normal"/>
    <w:link w:val="TitleChar"/>
    <w:uiPriority w:val="10"/>
    <w:qFormat/>
    <w:rsid w:val="00CD69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69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69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69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69CF"/>
    <w:pPr>
      <w:spacing w:before="160"/>
      <w:jc w:val="center"/>
    </w:pPr>
    <w:rPr>
      <w:i/>
      <w:iCs/>
      <w:color w:val="404040" w:themeColor="text1" w:themeTint="BF"/>
    </w:rPr>
  </w:style>
  <w:style w:type="character" w:customStyle="1" w:styleId="QuoteChar">
    <w:name w:val="Quote Char"/>
    <w:basedOn w:val="DefaultParagraphFont"/>
    <w:link w:val="Quote"/>
    <w:uiPriority w:val="29"/>
    <w:rsid w:val="00CD69CF"/>
    <w:rPr>
      <w:i/>
      <w:iCs/>
      <w:color w:val="404040" w:themeColor="text1" w:themeTint="BF"/>
    </w:rPr>
  </w:style>
  <w:style w:type="character" w:styleId="IntenseEmphasis">
    <w:name w:val="Intense Emphasis"/>
    <w:basedOn w:val="DefaultParagraphFont"/>
    <w:uiPriority w:val="21"/>
    <w:qFormat/>
    <w:rsid w:val="00CD69CF"/>
    <w:rPr>
      <w:i/>
      <w:iCs/>
      <w:color w:val="2F5496" w:themeColor="accent1" w:themeShade="BF"/>
    </w:rPr>
  </w:style>
  <w:style w:type="paragraph" w:styleId="IntenseQuote">
    <w:name w:val="Intense Quote"/>
    <w:basedOn w:val="Normal"/>
    <w:next w:val="Normal"/>
    <w:link w:val="IntenseQuoteChar"/>
    <w:uiPriority w:val="30"/>
    <w:qFormat/>
    <w:rsid w:val="00CD69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69CF"/>
    <w:rPr>
      <w:i/>
      <w:iCs/>
      <w:color w:val="2F5496" w:themeColor="accent1" w:themeShade="BF"/>
    </w:rPr>
  </w:style>
  <w:style w:type="character" w:styleId="IntenseReference">
    <w:name w:val="Intense Reference"/>
    <w:basedOn w:val="DefaultParagraphFont"/>
    <w:uiPriority w:val="32"/>
    <w:qFormat/>
    <w:rsid w:val="00CD69CF"/>
    <w:rPr>
      <w:b/>
      <w:bCs/>
      <w:smallCaps/>
      <w:color w:val="2F5496" w:themeColor="accent1" w:themeShade="BF"/>
      <w:spacing w:val="5"/>
    </w:rPr>
  </w:style>
  <w:style w:type="character" w:styleId="Hyperlink">
    <w:name w:val="Hyperlink"/>
    <w:basedOn w:val="DefaultParagraphFont"/>
    <w:uiPriority w:val="99"/>
    <w:unhideWhenUsed/>
    <w:rsid w:val="00CD69CF"/>
    <w:rPr>
      <w:color w:val="0563C1" w:themeColor="hyperlink"/>
      <w:u w:val="single"/>
    </w:rPr>
  </w:style>
  <w:style w:type="character" w:styleId="UnresolvedMention">
    <w:name w:val="Unresolved Mention"/>
    <w:basedOn w:val="DefaultParagraphFont"/>
    <w:uiPriority w:val="99"/>
    <w:semiHidden/>
    <w:unhideWhenUsed/>
    <w:rsid w:val="00CD69CF"/>
    <w:rPr>
      <w:color w:val="605E5C"/>
      <w:shd w:val="clear" w:color="auto" w:fill="E1DFDD"/>
    </w:rPr>
  </w:style>
  <w:style w:type="character" w:styleId="FollowedHyperlink">
    <w:name w:val="FollowedHyperlink"/>
    <w:basedOn w:val="DefaultParagraphFont"/>
    <w:uiPriority w:val="99"/>
    <w:semiHidden/>
    <w:unhideWhenUsed/>
    <w:rsid w:val="00CD69CF"/>
    <w:rPr>
      <w:color w:val="954F72" w:themeColor="followedHyperlink"/>
      <w:u w:val="single"/>
    </w:rPr>
  </w:style>
  <w:style w:type="table" w:styleId="TableGrid">
    <w:name w:val="Table Grid"/>
    <w:basedOn w:val="TableNormal"/>
    <w:uiPriority w:val="59"/>
    <w:rsid w:val="00CD69CF"/>
    <w:pPr>
      <w:spacing w:after="0" w:line="240" w:lineRule="auto"/>
    </w:pPr>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C7E1F"/>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E80543"/>
    <w:pPr>
      <w:tabs>
        <w:tab w:val="left" w:pos="880"/>
        <w:tab w:val="right" w:leader="dot" w:pos="9350"/>
      </w:tabs>
      <w:spacing w:after="100"/>
      <w:ind w:left="220"/>
    </w:pPr>
    <w:rPr>
      <w:rFonts w:ascii="Arial" w:eastAsiaTheme="minorHAnsi" w:hAnsi="Arial" w:cs="Arial"/>
      <w:noProof/>
      <w:kern w:val="0"/>
      <w:lang w:val="en-US" w:eastAsia="en-US"/>
      <w14:ligatures w14:val="none"/>
    </w:rPr>
  </w:style>
  <w:style w:type="paragraph" w:styleId="TOC3">
    <w:name w:val="toc 3"/>
    <w:basedOn w:val="Normal"/>
    <w:next w:val="Normal"/>
    <w:autoRedefine/>
    <w:uiPriority w:val="39"/>
    <w:unhideWhenUsed/>
    <w:rsid w:val="00CC7E1F"/>
    <w:pPr>
      <w:spacing w:after="100"/>
      <w:ind w:left="440"/>
    </w:pPr>
    <w:rPr>
      <w:rFonts w:eastAsiaTheme="minorHAnsi"/>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ubmed.ncbi.nlm.nih.gov/19010980/%20" TargetMode="External"/><Relationship Id="rId117" Type="http://schemas.openxmlformats.org/officeDocument/2006/relationships/footer" Target="footer2.xml"/><Relationship Id="rId21" Type="http://schemas.openxmlformats.org/officeDocument/2006/relationships/hyperlink" Target="https://doi.org/10.1016/S0140-6736(17)30569-X" TargetMode="External"/><Relationship Id="rId42" Type="http://schemas.openxmlformats.org/officeDocument/2006/relationships/hyperlink" Target="https://doi.org/10.1164/rccm.201011-1928OC" TargetMode="External"/><Relationship Id="rId47" Type="http://schemas.openxmlformats.org/officeDocument/2006/relationships/hyperlink" Target="https://goldcopd.org/2024-gold-report/" TargetMode="External"/><Relationship Id="rId63" Type="http://schemas.openxmlformats.org/officeDocument/2006/relationships/hyperlink" Target="https://doi.org/10.1001/jama.2020.4437" TargetMode="External"/><Relationship Id="rId68" Type="http://schemas.openxmlformats.org/officeDocument/2006/relationships/hyperlink" Target="https://pubmed.ncbi.nlm.nih.gov/27783539/" TargetMode="External"/><Relationship Id="rId84" Type="http://schemas.openxmlformats.org/officeDocument/2006/relationships/hyperlink" Target="https://journal.copdfoundation.org/jcopdf/id/1028/Comorbidities-of-COPD-Have-a-Major-Impact-on-Clinical-Outcomes-Particularly-in-African-Americans" TargetMode="External"/><Relationship Id="rId89" Type="http://schemas.openxmlformats.org/officeDocument/2006/relationships/hyperlink" Target="https://pubmed.ncbi.nlm.nih.gov/37072532/" TargetMode="External"/><Relationship Id="rId112" Type="http://schemas.openxmlformats.org/officeDocument/2006/relationships/hyperlink" Target="https://pmc.ncbi.nlm.nih.gov/articles/PMC6532402/" TargetMode="External"/><Relationship Id="rId16" Type="http://schemas.openxmlformats.org/officeDocument/2006/relationships/customXml" Target="ink/ink3.xml"/><Relationship Id="rId107" Type="http://schemas.openxmlformats.org/officeDocument/2006/relationships/hyperlink" Target="https://doi.org/10.1177/0033354916688197" TargetMode="External"/><Relationship Id="rId11" Type="http://schemas.openxmlformats.org/officeDocument/2006/relationships/image" Target="media/image1.png"/><Relationship Id="rId32" Type="http://schemas.openxmlformats.org/officeDocument/2006/relationships/hyperlink" Target="https://casp-uk.net/casp-tools-checklists/" TargetMode="External"/><Relationship Id="rId37" Type="http://schemas.openxmlformats.org/officeDocument/2006/relationships/hyperlink" Target="https://doi.org/10.3109/15412555.2013.813448" TargetMode="External"/><Relationship Id="rId53" Type="http://schemas.openxmlformats.org/officeDocument/2006/relationships/hyperlink" Target="https://doi.org/10.2147/COPD.S19945" TargetMode="External"/><Relationship Id="rId58" Type="http://schemas.openxmlformats.org/officeDocument/2006/relationships/hyperlink" Target="https://pubmed.ncbi.nlm.nih.gov/30759006/" TargetMode="External"/><Relationship Id="rId74" Type="http://schemas.openxmlformats.org/officeDocument/2006/relationships/hyperlink" Target="https://www.nhlbi.nih.gov/sites/default/files/media/docs/National%20Action%20Plan_508c_8%2018%2017.pdf" TargetMode="External"/><Relationship Id="rId79" Type="http://schemas.openxmlformats.org/officeDocument/2006/relationships/hyperlink" Target="https://doi.org/10.1136/bmj.n71" TargetMode="External"/><Relationship Id="rId102" Type="http://schemas.openxmlformats.org/officeDocument/2006/relationships/hyperlink" Target="https://pubmed.ncbi.nlm.nih.gov/23495616/" TargetMode="External"/><Relationship Id="rId5" Type="http://schemas.openxmlformats.org/officeDocument/2006/relationships/numbering" Target="numbering.xml"/><Relationship Id="rId90" Type="http://schemas.openxmlformats.org/officeDocument/2006/relationships/hyperlink" Target="https://doi.org/10.1186/s13643-020-01542-z" TargetMode="External"/><Relationship Id="rId95" Type="http://schemas.openxmlformats.org/officeDocument/2006/relationships/hyperlink" Target="https://doi.org/10.1183/09031936.00207912" TargetMode="External"/><Relationship Id="rId22" Type="http://schemas.openxmlformats.org/officeDocument/2006/relationships/hyperlink" Target="https://doi.org/10.1016/j.rmed.2021.106726" TargetMode="External"/><Relationship Id="rId27" Type="http://schemas.openxmlformats.org/officeDocument/2006/relationships/hyperlink" Target="https://doi.org/10.1001/archinte.163.5.585" TargetMode="External"/><Relationship Id="rId43" Type="http://schemas.openxmlformats.org/officeDocument/2006/relationships/hyperlink" Target="https://doi.org/10.2147/COPD.S238933" TargetMode="External"/><Relationship Id="rId48" Type="http://schemas.openxmlformats.org/officeDocument/2006/relationships/hyperlink" Target="https://doi.org/10.1164/rccm.201908-1590ST" TargetMode="External"/><Relationship Id="rId64" Type="http://schemas.openxmlformats.org/officeDocument/2006/relationships/hyperlink" Target="https://www.cdc.gov/mmwr/volumes/72/wr/pdfs/mm7246a1-H.pdf" TargetMode="External"/><Relationship Id="rId69" Type="http://schemas.openxmlformats.org/officeDocument/2006/relationships/hyperlink" Target="https://doi.org/10.1002/14651858.CD003793.pub3" TargetMode="External"/><Relationship Id="rId113" Type="http://schemas.openxmlformats.org/officeDocument/2006/relationships/hyperlink" Target="https://pmc.ncbi.nlm.nih.gov/articles/PMC8491265/" TargetMode="External"/><Relationship Id="rId118" Type="http://schemas.openxmlformats.org/officeDocument/2006/relationships/footer" Target="footer3.xml"/><Relationship Id="rId80" Type="http://schemas.openxmlformats.org/officeDocument/2006/relationships/hyperlink" Target="https://journals.sagepub.com/doi/10.1177/0022146510383498" TargetMode="External"/><Relationship Id="rId85" Type="http://schemas.openxmlformats.org/officeDocument/2006/relationships/hyperlink" Target="https://doi.org/10.1017/gheg.2018.1" TargetMode="External"/><Relationship Id="rId12" Type="http://schemas.openxmlformats.org/officeDocument/2006/relationships/customXml" Target="ink/ink1.xml"/><Relationship Id="rId17" Type="http://schemas.openxmlformats.org/officeDocument/2006/relationships/customXml" Target="ink/ink4.xml"/><Relationship Id="rId33" Type="http://schemas.openxmlformats.org/officeDocument/2006/relationships/hyperlink" Target="https://doi.org/10.1056/NEJMra1900500" TargetMode="External"/><Relationship Id="rId38" Type="http://schemas.openxmlformats.org/officeDocument/2006/relationships/hyperlink" Target="https://doi.org/10.1016/j.ccm.2006.04.005" TargetMode="External"/><Relationship Id="rId59" Type="http://schemas.openxmlformats.org/officeDocument/2006/relationships/hyperlink" Target="https://doi.org/10.1378/chest.14-2535" TargetMode="External"/><Relationship Id="rId103" Type="http://schemas.openxmlformats.org/officeDocument/2006/relationships/hyperlink" Target="https://doi.org/10.2147/COPD.S144933" TargetMode="External"/><Relationship Id="rId108" Type="http://schemas.openxmlformats.org/officeDocument/2006/relationships/hyperlink" Target="https://doi.org/10.1016/S0140-6736(07)61382-8" TargetMode="External"/><Relationship Id="rId54" Type="http://schemas.openxmlformats.org/officeDocument/2006/relationships/hyperlink" Target="https://doi.org/10.1016/j.ejim.2019.12.014" TargetMode="External"/><Relationship Id="rId70" Type="http://schemas.openxmlformats.org/officeDocument/2006/relationships/hyperlink" Target="https://doi.org/10.1016/j.apnr.2020.151389" TargetMode="External"/><Relationship Id="rId75" Type="http://schemas.openxmlformats.org/officeDocument/2006/relationships/hyperlink" Target="https://www.nhlbi.nih.gov/health-topics/education-and-awareness/copd-learn-more-breathe-better" TargetMode="External"/><Relationship Id="rId91" Type="http://schemas.openxmlformats.org/officeDocument/2006/relationships/hyperlink" Target="https://doi.org/10.1164/rccm.201308-1509ST" TargetMode="External"/><Relationship Id="rId96" Type="http://schemas.openxmlformats.org/officeDocument/2006/relationships/hyperlink" Target="https://pubmed.ncbi.nlm.nih.gov/38317666/"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doi.org/10.1164/rccm.202105-1209ED" TargetMode="External"/><Relationship Id="rId28" Type="http://schemas.openxmlformats.org/officeDocument/2006/relationships/hyperlink" Target="https://doi.org/10.1146/annurev-publhealth-031210-101218" TargetMode="External"/><Relationship Id="rId49" Type="http://schemas.openxmlformats.org/officeDocument/2006/relationships/hyperlink" Target="https://pubmed.ncbi.nlm.nih.gov/20522794/" TargetMode="External"/><Relationship Id="rId114" Type="http://schemas.openxmlformats.org/officeDocument/2006/relationships/hyperlink" Target="https://www.who.int/news-room/fact-sheets/detail/chronic-obstructive-pulmonary-disease-(copd)" TargetMode="External"/><Relationship Id="rId119"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doi.org/10.5888/pcd20.230025" TargetMode="External"/><Relationship Id="rId44" Type="http://schemas.openxmlformats.org/officeDocument/2006/relationships/hyperlink" Target="https://doi.org/10.1016/S2213-2600(20)30105-3" TargetMode="External"/><Relationship Id="rId52" Type="http://schemas.openxmlformats.org/officeDocument/2006/relationships/hyperlink" Target="https://training.cochrane.org/handbook" TargetMode="External"/><Relationship Id="rId60" Type="http://schemas.openxmlformats.org/officeDocument/2006/relationships/hyperlink" Target="https://doi.org/10.1056/NEJMoa1411532" TargetMode="External"/><Relationship Id="rId65" Type="http://schemas.openxmlformats.org/officeDocument/2006/relationships/hyperlink" Target="https://doi.org/10.1016/j.iac.2012.10.006" TargetMode="External"/><Relationship Id="rId73" Type="http://schemas.openxmlformats.org/officeDocument/2006/relationships/hyperlink" Target="https://nap.nationalacademies.org/catalog/24636" TargetMode="External"/><Relationship Id="rId78" Type="http://schemas.openxmlformats.org/officeDocument/2006/relationships/hyperlink" Target="https://doi.org/10.1186/s13643-016-0384-4" TargetMode="External"/><Relationship Id="rId81" Type="http://schemas.openxmlformats.org/officeDocument/2006/relationships/hyperlink" Target="https://doi.org/10.1146/annurev-soc-073014-112305" TargetMode="External"/><Relationship Id="rId86" Type="http://schemas.openxmlformats.org/officeDocument/2006/relationships/hyperlink" Target="https://doi.org/10.1183/09031936.00080312" TargetMode="External"/><Relationship Id="rId94" Type="http://schemas.openxmlformats.org/officeDocument/2006/relationships/hyperlink" Target="https://doi.org/10.1378/chest.08-2304" TargetMode="External"/><Relationship Id="rId99" Type="http://schemas.openxmlformats.org/officeDocument/2006/relationships/hyperlink" Target="https://doi.org/10.1164/rccm.201309-1634ST" TargetMode="External"/><Relationship Id="rId101" Type="http://schemas.openxmlformats.org/officeDocument/2006/relationships/hyperlink" Target="https://doi.org/10.1186/1471-2288-8-45"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4.png"/><Relationship Id="rId39" Type="http://schemas.openxmlformats.org/officeDocument/2006/relationships/hyperlink" Target="https://doi.org/10.1177/1479972311433574" TargetMode="External"/><Relationship Id="rId109" Type="http://schemas.openxmlformats.org/officeDocument/2006/relationships/hyperlink" Target="https://doi.org/10.15620/cdc/174596" TargetMode="External"/><Relationship Id="rId34" Type="http://schemas.openxmlformats.org/officeDocument/2006/relationships/hyperlink" Target="https://doi.org/10.1136/thoraxjnl-2013-203897" TargetMode="External"/><Relationship Id="rId50" Type="http://schemas.openxmlformats.org/officeDocument/2006/relationships/hyperlink" Target="https://doi.org/10.1378/chest.10-2869" TargetMode="External"/><Relationship Id="rId55" Type="http://schemas.openxmlformats.org/officeDocument/2006/relationships/hyperlink" Target="https://doi.org/10.2105/AJPH.90.8.1212" TargetMode="External"/><Relationship Id="rId76" Type="http://schemas.openxmlformats.org/officeDocument/2006/relationships/hyperlink" Target="https://doi.org/10.1164/rccm.202003-0625ST" TargetMode="External"/><Relationship Id="rId97" Type="http://schemas.openxmlformats.org/officeDocument/2006/relationships/hyperlink" Target="https://iris.who.int/handle/10665/44489%20" TargetMode="External"/><Relationship Id="rId104" Type="http://schemas.openxmlformats.org/officeDocument/2006/relationships/hyperlink" Target="https://pubmed.ncbi.nlm.nih.gov/35536260/" TargetMode="External"/><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doi.org/10.1183/09031936.05.00034805" TargetMode="External"/><Relationship Id="rId92" Type="http://schemas.openxmlformats.org/officeDocument/2006/relationships/hyperlink" Target="https://www.sciencedirect.com/science/article/abs/pii/S0012369218327223" TargetMode="External"/><Relationship Id="rId2" Type="http://schemas.openxmlformats.org/officeDocument/2006/relationships/customXml" Target="../customXml/item2.xml"/><Relationship Id="rId29" Type="http://schemas.openxmlformats.org/officeDocument/2006/relationships/hyperlink" Target="https://doi.org/10.1177/00333549141291S206" TargetMode="External"/><Relationship Id="rId24" Type="http://schemas.openxmlformats.org/officeDocument/2006/relationships/hyperlink" Target="https://doi.org/10.1016/S0140-6736(12)60240-2" TargetMode="External"/><Relationship Id="rId40" Type="http://schemas.openxmlformats.org/officeDocument/2006/relationships/hyperlink" Target="https://pubmed.ncbi.nlm.nih.gov/33007162/" TargetMode="External"/><Relationship Id="rId45" Type="http://schemas.openxmlformats.org/officeDocument/2006/relationships/hyperlink" Target="https://doi.org/10.1017/S1742058X11000130" TargetMode="External"/><Relationship Id="rId66" Type="http://schemas.openxmlformats.org/officeDocument/2006/relationships/hyperlink" Target="https://pubmed.ncbi.nlm.nih.gov/30584581/" TargetMode="External"/><Relationship Id="rId87" Type="http://schemas.openxmlformats.org/officeDocument/2006/relationships/hyperlink" Target="https://pubmed.ncbi.nlm.nih.gov/37848254/" TargetMode="External"/><Relationship Id="rId110" Type="http://schemas.openxmlformats.org/officeDocument/2006/relationships/hyperlink" Target="https://pmc.ncbi.nlm.nih.gov/articles/PMC1497358/" TargetMode="External"/><Relationship Id="rId115" Type="http://schemas.openxmlformats.org/officeDocument/2006/relationships/hyperlink" Target="https://doi.org/10.1016/j.chest.2020.09.255" TargetMode="External"/><Relationship Id="rId61" Type="http://schemas.openxmlformats.org/officeDocument/2006/relationships/hyperlink" Target="https://doi.org/10.1186/1475-9276-12-18" TargetMode="External"/><Relationship Id="rId82" Type="http://schemas.openxmlformats.org/officeDocument/2006/relationships/hyperlink" Target="https://www.york.ac.uk/media/crd/Guidance%20on%20the%20conduct%20of%20narrative%20synthesis%20in%20systematic%20review.pdf" TargetMode="External"/><Relationship Id="rId19" Type="http://schemas.openxmlformats.org/officeDocument/2006/relationships/hyperlink" Target="https://doi.org/10.7189/jogh.05.020415" TargetMode="External"/><Relationship Id="rId14" Type="http://schemas.openxmlformats.org/officeDocument/2006/relationships/customXml" Target="ink/ink2.xml"/><Relationship Id="rId30" Type="http://schemas.openxmlformats.org/officeDocument/2006/relationships/hyperlink" Target="https://doi.org/10.1136/bmj.l6890" TargetMode="External"/><Relationship Id="rId35" Type="http://schemas.openxmlformats.org/officeDocument/2006/relationships/hyperlink" Target="https://doi.org/10.2147/COPD.S430249" TargetMode="External"/><Relationship Id="rId56" Type="http://schemas.openxmlformats.org/officeDocument/2006/relationships/hyperlink" Target="https://doi.org/10.1016/j.lana.2025.101195" TargetMode="External"/><Relationship Id="rId77" Type="http://schemas.openxmlformats.org/officeDocument/2006/relationships/hyperlink" Target="https://pubmed.ncbi.nlm.nih.gov/36307622/" TargetMode="External"/><Relationship Id="rId100" Type="http://schemas.openxmlformats.org/officeDocument/2006/relationships/hyperlink" Target="https://doi.org/10.15585/mmwr.mm6813a2" TargetMode="External"/><Relationship Id="rId105" Type="http://schemas.openxmlformats.org/officeDocument/2006/relationships/hyperlink" Target="https://doi.org/10.1016/j.rmed.2013.08.044" TargetMode="External"/><Relationship Id="rId8" Type="http://schemas.openxmlformats.org/officeDocument/2006/relationships/webSettings" Target="webSettings.xml"/><Relationship Id="rId51" Type="http://schemas.openxmlformats.org/officeDocument/2006/relationships/hyperlink" Target="https://doi.org/10.1136/bmjresp-2017-000186" TargetMode="External"/><Relationship Id="rId72" Type="http://schemas.openxmlformats.org/officeDocument/2006/relationships/hyperlink" Target="https://doi.org/10.1186/s12931-017-0548-3" TargetMode="External"/><Relationship Id="rId93" Type="http://schemas.openxmlformats.org/officeDocument/2006/relationships/hyperlink" Target="https://doi.org/10.1002/14651858.CD002990.pub4" TargetMode="External"/><Relationship Id="rId98" Type="http://schemas.openxmlformats.org/officeDocument/2006/relationships/hyperlink" Target="https://pubmed.ncbi.nlm.nih.gov/31958438/" TargetMode="External"/><Relationship Id="rId3" Type="http://schemas.openxmlformats.org/officeDocument/2006/relationships/customXml" Target="../customXml/item3.xml"/><Relationship Id="rId25" Type="http://schemas.openxmlformats.org/officeDocument/2006/relationships/hyperlink" Target="https://doi.org/10.1164/rccm.202302-0310ST" TargetMode="External"/><Relationship Id="rId46" Type="http://schemas.openxmlformats.org/officeDocument/2006/relationships/hyperlink" Target="https://doi.org/10.1164/rccm.201804-0621CI" TargetMode="External"/><Relationship Id="rId67" Type="http://schemas.openxmlformats.org/officeDocument/2006/relationships/hyperlink" Target="https://doi.org/10.1016/S0140-6736(07)61380-4" TargetMode="External"/><Relationship Id="rId116" Type="http://schemas.openxmlformats.org/officeDocument/2006/relationships/footer" Target="footer1.xml"/><Relationship Id="rId20" Type="http://schemas.openxmlformats.org/officeDocument/2006/relationships/hyperlink" Target="https://doi.org/10.1056/NEJMra1900475" TargetMode="External"/><Relationship Id="rId41" Type="http://schemas.openxmlformats.org/officeDocument/2006/relationships/hyperlink" Target="https://pubmed.ncbi.nlm.nih.gov/23619732/" TargetMode="External"/><Relationship Id="rId62" Type="http://schemas.openxmlformats.org/officeDocument/2006/relationships/hyperlink" Target="https://training.cochrane.org/handbook" TargetMode="External"/><Relationship Id="rId83" Type="http://schemas.openxmlformats.org/officeDocument/2006/relationships/hyperlink" Target="https://doi.org/10.1002/14651858.CD005305.pub4" TargetMode="External"/><Relationship Id="rId88" Type="http://schemas.openxmlformats.org/officeDocument/2006/relationships/hyperlink" Target="https://doi.org/10.3109/15412550903499522" TargetMode="External"/><Relationship Id="rId111" Type="http://schemas.openxmlformats.org/officeDocument/2006/relationships/hyperlink" Target="https://pmc.ncbi.nlm.nih.gov/articles/PMC3863357/" TargetMode="External"/><Relationship Id="rId15" Type="http://schemas.openxmlformats.org/officeDocument/2006/relationships/image" Target="media/image3.png"/><Relationship Id="rId36" Type="http://schemas.openxmlformats.org/officeDocument/2006/relationships/hyperlink" Target="https://doi.org/10.1111/j.1749-6632.2009.05333.x" TargetMode="External"/><Relationship Id="rId57" Type="http://schemas.openxmlformats.org/officeDocument/2006/relationships/hyperlink" Target="https://doi.org/10.2190/HS.44.4.b" TargetMode="External"/><Relationship Id="rId106" Type="http://schemas.openxmlformats.org/officeDocument/2006/relationships/hyperlink" Target="https://pubmed.ncbi.nlm.nih.gov/22878278/"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d1778d-a818-455a-8cd4-46a2d86b45f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F7A81DB2712C44963F24CDB781C727" ma:contentTypeVersion="5" ma:contentTypeDescription="Create a new document." ma:contentTypeScope="" ma:versionID="910e988c37c673bbfd25dc1630907cb0">
  <xsd:schema xmlns:xsd="http://www.w3.org/2001/XMLSchema" xmlns:xs="http://www.w3.org/2001/XMLSchema" xmlns:p="http://schemas.microsoft.com/office/2006/metadata/properties" xmlns:ns3="c1d1778d-a818-455a-8cd4-46a2d86b45f1" targetNamespace="http://schemas.microsoft.com/office/2006/metadata/properties" ma:root="true" ma:fieldsID="85922ad1d0f929c5acfd8be05bb321e2" ns3:_="">
    <xsd:import namespace="c1d1778d-a818-455a-8cd4-46a2d86b45f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1778d-a818-455a-8cd4-46a2d86b45f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E5239-B22D-4954-A91D-FEA7A039449B}">
  <ds:schemaRefs>
    <ds:schemaRef ds:uri="http://schemas.microsoft.com/office/2006/metadata/properties"/>
    <ds:schemaRef ds:uri="http://schemas.microsoft.com/office/infopath/2007/PartnerControls"/>
    <ds:schemaRef ds:uri="c1d1778d-a818-455a-8cd4-46a2d86b45f1"/>
  </ds:schemaRefs>
</ds:datastoreItem>
</file>

<file path=customXml/itemProps2.xml><?xml version="1.0" encoding="utf-8"?>
<ds:datastoreItem xmlns:ds="http://schemas.openxmlformats.org/officeDocument/2006/customXml" ds:itemID="{317ADDF8-F09E-4E7D-A202-59326EF58E27}">
  <ds:schemaRefs>
    <ds:schemaRef ds:uri="http://schemas.microsoft.com/sharepoint/v3/contenttype/forms"/>
  </ds:schemaRefs>
</ds:datastoreItem>
</file>

<file path=customXml/itemProps3.xml><?xml version="1.0" encoding="utf-8"?>
<ds:datastoreItem xmlns:ds="http://schemas.openxmlformats.org/officeDocument/2006/customXml" ds:itemID="{242E3552-9AA6-4F15-B783-5E01035C2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1778d-a818-455a-8cd4-46a2d86b4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5E09D4-775F-4DC4-91E5-D209DD3AB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TotalTime>
  <Pages>60</Pages>
  <Words>22171</Words>
  <Characters>144556</Characters>
  <Application>Microsoft Office Word</Application>
  <DocSecurity>0</DocSecurity>
  <Lines>6023</Lines>
  <Paragraphs>3206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suresh varsani</cp:lastModifiedBy>
  <cp:revision>211</cp:revision>
  <cp:lastPrinted>2023-09-21T02:18:00Z</cp:lastPrinted>
  <dcterms:created xsi:type="dcterms:W3CDTF">2026-02-11T13:01:00Z</dcterms:created>
  <dcterms:modified xsi:type="dcterms:W3CDTF">2026-05-28T11:42:00Z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0x0101007AF7A81DB2712C44963F24CDB781C727</vt:lpwstr>
  </property>
</Properties>
</file>