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DB8057" w14:textId="6FC36E86" w:rsidR="005E13C2" w:rsidRDefault="005E13C2" w:rsidP="005E13C2">
      <w:pPr>
        <w:pStyle w:val="NormalWeb"/>
        <w:spacing w:line="360" w:lineRule="auto"/>
        <w:jc w:val="center"/>
        <w:rPr>
          <w:color w:val="000000"/>
        </w:rPr>
      </w:pPr>
      <w:r w:rsidRPr="005E13C2">
        <w:rPr>
          <w:color w:val="000000"/>
        </w:rPr>
        <w:t>Project Management</w:t>
      </w:r>
    </w:p>
    <w:p w14:paraId="3CACB41C" w14:textId="765809D1" w:rsidR="005E13C2" w:rsidRDefault="005E13C2" w:rsidP="005E13C2">
      <w:pPr>
        <w:pStyle w:val="Heading1"/>
        <w:spacing w:before="0" w:after="0"/>
        <w:jc w:val="center"/>
        <w:rPr>
          <w:rFonts w:ascii="Segoe UI" w:hAnsi="Segoe UI" w:cs="Segoe UI"/>
          <w:color w:val="1D2125"/>
        </w:rPr>
      </w:pPr>
      <w:r>
        <w:rPr>
          <w:rFonts w:ascii="Segoe UI" w:hAnsi="Segoe UI" w:cs="Segoe UI"/>
          <w:color w:val="1D2125"/>
        </w:rPr>
        <w:t>Project Portfolio</w:t>
      </w:r>
    </w:p>
    <w:p w14:paraId="24F7AE7D" w14:textId="77777777" w:rsidR="005E13C2" w:rsidRDefault="005E13C2" w:rsidP="005E13C2">
      <w:pPr>
        <w:pStyle w:val="NormalWeb"/>
        <w:spacing w:line="360" w:lineRule="auto"/>
        <w:jc w:val="center"/>
        <w:rPr>
          <w:color w:val="000000"/>
        </w:rPr>
      </w:pPr>
    </w:p>
    <w:p w14:paraId="3B24BD89" w14:textId="3A2FE858" w:rsidR="005E13C2" w:rsidRDefault="005E13C2" w:rsidP="005E13C2">
      <w:pPr>
        <w:pStyle w:val="NormalWeb"/>
        <w:spacing w:line="360" w:lineRule="auto"/>
        <w:jc w:val="center"/>
        <w:rPr>
          <w:color w:val="000000"/>
        </w:rPr>
      </w:pPr>
      <w:r>
        <w:rPr>
          <w:color w:val="000000"/>
        </w:rPr>
        <w:t>FLORIN LEFTER</w:t>
      </w:r>
    </w:p>
    <w:p w14:paraId="40182CAD" w14:textId="77777777" w:rsidR="005E13C2" w:rsidRDefault="005E13C2" w:rsidP="005E13C2">
      <w:pPr>
        <w:pStyle w:val="NormalWeb"/>
        <w:spacing w:line="360" w:lineRule="auto"/>
        <w:rPr>
          <w:color w:val="000000"/>
        </w:rPr>
      </w:pPr>
    </w:p>
    <w:p w14:paraId="37CA3A9D" w14:textId="77777777" w:rsidR="005E13C2" w:rsidRDefault="005E13C2" w:rsidP="005E13C2">
      <w:pPr>
        <w:pStyle w:val="NormalWeb"/>
        <w:spacing w:line="360" w:lineRule="auto"/>
        <w:rPr>
          <w:color w:val="000000"/>
        </w:rPr>
      </w:pPr>
    </w:p>
    <w:p w14:paraId="3B143184" w14:textId="77777777" w:rsidR="005E13C2" w:rsidRDefault="005E13C2" w:rsidP="005E13C2">
      <w:pPr>
        <w:pStyle w:val="NormalWeb"/>
        <w:spacing w:line="360" w:lineRule="auto"/>
        <w:rPr>
          <w:color w:val="000000"/>
        </w:rPr>
      </w:pPr>
    </w:p>
    <w:p w14:paraId="299120CC" w14:textId="77777777" w:rsidR="005E13C2" w:rsidRDefault="005E13C2" w:rsidP="005E13C2">
      <w:pPr>
        <w:pStyle w:val="NormalWeb"/>
        <w:spacing w:line="360" w:lineRule="auto"/>
        <w:rPr>
          <w:color w:val="000000"/>
        </w:rPr>
      </w:pPr>
    </w:p>
    <w:p w14:paraId="10A81AC4" w14:textId="77777777" w:rsidR="005E13C2" w:rsidRDefault="005E13C2" w:rsidP="005E13C2">
      <w:pPr>
        <w:pStyle w:val="NormalWeb"/>
        <w:spacing w:line="360" w:lineRule="auto"/>
        <w:rPr>
          <w:color w:val="000000"/>
        </w:rPr>
      </w:pPr>
    </w:p>
    <w:p w14:paraId="4FAB3D77" w14:textId="77777777" w:rsidR="005E13C2" w:rsidRDefault="005E13C2" w:rsidP="005E13C2">
      <w:pPr>
        <w:pStyle w:val="NormalWeb"/>
        <w:spacing w:line="360" w:lineRule="auto"/>
        <w:rPr>
          <w:color w:val="000000"/>
        </w:rPr>
      </w:pPr>
    </w:p>
    <w:p w14:paraId="00E72DFD" w14:textId="77777777" w:rsidR="005E13C2" w:rsidRDefault="005E13C2" w:rsidP="005E13C2">
      <w:pPr>
        <w:pStyle w:val="NormalWeb"/>
        <w:spacing w:line="360" w:lineRule="auto"/>
        <w:rPr>
          <w:color w:val="000000"/>
        </w:rPr>
      </w:pPr>
    </w:p>
    <w:p w14:paraId="7584FA41" w14:textId="77777777" w:rsidR="005E13C2" w:rsidRDefault="005E13C2" w:rsidP="005E13C2">
      <w:pPr>
        <w:pStyle w:val="NormalWeb"/>
        <w:spacing w:line="360" w:lineRule="auto"/>
        <w:rPr>
          <w:color w:val="000000"/>
        </w:rPr>
      </w:pPr>
    </w:p>
    <w:p w14:paraId="4982C197" w14:textId="77777777" w:rsidR="005E13C2" w:rsidRDefault="005E13C2" w:rsidP="005E13C2">
      <w:pPr>
        <w:pStyle w:val="NormalWeb"/>
        <w:spacing w:line="360" w:lineRule="auto"/>
        <w:rPr>
          <w:color w:val="000000"/>
        </w:rPr>
      </w:pPr>
    </w:p>
    <w:p w14:paraId="7AFCB172" w14:textId="77777777" w:rsidR="005E13C2" w:rsidRDefault="005E13C2" w:rsidP="005E13C2">
      <w:pPr>
        <w:pStyle w:val="NormalWeb"/>
        <w:spacing w:line="360" w:lineRule="auto"/>
        <w:rPr>
          <w:color w:val="000000"/>
        </w:rPr>
      </w:pPr>
    </w:p>
    <w:p w14:paraId="17055E73" w14:textId="77777777" w:rsidR="005E13C2" w:rsidRDefault="005E13C2" w:rsidP="005E13C2">
      <w:pPr>
        <w:pStyle w:val="NormalWeb"/>
        <w:spacing w:line="360" w:lineRule="auto"/>
        <w:rPr>
          <w:color w:val="000000"/>
        </w:rPr>
      </w:pPr>
    </w:p>
    <w:p w14:paraId="123E0E17" w14:textId="77777777" w:rsidR="005E13C2" w:rsidRDefault="005E13C2" w:rsidP="005E13C2">
      <w:pPr>
        <w:pStyle w:val="NormalWeb"/>
        <w:spacing w:line="360" w:lineRule="auto"/>
        <w:rPr>
          <w:color w:val="000000"/>
        </w:rPr>
      </w:pPr>
    </w:p>
    <w:p w14:paraId="6B85C150" w14:textId="77777777" w:rsidR="005E13C2" w:rsidRDefault="005E13C2" w:rsidP="005E13C2">
      <w:pPr>
        <w:pStyle w:val="NormalWeb"/>
        <w:spacing w:line="360" w:lineRule="auto"/>
        <w:rPr>
          <w:color w:val="000000"/>
        </w:rPr>
      </w:pPr>
    </w:p>
    <w:p w14:paraId="5709A0E0" w14:textId="77777777" w:rsidR="005E13C2" w:rsidRDefault="005E13C2" w:rsidP="005E13C2">
      <w:pPr>
        <w:pStyle w:val="NormalWeb"/>
        <w:spacing w:line="360" w:lineRule="auto"/>
        <w:rPr>
          <w:color w:val="000000"/>
        </w:rPr>
      </w:pPr>
    </w:p>
    <w:p w14:paraId="247DE811" w14:textId="58D74F4A" w:rsidR="005E13C2" w:rsidRDefault="005E13C2" w:rsidP="005E13C2">
      <w:pPr>
        <w:pStyle w:val="NormalWeb"/>
        <w:spacing w:line="360" w:lineRule="auto"/>
        <w:rPr>
          <w:color w:val="000000"/>
        </w:rPr>
      </w:pPr>
      <w:r>
        <w:rPr>
          <w:noProof/>
          <w:color w:val="000000"/>
        </w:rPr>
        <w:lastRenderedPageBreak/>
        <w:drawing>
          <wp:inline distT="0" distB="0" distL="0" distR="0" wp14:anchorId="31BB5FCC" wp14:editId="05561D1E">
            <wp:extent cx="5731510" cy="3722370"/>
            <wp:effectExtent l="0" t="0" r="0" b="0"/>
            <wp:docPr id="45508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089189" name="Picture 45508918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38064D82" w14:textId="63B7FD51" w:rsidR="005E13C2" w:rsidRDefault="005E13C2" w:rsidP="005E13C2">
      <w:pPr>
        <w:pStyle w:val="NormalWeb"/>
        <w:spacing w:line="360" w:lineRule="auto"/>
        <w:rPr>
          <w:rStyle w:val="apple-converted-space"/>
          <w:rFonts w:eastAsiaTheme="majorEastAsia"/>
          <w:color w:val="000000"/>
        </w:rPr>
      </w:pPr>
      <w:r>
        <w:rPr>
          <w:color w:val="000000"/>
        </w:rPr>
        <w:t>Part B – Reflection on Tutor Feedback</w:t>
      </w:r>
      <w:r>
        <w:rPr>
          <w:rStyle w:val="apple-converted-space"/>
          <w:rFonts w:eastAsiaTheme="majorEastAsia"/>
          <w:color w:val="000000"/>
        </w:rPr>
        <w:t> </w:t>
      </w:r>
    </w:p>
    <w:p w14:paraId="64D84140" w14:textId="77777777" w:rsidR="005E13C2" w:rsidRDefault="005E13C2" w:rsidP="005E13C2">
      <w:pPr>
        <w:pStyle w:val="NormalWeb"/>
        <w:spacing w:line="360" w:lineRule="auto"/>
        <w:rPr>
          <w:color w:val="000000"/>
        </w:rPr>
      </w:pPr>
      <w:r>
        <w:rPr>
          <w:color w:val="000000"/>
        </w:rPr>
        <w:br/>
        <w:t>My tutor, Dr Kareem Sani provided me with very positive and supportive feedback. His comments stated that my poster was successful in meeting all aspects of the Assessment Requirements (AR) for the Redevelopment of Central Transport Hub Project.</w:t>
      </w:r>
    </w:p>
    <w:p w14:paraId="574C29F6" w14:textId="77777777" w:rsidR="005E13C2" w:rsidRDefault="005E13C2" w:rsidP="005E13C2">
      <w:pPr>
        <w:pStyle w:val="NormalWeb"/>
        <w:spacing w:line="360" w:lineRule="auto"/>
        <w:rPr>
          <w:color w:val="000000"/>
        </w:rPr>
      </w:pPr>
      <w:r>
        <w:rPr>
          <w:color w:val="000000"/>
        </w:rPr>
        <w:t>Strengths</w:t>
      </w:r>
      <w:r>
        <w:rPr>
          <w:color w:val="000000"/>
        </w:rPr>
        <w:br/>
        <w:t>Dr Sani’s comments showed that my poster displayed a complete understanding of the project. He said that there was a clear and strong project rationale, SMART Objectives, a well-defined scope and an excellent stakeholder analysis. Therefore, he believes that I successfully translated a broad project description into clear and measurable goals. Additionally, he stated that I had effectively communicated why the redevelopment needed to happen, and how it would benefit stakeholders.</w:t>
      </w:r>
    </w:p>
    <w:p w14:paraId="1FF2A9EC" w14:textId="77777777" w:rsidR="005E13C2" w:rsidRDefault="005E13C2" w:rsidP="005E13C2">
      <w:pPr>
        <w:pStyle w:val="NormalWeb"/>
        <w:spacing w:line="360" w:lineRule="auto"/>
        <w:rPr>
          <w:color w:val="000000"/>
        </w:rPr>
      </w:pPr>
      <w:r>
        <w:rPr>
          <w:color w:val="000000"/>
        </w:rPr>
        <w:t xml:space="preserve">One area where Dr Sani believed I was able to apply my knowledge of project management concepts included using Stakeholder Mapping, Hybrid Methodology, Risk Management, Development of a Project Timeline and Budget Allocation. He also commented positively regarding the supporting visuals and said that they added value to the academic and </w:t>
      </w:r>
      <w:r>
        <w:rPr>
          <w:color w:val="000000"/>
        </w:rPr>
        <w:lastRenderedPageBreak/>
        <w:t xml:space="preserve">professional references used. He states that I successfully applied theoretical project management concepts to practical, </w:t>
      </w:r>
      <w:proofErr w:type="gramStart"/>
      <w:r>
        <w:rPr>
          <w:color w:val="000000"/>
        </w:rPr>
        <w:t>real world</w:t>
      </w:r>
      <w:proofErr w:type="gramEnd"/>
      <w:r>
        <w:rPr>
          <w:color w:val="000000"/>
        </w:rPr>
        <w:t xml:space="preserve"> applications. By grounding these tools in credible sources of literature, I increased the academic rigor of the report. Therefore, my decisions were based upon evidence rather than being random or un-influenced by previous studies.</w:t>
      </w:r>
    </w:p>
    <w:p w14:paraId="3B6D7742" w14:textId="77777777" w:rsidR="005E13C2" w:rsidRDefault="005E13C2" w:rsidP="005E13C2">
      <w:pPr>
        <w:pStyle w:val="NormalWeb"/>
        <w:spacing w:line="360" w:lineRule="auto"/>
        <w:rPr>
          <w:color w:val="000000"/>
        </w:rPr>
      </w:pPr>
      <w:r>
        <w:rPr>
          <w:color w:val="000000"/>
        </w:rPr>
        <w:t>Weaknesses/Recommendations for Development</w:t>
      </w:r>
      <w:r>
        <w:rPr>
          <w:color w:val="000000"/>
        </w:rPr>
        <w:br/>
        <w:t xml:space="preserve">Although </w:t>
      </w:r>
      <w:proofErr w:type="gramStart"/>
      <w:r>
        <w:rPr>
          <w:color w:val="000000"/>
        </w:rPr>
        <w:t>the majority of</w:t>
      </w:r>
      <w:proofErr w:type="gramEnd"/>
      <w:r>
        <w:rPr>
          <w:color w:val="000000"/>
        </w:rPr>
        <w:t xml:space="preserve"> his comments were positive, Dr Sani did identify two areas that required further improvement. Firstly, he suggested that certain areas of my poster could be improved to increase its readability. Specifically, he believed that some parts of my poster could be better organized to enhance visibility, as some parts of the poster were too wordy due to limitations in both visual and space availability. Although my poster contained all necessary information relative to the project, this comment implies that although I may have been too focused on providing a wide range of details relative to each topic, I possibly placed less emphasis on ensuring clarity and visually appealing presentation to stakeholders who will need to rapidly understand the material presented.</w:t>
      </w:r>
      <w:r>
        <w:rPr>
          <w:color w:val="000000"/>
        </w:rPr>
        <w:br/>
        <w:t>Secondly, Dr Sani believed that I should expand my coverage of trade-off discussions so that I can develop a deeper critical analysis of key project decisions. Trade-offs are one of the core challenges faced in managing projects. As such, developing a critical analysis of the trade-offs involved in making key decisions demonstrates more advanced analytical thinking skills.</w:t>
      </w:r>
    </w:p>
    <w:p w14:paraId="7185057A" w14:textId="77777777" w:rsidR="005E13C2" w:rsidRDefault="005E13C2" w:rsidP="005E13C2">
      <w:pPr>
        <w:pStyle w:val="NormalWeb"/>
        <w:spacing w:line="360" w:lineRule="auto"/>
        <w:rPr>
          <w:color w:val="000000"/>
        </w:rPr>
      </w:pPr>
      <w:r>
        <w:rPr>
          <w:color w:val="000000"/>
        </w:rPr>
        <w:t>Impact of the Feedback on My Final Project Plan</w:t>
      </w:r>
      <w:r>
        <w:rPr>
          <w:color w:val="000000"/>
        </w:rPr>
        <w:br/>
        <w:t xml:space="preserve">As a result of the suggestions made by Dr Sani, I revised my final project management plan. With respect to conciseness, I rewrote many sections of my plan into shorter narratives. When possible, I replaced lengthy explanations with visual aids including Gantt Charts, RACI Matrices and Risk Registers so that readers could obtain information as quickly as possible. Where lengthy written descriptions were </w:t>
      </w:r>
      <w:proofErr w:type="gramStart"/>
      <w:r>
        <w:rPr>
          <w:color w:val="000000"/>
        </w:rPr>
        <w:t>absolutely necessary</w:t>
      </w:r>
      <w:proofErr w:type="gramEnd"/>
      <w:r>
        <w:rPr>
          <w:color w:val="000000"/>
        </w:rPr>
        <w:t>, I limited them to those areas that truly required additional documentation.</w:t>
      </w:r>
      <w:r>
        <w:rPr>
          <w:color w:val="000000"/>
        </w:rPr>
        <w:br/>
      </w:r>
      <w:proofErr w:type="gramStart"/>
      <w:r>
        <w:rPr>
          <w:color w:val="000000"/>
        </w:rPr>
        <w:t>With regard to</w:t>
      </w:r>
      <w:proofErr w:type="gramEnd"/>
      <w:r>
        <w:rPr>
          <w:color w:val="000000"/>
        </w:rPr>
        <w:t xml:space="preserve"> improving the depth of my analysis of trade-off decisions, I developed new paragraphs in which I examined the consequences of selecting one alternative method over another. For example, I discussed what the selection of a hybrid methodology has </w:t>
      </w:r>
      <w:proofErr w:type="gramStart"/>
      <w:r>
        <w:rPr>
          <w:color w:val="000000"/>
        </w:rPr>
        <w:t>as a consequence</w:t>
      </w:r>
      <w:proofErr w:type="gramEnd"/>
      <w:r>
        <w:rPr>
          <w:color w:val="000000"/>
        </w:rPr>
        <w:t xml:space="preserve"> compared to either a predictive or completely agile methodology. I also </w:t>
      </w:r>
      <w:proofErr w:type="spellStart"/>
      <w:r>
        <w:rPr>
          <w:color w:val="000000"/>
        </w:rPr>
        <w:t>analyzed</w:t>
      </w:r>
      <w:proofErr w:type="spellEnd"/>
      <w:r>
        <w:rPr>
          <w:color w:val="000000"/>
        </w:rPr>
        <w:t xml:space="preserve"> the costs associated with focusing time and money resources on stakeholder </w:t>
      </w:r>
      <w:r>
        <w:rPr>
          <w:color w:val="000000"/>
        </w:rPr>
        <w:lastRenderedPageBreak/>
        <w:t>engagement activities as opposed to other uses. Finally, I reviewed my risk management plan to ensure that I not only listed potential risks but also explained why I chose one mitigation strategy over others.</w:t>
      </w:r>
    </w:p>
    <w:p w14:paraId="173005BF" w14:textId="77777777" w:rsidR="005E13C2" w:rsidRDefault="005E13C2" w:rsidP="005E13C2"/>
    <w:p w14:paraId="3E3F260C" w14:textId="77777777" w:rsidR="00210538" w:rsidRDefault="00210538">
      <w:pPr>
        <w:spacing w:after="2000"/>
      </w:pPr>
    </w:p>
    <w:p w14:paraId="6AA07A9A" w14:textId="77777777" w:rsidR="005E13C2" w:rsidRDefault="005E13C2" w:rsidP="00BD3860">
      <w:pPr>
        <w:spacing w:after="400"/>
        <w:jc w:val="center"/>
        <w:rPr>
          <w:b/>
          <w:bCs/>
          <w:sz w:val="44"/>
          <w:szCs w:val="44"/>
        </w:rPr>
      </w:pPr>
    </w:p>
    <w:p w14:paraId="17A3642B" w14:textId="6013974E" w:rsidR="00210538" w:rsidRDefault="00000000" w:rsidP="00BD3860">
      <w:pPr>
        <w:spacing w:after="400"/>
        <w:jc w:val="center"/>
      </w:pPr>
      <w:r>
        <w:rPr>
          <w:b/>
          <w:bCs/>
          <w:sz w:val="44"/>
          <w:szCs w:val="44"/>
        </w:rPr>
        <w:t>PROJECT MANAGEMENT PLAN</w:t>
      </w:r>
    </w:p>
    <w:p w14:paraId="724675DF" w14:textId="77777777" w:rsidR="00210538" w:rsidRDefault="00000000" w:rsidP="00BD3860">
      <w:pPr>
        <w:spacing w:after="200"/>
        <w:jc w:val="center"/>
      </w:pPr>
      <w:r>
        <w:rPr>
          <w:b/>
          <w:bCs/>
          <w:sz w:val="30"/>
          <w:szCs w:val="30"/>
        </w:rPr>
        <w:t>Implementation of a Cloud-Based Enterprise Resource Planning System</w:t>
      </w:r>
    </w:p>
    <w:p w14:paraId="1424EB51" w14:textId="77777777" w:rsidR="00210538" w:rsidRDefault="00000000" w:rsidP="00BD3860">
      <w:pPr>
        <w:spacing w:after="200"/>
        <w:jc w:val="center"/>
      </w:pPr>
      <w:r>
        <w:rPr>
          <w:b/>
          <w:bCs/>
          <w:sz w:val="30"/>
          <w:szCs w:val="30"/>
        </w:rPr>
        <w:t>at Meridian Fabrication Ltd</w:t>
      </w:r>
    </w:p>
    <w:p w14:paraId="67644D47" w14:textId="77777777" w:rsidR="00210538" w:rsidRDefault="00000000" w:rsidP="00BD3860">
      <w:pPr>
        <w:spacing w:after="1200"/>
        <w:jc w:val="center"/>
      </w:pPr>
      <w:r>
        <w:rPr>
          <w:i/>
          <w:iCs/>
          <w:sz w:val="26"/>
          <w:szCs w:val="26"/>
        </w:rPr>
        <w:t>Project Catalyst</w:t>
      </w:r>
    </w:p>
    <w:p w14:paraId="0DF5883E" w14:textId="77777777" w:rsidR="00210538" w:rsidRDefault="00000000" w:rsidP="00BD3860">
      <w:pPr>
        <w:spacing w:after="100"/>
        <w:jc w:val="center"/>
      </w:pPr>
      <w:r>
        <w:t>Prepared for: Executive Steering Committee, Meridian Fabrication Ltd</w:t>
      </w:r>
    </w:p>
    <w:p w14:paraId="1F787822" w14:textId="77777777" w:rsidR="00210538" w:rsidRDefault="00000000" w:rsidP="00BD3860">
      <w:pPr>
        <w:spacing w:after="100"/>
        <w:jc w:val="center"/>
      </w:pPr>
      <w:r>
        <w:t>Prepared by: Project Management Office</w:t>
      </w:r>
    </w:p>
    <w:p w14:paraId="6BA5805F" w14:textId="77777777" w:rsidR="00210538" w:rsidRDefault="00000000" w:rsidP="00BD3860">
      <w:pPr>
        <w:spacing w:after="100"/>
        <w:jc w:val="center"/>
      </w:pPr>
      <w:r>
        <w:t>Date: 25 July 2026</w:t>
      </w:r>
    </w:p>
    <w:p w14:paraId="335B0ABF" w14:textId="5CC83950" w:rsidR="00210538" w:rsidRDefault="00BD3860" w:rsidP="00BD3860">
      <w:pPr>
        <w:jc w:val="center"/>
      </w:pPr>
      <w:r>
        <w:rPr>
          <w:i/>
          <w:iCs/>
          <w:sz w:val="20"/>
          <w:szCs w:val="20"/>
        </w:rPr>
        <w:t>FLORIN LEFTER</w:t>
      </w:r>
    </w:p>
    <w:p w14:paraId="46B80BDE" w14:textId="77777777" w:rsidR="00210538" w:rsidRDefault="00210538">
      <w:pPr>
        <w:sectPr w:rsidR="00210538">
          <w:pgSz w:w="11906" w:h="16838"/>
          <w:pgMar w:top="1440" w:right="1440" w:bottom="1440" w:left="1440" w:header="708" w:footer="708" w:gutter="0"/>
          <w:cols w:space="720"/>
          <w:docGrid w:linePitch="360"/>
        </w:sectPr>
      </w:pPr>
    </w:p>
    <w:p w14:paraId="1DAC0C42" w14:textId="77777777" w:rsidR="00210538" w:rsidRDefault="00000000">
      <w:pPr>
        <w:pStyle w:val="Heading1"/>
        <w:spacing w:after="200"/>
      </w:pPr>
      <w:r>
        <w:lastRenderedPageBreak/>
        <w:t>Executive Summary</w:t>
      </w:r>
    </w:p>
    <w:p w14:paraId="2D386910" w14:textId="77777777" w:rsidR="00BD3860" w:rsidRDefault="00BD3860" w:rsidP="00BD3860">
      <w:pPr>
        <w:pStyle w:val="NormalWeb"/>
        <w:spacing w:line="360" w:lineRule="auto"/>
        <w:rPr>
          <w:color w:val="000000"/>
        </w:rPr>
      </w:pPr>
      <w:r>
        <w:rPr>
          <w:color w:val="000000"/>
        </w:rPr>
        <w:t>The Project Management Plan documents the management approach for Project Catalyst, a £2.1 million cloud-based Enterprise Resource Planning (ERP) Implementation project at Meridian Fabrication Ltd over a twelve-month period to replace three disparate site-specific legacy systems existing at the organisation's head office and within two of its manufacturing plants. The plan identifies the project scope, breaks down deliverables in a Work Breakdown Structure, schedules as a Gantt chart and defines stakeholder management, resource and risk management approaches consistent with established project management practice.</w:t>
      </w:r>
    </w:p>
    <w:p w14:paraId="68235092" w14:textId="77777777" w:rsidR="00BD3860" w:rsidRDefault="00BD3860" w:rsidP="00BD3860">
      <w:pPr>
        <w:pStyle w:val="NormalWeb"/>
        <w:spacing w:line="360" w:lineRule="auto"/>
        <w:rPr>
          <w:color w:val="000000"/>
        </w:rPr>
      </w:pPr>
      <w:r>
        <w:rPr>
          <w:color w:val="000000"/>
        </w:rPr>
        <w:t xml:space="preserve">A single-page quad chart is presented monthly to the Steering Committee for review of governance. Stakeholders are engaged proportionate to their power and interest in the project, resources are allocated against WBS work packages, fortnightly-reviewed risk register tracks principal risk (data-migration quality / user adoption). The plan enables Project Catalyst to provide a </w:t>
      </w:r>
      <w:proofErr w:type="gramStart"/>
      <w:r>
        <w:rPr>
          <w:color w:val="000000"/>
        </w:rPr>
        <w:t>step by step</w:t>
      </w:r>
      <w:proofErr w:type="gramEnd"/>
      <w:r>
        <w:rPr>
          <w:color w:val="000000"/>
        </w:rPr>
        <w:t xml:space="preserve"> finance, procurement, production and supply-chain platform within the specified cost, schedule and quality parameters.</w:t>
      </w:r>
    </w:p>
    <w:p w14:paraId="150A687C" w14:textId="77777777" w:rsidR="00210538" w:rsidRDefault="00000000">
      <w:r>
        <w:br w:type="page"/>
      </w:r>
    </w:p>
    <w:p w14:paraId="4B570DC0" w14:textId="77777777" w:rsidR="00210538" w:rsidRDefault="00210538">
      <w:pPr>
        <w:sectPr w:rsidR="00210538">
          <w:pgSz w:w="11906" w:h="16838"/>
          <w:pgMar w:top="1440" w:right="1440" w:bottom="1440" w:left="1440" w:header="708" w:footer="708" w:gutter="0"/>
          <w:cols w:space="720"/>
          <w:docGrid w:linePitch="360"/>
        </w:sectPr>
      </w:pPr>
    </w:p>
    <w:p w14:paraId="65B75B22" w14:textId="77777777" w:rsidR="00210538" w:rsidRDefault="00000000">
      <w:pPr>
        <w:pStyle w:val="Heading1"/>
        <w:spacing w:after="200"/>
      </w:pPr>
      <w:r>
        <w:lastRenderedPageBreak/>
        <w:t>Contents</w:t>
      </w:r>
    </w:p>
    <w:p w14:paraId="46302621" w14:textId="77777777" w:rsidR="00210538" w:rsidRDefault="00000000">
      <w:pPr>
        <w:spacing w:after="120" w:line="360" w:lineRule="auto"/>
      </w:pPr>
      <w:r>
        <w:t>1. Introduction</w:t>
      </w:r>
    </w:p>
    <w:p w14:paraId="4033A6B7" w14:textId="77777777" w:rsidR="00210538" w:rsidRDefault="00000000">
      <w:pPr>
        <w:spacing w:after="120" w:line="360" w:lineRule="auto"/>
      </w:pPr>
      <w:r>
        <w:t>2. Project Description</w:t>
      </w:r>
    </w:p>
    <w:p w14:paraId="188F9572" w14:textId="77777777" w:rsidR="00210538" w:rsidRDefault="00000000">
      <w:pPr>
        <w:spacing w:after="120" w:line="360" w:lineRule="auto"/>
      </w:pPr>
      <w:r>
        <w:t>3. Scope</w:t>
      </w:r>
    </w:p>
    <w:p w14:paraId="5764FD85" w14:textId="77777777" w:rsidR="00210538" w:rsidRDefault="00000000">
      <w:pPr>
        <w:spacing w:after="120" w:line="360" w:lineRule="auto"/>
      </w:pPr>
      <w:r>
        <w:t>4. Work Breakdown Structure (WBS)</w:t>
      </w:r>
    </w:p>
    <w:p w14:paraId="585EBF9E" w14:textId="77777777" w:rsidR="00210538" w:rsidRDefault="00000000">
      <w:pPr>
        <w:spacing w:after="120" w:line="360" w:lineRule="auto"/>
      </w:pPr>
      <w:r>
        <w:t>5. Quad Chart</w:t>
      </w:r>
    </w:p>
    <w:p w14:paraId="45E9E43E" w14:textId="77777777" w:rsidR="00210538" w:rsidRDefault="00000000">
      <w:pPr>
        <w:spacing w:after="120" w:line="360" w:lineRule="auto"/>
      </w:pPr>
      <w:r>
        <w:t>6. Gantt Chart</w:t>
      </w:r>
    </w:p>
    <w:p w14:paraId="38E6022E" w14:textId="77777777" w:rsidR="00210538" w:rsidRDefault="00000000">
      <w:pPr>
        <w:spacing w:after="120" w:line="360" w:lineRule="auto"/>
      </w:pPr>
      <w:r>
        <w:t>7. Stakeholders' Involvement</w:t>
      </w:r>
    </w:p>
    <w:p w14:paraId="6AEE6883" w14:textId="77777777" w:rsidR="00210538" w:rsidRDefault="00000000">
      <w:pPr>
        <w:spacing w:after="120" w:line="360" w:lineRule="auto"/>
      </w:pPr>
      <w:r>
        <w:t>8. Allocation of Resources</w:t>
      </w:r>
    </w:p>
    <w:p w14:paraId="572C6692" w14:textId="77777777" w:rsidR="00210538" w:rsidRDefault="00000000">
      <w:pPr>
        <w:spacing w:after="120" w:line="360" w:lineRule="auto"/>
      </w:pPr>
      <w:r>
        <w:t>9. Risk Analysis</w:t>
      </w:r>
    </w:p>
    <w:p w14:paraId="5D67C7FA" w14:textId="77777777" w:rsidR="00210538" w:rsidRDefault="00000000">
      <w:pPr>
        <w:spacing w:after="120" w:line="360" w:lineRule="auto"/>
      </w:pPr>
      <w:r>
        <w:t>10. Conclusion</w:t>
      </w:r>
    </w:p>
    <w:p w14:paraId="716FB2F6" w14:textId="77777777" w:rsidR="00210538" w:rsidRDefault="00000000">
      <w:pPr>
        <w:spacing w:after="120" w:line="360" w:lineRule="auto"/>
      </w:pPr>
      <w:r>
        <w:t>References</w:t>
      </w:r>
    </w:p>
    <w:p w14:paraId="65316BD8" w14:textId="77777777" w:rsidR="00210538" w:rsidRDefault="00000000">
      <w:pPr>
        <w:spacing w:before="300" w:after="120" w:line="360" w:lineRule="auto"/>
      </w:pPr>
      <w:r>
        <w:rPr>
          <w:b/>
          <w:bCs/>
        </w:rPr>
        <w:t>List of Tables</w:t>
      </w:r>
    </w:p>
    <w:p w14:paraId="34032DA3" w14:textId="77777777" w:rsidR="00210538" w:rsidRDefault="00000000">
      <w:pPr>
        <w:spacing w:after="80" w:line="360" w:lineRule="auto"/>
      </w:pPr>
      <w:r>
        <w:t>Table 1: Work Breakdown Structure (WBS) for Project Catalyst</w:t>
      </w:r>
    </w:p>
    <w:p w14:paraId="78FA9CD4" w14:textId="77777777" w:rsidR="00210538" w:rsidRDefault="00000000">
      <w:pPr>
        <w:spacing w:after="80" w:line="360" w:lineRule="auto"/>
      </w:pPr>
      <w:r>
        <w:t>Table 2: Stakeholder Power-Interest Analysis</w:t>
      </w:r>
    </w:p>
    <w:p w14:paraId="415F7052" w14:textId="77777777" w:rsidR="00210538" w:rsidRDefault="00000000">
      <w:pPr>
        <w:spacing w:after="80" w:line="360" w:lineRule="auto"/>
      </w:pPr>
      <w:r>
        <w:t>Table 3: Resource Allocation Summary</w:t>
      </w:r>
    </w:p>
    <w:p w14:paraId="0564C4A5" w14:textId="77777777" w:rsidR="00210538" w:rsidRDefault="00000000">
      <w:pPr>
        <w:spacing w:after="80" w:line="360" w:lineRule="auto"/>
      </w:pPr>
      <w:r>
        <w:t>Table 4: Project Risk Register</w:t>
      </w:r>
    </w:p>
    <w:p w14:paraId="05D8B307" w14:textId="77777777" w:rsidR="00210538" w:rsidRDefault="00000000">
      <w:pPr>
        <w:spacing w:before="300" w:after="120" w:line="360" w:lineRule="auto"/>
      </w:pPr>
      <w:r>
        <w:rPr>
          <w:b/>
          <w:bCs/>
        </w:rPr>
        <w:t>List of Figures</w:t>
      </w:r>
    </w:p>
    <w:p w14:paraId="6558D926" w14:textId="77777777" w:rsidR="00210538" w:rsidRDefault="00000000">
      <w:pPr>
        <w:spacing w:after="80" w:line="360" w:lineRule="auto"/>
      </w:pPr>
      <w:r>
        <w:t>Figure 1: Project Catalyst Quad Chart</w:t>
      </w:r>
    </w:p>
    <w:p w14:paraId="1C8F7D32" w14:textId="77777777" w:rsidR="00210538" w:rsidRDefault="00000000">
      <w:pPr>
        <w:spacing w:after="80" w:line="360" w:lineRule="auto"/>
      </w:pPr>
      <w:r>
        <w:t>Figure 2: Project Catalyst Gantt Chart</w:t>
      </w:r>
    </w:p>
    <w:p w14:paraId="47C29A57" w14:textId="77777777" w:rsidR="00210538" w:rsidRDefault="00000000">
      <w:r>
        <w:br w:type="page"/>
      </w:r>
    </w:p>
    <w:p w14:paraId="0FA7D7C5" w14:textId="77777777" w:rsidR="00210538" w:rsidRDefault="00210538">
      <w:pPr>
        <w:sectPr w:rsidR="00210538">
          <w:pgSz w:w="11906" w:h="16838"/>
          <w:pgMar w:top="1440" w:right="1440" w:bottom="1440" w:left="1440" w:header="708" w:footer="708" w:gutter="0"/>
          <w:cols w:space="720"/>
          <w:docGrid w:linePitch="360"/>
        </w:sectPr>
      </w:pPr>
    </w:p>
    <w:p w14:paraId="350D6414" w14:textId="77777777" w:rsidR="00210538" w:rsidRDefault="00000000">
      <w:pPr>
        <w:pStyle w:val="Heading1"/>
      </w:pPr>
      <w:r>
        <w:lastRenderedPageBreak/>
        <w:t>1. Introduction</w:t>
      </w:r>
    </w:p>
    <w:p w14:paraId="004FC47A" w14:textId="77777777" w:rsidR="00BD3860" w:rsidRDefault="00BD3860" w:rsidP="00BD3860">
      <w:pPr>
        <w:pStyle w:val="NormalWeb"/>
        <w:spacing w:line="360" w:lineRule="auto"/>
        <w:rPr>
          <w:color w:val="000000"/>
        </w:rPr>
      </w:pPr>
      <w:r>
        <w:rPr>
          <w:color w:val="000000"/>
        </w:rPr>
        <w:t>You are getting the attention that customers want a new generation of manufacturing organisation rely on integrated digital infrastructure to meet rising expectations amongst consumers for shorter lead times, greater visibility across production and closer control over costs. Meridian Fabrication Ltd, a mid-sized manufacturer of precision metal components serving the automotive and aerospace sectors, has siloed finance, inventory and production-planning systems based at its head office and two manufacturing plants. It leads to data duplication during entry, slow management insights and little in the way of real-time visibility on stock and capacity.</w:t>
      </w:r>
    </w:p>
    <w:p w14:paraId="0F31265C" w14:textId="77777777" w:rsidR="00BD3860" w:rsidRDefault="00BD3860" w:rsidP="00BD3860">
      <w:pPr>
        <w:pStyle w:val="NormalWeb"/>
        <w:spacing w:line="360" w:lineRule="auto"/>
        <w:rPr>
          <w:color w:val="000000"/>
        </w:rPr>
      </w:pPr>
      <w:r>
        <w:rPr>
          <w:color w:val="000000"/>
        </w:rPr>
        <w:t>The Project Management Plan (PMP) provided herein defines the approach for Project Catalyst, an implementation of a cloud-</w:t>
      </w:r>
      <w:proofErr w:type="spellStart"/>
      <w:proofErr w:type="gramStart"/>
      <w:r>
        <w:rPr>
          <w:color w:val="000000"/>
        </w:rPr>
        <w:t>based,Enterprise</w:t>
      </w:r>
      <w:proofErr w:type="spellEnd"/>
      <w:proofErr w:type="gramEnd"/>
      <w:r>
        <w:rPr>
          <w:color w:val="000000"/>
        </w:rPr>
        <w:t xml:space="preserve"> Resource Planning (ERP) system that integrates finance, </w:t>
      </w:r>
      <w:proofErr w:type="spellStart"/>
      <w:proofErr w:type="gramStart"/>
      <w:r>
        <w:rPr>
          <w:color w:val="000000"/>
        </w:rPr>
        <w:t>procurement,production</w:t>
      </w:r>
      <w:proofErr w:type="spellEnd"/>
      <w:proofErr w:type="gramEnd"/>
      <w:r>
        <w:rPr>
          <w:color w:val="000000"/>
        </w:rPr>
        <w:t xml:space="preserve"> and </w:t>
      </w:r>
      <w:proofErr w:type="spellStart"/>
      <w:r>
        <w:rPr>
          <w:color w:val="000000"/>
        </w:rPr>
        <w:t>supplychain</w:t>
      </w:r>
      <w:proofErr w:type="spellEnd"/>
      <w:r>
        <w:rPr>
          <w:color w:val="000000"/>
        </w:rPr>
        <w:t xml:space="preserve"> functions across the organization. The plan employs established project management concepts as outlined by (PMI 2021) including the PMBOK Guide performance domains and Kerzner's systems approach to planning scheduling and control encompassing scope, schedule, resourcing stakeholder engagement and risk strategy needed for successful delivery. This document is developed for the Executive Steering Committee, departmental leads and the external implementation partner to serve as a baseline to measure project performance against.</w:t>
      </w:r>
    </w:p>
    <w:p w14:paraId="53F48335" w14:textId="77777777" w:rsidR="00210538" w:rsidRDefault="00000000">
      <w:pPr>
        <w:pStyle w:val="Heading1"/>
      </w:pPr>
      <w:r>
        <w:t>2. Project Description</w:t>
      </w:r>
    </w:p>
    <w:p w14:paraId="5E067FDA" w14:textId="77777777" w:rsidR="00BD3860" w:rsidRDefault="00BD3860" w:rsidP="00BD3860">
      <w:pPr>
        <w:pStyle w:val="NormalWeb"/>
        <w:spacing w:line="360" w:lineRule="auto"/>
        <w:rPr>
          <w:color w:val="000000"/>
        </w:rPr>
      </w:pPr>
      <w:r>
        <w:rPr>
          <w:color w:val="000000"/>
        </w:rPr>
        <w:t>Project Catalyst provides a unified, cloud-based ERP system to retire Meridian's three separate legacy systems: a standalone financial system, an inventory tracking spreadsheet and a locally hosted production-scheduling tool. The new system has resulted in a single database that combines finance, procurement, inventory management, production planning and customer order management with real-time reporting throughout the head office and two manufacturing plants!</w:t>
      </w:r>
    </w:p>
    <w:p w14:paraId="3A63C70E" w14:textId="77777777" w:rsidR="00BD3860" w:rsidRDefault="00BD3860" w:rsidP="00BD3860">
      <w:pPr>
        <w:pStyle w:val="NormalWeb"/>
        <w:spacing w:line="360" w:lineRule="auto"/>
        <w:rPr>
          <w:color w:val="000000"/>
        </w:rPr>
      </w:pPr>
      <w:r>
        <w:rPr>
          <w:color w:val="000000"/>
        </w:rPr>
        <w:t xml:space="preserve">The project sponsor is the </w:t>
      </w:r>
      <w:proofErr w:type="gramStart"/>
      <w:r>
        <w:rPr>
          <w:color w:val="000000"/>
        </w:rPr>
        <w:t>CFO</w:t>
      </w:r>
      <w:proofErr w:type="gramEnd"/>
      <w:r>
        <w:rPr>
          <w:color w:val="000000"/>
        </w:rPr>
        <w:t xml:space="preserve"> and it has an Executive Steering Committee includes COO, IT Director and both plant managers. Meridian's internal project team is supplemented by an external implementation partner who provides configuration, data-migration and training services. Based on the systems approach by Kerzner (2022), this project follows a predictive </w:t>
      </w:r>
      <w:r>
        <w:rPr>
          <w:color w:val="000000"/>
        </w:rPr>
        <w:lastRenderedPageBreak/>
        <w:t xml:space="preserve">life cycle, progressive through initiation designing the project configuration </w:t>
      </w:r>
      <w:proofErr w:type="gramStart"/>
      <w:r>
        <w:rPr>
          <w:color w:val="000000"/>
        </w:rPr>
        <w:t>through the use of</w:t>
      </w:r>
      <w:proofErr w:type="gramEnd"/>
      <w:r>
        <w:rPr>
          <w:color w:val="000000"/>
        </w:rPr>
        <w:t xml:space="preserve"> JIRA to data migration implementation and concluding with testing, training, go-live then closure.</w:t>
      </w:r>
    </w:p>
    <w:p w14:paraId="20D83D67" w14:textId="77777777" w:rsidR="00BD3860" w:rsidRDefault="00BD3860" w:rsidP="00BD3860">
      <w:pPr>
        <w:pStyle w:val="NormalWeb"/>
        <w:spacing w:line="360" w:lineRule="auto"/>
        <w:rPr>
          <w:color w:val="000000"/>
        </w:rPr>
      </w:pPr>
      <w:r>
        <w:rPr>
          <w:color w:val="000000"/>
        </w:rPr>
        <w:t>The hopes associated with it are a reduction of manual data reconciliation, single-source financial reporting along with reduced inventory inaccuracies and faster order-to-delivery cycles. The total project budget is £2.1 million and will take twelve months from the point of contract signature to post-implementation review. Success is defined in terms of previously agreed user-adoption and data-accuracy targets with the Steering Committee, set against cost, time and quality (Atkinson 1999).</w:t>
      </w:r>
    </w:p>
    <w:p w14:paraId="589204DA" w14:textId="77777777" w:rsidR="00210538" w:rsidRDefault="00000000">
      <w:pPr>
        <w:pStyle w:val="Heading1"/>
      </w:pPr>
      <w:r>
        <w:t>3. Scope</w:t>
      </w:r>
    </w:p>
    <w:p w14:paraId="3183B50E" w14:textId="2C91E72C" w:rsidR="00BD3860" w:rsidRDefault="00BD3860" w:rsidP="00BD3860">
      <w:pPr>
        <w:pStyle w:val="NormalWeb"/>
        <w:spacing w:line="360" w:lineRule="auto"/>
        <w:rPr>
          <w:color w:val="000000"/>
        </w:rPr>
      </w:pPr>
      <w:r>
        <w:rPr>
          <w:color w:val="000000"/>
        </w:rPr>
        <w:t xml:space="preserve"> Refers to guidance by Project Management Institute (2021) leading into boundary between in-scope work and out-of-scope work before configuration. Project Catalyst in scope </w:t>
      </w:r>
      <w:proofErr w:type="gramStart"/>
      <w:r>
        <w:rPr>
          <w:color w:val="000000"/>
        </w:rPr>
        <w:t>includes:</w:t>
      </w:r>
      <w:proofErr w:type="gramEnd"/>
      <w:r>
        <w:rPr>
          <w:color w:val="000000"/>
        </w:rPr>
        <w:t xml:space="preserve"> finance, procurement, inventory, production-planning and sales-order modules configurations; 24 months of transactional data and all master data migrated from the legacy systems; an interface to the existing customer relationship management system (CRM) and two automated/robotic machines; user acceptance testing (UAT); role-based training for roughly 180 users; four-week </w:t>
      </w:r>
      <w:proofErr w:type="spellStart"/>
      <w:r>
        <w:rPr>
          <w:color w:val="000000"/>
        </w:rPr>
        <w:t>hypercare</w:t>
      </w:r>
      <w:proofErr w:type="spellEnd"/>
      <w:r>
        <w:rPr>
          <w:color w:val="000000"/>
        </w:rPr>
        <w:t xml:space="preserve"> support post-go-live.</w:t>
      </w:r>
    </w:p>
    <w:p w14:paraId="24C5B1D4" w14:textId="77777777" w:rsidR="00BD3860" w:rsidRDefault="00BD3860" w:rsidP="00BD3860">
      <w:pPr>
        <w:pStyle w:val="NormalWeb"/>
        <w:spacing w:line="360" w:lineRule="auto"/>
        <w:rPr>
          <w:color w:val="000000"/>
        </w:rPr>
      </w:pPr>
      <w:r>
        <w:rPr>
          <w:color w:val="000000"/>
        </w:rPr>
        <w:t xml:space="preserve">Explicitly out of scope </w:t>
      </w:r>
      <w:proofErr w:type="gramStart"/>
      <w:r>
        <w:rPr>
          <w:color w:val="000000"/>
        </w:rPr>
        <w:t>are:</w:t>
      </w:r>
      <w:proofErr w:type="gramEnd"/>
      <w:r>
        <w:rPr>
          <w:color w:val="000000"/>
        </w:rPr>
        <w:t xml:space="preserve"> replacement of the human resources and payroll system (now on its existing platform, pending a stand-alone review); construction of any custom mobile applications; and rollout to Meridian's overseas sales agents who continue using manual order forms until Phase 2 of the project is approved. Early exclusion of these items mitigates uncertainty and saves the twelve-month schedule from unwelcomed overstretching.</w:t>
      </w:r>
    </w:p>
    <w:p w14:paraId="4F43E064" w14:textId="77777777" w:rsidR="00BD3860" w:rsidRDefault="00BD3860" w:rsidP="00BD3860">
      <w:pPr>
        <w:pStyle w:val="NormalWeb"/>
        <w:spacing w:line="360" w:lineRule="auto"/>
        <w:rPr>
          <w:color w:val="000000"/>
        </w:rPr>
      </w:pPr>
      <w:r>
        <w:rPr>
          <w:color w:val="000000"/>
        </w:rPr>
        <w:t xml:space="preserve">Section 4 explains how this scope is broken down into smaller and manageable deliverables/work packages using a Work Breakdown Structure (WBS). The change-request process is also formalized: no matter the nature of a successive scope or outcome from the agreement, writing an explanation, challenging its effect on cost and schedule, and signing off by the Steering Committee before any work can be done. This is consistent with Chapman and Ward's (2003) finding that uncontrolled scope variation is one of the key contributors to project risk, and with more general findings from the literature that suggest successful </w:t>
      </w:r>
      <w:r>
        <w:rPr>
          <w:color w:val="000000"/>
        </w:rPr>
        <w:lastRenderedPageBreak/>
        <w:t>projects are those where cost and time and quality expectations are managed in conjunction rather than in isolation (Atkinson, 1999).</w:t>
      </w:r>
    </w:p>
    <w:p w14:paraId="454193D6" w14:textId="77777777" w:rsidR="00210538" w:rsidRDefault="00000000">
      <w:pPr>
        <w:pStyle w:val="Heading1"/>
      </w:pPr>
      <w:r>
        <w:t>4. Work Breakdown Structure (WBS)</w:t>
      </w:r>
    </w:p>
    <w:p w14:paraId="485C8F77" w14:textId="77777777" w:rsidR="00BD3860" w:rsidRDefault="00BD3860" w:rsidP="00BD3860">
      <w:pPr>
        <w:pStyle w:val="NormalWeb"/>
        <w:spacing w:line="360" w:lineRule="auto"/>
        <w:rPr>
          <w:color w:val="000000"/>
        </w:rPr>
      </w:pPr>
      <w:r>
        <w:rPr>
          <w:color w:val="000000"/>
        </w:rPr>
        <w:t>The Work Breakdown Structure (WBS): Project Catalyst is decomposed into eight Level 1 phases, each further decomposed to the Level 2 work package level; Kerzner (2022) and the PM Institute (2021) recommend a deliverable-oriented hierarchy, consistent with a planning-focused performance domain. Decomposition proceeds until all the work packages are small enough to: (1) assess a single owner, (2) estimate duration, and (</w:t>
      </w:r>
      <w:proofErr w:type="gramStart"/>
      <w:r>
        <w:rPr>
          <w:color w:val="000000"/>
        </w:rPr>
        <w:t>3)estimate</w:t>
      </w:r>
      <w:proofErr w:type="gramEnd"/>
      <w:r>
        <w:rPr>
          <w:color w:val="000000"/>
        </w:rPr>
        <w:t xml:space="preserve"> cost as per standard practice in any WBS. Table 1 shows the framework for Level 2 covering initiation and governance, requirements &amp; design, configuration, data migration, testing, training &amp; change management as well as go </w:t>
      </w:r>
      <w:proofErr w:type="spellStart"/>
      <w:r>
        <w:rPr>
          <w:color w:val="000000"/>
        </w:rPr>
        <w:t>live&amp;hypercare</w:t>
      </w:r>
      <w:proofErr w:type="spellEnd"/>
      <w:r>
        <w:rPr>
          <w:color w:val="000000"/>
        </w:rPr>
        <w:t xml:space="preserve"> support and project closure.</w:t>
      </w:r>
    </w:p>
    <w:p w14:paraId="1C5FAF8B" w14:textId="77777777" w:rsidR="00210538" w:rsidRDefault="00000000">
      <w:pPr>
        <w:spacing w:after="120" w:line="360" w:lineRule="auto"/>
        <w:jc w:val="center"/>
      </w:pPr>
      <w:r>
        <w:rPr>
          <w:b/>
          <w:bCs/>
        </w:rPr>
        <w:t>Table 1: Work Breakdown Structure (WBS) for Project Catalyst</w:t>
      </w:r>
    </w:p>
    <w:tbl>
      <w:tblPr>
        <w:tblW w:w="96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1200"/>
        <w:gridCol w:w="2600"/>
        <w:gridCol w:w="5800"/>
      </w:tblGrid>
      <w:tr w:rsidR="00210538" w14:paraId="71DD5AD5" w14:textId="77777777">
        <w:tblPrEx>
          <w:tblCellMar>
            <w:top w:w="0" w:type="dxa"/>
            <w:bottom w:w="0" w:type="dxa"/>
          </w:tblCellMar>
        </w:tblPrEx>
        <w:trPr>
          <w:tblHeader/>
        </w:trPr>
        <w:tc>
          <w:tcPr>
            <w:tcW w:w="1200" w:type="dxa"/>
            <w:shd w:val="clear" w:color="auto" w:fill="D9D9D9"/>
            <w:tcMar>
              <w:top w:w="60" w:type="dxa"/>
              <w:left w:w="80" w:type="dxa"/>
              <w:bottom w:w="60" w:type="dxa"/>
              <w:right w:w="80" w:type="dxa"/>
            </w:tcMar>
            <w:vAlign w:val="center"/>
          </w:tcPr>
          <w:p w14:paraId="1DDE38A5" w14:textId="77777777" w:rsidR="00210538" w:rsidRDefault="00000000">
            <w:pPr>
              <w:spacing w:line="276" w:lineRule="auto"/>
            </w:pPr>
            <w:r>
              <w:rPr>
                <w:b/>
                <w:bCs/>
                <w:sz w:val="20"/>
                <w:szCs w:val="20"/>
              </w:rPr>
              <w:t>WBS Code</w:t>
            </w:r>
          </w:p>
        </w:tc>
        <w:tc>
          <w:tcPr>
            <w:tcW w:w="2600" w:type="dxa"/>
            <w:shd w:val="clear" w:color="auto" w:fill="D9D9D9"/>
            <w:tcMar>
              <w:top w:w="60" w:type="dxa"/>
              <w:left w:w="80" w:type="dxa"/>
              <w:bottom w:w="60" w:type="dxa"/>
              <w:right w:w="80" w:type="dxa"/>
            </w:tcMar>
            <w:vAlign w:val="center"/>
          </w:tcPr>
          <w:p w14:paraId="712FE0EA" w14:textId="77777777" w:rsidR="00210538" w:rsidRDefault="00000000">
            <w:pPr>
              <w:spacing w:line="276" w:lineRule="auto"/>
            </w:pPr>
            <w:r>
              <w:rPr>
                <w:b/>
                <w:bCs/>
                <w:sz w:val="20"/>
                <w:szCs w:val="20"/>
              </w:rPr>
              <w:t>Level 1 Phase</w:t>
            </w:r>
          </w:p>
        </w:tc>
        <w:tc>
          <w:tcPr>
            <w:tcW w:w="5800" w:type="dxa"/>
            <w:shd w:val="clear" w:color="auto" w:fill="D9D9D9"/>
            <w:tcMar>
              <w:top w:w="60" w:type="dxa"/>
              <w:left w:w="80" w:type="dxa"/>
              <w:bottom w:w="60" w:type="dxa"/>
              <w:right w:w="80" w:type="dxa"/>
            </w:tcMar>
            <w:vAlign w:val="center"/>
          </w:tcPr>
          <w:p w14:paraId="54D45C14" w14:textId="77777777" w:rsidR="00210538" w:rsidRDefault="00000000">
            <w:pPr>
              <w:spacing w:line="276" w:lineRule="auto"/>
            </w:pPr>
            <w:r>
              <w:rPr>
                <w:b/>
                <w:bCs/>
                <w:sz w:val="20"/>
                <w:szCs w:val="20"/>
              </w:rPr>
              <w:t>Level 2 Work Package</w:t>
            </w:r>
          </w:p>
        </w:tc>
      </w:tr>
      <w:tr w:rsidR="00210538" w14:paraId="57DB8FC0" w14:textId="77777777">
        <w:tblPrEx>
          <w:tblCellMar>
            <w:top w:w="0" w:type="dxa"/>
            <w:bottom w:w="0" w:type="dxa"/>
          </w:tblCellMar>
        </w:tblPrEx>
        <w:tc>
          <w:tcPr>
            <w:tcW w:w="1200" w:type="dxa"/>
            <w:tcMar>
              <w:top w:w="60" w:type="dxa"/>
              <w:left w:w="80" w:type="dxa"/>
              <w:bottom w:w="60" w:type="dxa"/>
              <w:right w:w="80" w:type="dxa"/>
            </w:tcMar>
            <w:vAlign w:val="center"/>
          </w:tcPr>
          <w:p w14:paraId="53F288FA" w14:textId="77777777" w:rsidR="00210538" w:rsidRDefault="00000000">
            <w:pPr>
              <w:spacing w:line="276" w:lineRule="auto"/>
            </w:pPr>
            <w:r>
              <w:rPr>
                <w:sz w:val="19"/>
                <w:szCs w:val="19"/>
              </w:rPr>
              <w:t>1.0</w:t>
            </w:r>
          </w:p>
        </w:tc>
        <w:tc>
          <w:tcPr>
            <w:tcW w:w="2600" w:type="dxa"/>
            <w:tcMar>
              <w:top w:w="60" w:type="dxa"/>
              <w:left w:w="80" w:type="dxa"/>
              <w:bottom w:w="60" w:type="dxa"/>
              <w:right w:w="80" w:type="dxa"/>
            </w:tcMar>
            <w:vAlign w:val="center"/>
          </w:tcPr>
          <w:p w14:paraId="1A7DB25E" w14:textId="77777777" w:rsidR="00210538" w:rsidRDefault="00000000">
            <w:pPr>
              <w:spacing w:line="276" w:lineRule="auto"/>
            </w:pPr>
            <w:r>
              <w:rPr>
                <w:sz w:val="19"/>
                <w:szCs w:val="19"/>
              </w:rPr>
              <w:t>Project Initiation &amp; Governance</w:t>
            </w:r>
          </w:p>
        </w:tc>
        <w:tc>
          <w:tcPr>
            <w:tcW w:w="5800" w:type="dxa"/>
            <w:tcMar>
              <w:top w:w="60" w:type="dxa"/>
              <w:left w:w="80" w:type="dxa"/>
              <w:bottom w:w="60" w:type="dxa"/>
              <w:right w:w="80" w:type="dxa"/>
            </w:tcMar>
            <w:vAlign w:val="center"/>
          </w:tcPr>
          <w:p w14:paraId="633087EE" w14:textId="77777777" w:rsidR="00210538" w:rsidRDefault="00000000">
            <w:pPr>
              <w:spacing w:line="276" w:lineRule="auto"/>
            </w:pPr>
            <w:r>
              <w:rPr>
                <w:sz w:val="19"/>
                <w:szCs w:val="19"/>
              </w:rPr>
              <w:t>1.1 Charter and business case approval 1.2 Steering Committee formation 1.3 Procurement of implementation partner</w:t>
            </w:r>
          </w:p>
        </w:tc>
      </w:tr>
      <w:tr w:rsidR="00210538" w14:paraId="212153C7" w14:textId="77777777">
        <w:tblPrEx>
          <w:tblCellMar>
            <w:top w:w="0" w:type="dxa"/>
            <w:bottom w:w="0" w:type="dxa"/>
          </w:tblCellMar>
        </w:tblPrEx>
        <w:tc>
          <w:tcPr>
            <w:tcW w:w="1200" w:type="dxa"/>
            <w:tcMar>
              <w:top w:w="60" w:type="dxa"/>
              <w:left w:w="80" w:type="dxa"/>
              <w:bottom w:w="60" w:type="dxa"/>
              <w:right w:w="80" w:type="dxa"/>
            </w:tcMar>
            <w:vAlign w:val="center"/>
          </w:tcPr>
          <w:p w14:paraId="1D268DDF" w14:textId="77777777" w:rsidR="00210538" w:rsidRDefault="00000000">
            <w:pPr>
              <w:spacing w:line="276" w:lineRule="auto"/>
            </w:pPr>
            <w:r>
              <w:rPr>
                <w:sz w:val="19"/>
                <w:szCs w:val="19"/>
              </w:rPr>
              <w:t>2.0</w:t>
            </w:r>
          </w:p>
        </w:tc>
        <w:tc>
          <w:tcPr>
            <w:tcW w:w="2600" w:type="dxa"/>
            <w:tcMar>
              <w:top w:w="60" w:type="dxa"/>
              <w:left w:w="80" w:type="dxa"/>
              <w:bottom w:w="60" w:type="dxa"/>
              <w:right w:w="80" w:type="dxa"/>
            </w:tcMar>
            <w:vAlign w:val="center"/>
          </w:tcPr>
          <w:p w14:paraId="6B1D64AC" w14:textId="77777777" w:rsidR="00210538" w:rsidRDefault="00000000">
            <w:pPr>
              <w:spacing w:line="276" w:lineRule="auto"/>
            </w:pPr>
            <w:r>
              <w:rPr>
                <w:sz w:val="19"/>
                <w:szCs w:val="19"/>
              </w:rPr>
              <w:t>Requirements &amp; Design</w:t>
            </w:r>
          </w:p>
        </w:tc>
        <w:tc>
          <w:tcPr>
            <w:tcW w:w="5800" w:type="dxa"/>
            <w:tcMar>
              <w:top w:w="60" w:type="dxa"/>
              <w:left w:w="80" w:type="dxa"/>
              <w:bottom w:w="60" w:type="dxa"/>
              <w:right w:w="80" w:type="dxa"/>
            </w:tcMar>
            <w:vAlign w:val="center"/>
          </w:tcPr>
          <w:p w14:paraId="61AC1152" w14:textId="77777777" w:rsidR="00210538" w:rsidRDefault="00000000">
            <w:pPr>
              <w:spacing w:line="276" w:lineRule="auto"/>
            </w:pPr>
            <w:r>
              <w:rPr>
                <w:sz w:val="19"/>
                <w:szCs w:val="19"/>
              </w:rPr>
              <w:t>2.1 Current-state process mapping 2.2 Future-state process design 2.3 Functional and technical specification</w:t>
            </w:r>
          </w:p>
        </w:tc>
      </w:tr>
      <w:tr w:rsidR="00210538" w14:paraId="26FB3EA4" w14:textId="77777777">
        <w:tblPrEx>
          <w:tblCellMar>
            <w:top w:w="0" w:type="dxa"/>
            <w:bottom w:w="0" w:type="dxa"/>
          </w:tblCellMar>
        </w:tblPrEx>
        <w:tc>
          <w:tcPr>
            <w:tcW w:w="1200" w:type="dxa"/>
            <w:tcMar>
              <w:top w:w="60" w:type="dxa"/>
              <w:left w:w="80" w:type="dxa"/>
              <w:bottom w:w="60" w:type="dxa"/>
              <w:right w:w="80" w:type="dxa"/>
            </w:tcMar>
            <w:vAlign w:val="center"/>
          </w:tcPr>
          <w:p w14:paraId="1697BCBB" w14:textId="77777777" w:rsidR="00210538" w:rsidRDefault="00000000">
            <w:pPr>
              <w:spacing w:line="276" w:lineRule="auto"/>
            </w:pPr>
            <w:r>
              <w:rPr>
                <w:sz w:val="19"/>
                <w:szCs w:val="19"/>
              </w:rPr>
              <w:t>3.0</w:t>
            </w:r>
          </w:p>
        </w:tc>
        <w:tc>
          <w:tcPr>
            <w:tcW w:w="2600" w:type="dxa"/>
            <w:tcMar>
              <w:top w:w="60" w:type="dxa"/>
              <w:left w:w="80" w:type="dxa"/>
              <w:bottom w:w="60" w:type="dxa"/>
              <w:right w:w="80" w:type="dxa"/>
            </w:tcMar>
            <w:vAlign w:val="center"/>
          </w:tcPr>
          <w:p w14:paraId="563017B1" w14:textId="77777777" w:rsidR="00210538" w:rsidRDefault="00000000">
            <w:pPr>
              <w:spacing w:line="276" w:lineRule="auto"/>
            </w:pPr>
            <w:r>
              <w:rPr>
                <w:sz w:val="19"/>
                <w:szCs w:val="19"/>
              </w:rPr>
              <w:t>System Configuration</w:t>
            </w:r>
          </w:p>
        </w:tc>
        <w:tc>
          <w:tcPr>
            <w:tcW w:w="5800" w:type="dxa"/>
            <w:tcMar>
              <w:top w:w="60" w:type="dxa"/>
              <w:left w:w="80" w:type="dxa"/>
              <w:bottom w:w="60" w:type="dxa"/>
              <w:right w:w="80" w:type="dxa"/>
            </w:tcMar>
            <w:vAlign w:val="center"/>
          </w:tcPr>
          <w:p w14:paraId="0E09BF44" w14:textId="77777777" w:rsidR="00210538" w:rsidRDefault="00000000">
            <w:pPr>
              <w:spacing w:line="276" w:lineRule="auto"/>
            </w:pPr>
            <w:r>
              <w:rPr>
                <w:sz w:val="19"/>
                <w:szCs w:val="19"/>
              </w:rPr>
              <w:t>3.1 Finance module configuration 3.2 Procurement &amp; inventory configuration 3.3 Production-planning configuration 3.4 Integration build (CRM, production machines)</w:t>
            </w:r>
          </w:p>
        </w:tc>
      </w:tr>
      <w:tr w:rsidR="00210538" w14:paraId="663D052F" w14:textId="77777777">
        <w:tblPrEx>
          <w:tblCellMar>
            <w:top w:w="0" w:type="dxa"/>
            <w:bottom w:w="0" w:type="dxa"/>
          </w:tblCellMar>
        </w:tblPrEx>
        <w:tc>
          <w:tcPr>
            <w:tcW w:w="1200" w:type="dxa"/>
            <w:tcMar>
              <w:top w:w="60" w:type="dxa"/>
              <w:left w:w="80" w:type="dxa"/>
              <w:bottom w:w="60" w:type="dxa"/>
              <w:right w:w="80" w:type="dxa"/>
            </w:tcMar>
            <w:vAlign w:val="center"/>
          </w:tcPr>
          <w:p w14:paraId="0F9ED021" w14:textId="77777777" w:rsidR="00210538" w:rsidRDefault="00000000">
            <w:pPr>
              <w:spacing w:line="276" w:lineRule="auto"/>
            </w:pPr>
            <w:r>
              <w:rPr>
                <w:sz w:val="19"/>
                <w:szCs w:val="19"/>
              </w:rPr>
              <w:t>4.0</w:t>
            </w:r>
          </w:p>
        </w:tc>
        <w:tc>
          <w:tcPr>
            <w:tcW w:w="2600" w:type="dxa"/>
            <w:tcMar>
              <w:top w:w="60" w:type="dxa"/>
              <w:left w:w="80" w:type="dxa"/>
              <w:bottom w:w="60" w:type="dxa"/>
              <w:right w:w="80" w:type="dxa"/>
            </w:tcMar>
            <w:vAlign w:val="center"/>
          </w:tcPr>
          <w:p w14:paraId="5AA33E74" w14:textId="77777777" w:rsidR="00210538" w:rsidRDefault="00000000">
            <w:pPr>
              <w:spacing w:line="276" w:lineRule="auto"/>
            </w:pPr>
            <w:r>
              <w:rPr>
                <w:sz w:val="19"/>
                <w:szCs w:val="19"/>
              </w:rPr>
              <w:t>Data Migration</w:t>
            </w:r>
          </w:p>
        </w:tc>
        <w:tc>
          <w:tcPr>
            <w:tcW w:w="5800" w:type="dxa"/>
            <w:tcMar>
              <w:top w:w="60" w:type="dxa"/>
              <w:left w:w="80" w:type="dxa"/>
              <w:bottom w:w="60" w:type="dxa"/>
              <w:right w:w="80" w:type="dxa"/>
            </w:tcMar>
            <w:vAlign w:val="center"/>
          </w:tcPr>
          <w:p w14:paraId="439FD862" w14:textId="77777777" w:rsidR="00210538" w:rsidRDefault="00000000">
            <w:pPr>
              <w:spacing w:line="276" w:lineRule="auto"/>
            </w:pPr>
            <w:r>
              <w:rPr>
                <w:sz w:val="19"/>
                <w:szCs w:val="19"/>
              </w:rPr>
              <w:t>4.1 Data cleansing 4.2 Master data migration 4.3 Transactional data migration</w:t>
            </w:r>
          </w:p>
        </w:tc>
      </w:tr>
      <w:tr w:rsidR="00210538" w14:paraId="6DC10366" w14:textId="77777777">
        <w:tblPrEx>
          <w:tblCellMar>
            <w:top w:w="0" w:type="dxa"/>
            <w:bottom w:w="0" w:type="dxa"/>
          </w:tblCellMar>
        </w:tblPrEx>
        <w:tc>
          <w:tcPr>
            <w:tcW w:w="1200" w:type="dxa"/>
            <w:tcMar>
              <w:top w:w="60" w:type="dxa"/>
              <w:left w:w="80" w:type="dxa"/>
              <w:bottom w:w="60" w:type="dxa"/>
              <w:right w:w="80" w:type="dxa"/>
            </w:tcMar>
            <w:vAlign w:val="center"/>
          </w:tcPr>
          <w:p w14:paraId="4DFCD741" w14:textId="77777777" w:rsidR="00210538" w:rsidRDefault="00000000">
            <w:pPr>
              <w:spacing w:line="276" w:lineRule="auto"/>
            </w:pPr>
            <w:r>
              <w:rPr>
                <w:sz w:val="19"/>
                <w:szCs w:val="19"/>
              </w:rPr>
              <w:t>5.0</w:t>
            </w:r>
          </w:p>
        </w:tc>
        <w:tc>
          <w:tcPr>
            <w:tcW w:w="2600" w:type="dxa"/>
            <w:tcMar>
              <w:top w:w="60" w:type="dxa"/>
              <w:left w:w="80" w:type="dxa"/>
              <w:bottom w:w="60" w:type="dxa"/>
              <w:right w:w="80" w:type="dxa"/>
            </w:tcMar>
            <w:vAlign w:val="center"/>
          </w:tcPr>
          <w:p w14:paraId="77DACA20" w14:textId="77777777" w:rsidR="00210538" w:rsidRDefault="00000000">
            <w:pPr>
              <w:spacing w:line="276" w:lineRule="auto"/>
            </w:pPr>
            <w:r>
              <w:rPr>
                <w:sz w:val="19"/>
                <w:szCs w:val="19"/>
              </w:rPr>
              <w:t>Testing</w:t>
            </w:r>
          </w:p>
        </w:tc>
        <w:tc>
          <w:tcPr>
            <w:tcW w:w="5800" w:type="dxa"/>
            <w:tcMar>
              <w:top w:w="60" w:type="dxa"/>
              <w:left w:w="80" w:type="dxa"/>
              <w:bottom w:w="60" w:type="dxa"/>
              <w:right w:w="80" w:type="dxa"/>
            </w:tcMar>
            <w:vAlign w:val="center"/>
          </w:tcPr>
          <w:p w14:paraId="1F8934F3" w14:textId="77777777" w:rsidR="00210538" w:rsidRDefault="00000000">
            <w:pPr>
              <w:spacing w:line="276" w:lineRule="auto"/>
            </w:pPr>
            <w:r>
              <w:rPr>
                <w:sz w:val="19"/>
                <w:szCs w:val="19"/>
              </w:rPr>
              <w:t>5.1 System integration testing 5.2 User acceptance testing</w:t>
            </w:r>
          </w:p>
        </w:tc>
      </w:tr>
      <w:tr w:rsidR="00210538" w14:paraId="250DE662" w14:textId="77777777">
        <w:tblPrEx>
          <w:tblCellMar>
            <w:top w:w="0" w:type="dxa"/>
            <w:bottom w:w="0" w:type="dxa"/>
          </w:tblCellMar>
        </w:tblPrEx>
        <w:tc>
          <w:tcPr>
            <w:tcW w:w="1200" w:type="dxa"/>
            <w:tcMar>
              <w:top w:w="60" w:type="dxa"/>
              <w:left w:w="80" w:type="dxa"/>
              <w:bottom w:w="60" w:type="dxa"/>
              <w:right w:w="80" w:type="dxa"/>
            </w:tcMar>
            <w:vAlign w:val="center"/>
          </w:tcPr>
          <w:p w14:paraId="20AC57F1" w14:textId="77777777" w:rsidR="00210538" w:rsidRDefault="00000000">
            <w:pPr>
              <w:spacing w:line="276" w:lineRule="auto"/>
            </w:pPr>
            <w:r>
              <w:rPr>
                <w:sz w:val="19"/>
                <w:szCs w:val="19"/>
              </w:rPr>
              <w:t>6.0</w:t>
            </w:r>
          </w:p>
        </w:tc>
        <w:tc>
          <w:tcPr>
            <w:tcW w:w="2600" w:type="dxa"/>
            <w:tcMar>
              <w:top w:w="60" w:type="dxa"/>
              <w:left w:w="80" w:type="dxa"/>
              <w:bottom w:w="60" w:type="dxa"/>
              <w:right w:w="80" w:type="dxa"/>
            </w:tcMar>
            <w:vAlign w:val="center"/>
          </w:tcPr>
          <w:p w14:paraId="0EB68402" w14:textId="77777777" w:rsidR="00210538" w:rsidRDefault="00000000">
            <w:pPr>
              <w:spacing w:line="276" w:lineRule="auto"/>
            </w:pPr>
            <w:r>
              <w:rPr>
                <w:sz w:val="19"/>
                <w:szCs w:val="19"/>
              </w:rPr>
              <w:t>Training &amp; Change Management</w:t>
            </w:r>
          </w:p>
        </w:tc>
        <w:tc>
          <w:tcPr>
            <w:tcW w:w="5800" w:type="dxa"/>
            <w:tcMar>
              <w:top w:w="60" w:type="dxa"/>
              <w:left w:w="80" w:type="dxa"/>
              <w:bottom w:w="60" w:type="dxa"/>
              <w:right w:w="80" w:type="dxa"/>
            </w:tcMar>
            <w:vAlign w:val="center"/>
          </w:tcPr>
          <w:p w14:paraId="0AF2F0D6" w14:textId="77777777" w:rsidR="00210538" w:rsidRDefault="00000000">
            <w:pPr>
              <w:spacing w:line="276" w:lineRule="auto"/>
            </w:pPr>
            <w:r>
              <w:rPr>
                <w:sz w:val="19"/>
                <w:szCs w:val="19"/>
              </w:rPr>
              <w:t>6.1 Training material development 6.2 End-user training delivery 6.3 Communication and change readiness</w:t>
            </w:r>
          </w:p>
        </w:tc>
      </w:tr>
      <w:tr w:rsidR="00210538" w14:paraId="60FC765B" w14:textId="77777777">
        <w:tblPrEx>
          <w:tblCellMar>
            <w:top w:w="0" w:type="dxa"/>
            <w:bottom w:w="0" w:type="dxa"/>
          </w:tblCellMar>
        </w:tblPrEx>
        <w:tc>
          <w:tcPr>
            <w:tcW w:w="1200" w:type="dxa"/>
            <w:tcMar>
              <w:top w:w="60" w:type="dxa"/>
              <w:left w:w="80" w:type="dxa"/>
              <w:bottom w:w="60" w:type="dxa"/>
              <w:right w:w="80" w:type="dxa"/>
            </w:tcMar>
            <w:vAlign w:val="center"/>
          </w:tcPr>
          <w:p w14:paraId="214C10A0" w14:textId="77777777" w:rsidR="00210538" w:rsidRDefault="00000000">
            <w:pPr>
              <w:spacing w:line="276" w:lineRule="auto"/>
            </w:pPr>
            <w:r>
              <w:rPr>
                <w:sz w:val="19"/>
                <w:szCs w:val="19"/>
              </w:rPr>
              <w:t>7.0</w:t>
            </w:r>
          </w:p>
        </w:tc>
        <w:tc>
          <w:tcPr>
            <w:tcW w:w="2600" w:type="dxa"/>
            <w:tcMar>
              <w:top w:w="60" w:type="dxa"/>
              <w:left w:w="80" w:type="dxa"/>
              <w:bottom w:w="60" w:type="dxa"/>
              <w:right w:w="80" w:type="dxa"/>
            </w:tcMar>
            <w:vAlign w:val="center"/>
          </w:tcPr>
          <w:p w14:paraId="7E26877D" w14:textId="77777777" w:rsidR="00210538" w:rsidRDefault="00000000">
            <w:pPr>
              <w:spacing w:line="276" w:lineRule="auto"/>
            </w:pPr>
            <w:r>
              <w:rPr>
                <w:sz w:val="19"/>
                <w:szCs w:val="19"/>
              </w:rPr>
              <w:t>Go-Live &amp; Hypercare</w:t>
            </w:r>
          </w:p>
        </w:tc>
        <w:tc>
          <w:tcPr>
            <w:tcW w:w="5800" w:type="dxa"/>
            <w:tcMar>
              <w:top w:w="60" w:type="dxa"/>
              <w:left w:w="80" w:type="dxa"/>
              <w:bottom w:w="60" w:type="dxa"/>
              <w:right w:w="80" w:type="dxa"/>
            </w:tcMar>
            <w:vAlign w:val="center"/>
          </w:tcPr>
          <w:p w14:paraId="2728BD8C" w14:textId="77777777" w:rsidR="00210538" w:rsidRDefault="00000000">
            <w:pPr>
              <w:spacing w:line="276" w:lineRule="auto"/>
            </w:pPr>
            <w:r>
              <w:rPr>
                <w:sz w:val="19"/>
                <w:szCs w:val="19"/>
              </w:rPr>
              <w:t>7.1 Cutover planning and execution 7.2 Hypercare support (4 weeks)</w:t>
            </w:r>
          </w:p>
        </w:tc>
      </w:tr>
      <w:tr w:rsidR="00210538" w14:paraId="335780AD" w14:textId="77777777">
        <w:tblPrEx>
          <w:tblCellMar>
            <w:top w:w="0" w:type="dxa"/>
            <w:bottom w:w="0" w:type="dxa"/>
          </w:tblCellMar>
        </w:tblPrEx>
        <w:tc>
          <w:tcPr>
            <w:tcW w:w="1200" w:type="dxa"/>
            <w:tcMar>
              <w:top w:w="60" w:type="dxa"/>
              <w:left w:w="80" w:type="dxa"/>
              <w:bottom w:w="60" w:type="dxa"/>
              <w:right w:w="80" w:type="dxa"/>
            </w:tcMar>
            <w:vAlign w:val="center"/>
          </w:tcPr>
          <w:p w14:paraId="50555A5F" w14:textId="77777777" w:rsidR="00210538" w:rsidRDefault="00000000">
            <w:pPr>
              <w:spacing w:line="276" w:lineRule="auto"/>
            </w:pPr>
            <w:r>
              <w:rPr>
                <w:sz w:val="19"/>
                <w:szCs w:val="19"/>
              </w:rPr>
              <w:t>8.0</w:t>
            </w:r>
          </w:p>
        </w:tc>
        <w:tc>
          <w:tcPr>
            <w:tcW w:w="2600" w:type="dxa"/>
            <w:tcMar>
              <w:top w:w="60" w:type="dxa"/>
              <w:left w:w="80" w:type="dxa"/>
              <w:bottom w:w="60" w:type="dxa"/>
              <w:right w:w="80" w:type="dxa"/>
            </w:tcMar>
            <w:vAlign w:val="center"/>
          </w:tcPr>
          <w:p w14:paraId="7578DC21" w14:textId="77777777" w:rsidR="00210538" w:rsidRDefault="00000000">
            <w:pPr>
              <w:spacing w:line="276" w:lineRule="auto"/>
            </w:pPr>
            <w:r>
              <w:rPr>
                <w:sz w:val="19"/>
                <w:szCs w:val="19"/>
              </w:rPr>
              <w:t>Project Closure</w:t>
            </w:r>
          </w:p>
        </w:tc>
        <w:tc>
          <w:tcPr>
            <w:tcW w:w="5800" w:type="dxa"/>
            <w:tcMar>
              <w:top w:w="60" w:type="dxa"/>
              <w:left w:w="80" w:type="dxa"/>
              <w:bottom w:w="60" w:type="dxa"/>
              <w:right w:w="80" w:type="dxa"/>
            </w:tcMar>
            <w:vAlign w:val="center"/>
          </w:tcPr>
          <w:p w14:paraId="38A1D43A" w14:textId="77777777" w:rsidR="00210538" w:rsidRDefault="00000000">
            <w:pPr>
              <w:spacing w:line="276" w:lineRule="auto"/>
            </w:pPr>
            <w:r>
              <w:rPr>
                <w:sz w:val="19"/>
                <w:szCs w:val="19"/>
              </w:rPr>
              <w:t xml:space="preserve">8.1 </w:t>
            </w:r>
            <w:proofErr w:type="gramStart"/>
            <w:r>
              <w:rPr>
                <w:sz w:val="19"/>
                <w:szCs w:val="19"/>
              </w:rPr>
              <w:t>Post-implementation</w:t>
            </w:r>
            <w:proofErr w:type="gramEnd"/>
            <w:r>
              <w:rPr>
                <w:sz w:val="19"/>
                <w:szCs w:val="19"/>
              </w:rPr>
              <w:t xml:space="preserve"> review 8.2 Handover to business-as-usual support 8.3 Lessons-learned documentation</w:t>
            </w:r>
          </w:p>
        </w:tc>
      </w:tr>
    </w:tbl>
    <w:p w14:paraId="3EF02AE4" w14:textId="77777777" w:rsidR="00210538" w:rsidRDefault="00000000">
      <w:pPr>
        <w:spacing w:after="200" w:line="360" w:lineRule="auto"/>
        <w:jc w:val="both"/>
      </w:pPr>
      <w:r>
        <w:t xml:space="preserve">The WBS underpins the schedule, budget and resource plan described in later sections: each Level 2 work package in Table 1 corresponds to one or more activities on the project Gantt chart (Figure 2), and cost estimates are aggregated bottom-up from work-package level to produce the overall project budget. Ownership of each work package is assigned to a named </w:t>
      </w:r>
      <w:r>
        <w:lastRenderedPageBreak/>
        <w:t>role within the project organisation, ensuring accountability is traceable from the strategic objectives set out in Section 2 down to individual deliverables.</w:t>
      </w:r>
    </w:p>
    <w:p w14:paraId="1EAA2F97" w14:textId="77777777" w:rsidR="00210538" w:rsidRDefault="00000000">
      <w:pPr>
        <w:pStyle w:val="Heading1"/>
      </w:pPr>
      <w:r>
        <w:t>5. Quad Chart</w:t>
      </w:r>
    </w:p>
    <w:p w14:paraId="71ABB38B" w14:textId="77777777" w:rsidR="00BD3860" w:rsidRDefault="00BD3860" w:rsidP="00BD3860">
      <w:pPr>
        <w:pStyle w:val="NormalWeb"/>
        <w:spacing w:line="360" w:lineRule="auto"/>
        <w:rPr>
          <w:color w:val="000000"/>
        </w:rPr>
      </w:pPr>
      <w:r>
        <w:rPr>
          <w:color w:val="000000"/>
        </w:rPr>
        <w:t xml:space="preserve">Following both the common practice of placing the objectives, schedule, cost and risk status adjacent to each other so executives can quickly skim through (Kerzner, 2022) and condensing down </w:t>
      </w:r>
      <w:proofErr w:type="spellStart"/>
      <w:r>
        <w:rPr>
          <w:color w:val="000000"/>
        </w:rPr>
        <w:t>accross</w:t>
      </w:r>
      <w:proofErr w:type="spellEnd"/>
      <w:r>
        <w:rPr>
          <w:color w:val="000000"/>
        </w:rPr>
        <w:t xml:space="preserve"> a single page presentation for Steering Committee reviews we have drawn up the quad chart seen in Figure 1. The top-left quadrant is the project mission overall purpose and high level deliverables; the top-right quadrant gives a schedule of activities and next steps with big milestones, bottom left reports remaining budget against the £2.1 million baseline cost plan and bottom right highlights top risks now being mitigated with red/amber/green indicator of risk viability. The quad chart is distributed monthly (in advance of each Steering Committee meeting) with sponsors receiving an overview on progress at-a-glance, without reading a full written report.</w:t>
      </w:r>
    </w:p>
    <w:tbl>
      <w:tblPr>
        <w:tblW w:w="96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4800"/>
        <w:gridCol w:w="4800"/>
      </w:tblGrid>
      <w:tr w:rsidR="00210538" w14:paraId="113430C7" w14:textId="77777777">
        <w:tblPrEx>
          <w:tblCellMar>
            <w:top w:w="0" w:type="dxa"/>
            <w:bottom w:w="0" w:type="dxa"/>
          </w:tblCellMar>
        </w:tblPrEx>
        <w:tc>
          <w:tcPr>
            <w:tcW w:w="4800" w:type="dxa"/>
            <w:shd w:val="clear" w:color="auto" w:fill="DDEBF7"/>
            <w:tcMar>
              <w:top w:w="120" w:type="dxa"/>
              <w:left w:w="140" w:type="dxa"/>
              <w:bottom w:w="120" w:type="dxa"/>
              <w:right w:w="140" w:type="dxa"/>
            </w:tcMar>
          </w:tcPr>
          <w:p w14:paraId="038FE1D1" w14:textId="77777777" w:rsidR="00210538" w:rsidRDefault="00000000">
            <w:pPr>
              <w:spacing w:after="100" w:line="276" w:lineRule="auto"/>
            </w:pPr>
            <w:r>
              <w:rPr>
                <w:b/>
                <w:bCs/>
                <w:sz w:val="20"/>
                <w:szCs w:val="20"/>
              </w:rPr>
              <w:t>OBJECTIVE &amp; SCOPE</w:t>
            </w:r>
          </w:p>
          <w:p w14:paraId="41D6B67E" w14:textId="77777777" w:rsidR="00210538" w:rsidRDefault="00000000">
            <w:pPr>
              <w:spacing w:after="40" w:line="276" w:lineRule="auto"/>
            </w:pPr>
            <w:r>
              <w:rPr>
                <w:sz w:val="18"/>
                <w:szCs w:val="18"/>
              </w:rPr>
              <w:t>• Implement cloud ERP integrating finance, procurement, inventory, production and sales</w:t>
            </w:r>
          </w:p>
          <w:p w14:paraId="6523C6A6" w14:textId="77777777" w:rsidR="00210538" w:rsidRDefault="00000000">
            <w:pPr>
              <w:spacing w:after="40" w:line="276" w:lineRule="auto"/>
            </w:pPr>
            <w:r>
              <w:rPr>
                <w:sz w:val="18"/>
                <w:szCs w:val="18"/>
              </w:rPr>
              <w:t>• Three UK sites: head office and two plants</w:t>
            </w:r>
          </w:p>
          <w:p w14:paraId="2888C06C" w14:textId="77777777" w:rsidR="00210538" w:rsidRDefault="00000000">
            <w:pPr>
              <w:spacing w:after="40" w:line="276" w:lineRule="auto"/>
            </w:pPr>
            <w:r>
              <w:rPr>
                <w:sz w:val="18"/>
                <w:szCs w:val="18"/>
              </w:rPr>
              <w:t>• Sponsor: Chief Financial Officer</w:t>
            </w:r>
          </w:p>
          <w:p w14:paraId="214ABB37" w14:textId="77777777" w:rsidR="00210538" w:rsidRDefault="00000000">
            <w:pPr>
              <w:spacing w:after="40" w:line="276" w:lineRule="auto"/>
            </w:pPr>
            <w:r>
              <w:rPr>
                <w:sz w:val="18"/>
                <w:szCs w:val="18"/>
              </w:rPr>
              <w:t>• Duration: 12 months</w:t>
            </w:r>
          </w:p>
        </w:tc>
        <w:tc>
          <w:tcPr>
            <w:tcW w:w="4800" w:type="dxa"/>
            <w:shd w:val="clear" w:color="auto" w:fill="E2EFDA"/>
            <w:tcMar>
              <w:top w:w="120" w:type="dxa"/>
              <w:left w:w="140" w:type="dxa"/>
              <w:bottom w:w="120" w:type="dxa"/>
              <w:right w:w="140" w:type="dxa"/>
            </w:tcMar>
          </w:tcPr>
          <w:p w14:paraId="4AFCE780" w14:textId="77777777" w:rsidR="00210538" w:rsidRDefault="00000000">
            <w:pPr>
              <w:spacing w:after="100" w:line="276" w:lineRule="auto"/>
            </w:pPr>
            <w:r>
              <w:rPr>
                <w:b/>
                <w:bCs/>
                <w:sz w:val="20"/>
                <w:szCs w:val="20"/>
              </w:rPr>
              <w:t>SCHEDULE &amp; MILESTONES</w:t>
            </w:r>
          </w:p>
          <w:p w14:paraId="6349EE04" w14:textId="77777777" w:rsidR="00210538" w:rsidRDefault="00000000">
            <w:pPr>
              <w:spacing w:after="40" w:line="276" w:lineRule="auto"/>
            </w:pPr>
            <w:r>
              <w:rPr>
                <w:sz w:val="18"/>
                <w:szCs w:val="18"/>
              </w:rPr>
              <w:t>• Charter approved: Month 1</w:t>
            </w:r>
          </w:p>
          <w:p w14:paraId="263D0B76" w14:textId="77777777" w:rsidR="00210538" w:rsidRDefault="00000000">
            <w:pPr>
              <w:spacing w:after="40" w:line="276" w:lineRule="auto"/>
            </w:pPr>
            <w:r>
              <w:rPr>
                <w:sz w:val="18"/>
                <w:szCs w:val="18"/>
              </w:rPr>
              <w:t>• Design sign-off: Month 3</w:t>
            </w:r>
          </w:p>
          <w:p w14:paraId="0EED78F3" w14:textId="77777777" w:rsidR="00210538" w:rsidRDefault="00000000">
            <w:pPr>
              <w:spacing w:after="40" w:line="276" w:lineRule="auto"/>
            </w:pPr>
            <w:r>
              <w:rPr>
                <w:sz w:val="18"/>
                <w:szCs w:val="18"/>
              </w:rPr>
              <w:t>• Configuration complete: Month 6</w:t>
            </w:r>
          </w:p>
          <w:p w14:paraId="4745B5E7" w14:textId="77777777" w:rsidR="00210538" w:rsidRDefault="00000000">
            <w:pPr>
              <w:spacing w:after="40" w:line="276" w:lineRule="auto"/>
            </w:pPr>
            <w:r>
              <w:rPr>
                <w:sz w:val="18"/>
                <w:szCs w:val="18"/>
              </w:rPr>
              <w:t>• UAT complete: Month 9</w:t>
            </w:r>
          </w:p>
          <w:p w14:paraId="58603E86" w14:textId="77777777" w:rsidR="00210538" w:rsidRDefault="00000000">
            <w:pPr>
              <w:spacing w:after="40" w:line="276" w:lineRule="auto"/>
            </w:pPr>
            <w:r>
              <w:rPr>
                <w:sz w:val="18"/>
                <w:szCs w:val="18"/>
              </w:rPr>
              <w:t>• Go-live: Month 11</w:t>
            </w:r>
          </w:p>
          <w:p w14:paraId="7F4B9230" w14:textId="77777777" w:rsidR="00210538" w:rsidRDefault="00000000">
            <w:pPr>
              <w:spacing w:after="40" w:line="276" w:lineRule="auto"/>
            </w:pPr>
            <w:r>
              <w:rPr>
                <w:sz w:val="18"/>
                <w:szCs w:val="18"/>
              </w:rPr>
              <w:t>• Closure: Month 12</w:t>
            </w:r>
          </w:p>
        </w:tc>
      </w:tr>
      <w:tr w:rsidR="00210538" w14:paraId="0F36D7FD" w14:textId="77777777">
        <w:tblPrEx>
          <w:tblCellMar>
            <w:top w:w="0" w:type="dxa"/>
            <w:bottom w:w="0" w:type="dxa"/>
          </w:tblCellMar>
        </w:tblPrEx>
        <w:tc>
          <w:tcPr>
            <w:tcW w:w="4800" w:type="dxa"/>
            <w:shd w:val="clear" w:color="auto" w:fill="FFF2CC"/>
            <w:tcMar>
              <w:top w:w="120" w:type="dxa"/>
              <w:left w:w="140" w:type="dxa"/>
              <w:bottom w:w="120" w:type="dxa"/>
              <w:right w:w="140" w:type="dxa"/>
            </w:tcMar>
          </w:tcPr>
          <w:p w14:paraId="1A400701" w14:textId="77777777" w:rsidR="00210538" w:rsidRDefault="00000000">
            <w:pPr>
              <w:spacing w:after="100" w:line="276" w:lineRule="auto"/>
            </w:pPr>
            <w:r>
              <w:rPr>
                <w:b/>
                <w:bCs/>
                <w:sz w:val="20"/>
                <w:szCs w:val="20"/>
              </w:rPr>
              <w:t>COST &amp; BUDGET</w:t>
            </w:r>
          </w:p>
          <w:p w14:paraId="25597A7F" w14:textId="77777777" w:rsidR="00210538" w:rsidRDefault="00000000">
            <w:pPr>
              <w:spacing w:after="40" w:line="276" w:lineRule="auto"/>
            </w:pPr>
            <w:r>
              <w:rPr>
                <w:sz w:val="18"/>
                <w:szCs w:val="18"/>
              </w:rPr>
              <w:t>• Total budget: £2.1 million</w:t>
            </w:r>
          </w:p>
          <w:p w14:paraId="74BD1866" w14:textId="77777777" w:rsidR="00210538" w:rsidRDefault="00000000">
            <w:pPr>
              <w:spacing w:after="40" w:line="276" w:lineRule="auto"/>
            </w:pPr>
            <w:r>
              <w:rPr>
                <w:sz w:val="18"/>
                <w:szCs w:val="18"/>
              </w:rPr>
              <w:t>• Implementation partner fees: 45%</w:t>
            </w:r>
          </w:p>
          <w:p w14:paraId="155DFF16" w14:textId="77777777" w:rsidR="00210538" w:rsidRDefault="00000000">
            <w:pPr>
              <w:spacing w:after="40" w:line="276" w:lineRule="auto"/>
            </w:pPr>
            <w:r>
              <w:rPr>
                <w:sz w:val="18"/>
                <w:szCs w:val="18"/>
              </w:rPr>
              <w:t>• Internal staff time: 25%</w:t>
            </w:r>
          </w:p>
          <w:p w14:paraId="520FB666" w14:textId="77777777" w:rsidR="00210538" w:rsidRDefault="00000000">
            <w:pPr>
              <w:spacing w:after="40" w:line="276" w:lineRule="auto"/>
            </w:pPr>
            <w:r>
              <w:rPr>
                <w:sz w:val="18"/>
                <w:szCs w:val="18"/>
              </w:rPr>
              <w:t>• Licences &amp; hosting: 15%</w:t>
            </w:r>
          </w:p>
          <w:p w14:paraId="3FD544DE" w14:textId="77777777" w:rsidR="00210538" w:rsidRDefault="00000000">
            <w:pPr>
              <w:spacing w:after="40" w:line="276" w:lineRule="auto"/>
            </w:pPr>
            <w:r>
              <w:rPr>
                <w:sz w:val="18"/>
                <w:szCs w:val="18"/>
              </w:rPr>
              <w:t>• Hardware/network: 5%</w:t>
            </w:r>
          </w:p>
          <w:p w14:paraId="73BFBC02" w14:textId="77777777" w:rsidR="00210538" w:rsidRDefault="00000000">
            <w:pPr>
              <w:spacing w:after="40" w:line="276" w:lineRule="auto"/>
            </w:pPr>
            <w:r>
              <w:rPr>
                <w:sz w:val="18"/>
                <w:szCs w:val="18"/>
              </w:rPr>
              <w:t>• Contingency reserve: 10%</w:t>
            </w:r>
          </w:p>
        </w:tc>
        <w:tc>
          <w:tcPr>
            <w:tcW w:w="4800" w:type="dxa"/>
            <w:shd w:val="clear" w:color="auto" w:fill="FCE4E4"/>
            <w:tcMar>
              <w:top w:w="120" w:type="dxa"/>
              <w:left w:w="140" w:type="dxa"/>
              <w:bottom w:w="120" w:type="dxa"/>
              <w:right w:w="140" w:type="dxa"/>
            </w:tcMar>
          </w:tcPr>
          <w:p w14:paraId="1D9C7DE2" w14:textId="77777777" w:rsidR="00210538" w:rsidRDefault="00000000">
            <w:pPr>
              <w:spacing w:after="100" w:line="276" w:lineRule="auto"/>
            </w:pPr>
            <w:r>
              <w:rPr>
                <w:b/>
                <w:bCs/>
                <w:sz w:val="20"/>
                <w:szCs w:val="20"/>
              </w:rPr>
              <w:t>RISK &amp; STATUS</w:t>
            </w:r>
          </w:p>
          <w:p w14:paraId="179602D2" w14:textId="77777777" w:rsidR="00210538" w:rsidRDefault="00000000">
            <w:pPr>
              <w:spacing w:after="40" w:line="276" w:lineRule="auto"/>
            </w:pPr>
            <w:r>
              <w:rPr>
                <w:sz w:val="18"/>
                <w:szCs w:val="18"/>
              </w:rPr>
              <w:t>• Top risk: data-migration quality</w:t>
            </w:r>
          </w:p>
          <w:p w14:paraId="70F70335" w14:textId="77777777" w:rsidR="00210538" w:rsidRDefault="00000000">
            <w:pPr>
              <w:spacing w:after="40" w:line="276" w:lineRule="auto"/>
            </w:pPr>
            <w:r>
              <w:rPr>
                <w:sz w:val="18"/>
                <w:szCs w:val="18"/>
              </w:rPr>
              <w:t>• Top risk: user adoption</w:t>
            </w:r>
          </w:p>
          <w:p w14:paraId="4F430F0D" w14:textId="77777777" w:rsidR="00210538" w:rsidRDefault="00000000">
            <w:pPr>
              <w:spacing w:after="40" w:line="276" w:lineRule="auto"/>
            </w:pPr>
            <w:r>
              <w:rPr>
                <w:sz w:val="18"/>
                <w:szCs w:val="18"/>
              </w:rPr>
              <w:t>• Top risk: vendor resource availability</w:t>
            </w:r>
          </w:p>
          <w:p w14:paraId="5AA536DE" w14:textId="77777777" w:rsidR="00210538" w:rsidRDefault="00000000">
            <w:pPr>
              <w:spacing w:after="40" w:line="276" w:lineRule="auto"/>
            </w:pPr>
            <w:r>
              <w:rPr>
                <w:sz w:val="18"/>
                <w:szCs w:val="18"/>
              </w:rPr>
              <w:t>• Overall status: reviewed monthly (RAG rating)</w:t>
            </w:r>
          </w:p>
        </w:tc>
      </w:tr>
    </w:tbl>
    <w:p w14:paraId="4608C99F" w14:textId="77777777" w:rsidR="00210538" w:rsidRDefault="00000000">
      <w:pPr>
        <w:spacing w:before="120" w:after="200" w:line="360" w:lineRule="auto"/>
        <w:jc w:val="center"/>
      </w:pPr>
      <w:r>
        <w:rPr>
          <w:b/>
          <w:bCs/>
        </w:rPr>
        <w:t>Figure 1: Project Catalyst Quad Chart</w:t>
      </w:r>
    </w:p>
    <w:p w14:paraId="5A2BA1E4" w14:textId="77777777" w:rsidR="00210538" w:rsidRDefault="00000000">
      <w:pPr>
        <w:pStyle w:val="Heading1"/>
      </w:pPr>
      <w:r>
        <w:t>6. Gantt Chart</w:t>
      </w:r>
    </w:p>
    <w:p w14:paraId="358BA16A" w14:textId="77777777" w:rsidR="00BD3860" w:rsidRDefault="00BD3860" w:rsidP="00BD3860">
      <w:pPr>
        <w:pStyle w:val="NormalWeb"/>
        <w:spacing w:line="360" w:lineRule="auto"/>
        <w:rPr>
          <w:color w:val="000000"/>
        </w:rPr>
      </w:pPr>
      <w:r>
        <w:rPr>
          <w:color w:val="000000"/>
        </w:rPr>
        <w:t xml:space="preserve">Project schedule shown as a Gantt chart (chose due to its established track record of communicating overlaps and duration to technical and non-technical stakeholders alike) in </w:t>
      </w:r>
      <w:r>
        <w:rPr>
          <w:color w:val="000000"/>
        </w:rPr>
        <w:lastRenderedPageBreak/>
        <w:t>figure 2 (Wilson, 2003). The twelve-month schedule lays out the eight WBS phases (in Table 1), with configuration and data migration somewhat overlapping to shorten the timeline, and testing starting before configuration is complete for modules stabilizing quickly.</w:t>
      </w:r>
    </w:p>
    <w:p w14:paraId="48BC27F7" w14:textId="77777777" w:rsidR="00BD3860" w:rsidRDefault="00BD3860" w:rsidP="00BD3860">
      <w:pPr>
        <w:pStyle w:val="NormalWeb"/>
        <w:spacing w:line="360" w:lineRule="auto"/>
        <w:rPr>
          <w:color w:val="000000"/>
        </w:rPr>
      </w:pPr>
      <w:r>
        <w:rPr>
          <w:color w:val="000000"/>
        </w:rPr>
        <w:t xml:space="preserve">The plan is anchored in five milestones: approval of the business case and charter at the end of Month 1; sign-off on the functional design at month-end, Month 3; completion of system configuration at month-end, Month 6; completion of user acceptance testing (UAT) by the end of Month 9; go-live with a four-week </w:t>
      </w:r>
      <w:proofErr w:type="spellStart"/>
      <w:r>
        <w:rPr>
          <w:color w:val="000000"/>
        </w:rPr>
        <w:t>hypercare</w:t>
      </w:r>
      <w:proofErr w:type="spellEnd"/>
      <w:r>
        <w:rPr>
          <w:color w:val="000000"/>
        </w:rPr>
        <w:t xml:space="preserve"> period before closure in Month 12.</w:t>
      </w:r>
    </w:p>
    <w:tbl>
      <w:tblPr>
        <w:tblW w:w="956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2600"/>
        <w:gridCol w:w="580"/>
        <w:gridCol w:w="580"/>
        <w:gridCol w:w="580"/>
        <w:gridCol w:w="580"/>
        <w:gridCol w:w="580"/>
        <w:gridCol w:w="580"/>
        <w:gridCol w:w="580"/>
        <w:gridCol w:w="580"/>
        <w:gridCol w:w="580"/>
        <w:gridCol w:w="580"/>
        <w:gridCol w:w="580"/>
        <w:gridCol w:w="580"/>
      </w:tblGrid>
      <w:tr w:rsidR="00210538" w14:paraId="7BD2CA22" w14:textId="77777777">
        <w:tblPrEx>
          <w:tblCellMar>
            <w:top w:w="0" w:type="dxa"/>
            <w:bottom w:w="0" w:type="dxa"/>
          </w:tblCellMar>
        </w:tblPrEx>
        <w:trPr>
          <w:tblHeader/>
        </w:trPr>
        <w:tc>
          <w:tcPr>
            <w:tcW w:w="2600" w:type="dxa"/>
            <w:shd w:val="clear" w:color="auto" w:fill="D9D9D9"/>
            <w:tcMar>
              <w:top w:w="60" w:type="dxa"/>
              <w:left w:w="80" w:type="dxa"/>
              <w:bottom w:w="60" w:type="dxa"/>
              <w:right w:w="80" w:type="dxa"/>
            </w:tcMar>
            <w:vAlign w:val="center"/>
          </w:tcPr>
          <w:p w14:paraId="4A042B64" w14:textId="77777777" w:rsidR="00210538" w:rsidRDefault="00000000">
            <w:pPr>
              <w:spacing w:line="276" w:lineRule="auto"/>
            </w:pPr>
            <w:r>
              <w:rPr>
                <w:b/>
                <w:bCs/>
                <w:sz w:val="18"/>
                <w:szCs w:val="18"/>
              </w:rPr>
              <w:t>WBS Phase</w:t>
            </w:r>
          </w:p>
        </w:tc>
        <w:tc>
          <w:tcPr>
            <w:tcW w:w="580" w:type="dxa"/>
            <w:shd w:val="clear" w:color="auto" w:fill="D9D9D9"/>
            <w:tcMar>
              <w:top w:w="60" w:type="dxa"/>
              <w:left w:w="80" w:type="dxa"/>
              <w:bottom w:w="60" w:type="dxa"/>
              <w:right w:w="80" w:type="dxa"/>
            </w:tcMar>
            <w:vAlign w:val="center"/>
          </w:tcPr>
          <w:p w14:paraId="1D017924" w14:textId="77777777" w:rsidR="00210538" w:rsidRDefault="00000000">
            <w:pPr>
              <w:spacing w:line="276" w:lineRule="auto"/>
              <w:jc w:val="center"/>
            </w:pPr>
            <w:r>
              <w:rPr>
                <w:b/>
                <w:bCs/>
                <w:sz w:val="16"/>
                <w:szCs w:val="16"/>
              </w:rPr>
              <w:t>M1</w:t>
            </w:r>
          </w:p>
        </w:tc>
        <w:tc>
          <w:tcPr>
            <w:tcW w:w="580" w:type="dxa"/>
            <w:shd w:val="clear" w:color="auto" w:fill="D9D9D9"/>
            <w:tcMar>
              <w:top w:w="60" w:type="dxa"/>
              <w:left w:w="80" w:type="dxa"/>
              <w:bottom w:w="60" w:type="dxa"/>
              <w:right w:w="80" w:type="dxa"/>
            </w:tcMar>
            <w:vAlign w:val="center"/>
          </w:tcPr>
          <w:p w14:paraId="5C911D70" w14:textId="77777777" w:rsidR="00210538" w:rsidRDefault="00000000">
            <w:pPr>
              <w:spacing w:line="276" w:lineRule="auto"/>
              <w:jc w:val="center"/>
            </w:pPr>
            <w:r>
              <w:rPr>
                <w:b/>
                <w:bCs/>
                <w:sz w:val="16"/>
                <w:szCs w:val="16"/>
              </w:rPr>
              <w:t>M2</w:t>
            </w:r>
          </w:p>
        </w:tc>
        <w:tc>
          <w:tcPr>
            <w:tcW w:w="580" w:type="dxa"/>
            <w:shd w:val="clear" w:color="auto" w:fill="D9D9D9"/>
            <w:tcMar>
              <w:top w:w="60" w:type="dxa"/>
              <w:left w:w="80" w:type="dxa"/>
              <w:bottom w:w="60" w:type="dxa"/>
              <w:right w:w="80" w:type="dxa"/>
            </w:tcMar>
            <w:vAlign w:val="center"/>
          </w:tcPr>
          <w:p w14:paraId="462336D7" w14:textId="77777777" w:rsidR="00210538" w:rsidRDefault="00000000">
            <w:pPr>
              <w:spacing w:line="276" w:lineRule="auto"/>
              <w:jc w:val="center"/>
            </w:pPr>
            <w:r>
              <w:rPr>
                <w:b/>
                <w:bCs/>
                <w:sz w:val="16"/>
                <w:szCs w:val="16"/>
              </w:rPr>
              <w:t>M3</w:t>
            </w:r>
          </w:p>
        </w:tc>
        <w:tc>
          <w:tcPr>
            <w:tcW w:w="580" w:type="dxa"/>
            <w:shd w:val="clear" w:color="auto" w:fill="D9D9D9"/>
            <w:tcMar>
              <w:top w:w="60" w:type="dxa"/>
              <w:left w:w="80" w:type="dxa"/>
              <w:bottom w:w="60" w:type="dxa"/>
              <w:right w:w="80" w:type="dxa"/>
            </w:tcMar>
            <w:vAlign w:val="center"/>
          </w:tcPr>
          <w:p w14:paraId="4FFBB830" w14:textId="77777777" w:rsidR="00210538" w:rsidRDefault="00000000">
            <w:pPr>
              <w:spacing w:line="276" w:lineRule="auto"/>
              <w:jc w:val="center"/>
            </w:pPr>
            <w:r>
              <w:rPr>
                <w:b/>
                <w:bCs/>
                <w:sz w:val="16"/>
                <w:szCs w:val="16"/>
              </w:rPr>
              <w:t>M4</w:t>
            </w:r>
          </w:p>
        </w:tc>
        <w:tc>
          <w:tcPr>
            <w:tcW w:w="580" w:type="dxa"/>
            <w:shd w:val="clear" w:color="auto" w:fill="D9D9D9"/>
            <w:tcMar>
              <w:top w:w="60" w:type="dxa"/>
              <w:left w:w="80" w:type="dxa"/>
              <w:bottom w:w="60" w:type="dxa"/>
              <w:right w:w="80" w:type="dxa"/>
            </w:tcMar>
            <w:vAlign w:val="center"/>
          </w:tcPr>
          <w:p w14:paraId="06D5DA5D" w14:textId="77777777" w:rsidR="00210538" w:rsidRDefault="00000000">
            <w:pPr>
              <w:spacing w:line="276" w:lineRule="auto"/>
              <w:jc w:val="center"/>
            </w:pPr>
            <w:r>
              <w:rPr>
                <w:b/>
                <w:bCs/>
                <w:sz w:val="16"/>
                <w:szCs w:val="16"/>
              </w:rPr>
              <w:t>M5</w:t>
            </w:r>
          </w:p>
        </w:tc>
        <w:tc>
          <w:tcPr>
            <w:tcW w:w="580" w:type="dxa"/>
            <w:shd w:val="clear" w:color="auto" w:fill="D9D9D9"/>
            <w:tcMar>
              <w:top w:w="60" w:type="dxa"/>
              <w:left w:w="80" w:type="dxa"/>
              <w:bottom w:w="60" w:type="dxa"/>
              <w:right w:w="80" w:type="dxa"/>
            </w:tcMar>
            <w:vAlign w:val="center"/>
          </w:tcPr>
          <w:p w14:paraId="5526DBDB" w14:textId="77777777" w:rsidR="00210538" w:rsidRDefault="00000000">
            <w:pPr>
              <w:spacing w:line="276" w:lineRule="auto"/>
              <w:jc w:val="center"/>
            </w:pPr>
            <w:r>
              <w:rPr>
                <w:b/>
                <w:bCs/>
                <w:sz w:val="16"/>
                <w:szCs w:val="16"/>
              </w:rPr>
              <w:t>M6</w:t>
            </w:r>
          </w:p>
        </w:tc>
        <w:tc>
          <w:tcPr>
            <w:tcW w:w="580" w:type="dxa"/>
            <w:shd w:val="clear" w:color="auto" w:fill="D9D9D9"/>
            <w:tcMar>
              <w:top w:w="60" w:type="dxa"/>
              <w:left w:w="80" w:type="dxa"/>
              <w:bottom w:w="60" w:type="dxa"/>
              <w:right w:w="80" w:type="dxa"/>
            </w:tcMar>
            <w:vAlign w:val="center"/>
          </w:tcPr>
          <w:p w14:paraId="4ECD31A1" w14:textId="77777777" w:rsidR="00210538" w:rsidRDefault="00000000">
            <w:pPr>
              <w:spacing w:line="276" w:lineRule="auto"/>
              <w:jc w:val="center"/>
            </w:pPr>
            <w:r>
              <w:rPr>
                <w:b/>
                <w:bCs/>
                <w:sz w:val="16"/>
                <w:szCs w:val="16"/>
              </w:rPr>
              <w:t>M7</w:t>
            </w:r>
          </w:p>
        </w:tc>
        <w:tc>
          <w:tcPr>
            <w:tcW w:w="580" w:type="dxa"/>
            <w:shd w:val="clear" w:color="auto" w:fill="D9D9D9"/>
            <w:tcMar>
              <w:top w:w="60" w:type="dxa"/>
              <w:left w:w="80" w:type="dxa"/>
              <w:bottom w:w="60" w:type="dxa"/>
              <w:right w:w="80" w:type="dxa"/>
            </w:tcMar>
            <w:vAlign w:val="center"/>
          </w:tcPr>
          <w:p w14:paraId="30F5DBDC" w14:textId="77777777" w:rsidR="00210538" w:rsidRDefault="00000000">
            <w:pPr>
              <w:spacing w:line="276" w:lineRule="auto"/>
              <w:jc w:val="center"/>
            </w:pPr>
            <w:r>
              <w:rPr>
                <w:b/>
                <w:bCs/>
                <w:sz w:val="16"/>
                <w:szCs w:val="16"/>
              </w:rPr>
              <w:t>M8</w:t>
            </w:r>
          </w:p>
        </w:tc>
        <w:tc>
          <w:tcPr>
            <w:tcW w:w="580" w:type="dxa"/>
            <w:shd w:val="clear" w:color="auto" w:fill="D9D9D9"/>
            <w:tcMar>
              <w:top w:w="60" w:type="dxa"/>
              <w:left w:w="80" w:type="dxa"/>
              <w:bottom w:w="60" w:type="dxa"/>
              <w:right w:w="80" w:type="dxa"/>
            </w:tcMar>
            <w:vAlign w:val="center"/>
          </w:tcPr>
          <w:p w14:paraId="63004FC0" w14:textId="77777777" w:rsidR="00210538" w:rsidRDefault="00000000">
            <w:pPr>
              <w:spacing w:line="276" w:lineRule="auto"/>
              <w:jc w:val="center"/>
            </w:pPr>
            <w:r>
              <w:rPr>
                <w:b/>
                <w:bCs/>
                <w:sz w:val="16"/>
                <w:szCs w:val="16"/>
              </w:rPr>
              <w:t>M9</w:t>
            </w:r>
          </w:p>
        </w:tc>
        <w:tc>
          <w:tcPr>
            <w:tcW w:w="580" w:type="dxa"/>
            <w:shd w:val="clear" w:color="auto" w:fill="D9D9D9"/>
            <w:tcMar>
              <w:top w:w="60" w:type="dxa"/>
              <w:left w:w="80" w:type="dxa"/>
              <w:bottom w:w="60" w:type="dxa"/>
              <w:right w:w="80" w:type="dxa"/>
            </w:tcMar>
            <w:vAlign w:val="center"/>
          </w:tcPr>
          <w:p w14:paraId="1E0067DF" w14:textId="77777777" w:rsidR="00210538" w:rsidRDefault="00000000">
            <w:pPr>
              <w:spacing w:line="276" w:lineRule="auto"/>
              <w:jc w:val="center"/>
            </w:pPr>
            <w:r>
              <w:rPr>
                <w:b/>
                <w:bCs/>
                <w:sz w:val="16"/>
                <w:szCs w:val="16"/>
              </w:rPr>
              <w:t>M10</w:t>
            </w:r>
          </w:p>
        </w:tc>
        <w:tc>
          <w:tcPr>
            <w:tcW w:w="580" w:type="dxa"/>
            <w:shd w:val="clear" w:color="auto" w:fill="D9D9D9"/>
            <w:tcMar>
              <w:top w:w="60" w:type="dxa"/>
              <w:left w:w="80" w:type="dxa"/>
              <w:bottom w:w="60" w:type="dxa"/>
              <w:right w:w="80" w:type="dxa"/>
            </w:tcMar>
            <w:vAlign w:val="center"/>
          </w:tcPr>
          <w:p w14:paraId="109D97CD" w14:textId="77777777" w:rsidR="00210538" w:rsidRDefault="00000000">
            <w:pPr>
              <w:spacing w:line="276" w:lineRule="auto"/>
              <w:jc w:val="center"/>
            </w:pPr>
            <w:r>
              <w:rPr>
                <w:b/>
                <w:bCs/>
                <w:sz w:val="16"/>
                <w:szCs w:val="16"/>
              </w:rPr>
              <w:t>M11</w:t>
            </w:r>
          </w:p>
        </w:tc>
        <w:tc>
          <w:tcPr>
            <w:tcW w:w="580" w:type="dxa"/>
            <w:shd w:val="clear" w:color="auto" w:fill="D9D9D9"/>
            <w:tcMar>
              <w:top w:w="60" w:type="dxa"/>
              <w:left w:w="80" w:type="dxa"/>
              <w:bottom w:w="60" w:type="dxa"/>
              <w:right w:w="80" w:type="dxa"/>
            </w:tcMar>
            <w:vAlign w:val="center"/>
          </w:tcPr>
          <w:p w14:paraId="08D55962" w14:textId="77777777" w:rsidR="00210538" w:rsidRDefault="00000000">
            <w:pPr>
              <w:spacing w:line="276" w:lineRule="auto"/>
              <w:jc w:val="center"/>
            </w:pPr>
            <w:r>
              <w:rPr>
                <w:b/>
                <w:bCs/>
                <w:sz w:val="16"/>
                <w:szCs w:val="16"/>
              </w:rPr>
              <w:t>M12</w:t>
            </w:r>
          </w:p>
        </w:tc>
      </w:tr>
      <w:tr w:rsidR="00210538" w14:paraId="57CA452B" w14:textId="77777777">
        <w:tblPrEx>
          <w:tblCellMar>
            <w:top w:w="0" w:type="dxa"/>
            <w:bottom w:w="0" w:type="dxa"/>
          </w:tblCellMar>
        </w:tblPrEx>
        <w:tc>
          <w:tcPr>
            <w:tcW w:w="2600" w:type="dxa"/>
            <w:tcMar>
              <w:top w:w="60" w:type="dxa"/>
              <w:left w:w="80" w:type="dxa"/>
              <w:bottom w:w="60" w:type="dxa"/>
              <w:right w:w="80" w:type="dxa"/>
            </w:tcMar>
            <w:vAlign w:val="center"/>
          </w:tcPr>
          <w:p w14:paraId="60A169C5" w14:textId="77777777" w:rsidR="00210538" w:rsidRDefault="00000000">
            <w:pPr>
              <w:spacing w:line="276" w:lineRule="auto"/>
            </w:pPr>
            <w:r>
              <w:rPr>
                <w:sz w:val="17"/>
                <w:szCs w:val="17"/>
              </w:rPr>
              <w:t>1.0 Initiation &amp; Governance</w:t>
            </w:r>
          </w:p>
        </w:tc>
        <w:tc>
          <w:tcPr>
            <w:tcW w:w="580" w:type="dxa"/>
            <w:shd w:val="clear" w:color="auto" w:fill="4472C4"/>
            <w:tcMar>
              <w:top w:w="60" w:type="dxa"/>
              <w:left w:w="80" w:type="dxa"/>
              <w:bottom w:w="60" w:type="dxa"/>
              <w:right w:w="80" w:type="dxa"/>
            </w:tcMar>
            <w:vAlign w:val="center"/>
          </w:tcPr>
          <w:p w14:paraId="2B63884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470D4B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79DCCD9"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BC85C2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084FEC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392F806C"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E5E7E6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3A2541F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25F775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371442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B5165D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CBBB2E1" w14:textId="77777777" w:rsidR="00210538" w:rsidRDefault="00210538">
            <w:pPr>
              <w:spacing w:line="276" w:lineRule="auto"/>
            </w:pPr>
          </w:p>
        </w:tc>
      </w:tr>
      <w:tr w:rsidR="00210538" w14:paraId="12906E1E" w14:textId="77777777">
        <w:tblPrEx>
          <w:tblCellMar>
            <w:top w:w="0" w:type="dxa"/>
            <w:bottom w:w="0" w:type="dxa"/>
          </w:tblCellMar>
        </w:tblPrEx>
        <w:tc>
          <w:tcPr>
            <w:tcW w:w="2600" w:type="dxa"/>
            <w:tcMar>
              <w:top w:w="60" w:type="dxa"/>
              <w:left w:w="80" w:type="dxa"/>
              <w:bottom w:w="60" w:type="dxa"/>
              <w:right w:w="80" w:type="dxa"/>
            </w:tcMar>
            <w:vAlign w:val="center"/>
          </w:tcPr>
          <w:p w14:paraId="05CC5DE3" w14:textId="77777777" w:rsidR="00210538" w:rsidRDefault="00000000">
            <w:pPr>
              <w:spacing w:line="276" w:lineRule="auto"/>
            </w:pPr>
            <w:r>
              <w:rPr>
                <w:sz w:val="17"/>
                <w:szCs w:val="17"/>
              </w:rPr>
              <w:t>2.0 Requirements &amp; Design</w:t>
            </w:r>
          </w:p>
        </w:tc>
        <w:tc>
          <w:tcPr>
            <w:tcW w:w="580" w:type="dxa"/>
            <w:shd w:val="clear" w:color="auto" w:fill="FFFFFF"/>
            <w:tcMar>
              <w:top w:w="60" w:type="dxa"/>
              <w:left w:w="80" w:type="dxa"/>
              <w:bottom w:w="60" w:type="dxa"/>
              <w:right w:w="80" w:type="dxa"/>
            </w:tcMar>
            <w:vAlign w:val="center"/>
          </w:tcPr>
          <w:p w14:paraId="0C3A8A16"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3CD01F72"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17532DC3"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D0F410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D3F2D77"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BC032C6"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768E293"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DC8D2A2"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C45514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5A4C65D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3FEAC5E9"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CB76452" w14:textId="77777777" w:rsidR="00210538" w:rsidRDefault="00210538">
            <w:pPr>
              <w:spacing w:line="276" w:lineRule="auto"/>
            </w:pPr>
          </w:p>
        </w:tc>
      </w:tr>
      <w:tr w:rsidR="00210538" w14:paraId="1F4086A6" w14:textId="77777777">
        <w:tblPrEx>
          <w:tblCellMar>
            <w:top w:w="0" w:type="dxa"/>
            <w:bottom w:w="0" w:type="dxa"/>
          </w:tblCellMar>
        </w:tblPrEx>
        <w:tc>
          <w:tcPr>
            <w:tcW w:w="2600" w:type="dxa"/>
            <w:tcMar>
              <w:top w:w="60" w:type="dxa"/>
              <w:left w:w="80" w:type="dxa"/>
              <w:bottom w:w="60" w:type="dxa"/>
              <w:right w:w="80" w:type="dxa"/>
            </w:tcMar>
            <w:vAlign w:val="center"/>
          </w:tcPr>
          <w:p w14:paraId="49DD1D96" w14:textId="77777777" w:rsidR="00210538" w:rsidRDefault="00000000">
            <w:pPr>
              <w:spacing w:line="276" w:lineRule="auto"/>
            </w:pPr>
            <w:r>
              <w:rPr>
                <w:sz w:val="17"/>
                <w:szCs w:val="17"/>
              </w:rPr>
              <w:t>3.0 System Configuration</w:t>
            </w:r>
          </w:p>
        </w:tc>
        <w:tc>
          <w:tcPr>
            <w:tcW w:w="580" w:type="dxa"/>
            <w:shd w:val="clear" w:color="auto" w:fill="FFFFFF"/>
            <w:tcMar>
              <w:top w:w="60" w:type="dxa"/>
              <w:left w:w="80" w:type="dxa"/>
              <w:bottom w:w="60" w:type="dxa"/>
              <w:right w:w="80" w:type="dxa"/>
            </w:tcMar>
            <w:vAlign w:val="center"/>
          </w:tcPr>
          <w:p w14:paraId="42C4CF2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34C8FFF"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7B3CE846"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6AA7BFEF"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407B336D"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5170C34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DFF423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49D361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E31DE76"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A302C4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5520AB9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1629D7C" w14:textId="77777777" w:rsidR="00210538" w:rsidRDefault="00210538">
            <w:pPr>
              <w:spacing w:line="276" w:lineRule="auto"/>
            </w:pPr>
          </w:p>
        </w:tc>
      </w:tr>
      <w:tr w:rsidR="00210538" w14:paraId="18276221" w14:textId="77777777">
        <w:tblPrEx>
          <w:tblCellMar>
            <w:top w:w="0" w:type="dxa"/>
            <w:bottom w:w="0" w:type="dxa"/>
          </w:tblCellMar>
        </w:tblPrEx>
        <w:tc>
          <w:tcPr>
            <w:tcW w:w="2600" w:type="dxa"/>
            <w:tcMar>
              <w:top w:w="60" w:type="dxa"/>
              <w:left w:w="80" w:type="dxa"/>
              <w:bottom w:w="60" w:type="dxa"/>
              <w:right w:w="80" w:type="dxa"/>
            </w:tcMar>
            <w:vAlign w:val="center"/>
          </w:tcPr>
          <w:p w14:paraId="097A57AA" w14:textId="77777777" w:rsidR="00210538" w:rsidRDefault="00000000">
            <w:pPr>
              <w:spacing w:line="276" w:lineRule="auto"/>
            </w:pPr>
            <w:r>
              <w:rPr>
                <w:sz w:val="17"/>
                <w:szCs w:val="17"/>
              </w:rPr>
              <w:t>4.0 Data Migration</w:t>
            </w:r>
          </w:p>
        </w:tc>
        <w:tc>
          <w:tcPr>
            <w:tcW w:w="580" w:type="dxa"/>
            <w:shd w:val="clear" w:color="auto" w:fill="FFFFFF"/>
            <w:tcMar>
              <w:top w:w="60" w:type="dxa"/>
              <w:left w:w="80" w:type="dxa"/>
              <w:bottom w:w="60" w:type="dxa"/>
              <w:right w:w="80" w:type="dxa"/>
            </w:tcMar>
            <w:vAlign w:val="center"/>
          </w:tcPr>
          <w:p w14:paraId="3581C19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DEBA2F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3D83FB6"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7A1122B9"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7E6E0BD7"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5EC921E0"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6525886E"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6BEFE00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C72D80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CD6F3F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D592537"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FF57F74" w14:textId="77777777" w:rsidR="00210538" w:rsidRDefault="00210538">
            <w:pPr>
              <w:spacing w:line="276" w:lineRule="auto"/>
            </w:pPr>
          </w:p>
        </w:tc>
      </w:tr>
      <w:tr w:rsidR="00210538" w14:paraId="04A7FC07" w14:textId="77777777">
        <w:tblPrEx>
          <w:tblCellMar>
            <w:top w:w="0" w:type="dxa"/>
            <w:bottom w:w="0" w:type="dxa"/>
          </w:tblCellMar>
        </w:tblPrEx>
        <w:tc>
          <w:tcPr>
            <w:tcW w:w="2600" w:type="dxa"/>
            <w:tcMar>
              <w:top w:w="60" w:type="dxa"/>
              <w:left w:w="80" w:type="dxa"/>
              <w:bottom w:w="60" w:type="dxa"/>
              <w:right w:w="80" w:type="dxa"/>
            </w:tcMar>
            <w:vAlign w:val="center"/>
          </w:tcPr>
          <w:p w14:paraId="39EC4F6D" w14:textId="77777777" w:rsidR="00210538" w:rsidRDefault="00000000">
            <w:pPr>
              <w:spacing w:line="276" w:lineRule="auto"/>
            </w:pPr>
            <w:r>
              <w:rPr>
                <w:sz w:val="17"/>
                <w:szCs w:val="17"/>
              </w:rPr>
              <w:t>5.0 Testing</w:t>
            </w:r>
          </w:p>
        </w:tc>
        <w:tc>
          <w:tcPr>
            <w:tcW w:w="580" w:type="dxa"/>
            <w:shd w:val="clear" w:color="auto" w:fill="FFFFFF"/>
            <w:tcMar>
              <w:top w:w="60" w:type="dxa"/>
              <w:left w:w="80" w:type="dxa"/>
              <w:bottom w:w="60" w:type="dxa"/>
              <w:right w:w="80" w:type="dxa"/>
            </w:tcMar>
            <w:vAlign w:val="center"/>
          </w:tcPr>
          <w:p w14:paraId="39AFCE5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88C5705"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AF32C1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DF03172"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2A5C53F"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7C8CCBC3"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4071FBCA"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6FD54946"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6468FAE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A6EBFD8"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5C29D54"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61A93E1" w14:textId="77777777" w:rsidR="00210538" w:rsidRDefault="00210538">
            <w:pPr>
              <w:spacing w:line="276" w:lineRule="auto"/>
            </w:pPr>
          </w:p>
        </w:tc>
      </w:tr>
      <w:tr w:rsidR="00210538" w14:paraId="5153C884" w14:textId="77777777">
        <w:tblPrEx>
          <w:tblCellMar>
            <w:top w:w="0" w:type="dxa"/>
            <w:bottom w:w="0" w:type="dxa"/>
          </w:tblCellMar>
        </w:tblPrEx>
        <w:tc>
          <w:tcPr>
            <w:tcW w:w="2600" w:type="dxa"/>
            <w:tcMar>
              <w:top w:w="60" w:type="dxa"/>
              <w:left w:w="80" w:type="dxa"/>
              <w:bottom w:w="60" w:type="dxa"/>
              <w:right w:w="80" w:type="dxa"/>
            </w:tcMar>
            <w:vAlign w:val="center"/>
          </w:tcPr>
          <w:p w14:paraId="3B7C517D" w14:textId="77777777" w:rsidR="00210538" w:rsidRDefault="00000000">
            <w:pPr>
              <w:spacing w:line="276" w:lineRule="auto"/>
            </w:pPr>
            <w:r>
              <w:rPr>
                <w:sz w:val="17"/>
                <w:szCs w:val="17"/>
              </w:rPr>
              <w:t xml:space="preserve">6.0 Training &amp; Change </w:t>
            </w:r>
            <w:proofErr w:type="spellStart"/>
            <w:r>
              <w:rPr>
                <w:sz w:val="17"/>
                <w:szCs w:val="17"/>
              </w:rPr>
              <w:t>Mgmt</w:t>
            </w:r>
            <w:proofErr w:type="spellEnd"/>
          </w:p>
        </w:tc>
        <w:tc>
          <w:tcPr>
            <w:tcW w:w="580" w:type="dxa"/>
            <w:shd w:val="clear" w:color="auto" w:fill="FFFFFF"/>
            <w:tcMar>
              <w:top w:w="60" w:type="dxa"/>
              <w:left w:w="80" w:type="dxa"/>
              <w:bottom w:w="60" w:type="dxa"/>
              <w:right w:w="80" w:type="dxa"/>
            </w:tcMar>
            <w:vAlign w:val="center"/>
          </w:tcPr>
          <w:p w14:paraId="2B4F040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15B1FD2"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FE07E7F"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261CBB8"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CD115C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C3E5003"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4D904434"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329552D0"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2596B9D3"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22639956"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1FE4F3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4328636" w14:textId="77777777" w:rsidR="00210538" w:rsidRDefault="00210538">
            <w:pPr>
              <w:spacing w:line="276" w:lineRule="auto"/>
            </w:pPr>
          </w:p>
        </w:tc>
      </w:tr>
      <w:tr w:rsidR="00210538" w14:paraId="09E89BA2" w14:textId="77777777">
        <w:tblPrEx>
          <w:tblCellMar>
            <w:top w:w="0" w:type="dxa"/>
            <w:bottom w:w="0" w:type="dxa"/>
          </w:tblCellMar>
        </w:tblPrEx>
        <w:tc>
          <w:tcPr>
            <w:tcW w:w="2600" w:type="dxa"/>
            <w:tcMar>
              <w:top w:w="60" w:type="dxa"/>
              <w:left w:w="80" w:type="dxa"/>
              <w:bottom w:w="60" w:type="dxa"/>
              <w:right w:w="80" w:type="dxa"/>
            </w:tcMar>
            <w:vAlign w:val="center"/>
          </w:tcPr>
          <w:p w14:paraId="16405662" w14:textId="77777777" w:rsidR="00210538" w:rsidRDefault="00000000">
            <w:pPr>
              <w:spacing w:line="276" w:lineRule="auto"/>
            </w:pPr>
            <w:r>
              <w:rPr>
                <w:sz w:val="17"/>
                <w:szCs w:val="17"/>
              </w:rPr>
              <w:t>7.0 Go-Live &amp; Hypercare</w:t>
            </w:r>
          </w:p>
        </w:tc>
        <w:tc>
          <w:tcPr>
            <w:tcW w:w="580" w:type="dxa"/>
            <w:shd w:val="clear" w:color="auto" w:fill="FFFFFF"/>
            <w:tcMar>
              <w:top w:w="60" w:type="dxa"/>
              <w:left w:w="80" w:type="dxa"/>
              <w:bottom w:w="60" w:type="dxa"/>
              <w:right w:w="80" w:type="dxa"/>
            </w:tcMar>
            <w:vAlign w:val="center"/>
          </w:tcPr>
          <w:p w14:paraId="3D3EACB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873D9E5"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F7AE6A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8EE906C"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327424B"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42726E3"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D0BC508"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7929367"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D2DCBE7"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0F455ED"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18914C6D"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192DB795" w14:textId="77777777" w:rsidR="00210538" w:rsidRDefault="00210538">
            <w:pPr>
              <w:spacing w:line="276" w:lineRule="auto"/>
            </w:pPr>
          </w:p>
        </w:tc>
      </w:tr>
      <w:tr w:rsidR="00210538" w14:paraId="067506A2" w14:textId="77777777">
        <w:tblPrEx>
          <w:tblCellMar>
            <w:top w:w="0" w:type="dxa"/>
            <w:bottom w:w="0" w:type="dxa"/>
          </w:tblCellMar>
        </w:tblPrEx>
        <w:tc>
          <w:tcPr>
            <w:tcW w:w="2600" w:type="dxa"/>
            <w:tcMar>
              <w:top w:w="60" w:type="dxa"/>
              <w:left w:w="80" w:type="dxa"/>
              <w:bottom w:w="60" w:type="dxa"/>
              <w:right w:w="80" w:type="dxa"/>
            </w:tcMar>
            <w:vAlign w:val="center"/>
          </w:tcPr>
          <w:p w14:paraId="3BA75AC9" w14:textId="77777777" w:rsidR="00210538" w:rsidRDefault="00000000">
            <w:pPr>
              <w:spacing w:line="276" w:lineRule="auto"/>
            </w:pPr>
            <w:r>
              <w:rPr>
                <w:sz w:val="17"/>
                <w:szCs w:val="17"/>
              </w:rPr>
              <w:t>8.0 Project Closure</w:t>
            </w:r>
          </w:p>
        </w:tc>
        <w:tc>
          <w:tcPr>
            <w:tcW w:w="580" w:type="dxa"/>
            <w:shd w:val="clear" w:color="auto" w:fill="FFFFFF"/>
            <w:tcMar>
              <w:top w:w="60" w:type="dxa"/>
              <w:left w:w="80" w:type="dxa"/>
              <w:bottom w:w="60" w:type="dxa"/>
              <w:right w:w="80" w:type="dxa"/>
            </w:tcMar>
            <w:vAlign w:val="center"/>
          </w:tcPr>
          <w:p w14:paraId="1E52AF0F"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5128459"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126C497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5F4BFD40"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13F6CFA"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7944556F"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D8E8061"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6EDFF49C"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20B7E9AD"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4A8C65FE" w14:textId="77777777" w:rsidR="00210538" w:rsidRDefault="00210538">
            <w:pPr>
              <w:spacing w:line="276" w:lineRule="auto"/>
            </w:pPr>
          </w:p>
        </w:tc>
        <w:tc>
          <w:tcPr>
            <w:tcW w:w="580" w:type="dxa"/>
            <w:shd w:val="clear" w:color="auto" w:fill="FFFFFF"/>
            <w:tcMar>
              <w:top w:w="60" w:type="dxa"/>
              <w:left w:w="80" w:type="dxa"/>
              <w:bottom w:w="60" w:type="dxa"/>
              <w:right w:w="80" w:type="dxa"/>
            </w:tcMar>
            <w:vAlign w:val="center"/>
          </w:tcPr>
          <w:p w14:paraId="07319A71" w14:textId="77777777" w:rsidR="00210538" w:rsidRDefault="00210538">
            <w:pPr>
              <w:spacing w:line="276" w:lineRule="auto"/>
            </w:pPr>
          </w:p>
        </w:tc>
        <w:tc>
          <w:tcPr>
            <w:tcW w:w="580" w:type="dxa"/>
            <w:shd w:val="clear" w:color="auto" w:fill="4472C4"/>
            <w:tcMar>
              <w:top w:w="60" w:type="dxa"/>
              <w:left w:w="80" w:type="dxa"/>
              <w:bottom w:w="60" w:type="dxa"/>
              <w:right w:w="80" w:type="dxa"/>
            </w:tcMar>
            <w:vAlign w:val="center"/>
          </w:tcPr>
          <w:p w14:paraId="14FE9A60" w14:textId="77777777" w:rsidR="00210538" w:rsidRDefault="00210538">
            <w:pPr>
              <w:spacing w:line="276" w:lineRule="auto"/>
            </w:pPr>
          </w:p>
        </w:tc>
      </w:tr>
    </w:tbl>
    <w:p w14:paraId="528C1957" w14:textId="77777777" w:rsidR="00210538" w:rsidRDefault="00000000">
      <w:pPr>
        <w:spacing w:before="120" w:after="200" w:line="360" w:lineRule="auto"/>
        <w:jc w:val="center"/>
      </w:pPr>
      <w:r>
        <w:rPr>
          <w:b/>
          <w:bCs/>
        </w:rPr>
        <w:t>Figure 2: Project Catalyst Gantt Chart (shaded cells indicate active months)</w:t>
      </w:r>
    </w:p>
    <w:p w14:paraId="044DCE4C" w14:textId="77777777" w:rsidR="00BD3860" w:rsidRDefault="00BD3860" w:rsidP="00BD3860">
      <w:pPr>
        <w:pStyle w:val="NormalWeb"/>
        <w:spacing w:line="360" w:lineRule="auto"/>
        <w:rPr>
          <w:color w:val="000000"/>
        </w:rPr>
      </w:pPr>
      <w:r>
        <w:rPr>
          <w:color w:val="000000"/>
        </w:rPr>
        <w:t>The design phase, configuration of the production-planning module, data migration and user acceptance testing are on the critical path: slip in any of these activities translates directly to delay in go-live. The Project Manager conducts a weekly review of progress against the Gantt Chart and communicates any variances to the Steering Committee on the quad chart described in Section 5 so that corrective action i.e., reviewing resource allocation or scope, can be taken before delays snowball.</w:t>
      </w:r>
    </w:p>
    <w:p w14:paraId="334F80B2" w14:textId="77777777" w:rsidR="00210538" w:rsidRDefault="00000000">
      <w:pPr>
        <w:pStyle w:val="Heading1"/>
      </w:pPr>
      <w:r>
        <w:t>7. Stakeholders' Involvement</w:t>
      </w:r>
    </w:p>
    <w:p w14:paraId="0C08FCB1" w14:textId="77777777" w:rsidR="00210538" w:rsidRDefault="00000000">
      <w:pPr>
        <w:spacing w:after="200" w:line="360" w:lineRule="auto"/>
        <w:jc w:val="both"/>
      </w:pPr>
      <w:r>
        <w:t>Stakeholder engagement follows Mendelow's (1991) power-interest framework, which classifies stakeholders according to their influence over the project and their level of interest in its outcome, allowing engagement effort to be targeted where it delivers the greatest benefit. Table 2 summarises the principal stakeholder groups for Project Catalyst.</w:t>
      </w:r>
    </w:p>
    <w:p w14:paraId="4FD2C57A" w14:textId="77777777" w:rsidR="00210538" w:rsidRDefault="00000000">
      <w:pPr>
        <w:spacing w:after="120" w:line="360" w:lineRule="auto"/>
        <w:jc w:val="center"/>
      </w:pPr>
      <w:r>
        <w:rPr>
          <w:b/>
          <w:bCs/>
        </w:rPr>
        <w:lastRenderedPageBreak/>
        <w:t>Table 2: Stakeholder Power-Interest Analysis</w:t>
      </w:r>
    </w:p>
    <w:tbl>
      <w:tblPr>
        <w:tblW w:w="96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2600"/>
        <w:gridCol w:w="1200"/>
        <w:gridCol w:w="1200"/>
        <w:gridCol w:w="4600"/>
      </w:tblGrid>
      <w:tr w:rsidR="00210538" w14:paraId="5F64269C" w14:textId="77777777">
        <w:tblPrEx>
          <w:tblCellMar>
            <w:top w:w="0" w:type="dxa"/>
            <w:bottom w:w="0" w:type="dxa"/>
          </w:tblCellMar>
        </w:tblPrEx>
        <w:trPr>
          <w:tblHeader/>
        </w:trPr>
        <w:tc>
          <w:tcPr>
            <w:tcW w:w="2600" w:type="dxa"/>
            <w:shd w:val="clear" w:color="auto" w:fill="D9D9D9"/>
            <w:tcMar>
              <w:top w:w="60" w:type="dxa"/>
              <w:left w:w="80" w:type="dxa"/>
              <w:bottom w:w="60" w:type="dxa"/>
              <w:right w:w="80" w:type="dxa"/>
            </w:tcMar>
            <w:vAlign w:val="center"/>
          </w:tcPr>
          <w:p w14:paraId="63EEB57B" w14:textId="77777777" w:rsidR="00210538" w:rsidRDefault="00000000">
            <w:pPr>
              <w:spacing w:line="276" w:lineRule="auto"/>
            </w:pPr>
            <w:r>
              <w:rPr>
                <w:b/>
                <w:bCs/>
                <w:sz w:val="20"/>
                <w:szCs w:val="20"/>
              </w:rPr>
              <w:t>Stakeholder</w:t>
            </w:r>
          </w:p>
        </w:tc>
        <w:tc>
          <w:tcPr>
            <w:tcW w:w="1200" w:type="dxa"/>
            <w:shd w:val="clear" w:color="auto" w:fill="D9D9D9"/>
            <w:tcMar>
              <w:top w:w="60" w:type="dxa"/>
              <w:left w:w="80" w:type="dxa"/>
              <w:bottom w:w="60" w:type="dxa"/>
              <w:right w:w="80" w:type="dxa"/>
            </w:tcMar>
            <w:vAlign w:val="center"/>
          </w:tcPr>
          <w:p w14:paraId="57B5198E" w14:textId="77777777" w:rsidR="00210538" w:rsidRDefault="00000000">
            <w:pPr>
              <w:spacing w:line="276" w:lineRule="auto"/>
            </w:pPr>
            <w:r>
              <w:rPr>
                <w:b/>
                <w:bCs/>
                <w:sz w:val="20"/>
                <w:szCs w:val="20"/>
              </w:rPr>
              <w:t>Power</w:t>
            </w:r>
          </w:p>
        </w:tc>
        <w:tc>
          <w:tcPr>
            <w:tcW w:w="1200" w:type="dxa"/>
            <w:shd w:val="clear" w:color="auto" w:fill="D9D9D9"/>
            <w:tcMar>
              <w:top w:w="60" w:type="dxa"/>
              <w:left w:w="80" w:type="dxa"/>
              <w:bottom w:w="60" w:type="dxa"/>
              <w:right w:w="80" w:type="dxa"/>
            </w:tcMar>
            <w:vAlign w:val="center"/>
          </w:tcPr>
          <w:p w14:paraId="59A24FAD" w14:textId="77777777" w:rsidR="00210538" w:rsidRDefault="00000000">
            <w:pPr>
              <w:spacing w:line="276" w:lineRule="auto"/>
            </w:pPr>
            <w:r>
              <w:rPr>
                <w:b/>
                <w:bCs/>
                <w:sz w:val="20"/>
                <w:szCs w:val="20"/>
              </w:rPr>
              <w:t>Interest</w:t>
            </w:r>
          </w:p>
        </w:tc>
        <w:tc>
          <w:tcPr>
            <w:tcW w:w="4600" w:type="dxa"/>
            <w:shd w:val="clear" w:color="auto" w:fill="D9D9D9"/>
            <w:tcMar>
              <w:top w:w="60" w:type="dxa"/>
              <w:left w:w="80" w:type="dxa"/>
              <w:bottom w:w="60" w:type="dxa"/>
              <w:right w:w="80" w:type="dxa"/>
            </w:tcMar>
            <w:vAlign w:val="center"/>
          </w:tcPr>
          <w:p w14:paraId="42D779B0" w14:textId="77777777" w:rsidR="00210538" w:rsidRDefault="00000000">
            <w:pPr>
              <w:spacing w:line="276" w:lineRule="auto"/>
            </w:pPr>
            <w:r>
              <w:rPr>
                <w:b/>
                <w:bCs/>
                <w:sz w:val="20"/>
                <w:szCs w:val="20"/>
              </w:rPr>
              <w:t>Engagement Strategy</w:t>
            </w:r>
          </w:p>
        </w:tc>
      </w:tr>
      <w:tr w:rsidR="00210538" w14:paraId="3E2CEA6F" w14:textId="77777777">
        <w:tblPrEx>
          <w:tblCellMar>
            <w:top w:w="0" w:type="dxa"/>
            <w:bottom w:w="0" w:type="dxa"/>
          </w:tblCellMar>
        </w:tblPrEx>
        <w:tc>
          <w:tcPr>
            <w:tcW w:w="2600" w:type="dxa"/>
            <w:tcMar>
              <w:top w:w="60" w:type="dxa"/>
              <w:left w:w="80" w:type="dxa"/>
              <w:bottom w:w="60" w:type="dxa"/>
              <w:right w:w="80" w:type="dxa"/>
            </w:tcMar>
            <w:vAlign w:val="center"/>
          </w:tcPr>
          <w:p w14:paraId="202A0810" w14:textId="77777777" w:rsidR="00210538" w:rsidRDefault="00000000">
            <w:pPr>
              <w:spacing w:line="276" w:lineRule="auto"/>
            </w:pPr>
            <w:r>
              <w:rPr>
                <w:sz w:val="18"/>
                <w:szCs w:val="18"/>
              </w:rPr>
              <w:t>CFO (Sponsor)</w:t>
            </w:r>
          </w:p>
        </w:tc>
        <w:tc>
          <w:tcPr>
            <w:tcW w:w="1200" w:type="dxa"/>
            <w:tcMar>
              <w:top w:w="60" w:type="dxa"/>
              <w:left w:w="80" w:type="dxa"/>
              <w:bottom w:w="60" w:type="dxa"/>
              <w:right w:w="80" w:type="dxa"/>
            </w:tcMar>
            <w:vAlign w:val="center"/>
          </w:tcPr>
          <w:p w14:paraId="07841C0B" w14:textId="77777777" w:rsidR="00210538" w:rsidRDefault="00000000">
            <w:pPr>
              <w:spacing w:line="276" w:lineRule="auto"/>
            </w:pPr>
            <w:r>
              <w:rPr>
                <w:sz w:val="18"/>
                <w:szCs w:val="18"/>
              </w:rPr>
              <w:t>High</w:t>
            </w:r>
          </w:p>
        </w:tc>
        <w:tc>
          <w:tcPr>
            <w:tcW w:w="1200" w:type="dxa"/>
            <w:tcMar>
              <w:top w:w="60" w:type="dxa"/>
              <w:left w:w="80" w:type="dxa"/>
              <w:bottom w:w="60" w:type="dxa"/>
              <w:right w:w="80" w:type="dxa"/>
            </w:tcMar>
            <w:vAlign w:val="center"/>
          </w:tcPr>
          <w:p w14:paraId="72347762"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61D4DCF1" w14:textId="77777777" w:rsidR="00210538" w:rsidRDefault="00000000">
            <w:pPr>
              <w:spacing w:line="276" w:lineRule="auto"/>
            </w:pPr>
            <w:r>
              <w:rPr>
                <w:sz w:val="18"/>
                <w:szCs w:val="18"/>
              </w:rPr>
              <w:t>Manage closely — monthly Steering Committee, decision authority</w:t>
            </w:r>
          </w:p>
        </w:tc>
      </w:tr>
      <w:tr w:rsidR="00210538" w14:paraId="6B6C79DC" w14:textId="77777777">
        <w:tblPrEx>
          <w:tblCellMar>
            <w:top w:w="0" w:type="dxa"/>
            <w:bottom w:w="0" w:type="dxa"/>
          </w:tblCellMar>
        </w:tblPrEx>
        <w:tc>
          <w:tcPr>
            <w:tcW w:w="2600" w:type="dxa"/>
            <w:tcMar>
              <w:top w:w="60" w:type="dxa"/>
              <w:left w:w="80" w:type="dxa"/>
              <w:bottom w:w="60" w:type="dxa"/>
              <w:right w:w="80" w:type="dxa"/>
            </w:tcMar>
            <w:vAlign w:val="center"/>
          </w:tcPr>
          <w:p w14:paraId="5C2A78D8" w14:textId="77777777" w:rsidR="00210538" w:rsidRDefault="00000000">
            <w:pPr>
              <w:spacing w:line="276" w:lineRule="auto"/>
            </w:pPr>
            <w:r>
              <w:rPr>
                <w:sz w:val="18"/>
                <w:szCs w:val="18"/>
              </w:rPr>
              <w:t>Executive Steering Committee</w:t>
            </w:r>
          </w:p>
        </w:tc>
        <w:tc>
          <w:tcPr>
            <w:tcW w:w="1200" w:type="dxa"/>
            <w:tcMar>
              <w:top w:w="60" w:type="dxa"/>
              <w:left w:w="80" w:type="dxa"/>
              <w:bottom w:w="60" w:type="dxa"/>
              <w:right w:w="80" w:type="dxa"/>
            </w:tcMar>
            <w:vAlign w:val="center"/>
          </w:tcPr>
          <w:p w14:paraId="646ACC1C" w14:textId="77777777" w:rsidR="00210538" w:rsidRDefault="00000000">
            <w:pPr>
              <w:spacing w:line="276" w:lineRule="auto"/>
            </w:pPr>
            <w:r>
              <w:rPr>
                <w:sz w:val="18"/>
                <w:szCs w:val="18"/>
              </w:rPr>
              <w:t>High</w:t>
            </w:r>
          </w:p>
        </w:tc>
        <w:tc>
          <w:tcPr>
            <w:tcW w:w="1200" w:type="dxa"/>
            <w:tcMar>
              <w:top w:w="60" w:type="dxa"/>
              <w:left w:w="80" w:type="dxa"/>
              <w:bottom w:w="60" w:type="dxa"/>
              <w:right w:w="80" w:type="dxa"/>
            </w:tcMar>
            <w:vAlign w:val="center"/>
          </w:tcPr>
          <w:p w14:paraId="70253F9C"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60064406" w14:textId="77777777" w:rsidR="00210538" w:rsidRDefault="00000000">
            <w:pPr>
              <w:spacing w:line="276" w:lineRule="auto"/>
            </w:pPr>
            <w:r>
              <w:rPr>
                <w:sz w:val="18"/>
                <w:szCs w:val="18"/>
              </w:rPr>
              <w:t>Manage closely — monthly reviews, escalation point for scope/cost/schedule</w:t>
            </w:r>
          </w:p>
        </w:tc>
      </w:tr>
      <w:tr w:rsidR="00210538" w14:paraId="25858355" w14:textId="77777777">
        <w:tblPrEx>
          <w:tblCellMar>
            <w:top w:w="0" w:type="dxa"/>
            <w:bottom w:w="0" w:type="dxa"/>
          </w:tblCellMar>
        </w:tblPrEx>
        <w:tc>
          <w:tcPr>
            <w:tcW w:w="2600" w:type="dxa"/>
            <w:tcMar>
              <w:top w:w="60" w:type="dxa"/>
              <w:left w:w="80" w:type="dxa"/>
              <w:bottom w:w="60" w:type="dxa"/>
              <w:right w:w="80" w:type="dxa"/>
            </w:tcMar>
            <w:vAlign w:val="center"/>
          </w:tcPr>
          <w:p w14:paraId="3B8BEB67" w14:textId="77777777" w:rsidR="00210538" w:rsidRDefault="00000000">
            <w:pPr>
              <w:spacing w:line="276" w:lineRule="auto"/>
            </w:pPr>
            <w:r>
              <w:rPr>
                <w:sz w:val="18"/>
                <w:szCs w:val="18"/>
              </w:rPr>
              <w:t>Plant Managers &amp; Dept. Heads</w:t>
            </w:r>
          </w:p>
        </w:tc>
        <w:tc>
          <w:tcPr>
            <w:tcW w:w="1200" w:type="dxa"/>
            <w:tcMar>
              <w:top w:w="60" w:type="dxa"/>
              <w:left w:w="80" w:type="dxa"/>
              <w:bottom w:w="60" w:type="dxa"/>
              <w:right w:w="80" w:type="dxa"/>
            </w:tcMar>
            <w:vAlign w:val="center"/>
          </w:tcPr>
          <w:p w14:paraId="01D29947" w14:textId="77777777" w:rsidR="00210538" w:rsidRDefault="00000000">
            <w:pPr>
              <w:spacing w:line="276" w:lineRule="auto"/>
            </w:pPr>
            <w:r>
              <w:rPr>
                <w:sz w:val="18"/>
                <w:szCs w:val="18"/>
              </w:rPr>
              <w:t>Medium</w:t>
            </w:r>
          </w:p>
        </w:tc>
        <w:tc>
          <w:tcPr>
            <w:tcW w:w="1200" w:type="dxa"/>
            <w:tcMar>
              <w:top w:w="60" w:type="dxa"/>
              <w:left w:w="80" w:type="dxa"/>
              <w:bottom w:w="60" w:type="dxa"/>
              <w:right w:w="80" w:type="dxa"/>
            </w:tcMar>
            <w:vAlign w:val="center"/>
          </w:tcPr>
          <w:p w14:paraId="074ED784"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76AEA890" w14:textId="77777777" w:rsidR="00210538" w:rsidRDefault="00000000">
            <w:pPr>
              <w:spacing w:line="276" w:lineRule="auto"/>
            </w:pPr>
            <w:r>
              <w:rPr>
                <w:sz w:val="18"/>
                <w:szCs w:val="18"/>
              </w:rPr>
              <w:t>Involve — design workshops, sign-off on process changes</w:t>
            </w:r>
          </w:p>
        </w:tc>
      </w:tr>
      <w:tr w:rsidR="00210538" w14:paraId="5396C459" w14:textId="77777777">
        <w:tblPrEx>
          <w:tblCellMar>
            <w:top w:w="0" w:type="dxa"/>
            <w:bottom w:w="0" w:type="dxa"/>
          </w:tblCellMar>
        </w:tblPrEx>
        <w:tc>
          <w:tcPr>
            <w:tcW w:w="2600" w:type="dxa"/>
            <w:tcMar>
              <w:top w:w="60" w:type="dxa"/>
              <w:left w:w="80" w:type="dxa"/>
              <w:bottom w:w="60" w:type="dxa"/>
              <w:right w:w="80" w:type="dxa"/>
            </w:tcMar>
            <w:vAlign w:val="center"/>
          </w:tcPr>
          <w:p w14:paraId="0E0C1525" w14:textId="77777777" w:rsidR="00210538" w:rsidRDefault="00000000">
            <w:pPr>
              <w:spacing w:line="276" w:lineRule="auto"/>
            </w:pPr>
            <w:r>
              <w:rPr>
                <w:sz w:val="18"/>
                <w:szCs w:val="18"/>
              </w:rPr>
              <w:t>IT Department</w:t>
            </w:r>
          </w:p>
        </w:tc>
        <w:tc>
          <w:tcPr>
            <w:tcW w:w="1200" w:type="dxa"/>
            <w:tcMar>
              <w:top w:w="60" w:type="dxa"/>
              <w:left w:w="80" w:type="dxa"/>
              <w:bottom w:w="60" w:type="dxa"/>
              <w:right w:w="80" w:type="dxa"/>
            </w:tcMar>
            <w:vAlign w:val="center"/>
          </w:tcPr>
          <w:p w14:paraId="0093E7F0" w14:textId="77777777" w:rsidR="00210538" w:rsidRDefault="00000000">
            <w:pPr>
              <w:spacing w:line="276" w:lineRule="auto"/>
            </w:pPr>
            <w:r>
              <w:rPr>
                <w:sz w:val="18"/>
                <w:szCs w:val="18"/>
              </w:rPr>
              <w:t>Medium</w:t>
            </w:r>
          </w:p>
        </w:tc>
        <w:tc>
          <w:tcPr>
            <w:tcW w:w="1200" w:type="dxa"/>
            <w:tcMar>
              <w:top w:w="60" w:type="dxa"/>
              <w:left w:w="80" w:type="dxa"/>
              <w:bottom w:w="60" w:type="dxa"/>
              <w:right w:w="80" w:type="dxa"/>
            </w:tcMar>
            <w:vAlign w:val="center"/>
          </w:tcPr>
          <w:p w14:paraId="45359E34"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35031DB0" w14:textId="77777777" w:rsidR="00210538" w:rsidRDefault="00000000">
            <w:pPr>
              <w:spacing w:line="276" w:lineRule="auto"/>
            </w:pPr>
            <w:r>
              <w:rPr>
                <w:sz w:val="18"/>
                <w:szCs w:val="18"/>
              </w:rPr>
              <w:t>Involve — technical design and integration decisions</w:t>
            </w:r>
          </w:p>
        </w:tc>
      </w:tr>
      <w:tr w:rsidR="00210538" w14:paraId="519DE845" w14:textId="77777777">
        <w:tblPrEx>
          <w:tblCellMar>
            <w:top w:w="0" w:type="dxa"/>
            <w:bottom w:w="0" w:type="dxa"/>
          </w:tblCellMar>
        </w:tblPrEx>
        <w:tc>
          <w:tcPr>
            <w:tcW w:w="2600" w:type="dxa"/>
            <w:tcMar>
              <w:top w:w="60" w:type="dxa"/>
              <w:left w:w="80" w:type="dxa"/>
              <w:bottom w:w="60" w:type="dxa"/>
              <w:right w:w="80" w:type="dxa"/>
            </w:tcMar>
            <w:vAlign w:val="center"/>
          </w:tcPr>
          <w:p w14:paraId="59F77B3F" w14:textId="77777777" w:rsidR="00210538" w:rsidRDefault="00000000">
            <w:pPr>
              <w:spacing w:line="276" w:lineRule="auto"/>
            </w:pPr>
            <w:r>
              <w:rPr>
                <w:sz w:val="18"/>
                <w:szCs w:val="18"/>
              </w:rPr>
              <w:t>End Users (c.180 staff)</w:t>
            </w:r>
          </w:p>
        </w:tc>
        <w:tc>
          <w:tcPr>
            <w:tcW w:w="1200" w:type="dxa"/>
            <w:tcMar>
              <w:top w:w="60" w:type="dxa"/>
              <w:left w:w="80" w:type="dxa"/>
              <w:bottom w:w="60" w:type="dxa"/>
              <w:right w:w="80" w:type="dxa"/>
            </w:tcMar>
            <w:vAlign w:val="center"/>
          </w:tcPr>
          <w:p w14:paraId="064015D4" w14:textId="77777777" w:rsidR="00210538" w:rsidRDefault="00000000">
            <w:pPr>
              <w:spacing w:line="276" w:lineRule="auto"/>
            </w:pPr>
            <w:r>
              <w:rPr>
                <w:sz w:val="18"/>
                <w:szCs w:val="18"/>
              </w:rPr>
              <w:t>Low</w:t>
            </w:r>
          </w:p>
        </w:tc>
        <w:tc>
          <w:tcPr>
            <w:tcW w:w="1200" w:type="dxa"/>
            <w:tcMar>
              <w:top w:w="60" w:type="dxa"/>
              <w:left w:w="80" w:type="dxa"/>
              <w:bottom w:w="60" w:type="dxa"/>
              <w:right w:w="80" w:type="dxa"/>
            </w:tcMar>
            <w:vAlign w:val="center"/>
          </w:tcPr>
          <w:p w14:paraId="639215BE"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76590EE9" w14:textId="77777777" w:rsidR="00210538" w:rsidRDefault="00000000">
            <w:pPr>
              <w:spacing w:line="276" w:lineRule="auto"/>
            </w:pPr>
            <w:r>
              <w:rPr>
                <w:sz w:val="18"/>
                <w:szCs w:val="18"/>
              </w:rPr>
              <w:t>Keep informed — training, bulletins, super-user network</w:t>
            </w:r>
          </w:p>
        </w:tc>
      </w:tr>
      <w:tr w:rsidR="00210538" w14:paraId="655B37F4" w14:textId="77777777">
        <w:tblPrEx>
          <w:tblCellMar>
            <w:top w:w="0" w:type="dxa"/>
            <w:bottom w:w="0" w:type="dxa"/>
          </w:tblCellMar>
        </w:tblPrEx>
        <w:tc>
          <w:tcPr>
            <w:tcW w:w="2600" w:type="dxa"/>
            <w:tcMar>
              <w:top w:w="60" w:type="dxa"/>
              <w:left w:w="80" w:type="dxa"/>
              <w:bottom w:w="60" w:type="dxa"/>
              <w:right w:w="80" w:type="dxa"/>
            </w:tcMar>
            <w:vAlign w:val="center"/>
          </w:tcPr>
          <w:p w14:paraId="31E48100" w14:textId="77777777" w:rsidR="00210538" w:rsidRDefault="00000000">
            <w:pPr>
              <w:spacing w:line="276" w:lineRule="auto"/>
            </w:pPr>
            <w:r>
              <w:rPr>
                <w:sz w:val="18"/>
                <w:szCs w:val="18"/>
              </w:rPr>
              <w:t>Implementation Partner</w:t>
            </w:r>
          </w:p>
        </w:tc>
        <w:tc>
          <w:tcPr>
            <w:tcW w:w="1200" w:type="dxa"/>
            <w:tcMar>
              <w:top w:w="60" w:type="dxa"/>
              <w:left w:w="80" w:type="dxa"/>
              <w:bottom w:w="60" w:type="dxa"/>
              <w:right w:w="80" w:type="dxa"/>
            </w:tcMar>
            <w:vAlign w:val="center"/>
          </w:tcPr>
          <w:p w14:paraId="26359FFD" w14:textId="77777777" w:rsidR="00210538" w:rsidRDefault="00000000">
            <w:pPr>
              <w:spacing w:line="276" w:lineRule="auto"/>
            </w:pPr>
            <w:r>
              <w:rPr>
                <w:sz w:val="18"/>
                <w:szCs w:val="18"/>
              </w:rPr>
              <w:t>Medium</w:t>
            </w:r>
          </w:p>
        </w:tc>
        <w:tc>
          <w:tcPr>
            <w:tcW w:w="1200" w:type="dxa"/>
            <w:tcMar>
              <w:top w:w="60" w:type="dxa"/>
              <w:left w:w="80" w:type="dxa"/>
              <w:bottom w:w="60" w:type="dxa"/>
              <w:right w:w="80" w:type="dxa"/>
            </w:tcMar>
            <w:vAlign w:val="center"/>
          </w:tcPr>
          <w:p w14:paraId="72476F38" w14:textId="77777777" w:rsidR="00210538" w:rsidRDefault="00000000">
            <w:pPr>
              <w:spacing w:line="276" w:lineRule="auto"/>
            </w:pPr>
            <w:r>
              <w:rPr>
                <w:sz w:val="18"/>
                <w:szCs w:val="18"/>
              </w:rPr>
              <w:t>High</w:t>
            </w:r>
          </w:p>
        </w:tc>
        <w:tc>
          <w:tcPr>
            <w:tcW w:w="4600" w:type="dxa"/>
            <w:tcMar>
              <w:top w:w="60" w:type="dxa"/>
              <w:left w:w="80" w:type="dxa"/>
              <w:bottom w:w="60" w:type="dxa"/>
              <w:right w:w="80" w:type="dxa"/>
            </w:tcMar>
            <w:vAlign w:val="center"/>
          </w:tcPr>
          <w:p w14:paraId="3982AE08" w14:textId="77777777" w:rsidR="00210538" w:rsidRDefault="00000000">
            <w:pPr>
              <w:spacing w:line="276" w:lineRule="auto"/>
            </w:pPr>
            <w:r>
              <w:rPr>
                <w:sz w:val="18"/>
                <w:szCs w:val="18"/>
              </w:rPr>
              <w:t>Manage closely — weekly delivery meetings, milestone reviews</w:t>
            </w:r>
          </w:p>
        </w:tc>
      </w:tr>
      <w:tr w:rsidR="00210538" w14:paraId="496FCB31" w14:textId="77777777">
        <w:tblPrEx>
          <w:tblCellMar>
            <w:top w:w="0" w:type="dxa"/>
            <w:bottom w:w="0" w:type="dxa"/>
          </w:tblCellMar>
        </w:tblPrEx>
        <w:tc>
          <w:tcPr>
            <w:tcW w:w="2600" w:type="dxa"/>
            <w:tcMar>
              <w:top w:w="60" w:type="dxa"/>
              <w:left w:w="80" w:type="dxa"/>
              <w:bottom w:w="60" w:type="dxa"/>
              <w:right w:w="80" w:type="dxa"/>
            </w:tcMar>
            <w:vAlign w:val="center"/>
          </w:tcPr>
          <w:p w14:paraId="777E7DAE" w14:textId="77777777" w:rsidR="00210538" w:rsidRDefault="00000000">
            <w:pPr>
              <w:spacing w:line="276" w:lineRule="auto"/>
            </w:pPr>
            <w:r>
              <w:rPr>
                <w:sz w:val="18"/>
                <w:szCs w:val="18"/>
              </w:rPr>
              <w:t>Customers</w:t>
            </w:r>
          </w:p>
        </w:tc>
        <w:tc>
          <w:tcPr>
            <w:tcW w:w="1200" w:type="dxa"/>
            <w:tcMar>
              <w:top w:w="60" w:type="dxa"/>
              <w:left w:w="80" w:type="dxa"/>
              <w:bottom w:w="60" w:type="dxa"/>
              <w:right w:w="80" w:type="dxa"/>
            </w:tcMar>
            <w:vAlign w:val="center"/>
          </w:tcPr>
          <w:p w14:paraId="4AA86795" w14:textId="77777777" w:rsidR="00210538" w:rsidRDefault="00000000">
            <w:pPr>
              <w:spacing w:line="276" w:lineRule="auto"/>
            </w:pPr>
            <w:r>
              <w:rPr>
                <w:sz w:val="18"/>
                <w:szCs w:val="18"/>
              </w:rPr>
              <w:t>Low</w:t>
            </w:r>
          </w:p>
        </w:tc>
        <w:tc>
          <w:tcPr>
            <w:tcW w:w="1200" w:type="dxa"/>
            <w:tcMar>
              <w:top w:w="60" w:type="dxa"/>
              <w:left w:w="80" w:type="dxa"/>
              <w:bottom w:w="60" w:type="dxa"/>
              <w:right w:w="80" w:type="dxa"/>
            </w:tcMar>
            <w:vAlign w:val="center"/>
          </w:tcPr>
          <w:p w14:paraId="399AA435" w14:textId="77777777" w:rsidR="00210538" w:rsidRDefault="00000000">
            <w:pPr>
              <w:spacing w:line="276" w:lineRule="auto"/>
            </w:pPr>
            <w:r>
              <w:rPr>
                <w:sz w:val="18"/>
                <w:szCs w:val="18"/>
              </w:rPr>
              <w:t>Low</w:t>
            </w:r>
          </w:p>
        </w:tc>
        <w:tc>
          <w:tcPr>
            <w:tcW w:w="4600" w:type="dxa"/>
            <w:tcMar>
              <w:top w:w="60" w:type="dxa"/>
              <w:left w:w="80" w:type="dxa"/>
              <w:bottom w:w="60" w:type="dxa"/>
              <w:right w:w="80" w:type="dxa"/>
            </w:tcMar>
            <w:vAlign w:val="center"/>
          </w:tcPr>
          <w:p w14:paraId="7C9A605D" w14:textId="77777777" w:rsidR="00210538" w:rsidRDefault="00000000">
            <w:pPr>
              <w:spacing w:line="276" w:lineRule="auto"/>
            </w:pPr>
            <w:r>
              <w:rPr>
                <w:sz w:val="18"/>
                <w:szCs w:val="18"/>
              </w:rPr>
              <w:t>Monitor — periodic updates on service continuity</w:t>
            </w:r>
          </w:p>
        </w:tc>
      </w:tr>
      <w:tr w:rsidR="00210538" w14:paraId="7EA36B95" w14:textId="77777777">
        <w:tblPrEx>
          <w:tblCellMar>
            <w:top w:w="0" w:type="dxa"/>
            <w:bottom w:w="0" w:type="dxa"/>
          </w:tblCellMar>
        </w:tblPrEx>
        <w:tc>
          <w:tcPr>
            <w:tcW w:w="2600" w:type="dxa"/>
            <w:tcMar>
              <w:top w:w="60" w:type="dxa"/>
              <w:left w:w="80" w:type="dxa"/>
              <w:bottom w:w="60" w:type="dxa"/>
              <w:right w:w="80" w:type="dxa"/>
            </w:tcMar>
            <w:vAlign w:val="center"/>
          </w:tcPr>
          <w:p w14:paraId="60D2F6EF" w14:textId="77777777" w:rsidR="00210538" w:rsidRDefault="00000000">
            <w:pPr>
              <w:spacing w:line="276" w:lineRule="auto"/>
            </w:pPr>
            <w:r>
              <w:rPr>
                <w:sz w:val="18"/>
                <w:szCs w:val="18"/>
              </w:rPr>
              <w:t>External Auditors</w:t>
            </w:r>
          </w:p>
        </w:tc>
        <w:tc>
          <w:tcPr>
            <w:tcW w:w="1200" w:type="dxa"/>
            <w:tcMar>
              <w:top w:w="60" w:type="dxa"/>
              <w:left w:w="80" w:type="dxa"/>
              <w:bottom w:w="60" w:type="dxa"/>
              <w:right w:w="80" w:type="dxa"/>
            </w:tcMar>
            <w:vAlign w:val="center"/>
          </w:tcPr>
          <w:p w14:paraId="18580A64" w14:textId="77777777" w:rsidR="00210538" w:rsidRDefault="00000000">
            <w:pPr>
              <w:spacing w:line="276" w:lineRule="auto"/>
            </w:pPr>
            <w:r>
              <w:rPr>
                <w:sz w:val="18"/>
                <w:szCs w:val="18"/>
              </w:rPr>
              <w:t>Medium</w:t>
            </w:r>
          </w:p>
        </w:tc>
        <w:tc>
          <w:tcPr>
            <w:tcW w:w="1200" w:type="dxa"/>
            <w:tcMar>
              <w:top w:w="60" w:type="dxa"/>
              <w:left w:w="80" w:type="dxa"/>
              <w:bottom w:w="60" w:type="dxa"/>
              <w:right w:w="80" w:type="dxa"/>
            </w:tcMar>
            <w:vAlign w:val="center"/>
          </w:tcPr>
          <w:p w14:paraId="04935076" w14:textId="77777777" w:rsidR="00210538" w:rsidRDefault="00000000">
            <w:pPr>
              <w:spacing w:line="276" w:lineRule="auto"/>
            </w:pPr>
            <w:r>
              <w:rPr>
                <w:sz w:val="18"/>
                <w:szCs w:val="18"/>
              </w:rPr>
              <w:t>Low</w:t>
            </w:r>
          </w:p>
        </w:tc>
        <w:tc>
          <w:tcPr>
            <w:tcW w:w="4600" w:type="dxa"/>
            <w:tcMar>
              <w:top w:w="60" w:type="dxa"/>
              <w:left w:w="80" w:type="dxa"/>
              <w:bottom w:w="60" w:type="dxa"/>
              <w:right w:w="80" w:type="dxa"/>
            </w:tcMar>
            <w:vAlign w:val="center"/>
          </w:tcPr>
          <w:p w14:paraId="22825FD6" w14:textId="77777777" w:rsidR="00210538" w:rsidRDefault="00000000">
            <w:pPr>
              <w:spacing w:line="276" w:lineRule="auto"/>
            </w:pPr>
            <w:r>
              <w:rPr>
                <w:sz w:val="18"/>
                <w:szCs w:val="18"/>
              </w:rPr>
              <w:t>Keep informed — data-integrity briefings</w:t>
            </w:r>
          </w:p>
        </w:tc>
      </w:tr>
      <w:tr w:rsidR="00210538" w14:paraId="4E2A4CB0" w14:textId="77777777">
        <w:tblPrEx>
          <w:tblCellMar>
            <w:top w:w="0" w:type="dxa"/>
            <w:bottom w:w="0" w:type="dxa"/>
          </w:tblCellMar>
        </w:tblPrEx>
        <w:tc>
          <w:tcPr>
            <w:tcW w:w="2600" w:type="dxa"/>
            <w:tcMar>
              <w:top w:w="60" w:type="dxa"/>
              <w:left w:w="80" w:type="dxa"/>
              <w:bottom w:w="60" w:type="dxa"/>
              <w:right w:w="80" w:type="dxa"/>
            </w:tcMar>
            <w:vAlign w:val="center"/>
          </w:tcPr>
          <w:p w14:paraId="5E6320F9" w14:textId="77777777" w:rsidR="00210538" w:rsidRDefault="00000000">
            <w:pPr>
              <w:spacing w:line="276" w:lineRule="auto"/>
            </w:pPr>
            <w:r>
              <w:rPr>
                <w:sz w:val="18"/>
                <w:szCs w:val="18"/>
              </w:rPr>
              <w:t>Employee Representatives</w:t>
            </w:r>
          </w:p>
        </w:tc>
        <w:tc>
          <w:tcPr>
            <w:tcW w:w="1200" w:type="dxa"/>
            <w:tcMar>
              <w:top w:w="60" w:type="dxa"/>
              <w:left w:w="80" w:type="dxa"/>
              <w:bottom w:w="60" w:type="dxa"/>
              <w:right w:w="80" w:type="dxa"/>
            </w:tcMar>
            <w:vAlign w:val="center"/>
          </w:tcPr>
          <w:p w14:paraId="1BF4D53D" w14:textId="77777777" w:rsidR="00210538" w:rsidRDefault="00000000">
            <w:pPr>
              <w:spacing w:line="276" w:lineRule="auto"/>
            </w:pPr>
            <w:r>
              <w:rPr>
                <w:sz w:val="18"/>
                <w:szCs w:val="18"/>
              </w:rPr>
              <w:t>Low/Medium</w:t>
            </w:r>
          </w:p>
        </w:tc>
        <w:tc>
          <w:tcPr>
            <w:tcW w:w="1200" w:type="dxa"/>
            <w:tcMar>
              <w:top w:w="60" w:type="dxa"/>
              <w:left w:w="80" w:type="dxa"/>
              <w:bottom w:w="60" w:type="dxa"/>
              <w:right w:w="80" w:type="dxa"/>
            </w:tcMar>
            <w:vAlign w:val="center"/>
          </w:tcPr>
          <w:p w14:paraId="1AA54467" w14:textId="77777777" w:rsidR="00210538" w:rsidRDefault="00000000">
            <w:pPr>
              <w:spacing w:line="276" w:lineRule="auto"/>
            </w:pPr>
            <w:r>
              <w:rPr>
                <w:sz w:val="18"/>
                <w:szCs w:val="18"/>
              </w:rPr>
              <w:t>Medium</w:t>
            </w:r>
          </w:p>
        </w:tc>
        <w:tc>
          <w:tcPr>
            <w:tcW w:w="4600" w:type="dxa"/>
            <w:tcMar>
              <w:top w:w="60" w:type="dxa"/>
              <w:left w:w="80" w:type="dxa"/>
              <w:bottom w:w="60" w:type="dxa"/>
              <w:right w:w="80" w:type="dxa"/>
            </w:tcMar>
            <w:vAlign w:val="center"/>
          </w:tcPr>
          <w:p w14:paraId="513DE295" w14:textId="77777777" w:rsidR="00210538" w:rsidRDefault="00000000">
            <w:pPr>
              <w:spacing w:line="276" w:lineRule="auto"/>
            </w:pPr>
            <w:r>
              <w:rPr>
                <w:sz w:val="18"/>
                <w:szCs w:val="18"/>
              </w:rPr>
              <w:t>Consult — change-impact briefings</w:t>
            </w:r>
          </w:p>
        </w:tc>
      </w:tr>
    </w:tbl>
    <w:p w14:paraId="49C3F9EF" w14:textId="77777777" w:rsidR="00BD3860" w:rsidRDefault="00BD3860" w:rsidP="00BD3860">
      <w:pPr>
        <w:pStyle w:val="NormalWeb"/>
        <w:spacing w:line="360" w:lineRule="auto"/>
        <w:rPr>
          <w:color w:val="000000"/>
        </w:rPr>
      </w:pPr>
      <w:r>
        <w:rPr>
          <w:color w:val="000000"/>
        </w:rPr>
        <w:t>Executive and CFO sponsor sit in the high-power / high-interest quadrant where they performed quad chart reviews monthly, combined with escalation rights over scope, cost and schedule decisions. Plant managers and heads of departments have high interest, moderate power; they sit in design workshops and approve process changes that will reach their teams. End users possess relatively low formal power but are critical to adoption, their involvement is facilitated through training, communication bulletins and a super-user network that feeds back into the project team addressing the risk of limited user engagement hindering uptake (Turner and Müller, 2005).</w:t>
      </w:r>
    </w:p>
    <w:p w14:paraId="7E5832C4" w14:textId="77777777" w:rsidR="00BD3860" w:rsidRDefault="00BD3860" w:rsidP="00BD3860">
      <w:pPr>
        <w:pStyle w:val="NormalWeb"/>
        <w:spacing w:line="360" w:lineRule="auto"/>
        <w:rPr>
          <w:color w:val="000000"/>
        </w:rPr>
      </w:pPr>
      <w:r>
        <w:rPr>
          <w:color w:val="000000"/>
        </w:rPr>
        <w:t>Implementation partner contracts their active partnership through weekly delivery meetings and set milestone reviews. Lower day-to-day interest is also exhibited by external stakeholders (for example customers who have order data migrated to the new system, and the company's auditors) but these must be monitored on an ad-hoc basis as described for this low-effort engagement quadrant. Sponsorship and stakeholder management are consistently highlighted as important success factors in large system implementations (Cooke-Davies, 2002; Umble, Haft and Umble, 2003) with this stakeholder plan being updated at each phase gate to ensure the levels of engagement remain adequate as interests and influence change over the project life cycle.</w:t>
      </w:r>
    </w:p>
    <w:p w14:paraId="2AB8D38A" w14:textId="77777777" w:rsidR="00BD3860" w:rsidRDefault="00BD3860" w:rsidP="00BD3860">
      <w:pPr>
        <w:pStyle w:val="NormalWeb"/>
        <w:spacing w:line="360" w:lineRule="auto"/>
        <w:rPr>
          <w:color w:val="000000"/>
        </w:rPr>
      </w:pPr>
    </w:p>
    <w:p w14:paraId="266A2038" w14:textId="77777777" w:rsidR="00210538" w:rsidRDefault="00000000">
      <w:pPr>
        <w:pStyle w:val="Heading1"/>
      </w:pPr>
      <w:r>
        <w:lastRenderedPageBreak/>
        <w:t>8. Allocation of Resources</w:t>
      </w:r>
    </w:p>
    <w:p w14:paraId="5062D86A" w14:textId="77777777" w:rsidR="00210538" w:rsidRDefault="00000000">
      <w:pPr>
        <w:spacing w:after="200" w:line="360" w:lineRule="auto"/>
        <w:jc w:val="both"/>
      </w:pPr>
      <w:r>
        <w:t>Resource planning follows the estimate-to-complete logic embedded in the WBS, with human, financial, technological and physical resources assigned to each work package identified in Table 1. The core project team comprises a full-time Project Manager, a Business Analyst and a Change and Training Lead, together with functional leads seconded part-time from finance, production and supply chain, supplemented by the implementation partner's consultants for configuration and data migration.</w:t>
      </w:r>
    </w:p>
    <w:p w14:paraId="7B152CB3" w14:textId="77777777" w:rsidR="00210538" w:rsidRDefault="00000000">
      <w:pPr>
        <w:spacing w:after="120" w:line="360" w:lineRule="auto"/>
        <w:jc w:val="center"/>
      </w:pPr>
      <w:r>
        <w:rPr>
          <w:b/>
          <w:bCs/>
        </w:rPr>
        <w:t>Table 3: Resource Allocation Summary</w:t>
      </w:r>
    </w:p>
    <w:tbl>
      <w:tblPr>
        <w:tblW w:w="96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2200"/>
        <w:gridCol w:w="4200"/>
        <w:gridCol w:w="3200"/>
      </w:tblGrid>
      <w:tr w:rsidR="00210538" w14:paraId="1040EAAB" w14:textId="77777777">
        <w:tblPrEx>
          <w:tblCellMar>
            <w:top w:w="0" w:type="dxa"/>
            <w:bottom w:w="0" w:type="dxa"/>
          </w:tblCellMar>
        </w:tblPrEx>
        <w:trPr>
          <w:tblHeader/>
        </w:trPr>
        <w:tc>
          <w:tcPr>
            <w:tcW w:w="2200" w:type="dxa"/>
            <w:shd w:val="clear" w:color="auto" w:fill="D9D9D9"/>
            <w:tcMar>
              <w:top w:w="60" w:type="dxa"/>
              <w:left w:w="80" w:type="dxa"/>
              <w:bottom w:w="60" w:type="dxa"/>
              <w:right w:w="80" w:type="dxa"/>
            </w:tcMar>
            <w:vAlign w:val="center"/>
          </w:tcPr>
          <w:p w14:paraId="7660D931" w14:textId="77777777" w:rsidR="00210538" w:rsidRDefault="00000000">
            <w:pPr>
              <w:spacing w:line="276" w:lineRule="auto"/>
            </w:pPr>
            <w:r>
              <w:rPr>
                <w:b/>
                <w:bCs/>
                <w:sz w:val="20"/>
                <w:szCs w:val="20"/>
              </w:rPr>
              <w:t>Resource Category</w:t>
            </w:r>
          </w:p>
        </w:tc>
        <w:tc>
          <w:tcPr>
            <w:tcW w:w="4200" w:type="dxa"/>
            <w:shd w:val="clear" w:color="auto" w:fill="D9D9D9"/>
            <w:tcMar>
              <w:top w:w="60" w:type="dxa"/>
              <w:left w:w="80" w:type="dxa"/>
              <w:bottom w:w="60" w:type="dxa"/>
              <w:right w:w="80" w:type="dxa"/>
            </w:tcMar>
            <w:vAlign w:val="center"/>
          </w:tcPr>
          <w:p w14:paraId="7C792AE7" w14:textId="77777777" w:rsidR="00210538" w:rsidRDefault="00000000">
            <w:pPr>
              <w:spacing w:line="276" w:lineRule="auto"/>
            </w:pPr>
            <w:r>
              <w:rPr>
                <w:b/>
                <w:bCs/>
                <w:sz w:val="20"/>
                <w:szCs w:val="20"/>
              </w:rPr>
              <w:t>Description</w:t>
            </w:r>
          </w:p>
        </w:tc>
        <w:tc>
          <w:tcPr>
            <w:tcW w:w="3200" w:type="dxa"/>
            <w:shd w:val="clear" w:color="auto" w:fill="D9D9D9"/>
            <w:tcMar>
              <w:top w:w="60" w:type="dxa"/>
              <w:left w:w="80" w:type="dxa"/>
              <w:bottom w:w="60" w:type="dxa"/>
              <w:right w:w="80" w:type="dxa"/>
            </w:tcMar>
            <w:vAlign w:val="center"/>
          </w:tcPr>
          <w:p w14:paraId="4F6FD4BB" w14:textId="77777777" w:rsidR="00210538" w:rsidRDefault="00000000">
            <w:pPr>
              <w:spacing w:line="276" w:lineRule="auto"/>
            </w:pPr>
            <w:r>
              <w:rPr>
                <w:b/>
                <w:bCs/>
                <w:sz w:val="20"/>
                <w:szCs w:val="20"/>
              </w:rPr>
              <w:t>Allocation</w:t>
            </w:r>
          </w:p>
        </w:tc>
      </w:tr>
      <w:tr w:rsidR="00210538" w14:paraId="4E80534B" w14:textId="77777777">
        <w:tblPrEx>
          <w:tblCellMar>
            <w:top w:w="0" w:type="dxa"/>
            <w:bottom w:w="0" w:type="dxa"/>
          </w:tblCellMar>
        </w:tblPrEx>
        <w:tc>
          <w:tcPr>
            <w:tcW w:w="2200" w:type="dxa"/>
            <w:tcMar>
              <w:top w:w="60" w:type="dxa"/>
              <w:left w:w="80" w:type="dxa"/>
              <w:bottom w:w="60" w:type="dxa"/>
              <w:right w:w="80" w:type="dxa"/>
            </w:tcMar>
            <w:vAlign w:val="center"/>
          </w:tcPr>
          <w:p w14:paraId="257768B5" w14:textId="77777777" w:rsidR="00210538" w:rsidRDefault="00000000">
            <w:pPr>
              <w:spacing w:line="276" w:lineRule="auto"/>
            </w:pPr>
            <w:r>
              <w:rPr>
                <w:sz w:val="18"/>
                <w:szCs w:val="18"/>
              </w:rPr>
              <w:t>Human resources</w:t>
            </w:r>
          </w:p>
        </w:tc>
        <w:tc>
          <w:tcPr>
            <w:tcW w:w="4200" w:type="dxa"/>
            <w:tcMar>
              <w:top w:w="60" w:type="dxa"/>
              <w:left w:w="80" w:type="dxa"/>
              <w:bottom w:w="60" w:type="dxa"/>
              <w:right w:w="80" w:type="dxa"/>
            </w:tcMar>
            <w:vAlign w:val="center"/>
          </w:tcPr>
          <w:p w14:paraId="70F89F46" w14:textId="77777777" w:rsidR="00210538" w:rsidRDefault="00000000">
            <w:pPr>
              <w:spacing w:line="276" w:lineRule="auto"/>
            </w:pPr>
            <w:r>
              <w:rPr>
                <w:sz w:val="18"/>
                <w:szCs w:val="18"/>
              </w:rPr>
              <w:t>Project Manager, Business Analyst, Change/Training Lead, functional leads, super-users, partner consultants</w:t>
            </w:r>
          </w:p>
        </w:tc>
        <w:tc>
          <w:tcPr>
            <w:tcW w:w="3200" w:type="dxa"/>
            <w:tcMar>
              <w:top w:w="60" w:type="dxa"/>
              <w:left w:w="80" w:type="dxa"/>
              <w:bottom w:w="60" w:type="dxa"/>
              <w:right w:w="80" w:type="dxa"/>
            </w:tcMar>
            <w:vAlign w:val="center"/>
          </w:tcPr>
          <w:p w14:paraId="0D033120" w14:textId="77777777" w:rsidR="00210538" w:rsidRDefault="00000000">
            <w:pPr>
              <w:spacing w:line="276" w:lineRule="auto"/>
            </w:pPr>
            <w:r>
              <w:rPr>
                <w:sz w:val="18"/>
                <w:szCs w:val="18"/>
              </w:rPr>
              <w:t>Approx. 35 full-time-equivalent staff across 12 months</w:t>
            </w:r>
          </w:p>
        </w:tc>
      </w:tr>
      <w:tr w:rsidR="00210538" w14:paraId="5241A959" w14:textId="77777777">
        <w:tblPrEx>
          <w:tblCellMar>
            <w:top w:w="0" w:type="dxa"/>
            <w:bottom w:w="0" w:type="dxa"/>
          </w:tblCellMar>
        </w:tblPrEx>
        <w:tc>
          <w:tcPr>
            <w:tcW w:w="2200" w:type="dxa"/>
            <w:tcMar>
              <w:top w:w="60" w:type="dxa"/>
              <w:left w:w="80" w:type="dxa"/>
              <w:bottom w:w="60" w:type="dxa"/>
              <w:right w:w="80" w:type="dxa"/>
            </w:tcMar>
            <w:vAlign w:val="center"/>
          </w:tcPr>
          <w:p w14:paraId="2C0846B4" w14:textId="77777777" w:rsidR="00210538" w:rsidRDefault="00000000">
            <w:pPr>
              <w:spacing w:line="276" w:lineRule="auto"/>
            </w:pPr>
            <w:r>
              <w:rPr>
                <w:sz w:val="18"/>
                <w:szCs w:val="18"/>
              </w:rPr>
              <w:t>Financial resources</w:t>
            </w:r>
          </w:p>
        </w:tc>
        <w:tc>
          <w:tcPr>
            <w:tcW w:w="4200" w:type="dxa"/>
            <w:tcMar>
              <w:top w:w="60" w:type="dxa"/>
              <w:left w:w="80" w:type="dxa"/>
              <w:bottom w:w="60" w:type="dxa"/>
              <w:right w:w="80" w:type="dxa"/>
            </w:tcMar>
            <w:vAlign w:val="center"/>
          </w:tcPr>
          <w:p w14:paraId="548D34CA" w14:textId="77777777" w:rsidR="00210538" w:rsidRDefault="00000000">
            <w:pPr>
              <w:spacing w:line="276" w:lineRule="auto"/>
            </w:pPr>
            <w:r>
              <w:rPr>
                <w:sz w:val="18"/>
                <w:szCs w:val="18"/>
              </w:rPr>
              <w:t>Implementation partner fees, internal staff backfill, licences, hardware, contingency</w:t>
            </w:r>
          </w:p>
        </w:tc>
        <w:tc>
          <w:tcPr>
            <w:tcW w:w="3200" w:type="dxa"/>
            <w:tcMar>
              <w:top w:w="60" w:type="dxa"/>
              <w:left w:w="80" w:type="dxa"/>
              <w:bottom w:w="60" w:type="dxa"/>
              <w:right w:w="80" w:type="dxa"/>
            </w:tcMar>
            <w:vAlign w:val="center"/>
          </w:tcPr>
          <w:p w14:paraId="482F1B93" w14:textId="77777777" w:rsidR="00210538" w:rsidRDefault="00000000">
            <w:pPr>
              <w:spacing w:line="276" w:lineRule="auto"/>
            </w:pPr>
            <w:r>
              <w:rPr>
                <w:sz w:val="18"/>
                <w:szCs w:val="18"/>
              </w:rPr>
              <w:t>£2.1 million total budget</w:t>
            </w:r>
          </w:p>
        </w:tc>
      </w:tr>
      <w:tr w:rsidR="00210538" w14:paraId="4AD0BD5E" w14:textId="77777777">
        <w:tblPrEx>
          <w:tblCellMar>
            <w:top w:w="0" w:type="dxa"/>
            <w:bottom w:w="0" w:type="dxa"/>
          </w:tblCellMar>
        </w:tblPrEx>
        <w:tc>
          <w:tcPr>
            <w:tcW w:w="2200" w:type="dxa"/>
            <w:tcMar>
              <w:top w:w="60" w:type="dxa"/>
              <w:left w:w="80" w:type="dxa"/>
              <w:bottom w:w="60" w:type="dxa"/>
              <w:right w:w="80" w:type="dxa"/>
            </w:tcMar>
            <w:vAlign w:val="center"/>
          </w:tcPr>
          <w:p w14:paraId="3C0A9818" w14:textId="77777777" w:rsidR="00210538" w:rsidRDefault="00000000">
            <w:pPr>
              <w:spacing w:line="276" w:lineRule="auto"/>
            </w:pPr>
            <w:r>
              <w:rPr>
                <w:sz w:val="18"/>
                <w:szCs w:val="18"/>
              </w:rPr>
              <w:t>Technological resources</w:t>
            </w:r>
          </w:p>
        </w:tc>
        <w:tc>
          <w:tcPr>
            <w:tcW w:w="4200" w:type="dxa"/>
            <w:tcMar>
              <w:top w:w="60" w:type="dxa"/>
              <w:left w:w="80" w:type="dxa"/>
              <w:bottom w:w="60" w:type="dxa"/>
              <w:right w:w="80" w:type="dxa"/>
            </w:tcMar>
            <w:vAlign w:val="center"/>
          </w:tcPr>
          <w:p w14:paraId="7D79A59C" w14:textId="77777777" w:rsidR="00210538" w:rsidRDefault="00000000">
            <w:pPr>
              <w:spacing w:line="276" w:lineRule="auto"/>
            </w:pPr>
            <w:r>
              <w:rPr>
                <w:sz w:val="18"/>
                <w:szCs w:val="18"/>
              </w:rPr>
              <w:t>Cloud ERP licences, integration middleware, test and training environments</w:t>
            </w:r>
          </w:p>
        </w:tc>
        <w:tc>
          <w:tcPr>
            <w:tcW w:w="3200" w:type="dxa"/>
            <w:tcMar>
              <w:top w:w="60" w:type="dxa"/>
              <w:left w:w="80" w:type="dxa"/>
              <w:bottom w:w="60" w:type="dxa"/>
              <w:right w:w="80" w:type="dxa"/>
            </w:tcMar>
            <w:vAlign w:val="center"/>
          </w:tcPr>
          <w:p w14:paraId="3ED34A28" w14:textId="77777777" w:rsidR="00210538" w:rsidRDefault="00000000">
            <w:pPr>
              <w:spacing w:line="276" w:lineRule="auto"/>
            </w:pPr>
            <w:r>
              <w:rPr>
                <w:sz w:val="18"/>
                <w:szCs w:val="18"/>
              </w:rPr>
              <w:t>Ongoing subscription for project and post-go-live support</w:t>
            </w:r>
          </w:p>
        </w:tc>
      </w:tr>
      <w:tr w:rsidR="00210538" w14:paraId="1C3A5605" w14:textId="77777777">
        <w:tblPrEx>
          <w:tblCellMar>
            <w:top w:w="0" w:type="dxa"/>
            <w:bottom w:w="0" w:type="dxa"/>
          </w:tblCellMar>
        </w:tblPrEx>
        <w:tc>
          <w:tcPr>
            <w:tcW w:w="2200" w:type="dxa"/>
            <w:tcMar>
              <w:top w:w="60" w:type="dxa"/>
              <w:left w:w="80" w:type="dxa"/>
              <w:bottom w:w="60" w:type="dxa"/>
              <w:right w:w="80" w:type="dxa"/>
            </w:tcMar>
            <w:vAlign w:val="center"/>
          </w:tcPr>
          <w:p w14:paraId="44FD9B03" w14:textId="77777777" w:rsidR="00210538" w:rsidRDefault="00000000">
            <w:pPr>
              <w:spacing w:line="276" w:lineRule="auto"/>
            </w:pPr>
            <w:r>
              <w:rPr>
                <w:sz w:val="18"/>
                <w:szCs w:val="18"/>
              </w:rPr>
              <w:t>Physical resources</w:t>
            </w:r>
          </w:p>
        </w:tc>
        <w:tc>
          <w:tcPr>
            <w:tcW w:w="4200" w:type="dxa"/>
            <w:tcMar>
              <w:top w:w="60" w:type="dxa"/>
              <w:left w:w="80" w:type="dxa"/>
              <w:bottom w:w="60" w:type="dxa"/>
              <w:right w:w="80" w:type="dxa"/>
            </w:tcMar>
            <w:vAlign w:val="center"/>
          </w:tcPr>
          <w:p w14:paraId="50309017" w14:textId="77777777" w:rsidR="00210538" w:rsidRDefault="00000000">
            <w:pPr>
              <w:spacing w:line="276" w:lineRule="auto"/>
            </w:pPr>
            <w:r>
              <w:rPr>
                <w:sz w:val="18"/>
                <w:szCs w:val="18"/>
              </w:rPr>
              <w:t>Training rooms at three sites; upgraded network infrastructure at two plants</w:t>
            </w:r>
          </w:p>
        </w:tc>
        <w:tc>
          <w:tcPr>
            <w:tcW w:w="3200" w:type="dxa"/>
            <w:tcMar>
              <w:top w:w="60" w:type="dxa"/>
              <w:left w:w="80" w:type="dxa"/>
              <w:bottom w:w="60" w:type="dxa"/>
              <w:right w:w="80" w:type="dxa"/>
            </w:tcMar>
            <w:vAlign w:val="center"/>
          </w:tcPr>
          <w:p w14:paraId="72149F90" w14:textId="77777777" w:rsidR="00210538" w:rsidRDefault="00000000">
            <w:pPr>
              <w:spacing w:line="276" w:lineRule="auto"/>
            </w:pPr>
            <w:r>
              <w:rPr>
                <w:sz w:val="18"/>
                <w:szCs w:val="18"/>
              </w:rPr>
              <w:t>Site-based, procured in Months 2–7</w:t>
            </w:r>
          </w:p>
        </w:tc>
      </w:tr>
    </w:tbl>
    <w:p w14:paraId="357F1ACC" w14:textId="77777777" w:rsidR="00BD3860" w:rsidRDefault="00BD3860" w:rsidP="00BD3860">
      <w:pPr>
        <w:pStyle w:val="NormalWeb"/>
        <w:spacing w:line="360" w:lineRule="auto"/>
        <w:rPr>
          <w:color w:val="000000"/>
        </w:rPr>
      </w:pPr>
      <w:r>
        <w:rPr>
          <w:color w:val="000000"/>
        </w:rPr>
        <w:t>The Table 3 shows all the resources needed during the project life cycle, broken down in detail. Effort is most heavily invested in configuration and data migration (Months 4 to 8), since implementation-partner consultants and internal functional leads work together, then training (Months 7 to 10), where the Change and Training Lead ramps up support with super-users nominated from each department.</w:t>
      </w:r>
    </w:p>
    <w:p w14:paraId="6833D4A8" w14:textId="77777777" w:rsidR="00BD3860" w:rsidRDefault="00BD3860" w:rsidP="00BD3860">
      <w:pPr>
        <w:pStyle w:val="NormalWeb"/>
        <w:spacing w:line="360" w:lineRule="auto"/>
        <w:rPr>
          <w:color w:val="000000"/>
        </w:rPr>
      </w:pPr>
      <w:r>
        <w:rPr>
          <w:color w:val="000000"/>
        </w:rPr>
        <w:t xml:space="preserve">The budget of £2.1 million is divided approximately as 45 per cent implementation-partner fees, 25 per cent internal staff time, 15 per cent software licences and cloud-hosting fees, 5 per cent hardware and network upgrades at both plants, and a management contingency of ten percent consistent with the guidance provided by Kerzner (2022) that complex system projects should maintain project contingencies in proportion to estimating uncertainty. Each fortnightly project board meeting reviews resource allocation, and the Project Manager retains discretion to allocate resources between work packages without needing Steering Committee approval </w:t>
      </w:r>
      <w:proofErr w:type="gramStart"/>
      <w:r>
        <w:rPr>
          <w:color w:val="000000"/>
        </w:rPr>
        <w:t>as long as</w:t>
      </w:r>
      <w:proofErr w:type="gramEnd"/>
      <w:r>
        <w:rPr>
          <w:color w:val="000000"/>
        </w:rPr>
        <w:t xml:space="preserve"> the change does not impact approved budgets or milestone dates.</w:t>
      </w:r>
    </w:p>
    <w:p w14:paraId="75CC3703" w14:textId="77777777" w:rsidR="00210538" w:rsidRDefault="00000000">
      <w:pPr>
        <w:pStyle w:val="Heading1"/>
      </w:pPr>
      <w:r>
        <w:lastRenderedPageBreak/>
        <w:t>9. Risk Analysis</w:t>
      </w:r>
    </w:p>
    <w:p w14:paraId="5C2FB07D" w14:textId="77777777" w:rsidR="00BD3860" w:rsidRDefault="00BD3860" w:rsidP="00BD3860">
      <w:pPr>
        <w:pStyle w:val="NormalWeb"/>
        <w:spacing w:line="360" w:lineRule="auto"/>
        <w:rPr>
          <w:color w:val="000000"/>
        </w:rPr>
      </w:pPr>
      <w:r>
        <w:rPr>
          <w:color w:val="000000"/>
        </w:rPr>
        <w:t>Risk management is a structured process of identification, assessment, response planning and monitoring set out by Chapman and Ward (2003) and reflected in the PMBOK Guide uncertainty performance domain (Project Management Institute, 2021). Once risks are identified, workshops with the project team, functional leads and the implementation partner help assess the risks against probability and impact on objective as high, medium or low priority for response planning. This table lists the primary risk and mitigation strategies for you in Table 4.</w:t>
      </w:r>
    </w:p>
    <w:p w14:paraId="35FF8773" w14:textId="77777777" w:rsidR="00210538" w:rsidRDefault="00000000">
      <w:pPr>
        <w:spacing w:after="120" w:line="360" w:lineRule="auto"/>
        <w:jc w:val="center"/>
      </w:pPr>
      <w:r>
        <w:rPr>
          <w:b/>
          <w:bCs/>
        </w:rPr>
        <w:t>Table 4: Project Risk Register</w:t>
      </w:r>
    </w:p>
    <w:tbl>
      <w:tblPr>
        <w:tblW w:w="96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3000"/>
        <w:gridCol w:w="1300"/>
        <w:gridCol w:w="1100"/>
        <w:gridCol w:w="4200"/>
      </w:tblGrid>
      <w:tr w:rsidR="00210538" w14:paraId="37DC5455" w14:textId="77777777">
        <w:tblPrEx>
          <w:tblCellMar>
            <w:top w:w="0" w:type="dxa"/>
            <w:bottom w:w="0" w:type="dxa"/>
          </w:tblCellMar>
        </w:tblPrEx>
        <w:trPr>
          <w:tblHeader/>
        </w:trPr>
        <w:tc>
          <w:tcPr>
            <w:tcW w:w="3000" w:type="dxa"/>
            <w:shd w:val="clear" w:color="auto" w:fill="D9D9D9"/>
            <w:tcMar>
              <w:top w:w="60" w:type="dxa"/>
              <w:left w:w="80" w:type="dxa"/>
              <w:bottom w:w="60" w:type="dxa"/>
              <w:right w:w="80" w:type="dxa"/>
            </w:tcMar>
            <w:vAlign w:val="center"/>
          </w:tcPr>
          <w:p w14:paraId="26FC13F5" w14:textId="77777777" w:rsidR="00210538" w:rsidRDefault="00000000">
            <w:pPr>
              <w:spacing w:line="276" w:lineRule="auto"/>
            </w:pPr>
            <w:r>
              <w:rPr>
                <w:b/>
                <w:bCs/>
                <w:sz w:val="20"/>
                <w:szCs w:val="20"/>
              </w:rPr>
              <w:t>Risk</w:t>
            </w:r>
          </w:p>
        </w:tc>
        <w:tc>
          <w:tcPr>
            <w:tcW w:w="1300" w:type="dxa"/>
            <w:shd w:val="clear" w:color="auto" w:fill="D9D9D9"/>
            <w:tcMar>
              <w:top w:w="60" w:type="dxa"/>
              <w:left w:w="80" w:type="dxa"/>
              <w:bottom w:w="60" w:type="dxa"/>
              <w:right w:w="80" w:type="dxa"/>
            </w:tcMar>
            <w:vAlign w:val="center"/>
          </w:tcPr>
          <w:p w14:paraId="2F9654ED" w14:textId="77777777" w:rsidR="00210538" w:rsidRDefault="00000000">
            <w:pPr>
              <w:spacing w:line="276" w:lineRule="auto"/>
            </w:pPr>
            <w:r>
              <w:rPr>
                <w:b/>
                <w:bCs/>
                <w:sz w:val="20"/>
                <w:szCs w:val="20"/>
              </w:rPr>
              <w:t>Probability</w:t>
            </w:r>
          </w:p>
        </w:tc>
        <w:tc>
          <w:tcPr>
            <w:tcW w:w="1100" w:type="dxa"/>
            <w:shd w:val="clear" w:color="auto" w:fill="D9D9D9"/>
            <w:tcMar>
              <w:top w:w="60" w:type="dxa"/>
              <w:left w:w="80" w:type="dxa"/>
              <w:bottom w:w="60" w:type="dxa"/>
              <w:right w:w="80" w:type="dxa"/>
            </w:tcMar>
            <w:vAlign w:val="center"/>
          </w:tcPr>
          <w:p w14:paraId="3544E768" w14:textId="77777777" w:rsidR="00210538" w:rsidRDefault="00000000">
            <w:pPr>
              <w:spacing w:line="276" w:lineRule="auto"/>
            </w:pPr>
            <w:r>
              <w:rPr>
                <w:b/>
                <w:bCs/>
                <w:sz w:val="20"/>
                <w:szCs w:val="20"/>
              </w:rPr>
              <w:t>Impact</w:t>
            </w:r>
          </w:p>
        </w:tc>
        <w:tc>
          <w:tcPr>
            <w:tcW w:w="4200" w:type="dxa"/>
            <w:shd w:val="clear" w:color="auto" w:fill="D9D9D9"/>
            <w:tcMar>
              <w:top w:w="60" w:type="dxa"/>
              <w:left w:w="80" w:type="dxa"/>
              <w:bottom w:w="60" w:type="dxa"/>
              <w:right w:w="80" w:type="dxa"/>
            </w:tcMar>
            <w:vAlign w:val="center"/>
          </w:tcPr>
          <w:p w14:paraId="2F6E5C6B" w14:textId="77777777" w:rsidR="00210538" w:rsidRDefault="00000000">
            <w:pPr>
              <w:spacing w:line="276" w:lineRule="auto"/>
            </w:pPr>
            <w:r>
              <w:rPr>
                <w:b/>
                <w:bCs/>
                <w:sz w:val="20"/>
                <w:szCs w:val="20"/>
              </w:rPr>
              <w:t>Mitigation</w:t>
            </w:r>
          </w:p>
        </w:tc>
      </w:tr>
      <w:tr w:rsidR="00210538" w14:paraId="49CAF55A" w14:textId="77777777">
        <w:tblPrEx>
          <w:tblCellMar>
            <w:top w:w="0" w:type="dxa"/>
            <w:bottom w:w="0" w:type="dxa"/>
          </w:tblCellMar>
        </w:tblPrEx>
        <w:tc>
          <w:tcPr>
            <w:tcW w:w="3000" w:type="dxa"/>
            <w:tcMar>
              <w:top w:w="60" w:type="dxa"/>
              <w:left w:w="80" w:type="dxa"/>
              <w:bottom w:w="60" w:type="dxa"/>
              <w:right w:w="80" w:type="dxa"/>
            </w:tcMar>
            <w:vAlign w:val="center"/>
          </w:tcPr>
          <w:p w14:paraId="1A9C0418" w14:textId="77777777" w:rsidR="00210538" w:rsidRDefault="00000000">
            <w:pPr>
              <w:spacing w:line="276" w:lineRule="auto"/>
            </w:pPr>
            <w:r>
              <w:rPr>
                <w:sz w:val="17"/>
                <w:szCs w:val="17"/>
              </w:rPr>
              <w:t>Poor data quality / migration errors</w:t>
            </w:r>
          </w:p>
        </w:tc>
        <w:tc>
          <w:tcPr>
            <w:tcW w:w="1300" w:type="dxa"/>
            <w:tcMar>
              <w:top w:w="60" w:type="dxa"/>
              <w:left w:w="80" w:type="dxa"/>
              <w:bottom w:w="60" w:type="dxa"/>
              <w:right w:w="80" w:type="dxa"/>
            </w:tcMar>
            <w:vAlign w:val="center"/>
          </w:tcPr>
          <w:p w14:paraId="6E55BD92" w14:textId="77777777" w:rsidR="00210538" w:rsidRDefault="00000000">
            <w:pPr>
              <w:spacing w:line="276" w:lineRule="auto"/>
            </w:pPr>
            <w:r>
              <w:rPr>
                <w:sz w:val="17"/>
                <w:szCs w:val="17"/>
              </w:rPr>
              <w:t>High</w:t>
            </w:r>
          </w:p>
        </w:tc>
        <w:tc>
          <w:tcPr>
            <w:tcW w:w="1100" w:type="dxa"/>
            <w:tcMar>
              <w:top w:w="60" w:type="dxa"/>
              <w:left w:w="80" w:type="dxa"/>
              <w:bottom w:w="60" w:type="dxa"/>
              <w:right w:w="80" w:type="dxa"/>
            </w:tcMar>
            <w:vAlign w:val="center"/>
          </w:tcPr>
          <w:p w14:paraId="6A56745C" w14:textId="77777777" w:rsidR="00210538" w:rsidRDefault="00000000">
            <w:pPr>
              <w:spacing w:line="276" w:lineRule="auto"/>
            </w:pPr>
            <w:r>
              <w:rPr>
                <w:sz w:val="17"/>
                <w:szCs w:val="17"/>
              </w:rPr>
              <w:t>High</w:t>
            </w:r>
          </w:p>
        </w:tc>
        <w:tc>
          <w:tcPr>
            <w:tcW w:w="4200" w:type="dxa"/>
            <w:tcMar>
              <w:top w:w="60" w:type="dxa"/>
              <w:left w:w="80" w:type="dxa"/>
              <w:bottom w:w="60" w:type="dxa"/>
              <w:right w:w="80" w:type="dxa"/>
            </w:tcMar>
            <w:vAlign w:val="center"/>
          </w:tcPr>
          <w:p w14:paraId="11BAE409" w14:textId="77777777" w:rsidR="00210538" w:rsidRDefault="00000000">
            <w:pPr>
              <w:spacing w:line="276" w:lineRule="auto"/>
            </w:pPr>
            <w:r>
              <w:rPr>
                <w:sz w:val="17"/>
                <w:szCs w:val="17"/>
              </w:rPr>
              <w:t>Early cleansing workshops, three migration rehearsals, finance reconciliation sign-off before cutover</w:t>
            </w:r>
          </w:p>
        </w:tc>
      </w:tr>
      <w:tr w:rsidR="00210538" w14:paraId="31E908F9" w14:textId="77777777">
        <w:tblPrEx>
          <w:tblCellMar>
            <w:top w:w="0" w:type="dxa"/>
            <w:bottom w:w="0" w:type="dxa"/>
          </w:tblCellMar>
        </w:tblPrEx>
        <w:tc>
          <w:tcPr>
            <w:tcW w:w="3000" w:type="dxa"/>
            <w:tcMar>
              <w:top w:w="60" w:type="dxa"/>
              <w:left w:w="80" w:type="dxa"/>
              <w:bottom w:w="60" w:type="dxa"/>
              <w:right w:w="80" w:type="dxa"/>
            </w:tcMar>
            <w:vAlign w:val="center"/>
          </w:tcPr>
          <w:p w14:paraId="0A334D7F" w14:textId="77777777" w:rsidR="00210538" w:rsidRDefault="00000000">
            <w:pPr>
              <w:spacing w:line="276" w:lineRule="auto"/>
            </w:pPr>
            <w:r>
              <w:rPr>
                <w:sz w:val="17"/>
                <w:szCs w:val="17"/>
              </w:rPr>
              <w:t>User resistance / low adoption</w:t>
            </w:r>
          </w:p>
        </w:tc>
        <w:tc>
          <w:tcPr>
            <w:tcW w:w="1300" w:type="dxa"/>
            <w:tcMar>
              <w:top w:w="60" w:type="dxa"/>
              <w:left w:w="80" w:type="dxa"/>
              <w:bottom w:w="60" w:type="dxa"/>
              <w:right w:w="80" w:type="dxa"/>
            </w:tcMar>
            <w:vAlign w:val="center"/>
          </w:tcPr>
          <w:p w14:paraId="6D30C5C5" w14:textId="77777777" w:rsidR="00210538" w:rsidRDefault="00000000">
            <w:pPr>
              <w:spacing w:line="276" w:lineRule="auto"/>
            </w:pPr>
            <w:r>
              <w:rPr>
                <w:sz w:val="17"/>
                <w:szCs w:val="17"/>
              </w:rPr>
              <w:t>Medium</w:t>
            </w:r>
          </w:p>
        </w:tc>
        <w:tc>
          <w:tcPr>
            <w:tcW w:w="1100" w:type="dxa"/>
            <w:tcMar>
              <w:top w:w="60" w:type="dxa"/>
              <w:left w:w="80" w:type="dxa"/>
              <w:bottom w:w="60" w:type="dxa"/>
              <w:right w:w="80" w:type="dxa"/>
            </w:tcMar>
            <w:vAlign w:val="center"/>
          </w:tcPr>
          <w:p w14:paraId="031FFF18" w14:textId="77777777" w:rsidR="00210538" w:rsidRDefault="00000000">
            <w:pPr>
              <w:spacing w:line="276" w:lineRule="auto"/>
            </w:pPr>
            <w:r>
              <w:rPr>
                <w:sz w:val="17"/>
                <w:szCs w:val="17"/>
              </w:rPr>
              <w:t>High</w:t>
            </w:r>
          </w:p>
        </w:tc>
        <w:tc>
          <w:tcPr>
            <w:tcW w:w="4200" w:type="dxa"/>
            <w:tcMar>
              <w:top w:w="60" w:type="dxa"/>
              <w:left w:w="80" w:type="dxa"/>
              <w:bottom w:w="60" w:type="dxa"/>
              <w:right w:w="80" w:type="dxa"/>
            </w:tcMar>
            <w:vAlign w:val="center"/>
          </w:tcPr>
          <w:p w14:paraId="7D89FE2D" w14:textId="77777777" w:rsidR="00210538" w:rsidRDefault="00000000">
            <w:pPr>
              <w:spacing w:line="276" w:lineRule="auto"/>
            </w:pPr>
            <w:r>
              <w:rPr>
                <w:sz w:val="17"/>
                <w:szCs w:val="17"/>
              </w:rPr>
              <w:t xml:space="preserve">Super-user network, phased communications, on-site </w:t>
            </w:r>
            <w:proofErr w:type="spellStart"/>
            <w:r>
              <w:rPr>
                <w:sz w:val="17"/>
                <w:szCs w:val="17"/>
              </w:rPr>
              <w:t>hypercare</w:t>
            </w:r>
            <w:proofErr w:type="spellEnd"/>
            <w:r>
              <w:rPr>
                <w:sz w:val="17"/>
                <w:szCs w:val="17"/>
              </w:rPr>
              <w:t xml:space="preserve"> support</w:t>
            </w:r>
          </w:p>
        </w:tc>
      </w:tr>
      <w:tr w:rsidR="00210538" w14:paraId="321591EF" w14:textId="77777777">
        <w:tblPrEx>
          <w:tblCellMar>
            <w:top w:w="0" w:type="dxa"/>
            <w:bottom w:w="0" w:type="dxa"/>
          </w:tblCellMar>
        </w:tblPrEx>
        <w:tc>
          <w:tcPr>
            <w:tcW w:w="3000" w:type="dxa"/>
            <w:tcMar>
              <w:top w:w="60" w:type="dxa"/>
              <w:left w:w="80" w:type="dxa"/>
              <w:bottom w:w="60" w:type="dxa"/>
              <w:right w:w="80" w:type="dxa"/>
            </w:tcMar>
            <w:vAlign w:val="center"/>
          </w:tcPr>
          <w:p w14:paraId="540A1631" w14:textId="77777777" w:rsidR="00210538" w:rsidRDefault="00000000">
            <w:pPr>
              <w:spacing w:line="276" w:lineRule="auto"/>
            </w:pPr>
            <w:r>
              <w:rPr>
                <w:sz w:val="17"/>
                <w:szCs w:val="17"/>
              </w:rPr>
              <w:t>Vendor resource unavailability</w:t>
            </w:r>
          </w:p>
        </w:tc>
        <w:tc>
          <w:tcPr>
            <w:tcW w:w="1300" w:type="dxa"/>
            <w:tcMar>
              <w:top w:w="60" w:type="dxa"/>
              <w:left w:w="80" w:type="dxa"/>
              <w:bottom w:w="60" w:type="dxa"/>
              <w:right w:w="80" w:type="dxa"/>
            </w:tcMar>
            <w:vAlign w:val="center"/>
          </w:tcPr>
          <w:p w14:paraId="2202388F" w14:textId="77777777" w:rsidR="00210538" w:rsidRDefault="00000000">
            <w:pPr>
              <w:spacing w:line="276" w:lineRule="auto"/>
            </w:pPr>
            <w:r>
              <w:rPr>
                <w:sz w:val="17"/>
                <w:szCs w:val="17"/>
              </w:rPr>
              <w:t>Medium</w:t>
            </w:r>
          </w:p>
        </w:tc>
        <w:tc>
          <w:tcPr>
            <w:tcW w:w="1100" w:type="dxa"/>
            <w:tcMar>
              <w:top w:w="60" w:type="dxa"/>
              <w:left w:w="80" w:type="dxa"/>
              <w:bottom w:w="60" w:type="dxa"/>
              <w:right w:w="80" w:type="dxa"/>
            </w:tcMar>
            <w:vAlign w:val="center"/>
          </w:tcPr>
          <w:p w14:paraId="4A4088DC" w14:textId="77777777" w:rsidR="00210538" w:rsidRDefault="00000000">
            <w:pPr>
              <w:spacing w:line="276" w:lineRule="auto"/>
            </w:pPr>
            <w:r>
              <w:rPr>
                <w:sz w:val="17"/>
                <w:szCs w:val="17"/>
              </w:rPr>
              <w:t>Medium</w:t>
            </w:r>
          </w:p>
        </w:tc>
        <w:tc>
          <w:tcPr>
            <w:tcW w:w="4200" w:type="dxa"/>
            <w:tcMar>
              <w:top w:w="60" w:type="dxa"/>
              <w:left w:w="80" w:type="dxa"/>
              <w:bottom w:w="60" w:type="dxa"/>
              <w:right w:w="80" w:type="dxa"/>
            </w:tcMar>
            <w:vAlign w:val="center"/>
          </w:tcPr>
          <w:p w14:paraId="28CF41A1" w14:textId="77777777" w:rsidR="00210538" w:rsidRDefault="00000000">
            <w:pPr>
              <w:spacing w:line="276" w:lineRule="auto"/>
            </w:pPr>
            <w:r>
              <w:rPr>
                <w:sz w:val="17"/>
                <w:szCs w:val="17"/>
              </w:rPr>
              <w:t>Contractual service-level commitments, escalation clause</w:t>
            </w:r>
          </w:p>
        </w:tc>
      </w:tr>
      <w:tr w:rsidR="00210538" w14:paraId="6A89289E" w14:textId="77777777">
        <w:tblPrEx>
          <w:tblCellMar>
            <w:top w:w="0" w:type="dxa"/>
            <w:bottom w:w="0" w:type="dxa"/>
          </w:tblCellMar>
        </w:tblPrEx>
        <w:tc>
          <w:tcPr>
            <w:tcW w:w="3000" w:type="dxa"/>
            <w:tcMar>
              <w:top w:w="60" w:type="dxa"/>
              <w:left w:w="80" w:type="dxa"/>
              <w:bottom w:w="60" w:type="dxa"/>
              <w:right w:w="80" w:type="dxa"/>
            </w:tcMar>
            <w:vAlign w:val="center"/>
          </w:tcPr>
          <w:p w14:paraId="008C4C81" w14:textId="77777777" w:rsidR="00210538" w:rsidRDefault="00000000">
            <w:pPr>
              <w:spacing w:line="276" w:lineRule="auto"/>
            </w:pPr>
            <w:r>
              <w:rPr>
                <w:sz w:val="17"/>
                <w:szCs w:val="17"/>
              </w:rPr>
              <w:t>Key personnel turnover</w:t>
            </w:r>
          </w:p>
        </w:tc>
        <w:tc>
          <w:tcPr>
            <w:tcW w:w="1300" w:type="dxa"/>
            <w:tcMar>
              <w:top w:w="60" w:type="dxa"/>
              <w:left w:w="80" w:type="dxa"/>
              <w:bottom w:w="60" w:type="dxa"/>
              <w:right w:w="80" w:type="dxa"/>
            </w:tcMar>
            <w:vAlign w:val="center"/>
          </w:tcPr>
          <w:p w14:paraId="215F99B4" w14:textId="77777777" w:rsidR="00210538" w:rsidRDefault="00000000">
            <w:pPr>
              <w:spacing w:line="276" w:lineRule="auto"/>
            </w:pPr>
            <w:r>
              <w:rPr>
                <w:sz w:val="17"/>
                <w:szCs w:val="17"/>
              </w:rPr>
              <w:t>Low</w:t>
            </w:r>
          </w:p>
        </w:tc>
        <w:tc>
          <w:tcPr>
            <w:tcW w:w="1100" w:type="dxa"/>
            <w:tcMar>
              <w:top w:w="60" w:type="dxa"/>
              <w:left w:w="80" w:type="dxa"/>
              <w:bottom w:w="60" w:type="dxa"/>
              <w:right w:w="80" w:type="dxa"/>
            </w:tcMar>
            <w:vAlign w:val="center"/>
          </w:tcPr>
          <w:p w14:paraId="6B9841A4" w14:textId="77777777" w:rsidR="00210538" w:rsidRDefault="00000000">
            <w:pPr>
              <w:spacing w:line="276" w:lineRule="auto"/>
            </w:pPr>
            <w:r>
              <w:rPr>
                <w:sz w:val="17"/>
                <w:szCs w:val="17"/>
              </w:rPr>
              <w:t>Medium</w:t>
            </w:r>
          </w:p>
        </w:tc>
        <w:tc>
          <w:tcPr>
            <w:tcW w:w="4200" w:type="dxa"/>
            <w:tcMar>
              <w:top w:w="60" w:type="dxa"/>
              <w:left w:w="80" w:type="dxa"/>
              <w:bottom w:w="60" w:type="dxa"/>
              <w:right w:w="80" w:type="dxa"/>
            </w:tcMar>
            <w:vAlign w:val="center"/>
          </w:tcPr>
          <w:p w14:paraId="4B1B1F36" w14:textId="77777777" w:rsidR="00210538" w:rsidRDefault="00000000">
            <w:pPr>
              <w:spacing w:line="276" w:lineRule="auto"/>
            </w:pPr>
            <w:r>
              <w:rPr>
                <w:sz w:val="17"/>
                <w:szCs w:val="17"/>
              </w:rPr>
              <w:t>Cross-training, documented processes, succession planning</w:t>
            </w:r>
          </w:p>
        </w:tc>
      </w:tr>
      <w:tr w:rsidR="00210538" w14:paraId="6E50261A" w14:textId="77777777">
        <w:tblPrEx>
          <w:tblCellMar>
            <w:top w:w="0" w:type="dxa"/>
            <w:bottom w:w="0" w:type="dxa"/>
          </w:tblCellMar>
        </w:tblPrEx>
        <w:tc>
          <w:tcPr>
            <w:tcW w:w="3000" w:type="dxa"/>
            <w:tcMar>
              <w:top w:w="60" w:type="dxa"/>
              <w:left w:w="80" w:type="dxa"/>
              <w:bottom w:w="60" w:type="dxa"/>
              <w:right w:w="80" w:type="dxa"/>
            </w:tcMar>
            <w:vAlign w:val="center"/>
          </w:tcPr>
          <w:p w14:paraId="2AE8129C" w14:textId="77777777" w:rsidR="00210538" w:rsidRDefault="00000000">
            <w:pPr>
              <w:spacing w:line="276" w:lineRule="auto"/>
            </w:pPr>
            <w:r>
              <w:rPr>
                <w:sz w:val="17"/>
                <w:szCs w:val="17"/>
              </w:rPr>
              <w:t>Budget overrun</w:t>
            </w:r>
          </w:p>
        </w:tc>
        <w:tc>
          <w:tcPr>
            <w:tcW w:w="1300" w:type="dxa"/>
            <w:tcMar>
              <w:top w:w="60" w:type="dxa"/>
              <w:left w:w="80" w:type="dxa"/>
              <w:bottom w:w="60" w:type="dxa"/>
              <w:right w:w="80" w:type="dxa"/>
            </w:tcMar>
            <w:vAlign w:val="center"/>
          </w:tcPr>
          <w:p w14:paraId="241EC304" w14:textId="77777777" w:rsidR="00210538" w:rsidRDefault="00000000">
            <w:pPr>
              <w:spacing w:line="276" w:lineRule="auto"/>
            </w:pPr>
            <w:r>
              <w:rPr>
                <w:sz w:val="17"/>
                <w:szCs w:val="17"/>
              </w:rPr>
              <w:t>Medium</w:t>
            </w:r>
          </w:p>
        </w:tc>
        <w:tc>
          <w:tcPr>
            <w:tcW w:w="1100" w:type="dxa"/>
            <w:tcMar>
              <w:top w:w="60" w:type="dxa"/>
              <w:left w:w="80" w:type="dxa"/>
              <w:bottom w:w="60" w:type="dxa"/>
              <w:right w:w="80" w:type="dxa"/>
            </w:tcMar>
            <w:vAlign w:val="center"/>
          </w:tcPr>
          <w:p w14:paraId="4B2C29D9" w14:textId="77777777" w:rsidR="00210538" w:rsidRDefault="00000000">
            <w:pPr>
              <w:spacing w:line="276" w:lineRule="auto"/>
            </w:pPr>
            <w:r>
              <w:rPr>
                <w:sz w:val="17"/>
                <w:szCs w:val="17"/>
              </w:rPr>
              <w:t>Medium</w:t>
            </w:r>
          </w:p>
        </w:tc>
        <w:tc>
          <w:tcPr>
            <w:tcW w:w="4200" w:type="dxa"/>
            <w:tcMar>
              <w:top w:w="60" w:type="dxa"/>
              <w:left w:w="80" w:type="dxa"/>
              <w:bottom w:w="60" w:type="dxa"/>
              <w:right w:w="80" w:type="dxa"/>
            </w:tcMar>
            <w:vAlign w:val="center"/>
          </w:tcPr>
          <w:p w14:paraId="784E48EA" w14:textId="77777777" w:rsidR="00210538" w:rsidRDefault="00000000">
            <w:pPr>
              <w:spacing w:line="276" w:lineRule="auto"/>
            </w:pPr>
            <w:r>
              <w:rPr>
                <w:sz w:val="17"/>
                <w:szCs w:val="17"/>
              </w:rPr>
              <w:t>10% contingency reserve, monthly cost-variance review</w:t>
            </w:r>
          </w:p>
        </w:tc>
      </w:tr>
      <w:tr w:rsidR="00210538" w14:paraId="65C83F0E" w14:textId="77777777">
        <w:tblPrEx>
          <w:tblCellMar>
            <w:top w:w="0" w:type="dxa"/>
            <w:bottom w:w="0" w:type="dxa"/>
          </w:tblCellMar>
        </w:tblPrEx>
        <w:tc>
          <w:tcPr>
            <w:tcW w:w="3000" w:type="dxa"/>
            <w:tcMar>
              <w:top w:w="60" w:type="dxa"/>
              <w:left w:w="80" w:type="dxa"/>
              <w:bottom w:w="60" w:type="dxa"/>
              <w:right w:w="80" w:type="dxa"/>
            </w:tcMar>
            <w:vAlign w:val="center"/>
          </w:tcPr>
          <w:p w14:paraId="13D29F45" w14:textId="77777777" w:rsidR="00210538" w:rsidRDefault="00000000">
            <w:pPr>
              <w:spacing w:line="276" w:lineRule="auto"/>
            </w:pPr>
            <w:r>
              <w:rPr>
                <w:sz w:val="17"/>
                <w:szCs w:val="17"/>
              </w:rPr>
              <w:t>Scope creep</w:t>
            </w:r>
          </w:p>
        </w:tc>
        <w:tc>
          <w:tcPr>
            <w:tcW w:w="1300" w:type="dxa"/>
            <w:tcMar>
              <w:top w:w="60" w:type="dxa"/>
              <w:left w:w="80" w:type="dxa"/>
              <w:bottom w:w="60" w:type="dxa"/>
              <w:right w:w="80" w:type="dxa"/>
            </w:tcMar>
            <w:vAlign w:val="center"/>
          </w:tcPr>
          <w:p w14:paraId="1234DC3B" w14:textId="77777777" w:rsidR="00210538" w:rsidRDefault="00000000">
            <w:pPr>
              <w:spacing w:line="276" w:lineRule="auto"/>
            </w:pPr>
            <w:r>
              <w:rPr>
                <w:sz w:val="17"/>
                <w:szCs w:val="17"/>
              </w:rPr>
              <w:t>Medium</w:t>
            </w:r>
          </w:p>
        </w:tc>
        <w:tc>
          <w:tcPr>
            <w:tcW w:w="1100" w:type="dxa"/>
            <w:tcMar>
              <w:top w:w="60" w:type="dxa"/>
              <w:left w:w="80" w:type="dxa"/>
              <w:bottom w:w="60" w:type="dxa"/>
              <w:right w:w="80" w:type="dxa"/>
            </w:tcMar>
            <w:vAlign w:val="center"/>
          </w:tcPr>
          <w:p w14:paraId="10F185D3" w14:textId="77777777" w:rsidR="00210538" w:rsidRDefault="00000000">
            <w:pPr>
              <w:spacing w:line="276" w:lineRule="auto"/>
            </w:pPr>
            <w:r>
              <w:rPr>
                <w:sz w:val="17"/>
                <w:szCs w:val="17"/>
              </w:rPr>
              <w:t>High</w:t>
            </w:r>
          </w:p>
        </w:tc>
        <w:tc>
          <w:tcPr>
            <w:tcW w:w="4200" w:type="dxa"/>
            <w:tcMar>
              <w:top w:w="60" w:type="dxa"/>
              <w:left w:w="80" w:type="dxa"/>
              <w:bottom w:w="60" w:type="dxa"/>
              <w:right w:w="80" w:type="dxa"/>
            </w:tcMar>
            <w:vAlign w:val="center"/>
          </w:tcPr>
          <w:p w14:paraId="1CA7A095" w14:textId="77777777" w:rsidR="00210538" w:rsidRDefault="00000000">
            <w:pPr>
              <w:spacing w:line="276" w:lineRule="auto"/>
            </w:pPr>
            <w:r>
              <w:rPr>
                <w:sz w:val="17"/>
                <w:szCs w:val="17"/>
              </w:rPr>
              <w:t>Formal change-control process, Steering Committee sign-off</w:t>
            </w:r>
          </w:p>
        </w:tc>
      </w:tr>
      <w:tr w:rsidR="00210538" w14:paraId="60232116" w14:textId="77777777">
        <w:tblPrEx>
          <w:tblCellMar>
            <w:top w:w="0" w:type="dxa"/>
            <w:bottom w:w="0" w:type="dxa"/>
          </w:tblCellMar>
        </w:tblPrEx>
        <w:tc>
          <w:tcPr>
            <w:tcW w:w="3000" w:type="dxa"/>
            <w:tcMar>
              <w:top w:w="60" w:type="dxa"/>
              <w:left w:w="80" w:type="dxa"/>
              <w:bottom w:w="60" w:type="dxa"/>
              <w:right w:w="80" w:type="dxa"/>
            </w:tcMar>
            <w:vAlign w:val="center"/>
          </w:tcPr>
          <w:p w14:paraId="4E27EE80" w14:textId="77777777" w:rsidR="00210538" w:rsidRDefault="00000000">
            <w:pPr>
              <w:spacing w:line="276" w:lineRule="auto"/>
            </w:pPr>
            <w:r>
              <w:rPr>
                <w:sz w:val="17"/>
                <w:szCs w:val="17"/>
              </w:rPr>
              <w:t>Cybersecurity exposure during migration</w:t>
            </w:r>
          </w:p>
        </w:tc>
        <w:tc>
          <w:tcPr>
            <w:tcW w:w="1300" w:type="dxa"/>
            <w:tcMar>
              <w:top w:w="60" w:type="dxa"/>
              <w:left w:w="80" w:type="dxa"/>
              <w:bottom w:w="60" w:type="dxa"/>
              <w:right w:w="80" w:type="dxa"/>
            </w:tcMar>
            <w:vAlign w:val="center"/>
          </w:tcPr>
          <w:p w14:paraId="6CF58C59" w14:textId="77777777" w:rsidR="00210538" w:rsidRDefault="00000000">
            <w:pPr>
              <w:spacing w:line="276" w:lineRule="auto"/>
            </w:pPr>
            <w:r>
              <w:rPr>
                <w:sz w:val="17"/>
                <w:szCs w:val="17"/>
              </w:rPr>
              <w:t>Low</w:t>
            </w:r>
          </w:p>
        </w:tc>
        <w:tc>
          <w:tcPr>
            <w:tcW w:w="1100" w:type="dxa"/>
            <w:tcMar>
              <w:top w:w="60" w:type="dxa"/>
              <w:left w:w="80" w:type="dxa"/>
              <w:bottom w:w="60" w:type="dxa"/>
              <w:right w:w="80" w:type="dxa"/>
            </w:tcMar>
            <w:vAlign w:val="center"/>
          </w:tcPr>
          <w:p w14:paraId="23162918" w14:textId="77777777" w:rsidR="00210538" w:rsidRDefault="00000000">
            <w:pPr>
              <w:spacing w:line="276" w:lineRule="auto"/>
            </w:pPr>
            <w:r>
              <w:rPr>
                <w:sz w:val="17"/>
                <w:szCs w:val="17"/>
              </w:rPr>
              <w:t>High</w:t>
            </w:r>
          </w:p>
        </w:tc>
        <w:tc>
          <w:tcPr>
            <w:tcW w:w="4200" w:type="dxa"/>
            <w:tcMar>
              <w:top w:w="60" w:type="dxa"/>
              <w:left w:w="80" w:type="dxa"/>
              <w:bottom w:w="60" w:type="dxa"/>
              <w:right w:w="80" w:type="dxa"/>
            </w:tcMar>
            <w:vAlign w:val="center"/>
          </w:tcPr>
          <w:p w14:paraId="243353D0" w14:textId="77777777" w:rsidR="00210538" w:rsidRDefault="00000000">
            <w:pPr>
              <w:spacing w:line="276" w:lineRule="auto"/>
            </w:pPr>
            <w:r>
              <w:rPr>
                <w:sz w:val="17"/>
                <w:szCs w:val="17"/>
              </w:rPr>
              <w:t>Independent security certification review, penetration testing</w:t>
            </w:r>
          </w:p>
        </w:tc>
      </w:tr>
      <w:tr w:rsidR="00210538" w14:paraId="53383D7D" w14:textId="77777777">
        <w:tblPrEx>
          <w:tblCellMar>
            <w:top w:w="0" w:type="dxa"/>
            <w:bottom w:w="0" w:type="dxa"/>
          </w:tblCellMar>
        </w:tblPrEx>
        <w:tc>
          <w:tcPr>
            <w:tcW w:w="3000" w:type="dxa"/>
            <w:tcMar>
              <w:top w:w="60" w:type="dxa"/>
              <w:left w:w="80" w:type="dxa"/>
              <w:bottom w:w="60" w:type="dxa"/>
              <w:right w:w="80" w:type="dxa"/>
            </w:tcMar>
            <w:vAlign w:val="center"/>
          </w:tcPr>
          <w:p w14:paraId="3EB9309E" w14:textId="77777777" w:rsidR="00210538" w:rsidRDefault="00000000">
            <w:pPr>
              <w:spacing w:line="276" w:lineRule="auto"/>
            </w:pPr>
            <w:r>
              <w:rPr>
                <w:sz w:val="17"/>
                <w:szCs w:val="17"/>
              </w:rPr>
              <w:t>Production disruption during cutover</w:t>
            </w:r>
          </w:p>
        </w:tc>
        <w:tc>
          <w:tcPr>
            <w:tcW w:w="1300" w:type="dxa"/>
            <w:tcMar>
              <w:top w:w="60" w:type="dxa"/>
              <w:left w:w="80" w:type="dxa"/>
              <w:bottom w:w="60" w:type="dxa"/>
              <w:right w:w="80" w:type="dxa"/>
            </w:tcMar>
            <w:vAlign w:val="center"/>
          </w:tcPr>
          <w:p w14:paraId="618AFF41" w14:textId="77777777" w:rsidR="00210538" w:rsidRDefault="00000000">
            <w:pPr>
              <w:spacing w:line="276" w:lineRule="auto"/>
            </w:pPr>
            <w:r>
              <w:rPr>
                <w:sz w:val="17"/>
                <w:szCs w:val="17"/>
              </w:rPr>
              <w:t>Low</w:t>
            </w:r>
          </w:p>
        </w:tc>
        <w:tc>
          <w:tcPr>
            <w:tcW w:w="1100" w:type="dxa"/>
            <w:tcMar>
              <w:top w:w="60" w:type="dxa"/>
              <w:left w:w="80" w:type="dxa"/>
              <w:bottom w:w="60" w:type="dxa"/>
              <w:right w:w="80" w:type="dxa"/>
            </w:tcMar>
            <w:vAlign w:val="center"/>
          </w:tcPr>
          <w:p w14:paraId="2C6F42FF" w14:textId="77777777" w:rsidR="00210538" w:rsidRDefault="00000000">
            <w:pPr>
              <w:spacing w:line="276" w:lineRule="auto"/>
            </w:pPr>
            <w:r>
              <w:rPr>
                <w:sz w:val="17"/>
                <w:szCs w:val="17"/>
              </w:rPr>
              <w:t>High</w:t>
            </w:r>
          </w:p>
        </w:tc>
        <w:tc>
          <w:tcPr>
            <w:tcW w:w="4200" w:type="dxa"/>
            <w:tcMar>
              <w:top w:w="60" w:type="dxa"/>
              <w:left w:w="80" w:type="dxa"/>
              <w:bottom w:w="60" w:type="dxa"/>
              <w:right w:w="80" w:type="dxa"/>
            </w:tcMar>
            <w:vAlign w:val="center"/>
          </w:tcPr>
          <w:p w14:paraId="4369F712" w14:textId="77777777" w:rsidR="00210538" w:rsidRDefault="00000000">
            <w:pPr>
              <w:spacing w:line="276" w:lineRule="auto"/>
            </w:pPr>
            <w:r>
              <w:rPr>
                <w:sz w:val="17"/>
                <w:szCs w:val="17"/>
              </w:rPr>
              <w:t>Weekend cutover window, rollback procedure to legacy systems</w:t>
            </w:r>
          </w:p>
        </w:tc>
      </w:tr>
    </w:tbl>
    <w:p w14:paraId="22C33C15" w14:textId="77777777" w:rsidR="00BD3860" w:rsidRDefault="00BD3860" w:rsidP="00BD3860">
      <w:pPr>
        <w:pStyle w:val="NormalWeb"/>
        <w:spacing w:line="360" w:lineRule="auto"/>
        <w:rPr>
          <w:color w:val="000000"/>
        </w:rPr>
      </w:pPr>
      <w:r>
        <w:rPr>
          <w:color w:val="000000"/>
        </w:rPr>
        <w:t>Data-migration quality is regarded as the most important risk: all ERP projects involve migrating old data, which often contains data-quality problems that may remain hidden, particularly if the legacy systems are being replaced (</w:t>
      </w:r>
      <w:proofErr w:type="spellStart"/>
      <w:r>
        <w:rPr>
          <w:color w:val="000000"/>
        </w:rPr>
        <w:t>Aloini</w:t>
      </w:r>
      <w:proofErr w:type="spellEnd"/>
      <w:r>
        <w:rPr>
          <w:color w:val="000000"/>
        </w:rPr>
        <w:t xml:space="preserve">, </w:t>
      </w:r>
      <w:proofErr w:type="spellStart"/>
      <w:r>
        <w:rPr>
          <w:color w:val="000000"/>
        </w:rPr>
        <w:t>Dulmin</w:t>
      </w:r>
      <w:proofErr w:type="spellEnd"/>
      <w:r>
        <w:rPr>
          <w:color w:val="000000"/>
        </w:rPr>
        <w:t xml:space="preserve"> and </w:t>
      </w:r>
      <w:proofErr w:type="spellStart"/>
      <w:r>
        <w:rPr>
          <w:color w:val="000000"/>
        </w:rPr>
        <w:t>Mininno</w:t>
      </w:r>
      <w:proofErr w:type="spellEnd"/>
      <w:r>
        <w:rPr>
          <w:color w:val="000000"/>
        </w:rPr>
        <w:t xml:space="preserve"> 2007; Umble, Haft and Umble 2003). The second most important risk category is user resistance and insufficient adoption, in line with the evidence that leadership style and stakeholder engagement are key determinants of system-implementation outcomes (Turner &amp; Müller, 2005; Markus &amp; Tanis, 2000).</w:t>
      </w:r>
    </w:p>
    <w:p w14:paraId="36E4B3F1" w14:textId="77777777" w:rsidR="00BD3860" w:rsidRDefault="00BD3860" w:rsidP="00BD3860">
      <w:pPr>
        <w:pStyle w:val="NormalWeb"/>
        <w:spacing w:line="360" w:lineRule="auto"/>
        <w:rPr>
          <w:color w:val="000000"/>
        </w:rPr>
      </w:pPr>
      <w:r>
        <w:rPr>
          <w:color w:val="000000"/>
        </w:rPr>
        <w:t xml:space="preserve">Contractual commitment helps manage vendor resource availability and cross-training of personnel reduces single points of failure from key-personnel turnover. Residual risks, such as cybersecurity exposure whilst in the cloud migration phase and possible disruption to </w:t>
      </w:r>
      <w:r>
        <w:rPr>
          <w:color w:val="000000"/>
        </w:rPr>
        <w:lastRenderedPageBreak/>
        <w:t xml:space="preserve">production during cutover are accepted with contingency plans: rollback is enforced from the legacy systems until </w:t>
      </w:r>
      <w:proofErr w:type="spellStart"/>
      <w:r>
        <w:rPr>
          <w:color w:val="000000"/>
        </w:rPr>
        <w:t>hypercare</w:t>
      </w:r>
      <w:proofErr w:type="spellEnd"/>
      <w:r>
        <w:rPr>
          <w:color w:val="000000"/>
        </w:rPr>
        <w:t xml:space="preserve"> </w:t>
      </w:r>
      <w:proofErr w:type="gramStart"/>
      <w:r>
        <w:rPr>
          <w:color w:val="000000"/>
        </w:rPr>
        <w:t>closes, and</w:t>
      </w:r>
      <w:proofErr w:type="gramEnd"/>
      <w:r>
        <w:rPr>
          <w:color w:val="000000"/>
        </w:rPr>
        <w:t xml:space="preserve"> go-live can only occur once security certifications held by the cloud provider have been independently verified. One example of a risk register is shown in Table 4, but please note it remains a live document which is updated and re-scored at each fortnightly project board meeting throughout the life of the project.</w:t>
      </w:r>
    </w:p>
    <w:p w14:paraId="1BA40DBB" w14:textId="77777777" w:rsidR="00210538" w:rsidRDefault="00000000">
      <w:pPr>
        <w:pStyle w:val="Heading1"/>
      </w:pPr>
      <w:r>
        <w:t>10. Conclusion</w:t>
      </w:r>
    </w:p>
    <w:p w14:paraId="7FAF8F2E" w14:textId="77777777" w:rsidR="00210538" w:rsidRDefault="00000000">
      <w:pPr>
        <w:spacing w:after="200" w:line="360" w:lineRule="auto"/>
        <w:jc w:val="both"/>
      </w:pPr>
      <w:r>
        <w:t xml:space="preserve">Project Catalyst applies recognised project management approaches, from WBS decomposition and Gantt scheduling to stakeholder mapping and structured risk management, to the specific challenge of integrating Meridian Fabrication </w:t>
      </w:r>
      <w:proofErr w:type="spellStart"/>
      <w:r>
        <w:t>Ltd's</w:t>
      </w:r>
      <w:proofErr w:type="spellEnd"/>
      <w:r>
        <w:t xml:space="preserve"> finance, production and supply-chain functions onto a single cloud ERP platform. Clear scope boundaries, a phased twelve-month schedule and a resourcing plan aligned to the WBS give the Steering Committee a basis for consistent oversight, while the quad chart provides a concise mechanism for monthly review.</w:t>
      </w:r>
    </w:p>
    <w:p w14:paraId="0D14C629" w14:textId="77777777" w:rsidR="00210538" w:rsidRDefault="00000000">
      <w:pPr>
        <w:spacing w:after="200" w:line="360" w:lineRule="auto"/>
        <w:jc w:val="both"/>
      </w:pPr>
      <w:r>
        <w:t>The plan recognises that technical delivery alone does not guarantee success: evidence from prior ERP and system-implementation research indicates that leadership, stakeholder engagement and disciplined change management matter as much to outcomes as configuration accuracy or schedule adherence (Cooke-Davies, 2002; Turner and Müller, 2005). Accordingly, the risk register and stakeholder plan receive the same governance attention as cost and schedule tracking throughout delivery. Regular review against this plan, particularly at the phase gates identified in the WBS, positions the project to deliver its intended outcomes within the agreed budget and timeframe.</w:t>
      </w:r>
    </w:p>
    <w:p w14:paraId="7102BC54" w14:textId="77777777" w:rsidR="00210538" w:rsidRDefault="00000000">
      <w:r>
        <w:br w:type="page"/>
      </w:r>
    </w:p>
    <w:p w14:paraId="10FFCD84" w14:textId="77777777" w:rsidR="00210538" w:rsidRDefault="00000000">
      <w:pPr>
        <w:pStyle w:val="Heading1"/>
        <w:spacing w:after="200"/>
      </w:pPr>
      <w:r>
        <w:lastRenderedPageBreak/>
        <w:t>References</w:t>
      </w:r>
    </w:p>
    <w:p w14:paraId="407C031D" w14:textId="77777777" w:rsidR="00210538" w:rsidRDefault="00000000">
      <w:pPr>
        <w:spacing w:after="160" w:line="360" w:lineRule="auto"/>
        <w:ind w:left="400" w:hanging="400"/>
      </w:pPr>
      <w:proofErr w:type="spellStart"/>
      <w:r>
        <w:t>Aloini</w:t>
      </w:r>
      <w:proofErr w:type="spellEnd"/>
      <w:r>
        <w:t xml:space="preserve">, D., </w:t>
      </w:r>
      <w:proofErr w:type="spellStart"/>
      <w:r>
        <w:t>Dulmin</w:t>
      </w:r>
      <w:proofErr w:type="spellEnd"/>
      <w:r>
        <w:t>, R. and Mininno, V. (2007) 'Risk management in ERP project introduction: review of the literature', Information &amp; Management, 44(6), pp. 547–567.</w:t>
      </w:r>
    </w:p>
    <w:p w14:paraId="70905848" w14:textId="77777777" w:rsidR="00210538" w:rsidRDefault="00000000">
      <w:pPr>
        <w:spacing w:after="160" w:line="360" w:lineRule="auto"/>
        <w:ind w:left="400" w:hanging="400"/>
      </w:pPr>
      <w:r>
        <w:t xml:space="preserve">Atkinson, R. (1999) 'Project management: cost, time and quality, two best guesses and a phenomenon, </w:t>
      </w:r>
      <w:proofErr w:type="spellStart"/>
      <w:r>
        <w:t>its</w:t>
      </w:r>
      <w:proofErr w:type="spellEnd"/>
      <w:r>
        <w:t xml:space="preserve"> time to accept other success criteria', International Journal of Project Management, 17(6), pp. 337–342.</w:t>
      </w:r>
    </w:p>
    <w:p w14:paraId="6C97BFCF" w14:textId="77777777" w:rsidR="00210538" w:rsidRDefault="00000000">
      <w:pPr>
        <w:spacing w:after="160" w:line="360" w:lineRule="auto"/>
        <w:ind w:left="400" w:hanging="400"/>
      </w:pPr>
      <w:r>
        <w:t xml:space="preserve">Chapman, C.B. and Ward, S.C. (2003) Project Risk Management: Processes, Techniques and Insights. 2nd </w:t>
      </w:r>
      <w:proofErr w:type="spellStart"/>
      <w:r>
        <w:t>edn</w:t>
      </w:r>
      <w:proofErr w:type="spellEnd"/>
      <w:r>
        <w:t>. Chichester: John Wiley &amp; Sons.</w:t>
      </w:r>
    </w:p>
    <w:p w14:paraId="14A65992" w14:textId="77777777" w:rsidR="00210538" w:rsidRDefault="00000000">
      <w:pPr>
        <w:spacing w:after="160" w:line="360" w:lineRule="auto"/>
        <w:ind w:left="400" w:hanging="400"/>
      </w:pPr>
      <w:r>
        <w:t>Cooke-Davies, T. (2002) 'The "real" success factors on projects', International Journal of Project Management, 20(3), pp. 185–190.</w:t>
      </w:r>
    </w:p>
    <w:p w14:paraId="4CC6E2C5" w14:textId="77777777" w:rsidR="00210538" w:rsidRDefault="00000000">
      <w:pPr>
        <w:spacing w:after="160" w:line="360" w:lineRule="auto"/>
        <w:ind w:left="400" w:hanging="400"/>
      </w:pPr>
      <w:r>
        <w:t>Freeman, R.E. (1984) Strategic Management: A Stakeholder Approach. Boston: Pitman.</w:t>
      </w:r>
    </w:p>
    <w:p w14:paraId="04F68A45" w14:textId="77777777" w:rsidR="00210538" w:rsidRDefault="00000000">
      <w:pPr>
        <w:spacing w:after="160" w:line="360" w:lineRule="auto"/>
        <w:ind w:left="400" w:hanging="400"/>
      </w:pPr>
      <w:r>
        <w:t xml:space="preserve">Kerzner, H. (2022) Project Management: A Systems Approach to Planning, Scheduling, and Controlling. 13th </w:t>
      </w:r>
      <w:proofErr w:type="spellStart"/>
      <w:r>
        <w:t>edn</w:t>
      </w:r>
      <w:proofErr w:type="spellEnd"/>
      <w:r>
        <w:t>. Hoboken, NJ: John Wiley &amp; Sons.</w:t>
      </w:r>
    </w:p>
    <w:p w14:paraId="01231F5C" w14:textId="77777777" w:rsidR="00210538" w:rsidRDefault="00000000">
      <w:pPr>
        <w:spacing w:after="160" w:line="360" w:lineRule="auto"/>
        <w:ind w:left="400" w:hanging="400"/>
      </w:pPr>
      <w:r>
        <w:t xml:space="preserve">Markus, M.L. and Tanis, C. (2000) 'The enterprise system experience — from adoption to success', in </w:t>
      </w:r>
      <w:proofErr w:type="spellStart"/>
      <w:r>
        <w:t>Zmud</w:t>
      </w:r>
      <w:proofErr w:type="spellEnd"/>
      <w:r>
        <w:t xml:space="preserve">, R.W. (ed.) Framing the Domains of IT Management: Projecting the Future through the Past. Cincinnati, OH: </w:t>
      </w:r>
      <w:proofErr w:type="spellStart"/>
      <w:r>
        <w:t>Pinnaflex</w:t>
      </w:r>
      <w:proofErr w:type="spellEnd"/>
      <w:r>
        <w:t xml:space="preserve"> Educational Resources, pp. 173–207.</w:t>
      </w:r>
    </w:p>
    <w:p w14:paraId="3B76B8EE" w14:textId="77777777" w:rsidR="00210538" w:rsidRDefault="00000000">
      <w:pPr>
        <w:spacing w:after="160" w:line="360" w:lineRule="auto"/>
        <w:ind w:left="400" w:hanging="400"/>
      </w:pPr>
      <w:r>
        <w:t>Mendelow, A.L. (1991) 'Environmental scanning: the impact of the stakeholder concept', Proceedings of the Second International Conference on Information Systems, Cambridge, MA, pp. 407–418.</w:t>
      </w:r>
    </w:p>
    <w:p w14:paraId="54A15841" w14:textId="77777777" w:rsidR="00210538" w:rsidRDefault="00000000">
      <w:pPr>
        <w:spacing w:after="160" w:line="360" w:lineRule="auto"/>
        <w:ind w:left="400" w:hanging="400"/>
      </w:pPr>
      <w:r>
        <w:t xml:space="preserve">Project Management Institute (2021) A Guide to the Project Management Body of Knowledge (PMBOK Guide). 7th </w:t>
      </w:r>
      <w:proofErr w:type="spellStart"/>
      <w:r>
        <w:t>edn</w:t>
      </w:r>
      <w:proofErr w:type="spellEnd"/>
      <w:r>
        <w:t>. Newtown Square, PA: Project Management Institute.</w:t>
      </w:r>
    </w:p>
    <w:p w14:paraId="4CC39A17" w14:textId="77777777" w:rsidR="00210538" w:rsidRDefault="00000000">
      <w:pPr>
        <w:spacing w:after="160" w:line="360" w:lineRule="auto"/>
        <w:ind w:left="400" w:hanging="400"/>
      </w:pPr>
      <w:r>
        <w:t>Turner, J.R. and Müller, R. (2005) 'The project manager's leadership style as a success factor on projects: a literature review', Project Management Journal, 36(2), pp. 49–61.</w:t>
      </w:r>
    </w:p>
    <w:p w14:paraId="06FB5474" w14:textId="77777777" w:rsidR="00210538" w:rsidRDefault="00000000">
      <w:pPr>
        <w:spacing w:after="160" w:line="360" w:lineRule="auto"/>
        <w:ind w:left="400" w:hanging="400"/>
      </w:pPr>
      <w:r>
        <w:t>Umble, E.J., Haft, R.R. and Umble, M.M. (2003) 'Enterprise resource planning: implementation procedures and critical success factors', European Journal of Operational Research, 146(2), pp. 241–257.</w:t>
      </w:r>
    </w:p>
    <w:p w14:paraId="72E38F6C" w14:textId="77777777" w:rsidR="00210538" w:rsidRDefault="00000000">
      <w:pPr>
        <w:spacing w:after="160" w:line="360" w:lineRule="auto"/>
        <w:ind w:left="400" w:hanging="400"/>
      </w:pPr>
      <w:r>
        <w:lastRenderedPageBreak/>
        <w:t>Wilson, J.M. (2003) 'Gantt charts: a centenary appreciation', European Journal of Operational Research, 149(2), pp. 430–437.</w:t>
      </w:r>
    </w:p>
    <w:sectPr w:rsidR="00210538">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5CDC29" w14:textId="77777777" w:rsidR="00512E00" w:rsidRDefault="00512E00">
      <w:r>
        <w:separator/>
      </w:r>
    </w:p>
  </w:endnote>
  <w:endnote w:type="continuationSeparator" w:id="0">
    <w:p w14:paraId="10139C50" w14:textId="77777777" w:rsidR="00512E00" w:rsidRDefault="00512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A34E02" w14:textId="6A642E98" w:rsidR="00210538" w:rsidRDefault="00000000">
    <w:pPr>
      <w:jc w:val="center"/>
    </w:pPr>
    <w:r>
      <w:rPr>
        <w:sz w:val="20"/>
        <w:szCs w:val="20"/>
      </w:rPr>
      <w:fldChar w:fldCharType="begin"/>
    </w:r>
    <w:r>
      <w:rPr>
        <w:sz w:val="20"/>
        <w:szCs w:val="20"/>
      </w:rPr>
      <w:instrText>PAGE</w:instrText>
    </w:r>
    <w:r>
      <w:rPr>
        <w:sz w:val="20"/>
        <w:szCs w:val="20"/>
      </w:rPr>
      <w:fldChar w:fldCharType="separate"/>
    </w:r>
    <w:r w:rsidR="00BD3860">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3B7C32" w14:textId="77777777" w:rsidR="00512E00" w:rsidRDefault="00512E00">
      <w:r>
        <w:separator/>
      </w:r>
    </w:p>
  </w:footnote>
  <w:footnote w:type="continuationSeparator" w:id="0">
    <w:p w14:paraId="088CE054" w14:textId="77777777" w:rsidR="00512E00" w:rsidRDefault="00512E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AE82246"/>
    <w:multiLevelType w:val="hybridMultilevel"/>
    <w:tmpl w:val="3F3A2332"/>
    <w:lvl w:ilvl="0" w:tplc="7B6673D4">
      <w:start w:val="1"/>
      <w:numFmt w:val="bullet"/>
      <w:lvlText w:val="●"/>
      <w:lvlJc w:val="left"/>
      <w:pPr>
        <w:ind w:left="720" w:hanging="360"/>
      </w:pPr>
    </w:lvl>
    <w:lvl w:ilvl="1" w:tplc="2AD81FE4">
      <w:start w:val="1"/>
      <w:numFmt w:val="bullet"/>
      <w:lvlText w:val="○"/>
      <w:lvlJc w:val="left"/>
      <w:pPr>
        <w:ind w:left="1440" w:hanging="360"/>
      </w:pPr>
    </w:lvl>
    <w:lvl w:ilvl="2" w:tplc="B6D0FA2C">
      <w:start w:val="1"/>
      <w:numFmt w:val="bullet"/>
      <w:lvlText w:val="■"/>
      <w:lvlJc w:val="left"/>
      <w:pPr>
        <w:ind w:left="2160" w:hanging="360"/>
      </w:pPr>
    </w:lvl>
    <w:lvl w:ilvl="3" w:tplc="F67A72EC">
      <w:start w:val="1"/>
      <w:numFmt w:val="bullet"/>
      <w:lvlText w:val="●"/>
      <w:lvlJc w:val="left"/>
      <w:pPr>
        <w:ind w:left="2880" w:hanging="360"/>
      </w:pPr>
    </w:lvl>
    <w:lvl w:ilvl="4" w:tplc="4484E7B4">
      <w:start w:val="1"/>
      <w:numFmt w:val="bullet"/>
      <w:lvlText w:val="○"/>
      <w:lvlJc w:val="left"/>
      <w:pPr>
        <w:ind w:left="3600" w:hanging="360"/>
      </w:pPr>
    </w:lvl>
    <w:lvl w:ilvl="5" w:tplc="6D106C30">
      <w:start w:val="1"/>
      <w:numFmt w:val="bullet"/>
      <w:lvlText w:val="■"/>
      <w:lvlJc w:val="left"/>
      <w:pPr>
        <w:ind w:left="4320" w:hanging="360"/>
      </w:pPr>
    </w:lvl>
    <w:lvl w:ilvl="6" w:tplc="E2D6E9C8">
      <w:start w:val="1"/>
      <w:numFmt w:val="bullet"/>
      <w:lvlText w:val="●"/>
      <w:lvlJc w:val="left"/>
      <w:pPr>
        <w:ind w:left="5040" w:hanging="360"/>
      </w:pPr>
    </w:lvl>
    <w:lvl w:ilvl="7" w:tplc="2D300FC6">
      <w:start w:val="1"/>
      <w:numFmt w:val="bullet"/>
      <w:lvlText w:val="●"/>
      <w:lvlJc w:val="left"/>
      <w:pPr>
        <w:ind w:left="5760" w:hanging="360"/>
      </w:pPr>
    </w:lvl>
    <w:lvl w:ilvl="8" w:tplc="84008AE4">
      <w:start w:val="1"/>
      <w:numFmt w:val="bullet"/>
      <w:lvlText w:val="●"/>
      <w:lvlJc w:val="left"/>
      <w:pPr>
        <w:ind w:left="6480" w:hanging="360"/>
      </w:pPr>
    </w:lvl>
  </w:abstractNum>
  <w:num w:numId="1" w16cid:durableId="1961565638">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0538"/>
    <w:rsid w:val="00210538"/>
    <w:rsid w:val="003B06EE"/>
    <w:rsid w:val="00512E00"/>
    <w:rsid w:val="005E13C2"/>
    <w:rsid w:val="00BD3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F4EA6E"/>
  <w15:docId w15:val="{568586B3-78B7-FD4F-B3C4-8A9CA0959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line="360" w:lineRule="auto"/>
      <w:outlineLvl w:val="0"/>
    </w:pPr>
    <w:rPr>
      <w:b/>
      <w:bCs/>
      <w:color w:val="1F3864"/>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BD386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E1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4084</Words>
  <Characters>23280</Characters>
  <Application>Microsoft Office Word</Application>
  <DocSecurity>0</DocSecurity>
  <Lines>194</Lines>
  <Paragraphs>54</Paragraphs>
  <ScaleCrop>false</ScaleCrop>
  <Company/>
  <LinksUpToDate>false</LinksUpToDate>
  <CharactersWithSpaces>27310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3</cp:revision>
  <dcterms:created xsi:type="dcterms:W3CDTF">2026-07-25T23:22:00Z</dcterms:created>
  <dcterms:modified xsi:type="dcterms:W3CDTF">2026-07-26T22:57:00Z</dcterms:modified>
</cp:coreProperties>
</file>