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730E0" w14:textId="77777777" w:rsidR="00A1056B" w:rsidRDefault="00000000">
      <w:pPr>
        <w:spacing w:line="360" w:lineRule="auto"/>
        <w:jc w:val="both"/>
      </w:pPr>
      <w:r>
        <w:drawing>
          <wp:inline distT="0" distB="0" distL="0" distR="0" wp14:anchorId="3D26A70E" wp14:editId="0EE38FD7">
            <wp:extent cx="2176392" cy="871109"/>
            <wp:effectExtent l="0" t="0" r="0" b="0"/>
            <wp:docPr id="5" name="image2.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jpg" descr="A close up of a logo&#10;&#10;Description automatically generated"/>
                    <pic:cNvPicPr/>
                  </pic:nvPicPr>
                  <pic:blipFill>
                    <a:blip r:embed="rId7"/>
                    <a:stretch>
                      <a:fillRect/>
                    </a:stretch>
                  </pic:blipFill>
                  <pic:spPr>
                    <a:xfrm>
                      <a:off x="0" y="0"/>
                      <a:ext cx="2176392" cy="871109"/>
                    </a:xfrm>
                    <a:prstGeom prst="rect">
                      <a:avLst/>
                    </a:prstGeom>
                  </pic:spPr>
                </pic:pic>
              </a:graphicData>
            </a:graphic>
          </wp:inline>
        </w:drawing>
      </w:r>
    </w:p>
    <w:p w14:paraId="541AA32B" w14:textId="77777777" w:rsidR="00A1056B" w:rsidRDefault="00A1056B">
      <w:pPr>
        <w:spacing w:line="360" w:lineRule="auto"/>
        <w:jc w:val="both"/>
      </w:pPr>
    </w:p>
    <w:p w14:paraId="1CF27F64" w14:textId="77777777" w:rsidR="00A1056B" w:rsidRPr="008620EE" w:rsidRDefault="00A1056B">
      <w:pPr>
        <w:spacing w:line="360" w:lineRule="auto"/>
        <w:jc w:val="center"/>
        <w:rPr>
          <w:b/>
          <w:bCs/>
        </w:rPr>
      </w:pPr>
    </w:p>
    <w:p w14:paraId="1E0DDFD8" w14:textId="77777777" w:rsidR="00A1056B" w:rsidRPr="008620EE" w:rsidRDefault="00000000">
      <w:pPr>
        <w:spacing w:line="360" w:lineRule="auto"/>
        <w:jc w:val="center"/>
        <w:rPr>
          <w:b/>
          <w:bCs/>
        </w:rPr>
      </w:pPr>
      <w:r w:rsidRPr="008620EE">
        <w:rPr>
          <w:b/>
          <w:bCs/>
        </w:rPr>
        <w:t>Strategic Management (LCMB7003)</w:t>
      </w:r>
    </w:p>
    <w:p w14:paraId="15512402" w14:textId="77777777" w:rsidR="00A1056B" w:rsidRDefault="00A1056B">
      <w:pPr>
        <w:spacing w:line="360" w:lineRule="auto"/>
        <w:jc w:val="center"/>
      </w:pPr>
    </w:p>
    <w:p w14:paraId="64DF1F97" w14:textId="77777777" w:rsidR="00A1056B" w:rsidRDefault="00000000">
      <w:pPr>
        <w:spacing w:line="360" w:lineRule="auto"/>
        <w:jc w:val="center"/>
        <w:rPr>
          <w:b/>
        </w:rPr>
      </w:pPr>
      <w:r>
        <w:rPr>
          <w:b/>
        </w:rPr>
        <w:t xml:space="preserve">Strategic Analysis of  MARKS AND SPENCER UK </w:t>
      </w:r>
    </w:p>
    <w:p w14:paraId="5ECBCCE7" w14:textId="77777777" w:rsidR="00A1056B" w:rsidRDefault="00000000">
      <w:pPr>
        <w:spacing w:line="360" w:lineRule="auto"/>
        <w:jc w:val="both"/>
      </w:pPr>
      <w:r>
        <w:drawing>
          <wp:inline distT="114300" distB="114300" distL="114300" distR="114300" wp14:anchorId="4B11F715" wp14:editId="0B40C184">
            <wp:extent cx="5731200" cy="27686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5731200" cy="2768600"/>
                    </a:xfrm>
                    <a:prstGeom prst="rect">
                      <a:avLst/>
                    </a:prstGeom>
                  </pic:spPr>
                </pic:pic>
              </a:graphicData>
            </a:graphic>
          </wp:inline>
        </w:drawing>
      </w:r>
    </w:p>
    <w:p w14:paraId="4B80AD15" w14:textId="575C99F5" w:rsidR="00A1056B" w:rsidRDefault="00000000" w:rsidP="008620EE">
      <w:pPr>
        <w:spacing w:line="360" w:lineRule="auto"/>
      </w:pPr>
      <w:r w:rsidRPr="008620EE">
        <w:rPr>
          <w:b/>
          <w:bCs/>
        </w:rPr>
        <w:t xml:space="preserve">Student </w:t>
      </w:r>
      <w:r w:rsidR="008620EE">
        <w:rPr>
          <w:b/>
          <w:bCs/>
        </w:rPr>
        <w:t>N</w:t>
      </w:r>
      <w:r w:rsidRPr="008620EE">
        <w:rPr>
          <w:b/>
          <w:bCs/>
        </w:rPr>
        <w:t>ame:</w:t>
      </w:r>
      <w:r>
        <w:t xml:space="preserve"> </w:t>
      </w:r>
      <w:r w:rsidR="008620EE">
        <w:t>Meetkumar Jayeshbhai Patel</w:t>
      </w:r>
    </w:p>
    <w:p w14:paraId="227CDF70" w14:textId="168B1E94" w:rsidR="00A1056B" w:rsidRDefault="00000000" w:rsidP="008620EE">
      <w:pPr>
        <w:spacing w:line="360" w:lineRule="auto"/>
      </w:pPr>
      <w:r w:rsidRPr="008620EE">
        <w:rPr>
          <w:b/>
          <w:bCs/>
        </w:rPr>
        <w:t>Student Number:</w:t>
      </w:r>
      <w:r>
        <w:t xml:space="preserve"> </w:t>
      </w:r>
      <w:r w:rsidR="008620EE">
        <w:t>2210109</w:t>
      </w:r>
    </w:p>
    <w:p w14:paraId="7220CDAF" w14:textId="2E35524F" w:rsidR="008620EE" w:rsidRPr="008620EE" w:rsidRDefault="008620EE" w:rsidP="008620EE">
      <w:pPr>
        <w:spacing w:line="360" w:lineRule="auto"/>
      </w:pPr>
      <w:r w:rsidRPr="008620EE">
        <w:rPr>
          <w:b/>
          <w:bCs/>
        </w:rPr>
        <w:t>Module</w:t>
      </w:r>
      <w:r>
        <w:rPr>
          <w:b/>
          <w:bCs/>
        </w:rPr>
        <w:t xml:space="preserve">: </w:t>
      </w:r>
      <w:r>
        <w:t>Strategic Management (LCMB7003)</w:t>
      </w:r>
    </w:p>
    <w:p w14:paraId="7EC792EC" w14:textId="530D97B6" w:rsidR="00A1056B" w:rsidRDefault="00000000" w:rsidP="008620EE">
      <w:pPr>
        <w:spacing w:line="360" w:lineRule="auto"/>
      </w:pPr>
      <w:r w:rsidRPr="008620EE">
        <w:rPr>
          <w:b/>
          <w:bCs/>
        </w:rPr>
        <w:t>Lecturer:</w:t>
      </w:r>
      <w:r>
        <w:t xml:space="preserve"> </w:t>
      </w:r>
      <w:r w:rsidR="008620EE">
        <w:t>Hossein Shokri</w:t>
      </w:r>
    </w:p>
    <w:p w14:paraId="495C58CD" w14:textId="0285D760" w:rsidR="00A1056B" w:rsidRDefault="00000000" w:rsidP="008620EE">
      <w:pPr>
        <w:spacing w:line="360" w:lineRule="auto"/>
      </w:pPr>
      <w:r w:rsidRPr="008620EE">
        <w:rPr>
          <w:b/>
          <w:bCs/>
        </w:rPr>
        <w:t>Submission Date:</w:t>
      </w:r>
      <w:r w:rsidR="008620EE">
        <w:t xml:space="preserve"> 8th May, 2023</w:t>
      </w:r>
      <w:r>
        <w:t xml:space="preserve"> </w:t>
      </w:r>
    </w:p>
    <w:p w14:paraId="76C78E0E" w14:textId="77777777" w:rsidR="00A1056B" w:rsidRDefault="00000000">
      <w:pPr>
        <w:keepNext/>
        <w:keepLines/>
        <w:pBdr>
          <w:top w:val="nil"/>
          <w:left w:val="nil"/>
          <w:bottom w:val="nil"/>
          <w:right w:val="nil"/>
          <w:between w:val="nil"/>
        </w:pBdr>
        <w:spacing w:before="240" w:line="360" w:lineRule="auto"/>
        <w:jc w:val="both"/>
        <w:rPr>
          <w:b/>
        </w:rPr>
      </w:pPr>
      <w:r>
        <w:br w:type="page"/>
      </w:r>
    </w:p>
    <w:p w14:paraId="60A1AA44" w14:textId="77777777" w:rsidR="00A1056B" w:rsidRDefault="00000000">
      <w:pPr>
        <w:keepNext/>
        <w:keepLines/>
        <w:pBdr>
          <w:top w:val="nil"/>
          <w:left w:val="nil"/>
          <w:bottom w:val="nil"/>
          <w:right w:val="nil"/>
          <w:between w:val="nil"/>
        </w:pBdr>
        <w:spacing w:before="240" w:line="360" w:lineRule="auto"/>
        <w:jc w:val="center"/>
      </w:pPr>
      <w:r>
        <w:rPr>
          <w:b/>
        </w:rPr>
        <w:lastRenderedPageBreak/>
        <w:t>Table of Contents</w:t>
      </w:r>
    </w:p>
    <w:sdt>
      <w:sdtPr>
        <w:id w:val="996455112"/>
        <w:docPartObj>
          <w:docPartGallery w:val="Table of Contents"/>
          <w:docPartUnique/>
        </w:docPartObj>
      </w:sdtPr>
      <w:sdtContent>
        <w:p w14:paraId="350DE438" w14:textId="77777777" w:rsidR="00A1056B" w:rsidRDefault="00000000">
          <w:pPr>
            <w:widowControl w:val="0"/>
            <w:tabs>
              <w:tab w:val="right" w:leader="dot" w:pos="12000"/>
            </w:tabs>
            <w:spacing w:before="60" w:after="0" w:line="360" w:lineRule="auto"/>
            <w:jc w:val="both"/>
            <w:rPr>
              <w:color w:val="000000"/>
            </w:rPr>
          </w:pPr>
          <w:r>
            <w:fldChar w:fldCharType="begin"/>
          </w:r>
          <w:r>
            <w:instrText xml:space="preserve"> TOC \h \u \z \t "Heading 1,1,Heading 2,2,Heading 3,3,Heading 4,4,"</w:instrText>
          </w:r>
          <w:r>
            <w:fldChar w:fldCharType="separate"/>
          </w:r>
          <w:hyperlink w:anchor="_heading=h.gjdgxs">
            <w:r>
              <w:rPr>
                <w:color w:val="000000"/>
              </w:rPr>
              <w:t>Introduction</w:t>
            </w:r>
            <w:r>
              <w:rPr>
                <w:color w:val="000000"/>
              </w:rPr>
              <w:tab/>
              <w:t>4</w:t>
            </w:r>
          </w:hyperlink>
        </w:p>
        <w:p w14:paraId="70F9194C" w14:textId="77777777" w:rsidR="00A1056B" w:rsidRDefault="00000000">
          <w:pPr>
            <w:widowControl w:val="0"/>
            <w:tabs>
              <w:tab w:val="right" w:leader="dot" w:pos="12000"/>
            </w:tabs>
            <w:spacing w:before="60" w:after="0" w:line="360" w:lineRule="auto"/>
            <w:jc w:val="both"/>
            <w:rPr>
              <w:color w:val="000000"/>
            </w:rPr>
          </w:pPr>
          <w:hyperlink w:anchor="_heading=h.30j0zll">
            <w:r>
              <w:rPr>
                <w:color w:val="000000"/>
              </w:rPr>
              <w:t>Marks &amp; Spencer UK Background</w:t>
            </w:r>
            <w:r>
              <w:rPr>
                <w:color w:val="000000"/>
              </w:rPr>
              <w:tab/>
              <w:t>4</w:t>
            </w:r>
          </w:hyperlink>
        </w:p>
        <w:p w14:paraId="1F4C7A76" w14:textId="77777777" w:rsidR="00A1056B" w:rsidRDefault="00000000">
          <w:pPr>
            <w:widowControl w:val="0"/>
            <w:tabs>
              <w:tab w:val="right" w:leader="dot" w:pos="12000"/>
            </w:tabs>
            <w:spacing w:before="60" w:after="0" w:line="360" w:lineRule="auto"/>
            <w:ind w:left="360"/>
            <w:jc w:val="both"/>
            <w:rPr>
              <w:color w:val="000000"/>
            </w:rPr>
          </w:pPr>
          <w:hyperlink w:anchor="_heading=h.1fob9te">
            <w:r>
              <w:rPr>
                <w:color w:val="000000"/>
              </w:rPr>
              <w:t>Marks &amp; Spencer UK's Mission and Objectives</w:t>
            </w:r>
            <w:r>
              <w:rPr>
                <w:color w:val="000000"/>
              </w:rPr>
              <w:tab/>
              <w:t>5</w:t>
            </w:r>
          </w:hyperlink>
        </w:p>
        <w:p w14:paraId="5402D277" w14:textId="77777777" w:rsidR="00A1056B" w:rsidRDefault="00000000">
          <w:pPr>
            <w:widowControl w:val="0"/>
            <w:tabs>
              <w:tab w:val="right" w:leader="dot" w:pos="12000"/>
            </w:tabs>
            <w:spacing w:before="60" w:after="0" w:line="360" w:lineRule="auto"/>
            <w:jc w:val="both"/>
            <w:rPr>
              <w:color w:val="000000"/>
            </w:rPr>
          </w:pPr>
          <w:hyperlink w:anchor="_heading=h.3znysh7">
            <w:r>
              <w:rPr>
                <w:color w:val="000000"/>
              </w:rPr>
              <w:t>Macro-Environment Analysis</w:t>
            </w:r>
            <w:r>
              <w:rPr>
                <w:color w:val="000000"/>
              </w:rPr>
              <w:tab/>
              <w:t>6</w:t>
            </w:r>
          </w:hyperlink>
        </w:p>
        <w:p w14:paraId="0B50F1A8" w14:textId="77777777" w:rsidR="00A1056B" w:rsidRDefault="00000000">
          <w:pPr>
            <w:widowControl w:val="0"/>
            <w:tabs>
              <w:tab w:val="right" w:leader="dot" w:pos="12000"/>
            </w:tabs>
            <w:spacing w:before="60" w:after="0" w:line="360" w:lineRule="auto"/>
            <w:ind w:left="360"/>
            <w:jc w:val="both"/>
            <w:rPr>
              <w:color w:val="000000"/>
            </w:rPr>
          </w:pPr>
          <w:hyperlink w:anchor="_heading=h.2et92p0">
            <w:r>
              <w:rPr>
                <w:color w:val="000000"/>
              </w:rPr>
              <w:t>PESTEL Analysis</w:t>
            </w:r>
            <w:r>
              <w:rPr>
                <w:color w:val="000000"/>
              </w:rPr>
              <w:tab/>
              <w:t>6</w:t>
            </w:r>
          </w:hyperlink>
        </w:p>
        <w:p w14:paraId="3B536604" w14:textId="77777777" w:rsidR="00A1056B" w:rsidRDefault="00000000">
          <w:pPr>
            <w:widowControl w:val="0"/>
            <w:tabs>
              <w:tab w:val="right" w:leader="dot" w:pos="12000"/>
            </w:tabs>
            <w:spacing w:before="60" w:after="0" w:line="360" w:lineRule="auto"/>
            <w:jc w:val="both"/>
            <w:rPr>
              <w:color w:val="000000"/>
            </w:rPr>
          </w:pPr>
          <w:hyperlink w:anchor="_heading=h.tyjcwt">
            <w:r>
              <w:rPr>
                <w:color w:val="000000"/>
              </w:rPr>
              <w:t>Micro-Environment Analysis</w:t>
            </w:r>
            <w:r>
              <w:rPr>
                <w:color w:val="000000"/>
              </w:rPr>
              <w:tab/>
              <w:t>8</w:t>
            </w:r>
          </w:hyperlink>
        </w:p>
        <w:p w14:paraId="097D72D6" w14:textId="77777777" w:rsidR="00A1056B" w:rsidRDefault="00000000">
          <w:pPr>
            <w:widowControl w:val="0"/>
            <w:tabs>
              <w:tab w:val="right" w:leader="dot" w:pos="12000"/>
            </w:tabs>
            <w:spacing w:before="60" w:after="0" w:line="360" w:lineRule="auto"/>
            <w:ind w:left="360"/>
            <w:jc w:val="both"/>
            <w:rPr>
              <w:color w:val="000000"/>
            </w:rPr>
          </w:pPr>
          <w:hyperlink w:anchor="_heading=h.3dy6vkm">
            <w:r>
              <w:rPr>
                <w:color w:val="000000"/>
              </w:rPr>
              <w:t>Industry Life Cycle</w:t>
            </w:r>
            <w:r>
              <w:rPr>
                <w:color w:val="000000"/>
              </w:rPr>
              <w:tab/>
              <w:t>8</w:t>
            </w:r>
          </w:hyperlink>
        </w:p>
        <w:p w14:paraId="2CAB24E1" w14:textId="77777777" w:rsidR="00A1056B" w:rsidRDefault="00000000">
          <w:pPr>
            <w:widowControl w:val="0"/>
            <w:tabs>
              <w:tab w:val="right" w:leader="dot" w:pos="12000"/>
            </w:tabs>
            <w:spacing w:before="60" w:after="0" w:line="360" w:lineRule="auto"/>
            <w:ind w:left="360"/>
            <w:jc w:val="both"/>
            <w:rPr>
              <w:color w:val="000000"/>
            </w:rPr>
          </w:pPr>
          <w:hyperlink w:anchor="_heading=h.1t3h5sf">
            <w:r>
              <w:rPr>
                <w:color w:val="000000"/>
              </w:rPr>
              <w:t>Porter’s Industry Five Forces Analysis</w:t>
            </w:r>
            <w:r>
              <w:rPr>
                <w:color w:val="000000"/>
              </w:rPr>
              <w:tab/>
              <w:t>9</w:t>
            </w:r>
          </w:hyperlink>
        </w:p>
        <w:p w14:paraId="3CB29ADD" w14:textId="77777777" w:rsidR="00A1056B" w:rsidRDefault="00000000">
          <w:pPr>
            <w:widowControl w:val="0"/>
            <w:tabs>
              <w:tab w:val="right" w:leader="dot" w:pos="12000"/>
            </w:tabs>
            <w:spacing w:before="60" w:after="0" w:line="360" w:lineRule="auto"/>
            <w:jc w:val="both"/>
            <w:rPr>
              <w:color w:val="000000"/>
            </w:rPr>
          </w:pPr>
          <w:hyperlink w:anchor="_heading=h.4d34og8">
            <w:r>
              <w:rPr>
                <w:color w:val="000000"/>
              </w:rPr>
              <w:t>Internal Analysis</w:t>
            </w:r>
            <w:r>
              <w:rPr>
                <w:color w:val="000000"/>
              </w:rPr>
              <w:tab/>
              <w:t>11</w:t>
            </w:r>
          </w:hyperlink>
        </w:p>
        <w:p w14:paraId="2AEBE2EF" w14:textId="77777777" w:rsidR="00A1056B" w:rsidRDefault="00000000">
          <w:pPr>
            <w:widowControl w:val="0"/>
            <w:tabs>
              <w:tab w:val="right" w:leader="dot" w:pos="12000"/>
            </w:tabs>
            <w:spacing w:before="60" w:after="0" w:line="360" w:lineRule="auto"/>
            <w:ind w:left="360"/>
            <w:jc w:val="both"/>
            <w:rPr>
              <w:color w:val="000000"/>
            </w:rPr>
          </w:pPr>
          <w:hyperlink w:anchor="_heading=h.17dp8vu">
            <w:r>
              <w:rPr>
                <w:color w:val="000000"/>
              </w:rPr>
              <w:t>Mark and Spencers's Strategic Resources and Capabilities</w:t>
            </w:r>
            <w:r>
              <w:rPr>
                <w:color w:val="000000"/>
              </w:rPr>
              <w:tab/>
              <w:t>11</w:t>
            </w:r>
          </w:hyperlink>
        </w:p>
        <w:p w14:paraId="366DABB7" w14:textId="77777777" w:rsidR="00A1056B" w:rsidRDefault="00000000">
          <w:pPr>
            <w:widowControl w:val="0"/>
            <w:tabs>
              <w:tab w:val="right" w:leader="dot" w:pos="12000"/>
            </w:tabs>
            <w:spacing w:before="60" w:after="0" w:line="360" w:lineRule="auto"/>
            <w:ind w:left="360"/>
            <w:jc w:val="both"/>
            <w:rPr>
              <w:color w:val="000000"/>
            </w:rPr>
          </w:pPr>
          <w:hyperlink w:anchor="_heading=h.3rdcrjn">
            <w:r>
              <w:rPr>
                <w:color w:val="000000"/>
              </w:rPr>
              <w:t>Value Chain Analysis</w:t>
            </w:r>
            <w:r>
              <w:rPr>
                <w:color w:val="000000"/>
              </w:rPr>
              <w:tab/>
              <w:t>13</w:t>
            </w:r>
          </w:hyperlink>
        </w:p>
        <w:p w14:paraId="28614A7F" w14:textId="77777777" w:rsidR="00A1056B" w:rsidRDefault="00000000">
          <w:pPr>
            <w:widowControl w:val="0"/>
            <w:tabs>
              <w:tab w:val="right" w:leader="dot" w:pos="12000"/>
            </w:tabs>
            <w:spacing w:before="60" w:after="0" w:line="360" w:lineRule="auto"/>
            <w:ind w:left="720"/>
            <w:jc w:val="both"/>
            <w:rPr>
              <w:color w:val="000000"/>
            </w:rPr>
          </w:pPr>
          <w:hyperlink w:anchor="_heading=h.26in1rg">
            <w:r>
              <w:rPr>
                <w:color w:val="000000"/>
              </w:rPr>
              <w:t>Primary Activities</w:t>
            </w:r>
            <w:r>
              <w:rPr>
                <w:color w:val="000000"/>
              </w:rPr>
              <w:tab/>
              <w:t>13</w:t>
            </w:r>
          </w:hyperlink>
        </w:p>
        <w:p w14:paraId="3773BAC3" w14:textId="77777777" w:rsidR="00A1056B" w:rsidRDefault="00000000">
          <w:pPr>
            <w:widowControl w:val="0"/>
            <w:tabs>
              <w:tab w:val="right" w:leader="dot" w:pos="12000"/>
            </w:tabs>
            <w:spacing w:before="60" w:after="0" w:line="360" w:lineRule="auto"/>
            <w:ind w:left="720"/>
            <w:jc w:val="both"/>
            <w:rPr>
              <w:color w:val="000000"/>
            </w:rPr>
          </w:pPr>
          <w:hyperlink w:anchor="_heading=h.lnxbz9">
            <w:r>
              <w:rPr>
                <w:color w:val="000000"/>
              </w:rPr>
              <w:t>Secondary Activities</w:t>
            </w:r>
            <w:r>
              <w:rPr>
                <w:color w:val="000000"/>
              </w:rPr>
              <w:tab/>
              <w:t>14</w:t>
            </w:r>
          </w:hyperlink>
        </w:p>
        <w:p w14:paraId="6DD08F66" w14:textId="77777777" w:rsidR="00A1056B" w:rsidRDefault="00000000">
          <w:pPr>
            <w:widowControl w:val="0"/>
            <w:tabs>
              <w:tab w:val="right" w:leader="dot" w:pos="12000"/>
            </w:tabs>
            <w:spacing w:before="60" w:after="0" w:line="360" w:lineRule="auto"/>
            <w:ind w:left="360"/>
            <w:jc w:val="both"/>
            <w:rPr>
              <w:color w:val="000000"/>
            </w:rPr>
          </w:pPr>
          <w:hyperlink w:anchor="_heading=h.1ksv4uv">
            <w:r>
              <w:rPr>
                <w:color w:val="000000"/>
              </w:rPr>
              <w:t>VRIO Analysis of Distinctive Resources and Capabilities</w:t>
            </w:r>
            <w:r>
              <w:rPr>
                <w:color w:val="000000"/>
              </w:rPr>
              <w:tab/>
              <w:t>16</w:t>
            </w:r>
          </w:hyperlink>
        </w:p>
        <w:p w14:paraId="751A1D9C" w14:textId="77777777" w:rsidR="00A1056B" w:rsidRDefault="00000000">
          <w:pPr>
            <w:widowControl w:val="0"/>
            <w:tabs>
              <w:tab w:val="right" w:leader="dot" w:pos="12000"/>
            </w:tabs>
            <w:spacing w:before="60" w:after="0" w:line="360" w:lineRule="auto"/>
            <w:ind w:left="360"/>
            <w:jc w:val="both"/>
            <w:rPr>
              <w:color w:val="000000"/>
            </w:rPr>
          </w:pPr>
          <w:hyperlink w:anchor="_heading=h.44sinio">
            <w:r>
              <w:rPr>
                <w:color w:val="000000"/>
              </w:rPr>
              <w:t>SWOT Analysis</w:t>
            </w:r>
            <w:r>
              <w:rPr>
                <w:color w:val="000000"/>
              </w:rPr>
              <w:tab/>
              <w:t>17</w:t>
            </w:r>
          </w:hyperlink>
        </w:p>
        <w:p w14:paraId="05EED6B2" w14:textId="77777777" w:rsidR="00A1056B" w:rsidRDefault="00000000">
          <w:pPr>
            <w:widowControl w:val="0"/>
            <w:tabs>
              <w:tab w:val="right" w:leader="dot" w:pos="12000"/>
            </w:tabs>
            <w:spacing w:before="60" w:after="0" w:line="360" w:lineRule="auto"/>
            <w:jc w:val="both"/>
            <w:rPr>
              <w:color w:val="000000"/>
            </w:rPr>
          </w:pPr>
          <w:hyperlink w:anchor="_heading=h.2jxsxqh">
            <w:r>
              <w:rPr>
                <w:color w:val="000000"/>
              </w:rPr>
              <w:t>Strategies to Sustain Competitive Advantage</w:t>
            </w:r>
            <w:r>
              <w:rPr>
                <w:color w:val="000000"/>
              </w:rPr>
              <w:tab/>
              <w:t>19</w:t>
            </w:r>
          </w:hyperlink>
        </w:p>
        <w:p w14:paraId="36AF293B" w14:textId="77777777" w:rsidR="00A1056B" w:rsidRDefault="00000000">
          <w:pPr>
            <w:widowControl w:val="0"/>
            <w:tabs>
              <w:tab w:val="right" w:leader="dot" w:pos="12000"/>
            </w:tabs>
            <w:spacing w:before="60" w:after="0" w:line="360" w:lineRule="auto"/>
            <w:jc w:val="both"/>
            <w:rPr>
              <w:color w:val="000000"/>
            </w:rPr>
          </w:pPr>
          <w:hyperlink w:anchor="_heading=h.z337ya">
            <w:r>
              <w:rPr>
                <w:color w:val="000000"/>
              </w:rPr>
              <w:t>Growth Strategies</w:t>
            </w:r>
            <w:r>
              <w:rPr>
                <w:color w:val="000000"/>
              </w:rPr>
              <w:tab/>
              <w:t>20</w:t>
            </w:r>
          </w:hyperlink>
        </w:p>
        <w:p w14:paraId="78CD899B" w14:textId="77777777" w:rsidR="00A1056B" w:rsidRDefault="00000000">
          <w:pPr>
            <w:widowControl w:val="0"/>
            <w:tabs>
              <w:tab w:val="right" w:leader="dot" w:pos="12000"/>
            </w:tabs>
            <w:spacing w:before="60" w:after="0" w:line="360" w:lineRule="auto"/>
            <w:jc w:val="both"/>
            <w:rPr>
              <w:color w:val="000000"/>
            </w:rPr>
          </w:pPr>
          <w:hyperlink w:anchor="_heading=h.3j2qqm3">
            <w:r>
              <w:rPr>
                <w:color w:val="000000"/>
              </w:rPr>
              <w:t>Green Strategy and CSR</w:t>
            </w:r>
            <w:r>
              <w:rPr>
                <w:color w:val="000000"/>
              </w:rPr>
              <w:tab/>
              <w:t>22</w:t>
            </w:r>
          </w:hyperlink>
        </w:p>
        <w:p w14:paraId="002502F6" w14:textId="77777777" w:rsidR="00A1056B" w:rsidRDefault="00000000">
          <w:pPr>
            <w:widowControl w:val="0"/>
            <w:tabs>
              <w:tab w:val="right" w:leader="dot" w:pos="12000"/>
            </w:tabs>
            <w:spacing w:before="60" w:after="0" w:line="360" w:lineRule="auto"/>
            <w:jc w:val="both"/>
            <w:rPr>
              <w:color w:val="000000"/>
            </w:rPr>
          </w:pPr>
          <w:hyperlink w:anchor="_heading=h.1y810tw">
            <w:r>
              <w:rPr>
                <w:color w:val="000000"/>
              </w:rPr>
              <w:t>Con</w:t>
            </w:r>
            <w:r>
              <w:rPr>
                <w:color w:val="000000"/>
              </w:rPr>
              <w:t>c</w:t>
            </w:r>
            <w:r>
              <w:rPr>
                <w:color w:val="000000"/>
              </w:rPr>
              <w:t>lusion</w:t>
            </w:r>
            <w:r>
              <w:rPr>
                <w:color w:val="000000"/>
              </w:rPr>
              <w:tab/>
              <w:t>23</w:t>
            </w:r>
          </w:hyperlink>
        </w:p>
        <w:p w14:paraId="26EF5064" w14:textId="77777777" w:rsidR="00A1056B" w:rsidRDefault="00000000">
          <w:pPr>
            <w:widowControl w:val="0"/>
            <w:tabs>
              <w:tab w:val="right" w:leader="dot" w:pos="12000"/>
            </w:tabs>
            <w:spacing w:before="60" w:after="0" w:line="360" w:lineRule="auto"/>
            <w:jc w:val="both"/>
            <w:rPr>
              <w:color w:val="000000"/>
            </w:rPr>
          </w:pPr>
          <w:hyperlink w:anchor="_heading=h.4i7ojhp">
            <w:r>
              <w:rPr>
                <w:color w:val="000000"/>
              </w:rPr>
              <w:t>Recommendation</w:t>
            </w:r>
            <w:r>
              <w:rPr>
                <w:color w:val="000000"/>
              </w:rPr>
              <w:tab/>
              <w:t>24</w:t>
            </w:r>
          </w:hyperlink>
        </w:p>
        <w:p w14:paraId="45EBC892" w14:textId="77777777" w:rsidR="00A1056B" w:rsidRDefault="00000000">
          <w:pPr>
            <w:widowControl w:val="0"/>
            <w:tabs>
              <w:tab w:val="right" w:leader="dot" w:pos="12000"/>
            </w:tabs>
            <w:spacing w:before="60" w:after="0" w:line="360" w:lineRule="auto"/>
            <w:jc w:val="both"/>
            <w:rPr>
              <w:color w:val="000000"/>
            </w:rPr>
          </w:pPr>
          <w:hyperlink w:anchor="_heading=h.skjg5qh9pmbz">
            <w:r>
              <w:rPr>
                <w:color w:val="000000"/>
              </w:rPr>
              <w:t>References</w:t>
            </w:r>
            <w:r>
              <w:rPr>
                <w:color w:val="000000"/>
              </w:rPr>
              <w:tab/>
              <w:t>28</w:t>
            </w:r>
          </w:hyperlink>
          <w:r>
            <w:fldChar w:fldCharType="end"/>
          </w:r>
        </w:p>
      </w:sdtContent>
    </w:sdt>
    <w:p w14:paraId="017A72C4" w14:textId="77777777" w:rsidR="00A1056B" w:rsidRDefault="00000000">
      <w:pPr>
        <w:spacing w:line="360" w:lineRule="auto"/>
        <w:jc w:val="both"/>
      </w:pPr>
      <w:r>
        <w:t xml:space="preserve"> </w:t>
      </w:r>
    </w:p>
    <w:p w14:paraId="519187FE" w14:textId="77777777" w:rsidR="00A1056B" w:rsidRDefault="00000000">
      <w:pPr>
        <w:spacing w:line="360" w:lineRule="auto"/>
        <w:jc w:val="both"/>
        <w:rPr>
          <w:b/>
        </w:rPr>
      </w:pPr>
      <w:r>
        <w:br w:type="page"/>
      </w:r>
    </w:p>
    <w:p w14:paraId="571AFD5B" w14:textId="77777777" w:rsidR="00A1056B" w:rsidRDefault="00000000">
      <w:pPr>
        <w:pStyle w:val="Heading1"/>
        <w:spacing w:after="200" w:line="360" w:lineRule="auto"/>
        <w:rPr>
          <w:rFonts w:ascii="Times New Roman" w:eastAsia="Times New Roman" w:hAnsi="Times New Roman"/>
          <w:color w:val="000000"/>
        </w:rPr>
      </w:pPr>
      <w:bookmarkStart w:id="0" w:name="_heading=h.gjdgxs" w:colFirst="0" w:colLast="0"/>
      <w:bookmarkEnd w:id="0"/>
      <w:r>
        <w:rPr>
          <w:rFonts w:ascii="Times New Roman" w:eastAsia="Times New Roman" w:hAnsi="Times New Roman"/>
          <w:color w:val="000000"/>
        </w:rPr>
        <w:t>Introduction</w:t>
      </w:r>
    </w:p>
    <w:p w14:paraId="41766872" w14:textId="77777777" w:rsidR="00A1056B" w:rsidRDefault="00000000">
      <w:pPr>
        <w:spacing w:line="360" w:lineRule="auto"/>
        <w:jc w:val="both"/>
      </w:pPr>
      <w:r>
        <w:t>Marks &amp; Spencer (M&amp;S) is a British department store that has been open for business for over a century. The company has had to face a variety of challenges in recent years, including increasing competition in the retail sector, altering client preferences and trends, and the impact of the COVID-19 pandemic. In light of these challenges, M&amp;S has launched a variety of programmes to strengthen its position as a market leader and preserve its competitive advantage. The study aims to provide a strategic analysis of M&amp;S by examining the company's internal and external opportunities and risks. PESTEL, Porter's Five Forces, SWOT, Value Chain, VRIO, and the Ansoff Matrix will all play a role in the research, along with others, to provide a comprehensive picture of the company's strategic position. The research will also identify ways in which M&amp;S may improve its competitive position, increase consumer happiness, and expand internationally. This research will examine M&amp;S's green strategy and CSR programmes, as well as provide recommendations for how the company may deepen its commitment to doing business in an ethical and ecologically responsible manner. Ultimately, the findings of this study will aid M&amp;S in strategic planning, decision-making, and addressing the challenges and seizing the opportunities that are inherent in the retail industry.</w:t>
      </w:r>
    </w:p>
    <w:p w14:paraId="7691B5D4" w14:textId="77777777" w:rsidR="00A1056B" w:rsidRDefault="00000000">
      <w:pPr>
        <w:pStyle w:val="Heading1"/>
        <w:spacing w:after="200" w:line="360" w:lineRule="auto"/>
        <w:rPr>
          <w:rFonts w:ascii="Times New Roman" w:eastAsia="Times New Roman" w:hAnsi="Times New Roman"/>
          <w:color w:val="000000"/>
        </w:rPr>
      </w:pPr>
      <w:bookmarkStart w:id="1" w:name="_heading=h.30j0zll" w:colFirst="0" w:colLast="0"/>
      <w:bookmarkEnd w:id="1"/>
      <w:r>
        <w:rPr>
          <w:rFonts w:ascii="Times New Roman" w:eastAsia="Times New Roman" w:hAnsi="Times New Roman"/>
          <w:color w:val="000000"/>
        </w:rPr>
        <w:t>Marks &amp; Spencer UK Background</w:t>
      </w:r>
    </w:p>
    <w:p w14:paraId="4EF96CBE" w14:textId="77777777" w:rsidR="00A1056B" w:rsidRDefault="00000000">
      <w:pPr>
        <w:spacing w:line="360" w:lineRule="auto"/>
        <w:jc w:val="both"/>
      </w:pPr>
      <w:r>
        <w:t>A significant British international retailer, Marks &amp; Spencer (M&amp;S) is based in London. Established in 1884 by Michael Marks and Thomas Spencer, the brand has grown to become a household name throughout the United Kingdom and beyond.</w:t>
      </w:r>
    </w:p>
    <w:p w14:paraId="51CD9010" w14:textId="77777777" w:rsidR="00A1056B" w:rsidRDefault="00000000">
      <w:pPr>
        <w:spacing w:line="360" w:lineRule="auto"/>
        <w:jc w:val="both"/>
      </w:pPr>
      <w:r>
        <w:t>As a humble market stand in Leeds, M&amp;S originally sold inexpensive apparel and home goods. The firm started with a single store in Manchester in 1894 and by 1901 had spread to 36 locations around the United Kingdom (Taylor,  2019). M&amp;S began as a retailer of apparel and cosmetics, but it has now expanded to sell groceries, home decor, and even provide banking services.</w:t>
      </w:r>
    </w:p>
    <w:p w14:paraId="561C83E3" w14:textId="77777777" w:rsidR="00A1056B" w:rsidRDefault="00000000">
      <w:pPr>
        <w:spacing w:line="360" w:lineRule="auto"/>
        <w:jc w:val="both"/>
      </w:pPr>
      <w:r>
        <w:t>Quality, value, and dedication to the consumer have long been hallmarks of M&amp;S's reputation (Tang and Higgins, 2022). The brand is well-known for its consistently high-quality knickers and suits. M&amp;S's Plan A programme, which aspires to create M&amp;S as the world's most sustainable retailer, is only one example of the company's recent rise to prominence in the realm of sustainable and creative goods.</w:t>
      </w:r>
    </w:p>
    <w:p w14:paraId="1EFC7FA5" w14:textId="77777777" w:rsidR="00A1056B" w:rsidRDefault="00000000">
      <w:pPr>
        <w:spacing w:line="360" w:lineRule="auto"/>
        <w:jc w:val="center"/>
      </w:pPr>
      <w:r>
        <w:drawing>
          <wp:inline distT="114300" distB="114300" distL="114300" distR="114300" wp14:anchorId="4E4C931C" wp14:editId="6AB46ED0">
            <wp:extent cx="5734050" cy="30480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a:srcRect t="12751" b="15659"/>
                    <a:stretch>
                      <a:fillRect/>
                    </a:stretch>
                  </pic:blipFill>
                  <pic:spPr>
                    <a:xfrm>
                      <a:off x="0" y="0"/>
                      <a:ext cx="5734050" cy="3048000"/>
                    </a:xfrm>
                    <a:prstGeom prst="rect">
                      <a:avLst/>
                    </a:prstGeom>
                  </pic:spPr>
                </pic:pic>
              </a:graphicData>
            </a:graphic>
          </wp:inline>
        </w:drawing>
      </w:r>
    </w:p>
    <w:p w14:paraId="57B9B129" w14:textId="77777777" w:rsidR="00A1056B" w:rsidRDefault="00000000">
      <w:pPr>
        <w:spacing w:line="360" w:lineRule="auto"/>
        <w:jc w:val="center"/>
      </w:pPr>
      <w:r>
        <w:t>Fig 01: Marks &amp; Spencer food revenue growth 2021/2022</w:t>
      </w:r>
    </w:p>
    <w:p w14:paraId="09CE5208" w14:textId="77777777" w:rsidR="00A1056B" w:rsidRDefault="00000000">
      <w:pPr>
        <w:spacing w:line="360" w:lineRule="auto"/>
        <w:jc w:val="center"/>
      </w:pPr>
      <w:r>
        <w:t>Source: (Tang and Higgins, 2022)</w:t>
      </w:r>
    </w:p>
    <w:p w14:paraId="4B2DB21B" w14:textId="77777777" w:rsidR="00A1056B" w:rsidRDefault="00000000">
      <w:pPr>
        <w:spacing w:line="360" w:lineRule="auto"/>
        <w:jc w:val="both"/>
      </w:pPr>
      <w:r>
        <w:t>More than 80,000 people are now employed by M&amp;S, which runs over 950 locations throughout the globe. Although the corporation has had some difficulties in recent years owing to rising competition and shifting customer tastes, it is still well-liked and trusted by many Brits.</w:t>
      </w:r>
    </w:p>
    <w:p w14:paraId="33168E4D" w14:textId="77777777" w:rsidR="00A1056B" w:rsidRDefault="00A1056B">
      <w:pPr>
        <w:spacing w:line="360" w:lineRule="auto"/>
        <w:jc w:val="both"/>
      </w:pPr>
    </w:p>
    <w:p w14:paraId="035DE74F" w14:textId="77777777" w:rsidR="00A1056B" w:rsidRDefault="00000000">
      <w:pPr>
        <w:pStyle w:val="Heading2"/>
        <w:spacing w:after="200"/>
        <w:rPr>
          <w:rFonts w:ascii="Times New Roman" w:eastAsia="Times New Roman" w:hAnsi="Times New Roman" w:cs="Times New Roman"/>
          <w:color w:val="000000"/>
        </w:rPr>
      </w:pPr>
      <w:bookmarkStart w:id="2" w:name="_heading=h.1fob9te" w:colFirst="0" w:colLast="0"/>
      <w:bookmarkEnd w:id="2"/>
      <w:r>
        <w:rPr>
          <w:rFonts w:ascii="Times New Roman" w:eastAsia="Times New Roman" w:hAnsi="Times New Roman" w:cs="Times New Roman"/>
          <w:color w:val="000000"/>
        </w:rPr>
        <w:t>Marks &amp; Spencer UK's Mission and Objectives</w:t>
      </w:r>
    </w:p>
    <w:p w14:paraId="447F722E" w14:textId="77777777" w:rsidR="00A1056B" w:rsidRDefault="00000000">
      <w:pPr>
        <w:spacing w:line="360" w:lineRule="auto"/>
        <w:jc w:val="both"/>
      </w:pPr>
      <w:r>
        <w:t>Marks &amp; Spencer UK is committed to being a socially and ecologically responsible business that offers its customers excellent items at reasonable prices (Nyame-Asiamah and Ghulam,  2020). To that end, they want to continue prioritising eco-friendliness, creativity, and service to customers. Among the company's goals is increasing its online visibility while also aiming to provide better products, cut down on waste, and provide a more satisfying experience for customers. M&amp;S's long-term goals include maintaining its position as an industry pioneer in terms of both ethics and sustainability in company operations. M&amp;S wants to be a household name that people have faith in because it reliably provides for their wants and satisfies their needs while also improving the world.</w:t>
      </w:r>
    </w:p>
    <w:p w14:paraId="684C1631" w14:textId="77777777" w:rsidR="00A1056B" w:rsidRDefault="00000000">
      <w:pPr>
        <w:pStyle w:val="Heading1"/>
        <w:spacing w:after="200" w:line="360" w:lineRule="auto"/>
        <w:rPr>
          <w:rFonts w:ascii="Times New Roman" w:eastAsia="Times New Roman" w:hAnsi="Times New Roman"/>
          <w:color w:val="000000"/>
        </w:rPr>
      </w:pPr>
      <w:bookmarkStart w:id="3" w:name="_heading=h.3znysh7" w:colFirst="0" w:colLast="0"/>
      <w:bookmarkEnd w:id="3"/>
      <w:r>
        <w:rPr>
          <w:rFonts w:ascii="Times New Roman" w:eastAsia="Times New Roman" w:hAnsi="Times New Roman"/>
          <w:color w:val="000000"/>
        </w:rPr>
        <w:t>Macro-Environment Analysis</w:t>
      </w:r>
    </w:p>
    <w:p w14:paraId="49FC3A94" w14:textId="77777777" w:rsidR="00A1056B" w:rsidRDefault="00000000">
      <w:pPr>
        <w:pStyle w:val="Heading2"/>
        <w:spacing w:after="200"/>
        <w:rPr>
          <w:rFonts w:ascii="Times New Roman" w:eastAsia="Times New Roman" w:hAnsi="Times New Roman" w:cs="Times New Roman"/>
        </w:rPr>
      </w:pPr>
      <w:bookmarkStart w:id="4" w:name="_heading=h.2et92p0" w:colFirst="0" w:colLast="0"/>
      <w:bookmarkEnd w:id="4"/>
      <w:r>
        <w:rPr>
          <w:rFonts w:ascii="Times New Roman" w:eastAsia="Times New Roman" w:hAnsi="Times New Roman" w:cs="Times New Roman"/>
          <w:color w:val="000000"/>
        </w:rPr>
        <w:t>PESTEL Analysis</w:t>
      </w:r>
    </w:p>
    <w:tbl>
      <w:tblPr>
        <w:tblStyle w:val="Table100"/>
        <w:tblW w:w="9026" w:type="dxa"/>
        <w:tblBorders>
          <w:top w:val="nil"/>
          <w:left w:val="nil"/>
          <w:bottom w:val="nil"/>
          <w:right w:val="nil"/>
          <w:insideH w:val="nil"/>
          <w:insideV w:val="nil"/>
        </w:tblBorders>
        <w:tblLayout w:type="fixed"/>
        <w:tblLook w:val="0600" w:firstRow="0" w:lastRow="0" w:firstColumn="0" w:lastColumn="0" w:noHBand="1" w:noVBand="1"/>
      </w:tblPr>
      <w:tblGrid>
        <w:gridCol w:w="1707"/>
        <w:gridCol w:w="2723"/>
        <w:gridCol w:w="4596"/>
      </w:tblGrid>
      <w:tr w:rsidR="00A1056B" w14:paraId="6C9FE355" w14:textId="77777777">
        <w:trPr>
          <w:trHeight w:val="1070"/>
        </w:trPr>
        <w:tc>
          <w:tcPr>
            <w:tcW w:w="17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6C60255E" w14:textId="77777777" w:rsidR="00A1056B" w:rsidRDefault="00000000">
            <w:pPr>
              <w:spacing w:before="380" w:after="200" w:line="360" w:lineRule="auto"/>
              <w:jc w:val="center"/>
            </w:pPr>
            <w:r>
              <w:rPr>
                <w:b/>
              </w:rPr>
              <w:t>PESTEL Factor</w:t>
            </w:r>
          </w:p>
        </w:tc>
        <w:tc>
          <w:tcPr>
            <w:tcW w:w="27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3F866CAD" w14:textId="77777777" w:rsidR="00A1056B" w:rsidRDefault="00000000">
            <w:pPr>
              <w:spacing w:before="380" w:after="200" w:line="360" w:lineRule="auto"/>
              <w:jc w:val="center"/>
            </w:pPr>
            <w:r>
              <w:rPr>
                <w:b/>
              </w:rPr>
              <w:t>Explanation</w:t>
            </w:r>
          </w:p>
        </w:tc>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2304077C" w14:textId="77777777" w:rsidR="00A1056B" w:rsidRDefault="00000000">
            <w:pPr>
              <w:spacing w:before="380" w:after="200" w:line="360" w:lineRule="auto"/>
              <w:jc w:val="center"/>
            </w:pPr>
            <w:r>
              <w:rPr>
                <w:b/>
              </w:rPr>
              <w:t>Impact on Marks &amp; Spencer UK</w:t>
            </w:r>
          </w:p>
        </w:tc>
      </w:tr>
      <w:tr w:rsidR="00A1056B" w14:paraId="4582D5D8" w14:textId="77777777">
        <w:trPr>
          <w:trHeight w:val="2495"/>
        </w:trPr>
        <w:tc>
          <w:tcPr>
            <w:tcW w:w="17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CE11210" w14:textId="77777777" w:rsidR="00A1056B" w:rsidRDefault="00000000">
            <w:pPr>
              <w:spacing w:before="380" w:after="200" w:line="360" w:lineRule="auto"/>
            </w:pPr>
            <w:r>
              <w:t>Political</w:t>
            </w:r>
          </w:p>
        </w:tc>
        <w:tc>
          <w:tcPr>
            <w:tcW w:w="27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17ED616" w14:textId="77777777" w:rsidR="00A1056B" w:rsidRDefault="00000000">
            <w:pPr>
              <w:spacing w:before="380" w:after="200" w:line="360" w:lineRule="auto"/>
            </w:pPr>
            <w:r>
              <w:t>This factor includes government policies, regulations, and political stability.</w:t>
            </w:r>
          </w:p>
        </w:tc>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9E807E0" w14:textId="77777777" w:rsidR="00A1056B" w:rsidRDefault="00000000">
            <w:pPr>
              <w:spacing w:before="380" w:after="200" w:line="360" w:lineRule="auto"/>
            </w:pPr>
            <w:r>
              <w:t>Changes in trade policies or tariffs could impact M&amp;S's supply chain and profitability. Government policies on minimum wage could impact labour costs (Wright,  2020). Political instability in countries where M&amp;S operates could lead to business disruptions.</w:t>
            </w:r>
          </w:p>
        </w:tc>
      </w:tr>
      <w:tr w:rsidR="00A1056B" w14:paraId="6C440331" w14:textId="77777777">
        <w:trPr>
          <w:trHeight w:val="2495"/>
        </w:trPr>
        <w:tc>
          <w:tcPr>
            <w:tcW w:w="17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752A585" w14:textId="77777777" w:rsidR="00A1056B" w:rsidRDefault="00000000">
            <w:pPr>
              <w:spacing w:before="380" w:after="200" w:line="360" w:lineRule="auto"/>
            </w:pPr>
            <w:r>
              <w:t>Economic</w:t>
            </w:r>
          </w:p>
        </w:tc>
        <w:tc>
          <w:tcPr>
            <w:tcW w:w="27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8A4C84A" w14:textId="77777777" w:rsidR="00A1056B" w:rsidRDefault="00000000">
            <w:pPr>
              <w:spacing w:before="380" w:after="200" w:line="360" w:lineRule="auto"/>
            </w:pPr>
            <w:r>
              <w:t>This factor includes macroeconomic conditions, such as inflation, interest rates, and consumer confidence.</w:t>
            </w:r>
          </w:p>
        </w:tc>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4A4AB14" w14:textId="77777777" w:rsidR="00A1056B" w:rsidRDefault="00000000">
            <w:pPr>
              <w:spacing w:before="380" w:after="200" w:line="360" w:lineRule="auto"/>
            </w:pPr>
            <w:r>
              <w:t>Economic recessions or downturns can lead to reduced consumer spending, negatively impacting M&amp;S's revenue (</w:t>
            </w:r>
            <w:r>
              <w:rPr>
                <w:color w:val="222222"/>
                <w:highlight w:val="white"/>
              </w:rPr>
              <w:t>Leavy and McKiernan,  2020)</w:t>
            </w:r>
            <w:r>
              <w:t xml:space="preserve"> Inflation and currency fluctuations could impact the cost of goods sold and profit margins.</w:t>
            </w:r>
          </w:p>
        </w:tc>
      </w:tr>
      <w:tr w:rsidR="00A1056B" w14:paraId="3C13F672" w14:textId="77777777">
        <w:trPr>
          <w:trHeight w:val="2855"/>
        </w:trPr>
        <w:tc>
          <w:tcPr>
            <w:tcW w:w="17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83B626B" w14:textId="77777777" w:rsidR="00A1056B" w:rsidRDefault="00000000">
            <w:pPr>
              <w:spacing w:before="380" w:after="200" w:line="360" w:lineRule="auto"/>
            </w:pPr>
            <w:r>
              <w:t>Sociocultural</w:t>
            </w:r>
          </w:p>
        </w:tc>
        <w:tc>
          <w:tcPr>
            <w:tcW w:w="27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93B60D6" w14:textId="77777777" w:rsidR="00A1056B" w:rsidRDefault="00000000">
            <w:pPr>
              <w:spacing w:before="380" w:after="200" w:line="360" w:lineRule="auto"/>
            </w:pPr>
            <w:r>
              <w:t>This factor includes demographic trends, social attitudes, and cultural values.</w:t>
            </w:r>
          </w:p>
        </w:tc>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5FED3E6" w14:textId="77777777" w:rsidR="00A1056B" w:rsidRDefault="00000000">
            <w:pPr>
              <w:spacing w:before="380" w:after="200" w:line="360" w:lineRule="auto"/>
            </w:pPr>
            <w:r>
              <w:t>Changing consumer preferences and trends towards sustainable products and ethical practices could create opportunities for M&amp;S to differentiate itself in the market (Schleper et al., 2020). Societal shifts, such as an ageing population or changing family structures, could impact M&amp;S's product offerings.</w:t>
            </w:r>
          </w:p>
        </w:tc>
      </w:tr>
      <w:tr w:rsidR="00A1056B" w14:paraId="405CDC90" w14:textId="77777777">
        <w:trPr>
          <w:trHeight w:val="2495"/>
        </w:trPr>
        <w:tc>
          <w:tcPr>
            <w:tcW w:w="17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4E24FB9" w14:textId="77777777" w:rsidR="00A1056B" w:rsidRDefault="00000000">
            <w:pPr>
              <w:spacing w:before="380" w:after="200" w:line="360" w:lineRule="auto"/>
            </w:pPr>
            <w:r>
              <w:t>Technological</w:t>
            </w:r>
          </w:p>
        </w:tc>
        <w:tc>
          <w:tcPr>
            <w:tcW w:w="27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9196404" w14:textId="77777777" w:rsidR="00A1056B" w:rsidRDefault="00000000">
            <w:pPr>
              <w:spacing w:before="380" w:after="200" w:line="360" w:lineRule="auto"/>
            </w:pPr>
            <w:r>
              <w:t>This factor includes technological advancements and innovation.</w:t>
            </w:r>
          </w:p>
        </w:tc>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E1ED84D" w14:textId="77777777" w:rsidR="00A1056B" w:rsidRDefault="00000000">
            <w:pPr>
              <w:spacing w:before="380" w:after="200" w:line="360" w:lineRule="auto"/>
            </w:pPr>
            <w:r>
              <w:t>The rise of e-commerce and mobile technology has created opportunities for M&amp;S to expand its online presence and improve its customer experience. Rapid technological advancements in the retail industry could also create new competitors for M&amp;S.</w:t>
            </w:r>
          </w:p>
        </w:tc>
      </w:tr>
      <w:tr w:rsidR="00A1056B" w14:paraId="2CDCDD34" w14:textId="77777777">
        <w:trPr>
          <w:trHeight w:val="2855"/>
        </w:trPr>
        <w:tc>
          <w:tcPr>
            <w:tcW w:w="17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5864AF1" w14:textId="77777777" w:rsidR="00A1056B" w:rsidRDefault="00000000">
            <w:pPr>
              <w:spacing w:before="380" w:after="200" w:line="360" w:lineRule="auto"/>
            </w:pPr>
            <w:r>
              <w:t>Environmental</w:t>
            </w:r>
          </w:p>
        </w:tc>
        <w:tc>
          <w:tcPr>
            <w:tcW w:w="27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BF5D618" w14:textId="77777777" w:rsidR="00A1056B" w:rsidRDefault="00000000">
            <w:pPr>
              <w:spacing w:before="380" w:after="200" w:line="360" w:lineRule="auto"/>
            </w:pPr>
            <w:r>
              <w:t>This factor includes factors related to the natural environment, such as climate change and natural disasters.</w:t>
            </w:r>
          </w:p>
        </w:tc>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12328B1" w14:textId="77777777" w:rsidR="00A1056B" w:rsidRDefault="00000000">
            <w:pPr>
              <w:spacing w:before="380" w:after="200" w:line="360" w:lineRule="auto"/>
            </w:pPr>
            <w:r>
              <w:t>M&amp;S has a strong focus on sustainability and reducing its carbon footprint, which could create opportunities for the company to appeal to environmentally conscious consumers. However, natural disasters or supply chain disruptions related to climate change could impact M&amp;S's operations and profitability.</w:t>
            </w:r>
          </w:p>
        </w:tc>
      </w:tr>
      <w:tr w:rsidR="00A1056B" w14:paraId="50D97C37" w14:textId="77777777">
        <w:trPr>
          <w:trHeight w:val="2135"/>
        </w:trPr>
        <w:tc>
          <w:tcPr>
            <w:tcW w:w="17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01ED1A2" w14:textId="77777777" w:rsidR="00A1056B" w:rsidRDefault="00000000">
            <w:pPr>
              <w:spacing w:before="380" w:after="200" w:line="360" w:lineRule="auto"/>
            </w:pPr>
            <w:r>
              <w:t>Legal</w:t>
            </w:r>
          </w:p>
        </w:tc>
        <w:tc>
          <w:tcPr>
            <w:tcW w:w="272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95D011B" w14:textId="77777777" w:rsidR="00A1056B" w:rsidRDefault="00000000">
            <w:pPr>
              <w:spacing w:before="380" w:after="200" w:line="360" w:lineRule="auto"/>
            </w:pPr>
            <w:r>
              <w:t>This factor includes laws and regulations related to employment, health and safety, and intellectual property.</w:t>
            </w:r>
          </w:p>
        </w:tc>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00026B2" w14:textId="77777777" w:rsidR="00A1056B" w:rsidRDefault="00000000">
            <w:pPr>
              <w:spacing w:before="380" w:after="200" w:line="360" w:lineRule="auto"/>
            </w:pPr>
            <w:r>
              <w:t>Changes in employment laws, such as those related to minimum wage or working hours, could impact M&amp;S's labour costs. Intellectual property laws could impact M&amp;S's ability to protect its brand and products.</w:t>
            </w:r>
          </w:p>
        </w:tc>
      </w:tr>
    </w:tbl>
    <w:p w14:paraId="427F2611" w14:textId="77777777" w:rsidR="00A1056B" w:rsidRDefault="00A1056B">
      <w:pPr>
        <w:spacing w:line="360" w:lineRule="auto"/>
        <w:jc w:val="both"/>
      </w:pPr>
    </w:p>
    <w:p w14:paraId="22E43D15" w14:textId="77777777" w:rsidR="00A1056B" w:rsidRDefault="00000000">
      <w:pPr>
        <w:spacing w:line="360" w:lineRule="auto"/>
        <w:jc w:val="both"/>
      </w:pPr>
      <w:r>
        <w:t>The term "political factors" is used to describe how government rules and policies affect a business. Brexit and changes in trade regulations are two examples of political issues that might have an effect on M&amp;S's supply chain and business operations.</w:t>
      </w:r>
    </w:p>
    <w:p w14:paraId="29081F7A" w14:textId="77777777" w:rsidR="00A1056B" w:rsidRDefault="00000000">
      <w:pPr>
        <w:spacing w:line="360" w:lineRule="auto"/>
        <w:jc w:val="both"/>
      </w:pPr>
      <w:r>
        <w:t>The term "economic factors" is used to describe the larger economic circumstances that might affect a company's success. Alterations in customer purchasing patterns are one economic element that might affect M&amp;S's bottom line.</w:t>
      </w:r>
    </w:p>
    <w:p w14:paraId="37AC64C9" w14:textId="77777777" w:rsidR="00A1056B" w:rsidRDefault="00000000">
      <w:pPr>
        <w:spacing w:line="360" w:lineRule="auto"/>
        <w:jc w:val="both"/>
      </w:pPr>
      <w:r>
        <w:t>Demographic shifts and shifts in cultural norms are two examples of social variables that might have an effect on a business's bottom line. For M&amp;S, social considerations may include shifts in customer priorities for environmentally friendly and moral business policies.</w:t>
      </w:r>
    </w:p>
    <w:p w14:paraId="6BA34836" w14:textId="77777777" w:rsidR="00A1056B" w:rsidRDefault="00000000">
      <w:pPr>
        <w:spacing w:line="360" w:lineRule="auto"/>
        <w:jc w:val="both"/>
      </w:pPr>
      <w:r>
        <w:t>A company's operations and strategy may be affected by technological variables, which are the results of the introduction of new technologies and digital advancements (). For M&amp;S, technical elements may include the growth of e-commerce and the need to enhance its digital capabilities and online presence.</w:t>
      </w:r>
    </w:p>
    <w:p w14:paraId="72162D9C" w14:textId="77777777" w:rsidR="00A1056B" w:rsidRDefault="00000000">
      <w:pPr>
        <w:spacing w:line="360" w:lineRule="auto"/>
        <w:jc w:val="both"/>
      </w:pPr>
      <w:r>
        <w:t>The term "legal factors" is used to describe how rules and regulations affect a business. Alterations to labour laws and rules concerning environmental and sustainable practices are examples of legal variables that might affect M&amp;S.</w:t>
      </w:r>
    </w:p>
    <w:p w14:paraId="57E0AC63" w14:textId="77777777" w:rsidR="00A1056B" w:rsidRDefault="00000000">
      <w:pPr>
        <w:spacing w:line="360" w:lineRule="auto"/>
        <w:jc w:val="both"/>
      </w:pPr>
      <w:r>
        <w:t>The term "environmental factors" is used to describe how external environmental elements affect a business. The necessity for M&amp;S to lessen its impact on the environment and advance sustainable business practices through its supply chain are two examples of environmental considerations.</w:t>
      </w:r>
    </w:p>
    <w:p w14:paraId="61422F66" w14:textId="77777777" w:rsidR="00A1056B" w:rsidRDefault="00A1056B">
      <w:pPr>
        <w:spacing w:line="360" w:lineRule="auto"/>
        <w:jc w:val="both"/>
      </w:pPr>
    </w:p>
    <w:p w14:paraId="4321494D" w14:textId="77777777" w:rsidR="00A1056B" w:rsidRDefault="00000000">
      <w:pPr>
        <w:pStyle w:val="Heading1"/>
        <w:spacing w:after="200" w:line="360" w:lineRule="auto"/>
        <w:rPr>
          <w:rFonts w:ascii="Times New Roman" w:eastAsia="Times New Roman" w:hAnsi="Times New Roman"/>
        </w:rPr>
      </w:pPr>
      <w:bookmarkStart w:id="5" w:name="_heading=h.tyjcwt" w:colFirst="0" w:colLast="0"/>
      <w:bookmarkEnd w:id="5"/>
      <w:r>
        <w:rPr>
          <w:rFonts w:ascii="Times New Roman" w:eastAsia="Times New Roman" w:hAnsi="Times New Roman"/>
          <w:color w:val="000000"/>
        </w:rPr>
        <w:t>Micro-Environment Analysis</w:t>
      </w:r>
    </w:p>
    <w:p w14:paraId="6F05E25E" w14:textId="77777777" w:rsidR="00A1056B" w:rsidRDefault="00000000">
      <w:pPr>
        <w:pStyle w:val="Heading2"/>
        <w:spacing w:after="200"/>
        <w:rPr>
          <w:rFonts w:ascii="Times New Roman" w:eastAsia="Times New Roman" w:hAnsi="Times New Roman" w:cs="Times New Roman"/>
          <w:color w:val="000000"/>
        </w:rPr>
      </w:pPr>
      <w:bookmarkStart w:id="6" w:name="_heading=h.3dy6vkm" w:colFirst="0" w:colLast="0"/>
      <w:bookmarkEnd w:id="6"/>
      <w:r>
        <w:rPr>
          <w:rFonts w:ascii="Times New Roman" w:eastAsia="Times New Roman" w:hAnsi="Times New Roman" w:cs="Times New Roman"/>
          <w:color w:val="000000"/>
        </w:rPr>
        <w:t>Industry Life Cycle</w:t>
      </w:r>
    </w:p>
    <w:p w14:paraId="4FCA105B" w14:textId="77777777" w:rsidR="00A1056B" w:rsidRDefault="00000000">
      <w:pPr>
        <w:spacing w:line="360" w:lineRule="auto"/>
        <w:jc w:val="both"/>
      </w:pPr>
      <w:r>
        <w:t>In the course of their existence, most industries go through a series of phases known as the "industry life cycle." Using this methodology, companies may assess the health of their sector, and then plot a course for future growth and development.</w:t>
      </w:r>
    </w:p>
    <w:p w14:paraId="15E25598" w14:textId="77777777" w:rsidR="00A1056B" w:rsidRDefault="00000000">
      <w:pPr>
        <w:spacing w:line="360" w:lineRule="auto"/>
        <w:jc w:val="both"/>
      </w:pPr>
      <w:r>
        <w:t>Introduction, development, maturity, and decline are the four typical phases of a given industry's life cycle.</w:t>
      </w:r>
    </w:p>
    <w:p w14:paraId="26FA563A" w14:textId="77777777" w:rsidR="00A1056B" w:rsidRDefault="00000000">
      <w:pPr>
        <w:spacing w:line="360" w:lineRule="auto"/>
        <w:jc w:val="both"/>
      </w:pPr>
      <w:r>
        <w:t>When a new product or service is first launched to the market, it is in the introduction phase of the industry life cycle. There may be a small number of rivals or a highly fragmented market at this time. During this phase, a company's efforts are concentrated on creating and perfecting its goods and establishing its brand and market position.</w:t>
      </w:r>
    </w:p>
    <w:p w14:paraId="6CCAB6C6" w14:textId="77777777" w:rsidR="00A1056B" w:rsidRDefault="00000000">
      <w:pPr>
        <w:spacing w:line="360" w:lineRule="auto"/>
        <w:jc w:val="both"/>
      </w:pPr>
      <w:r>
        <w:t>As word of the product or service spreads and demand rises, the sector enters a period of fast expansion known as the growth stage. New rivals join the market as it grows, and established ones seek to carve out niches for themselves by offering distinctive offerings. In this phase, businesses work to expand their market presence, boost productivity, and establish their reputation.</w:t>
      </w:r>
    </w:p>
    <w:p w14:paraId="37D2C39D" w14:textId="77777777" w:rsidR="00A1056B" w:rsidRDefault="00000000">
      <w:pPr>
        <w:spacing w:line="360" w:lineRule="auto"/>
        <w:jc w:val="both"/>
      </w:pPr>
      <w:r>
        <w:t>The mature phase of the industry is characterised by its peak performance and subsequent decline in growth (Nyame-Asiamah and Ghulam,  2020). As more people enter the market, the level of competition increases. In this phase, businesses work to solidify their foothold in the market, increase their profitability, and distinguish their offerings from the competition.</w:t>
      </w:r>
    </w:p>
    <w:p w14:paraId="2BA73747" w14:textId="77777777" w:rsidR="00A1056B" w:rsidRDefault="00000000">
      <w:pPr>
        <w:widowControl w:val="0"/>
        <w:spacing w:line="360" w:lineRule="auto"/>
        <w:jc w:val="both"/>
      </w:pPr>
      <w:r>
        <w:t>Markets decline when consumers' interest in a particular product or service wanes, marking the last phase of an industry's life cycle. During this phase, a company's sales and profits begin to fall as it faces more competition from newer, more inventive companies.</w:t>
      </w:r>
    </w:p>
    <w:p w14:paraId="49005F15" w14:textId="77777777" w:rsidR="00A1056B" w:rsidRDefault="00000000">
      <w:pPr>
        <w:widowControl w:val="0"/>
        <w:spacing w:line="360" w:lineRule="auto"/>
        <w:jc w:val="both"/>
      </w:pPr>
      <w:r>
        <w:t>Businesses face new tests and gain new chances at each step of an industry's life cycle. Businesses' primary responsibilities during the launch phase are product development and brand building. Businesses in the growth phase prioritise expansion and client retention. Companies in the mature phase need to discover strategies to set themselves apart from the competition while also increasing productivity. Finally, in the decline stage, companies face the stark choice of adapting to new market realities or going out of business.</w:t>
      </w:r>
    </w:p>
    <w:p w14:paraId="2E4C7CA0" w14:textId="77777777" w:rsidR="00A1056B" w:rsidRDefault="00000000">
      <w:pPr>
        <w:widowControl w:val="0"/>
        <w:spacing w:line="360" w:lineRule="auto"/>
        <w:jc w:val="both"/>
      </w:pPr>
      <w:r>
        <w:t>In order to compete and expand, companies need to make choices based on information about the state of the industry. Companies in the growth stage may prioritise increasing their market share, whereas those in the maturity stage may prioritise enhancing their operational efficacy and bottom line. Successful companies understand the life cycle of their industry by analysing market circumstances and industry trends.</w:t>
      </w:r>
    </w:p>
    <w:p w14:paraId="4755D15A" w14:textId="77777777" w:rsidR="00A1056B" w:rsidRDefault="00A1056B">
      <w:pPr>
        <w:widowControl w:val="0"/>
        <w:spacing w:line="360" w:lineRule="auto"/>
        <w:jc w:val="both"/>
      </w:pPr>
    </w:p>
    <w:p w14:paraId="424D519F" w14:textId="77777777" w:rsidR="00A1056B" w:rsidRDefault="00000000">
      <w:pPr>
        <w:pStyle w:val="Heading2"/>
        <w:spacing w:after="200"/>
        <w:rPr>
          <w:rFonts w:ascii="Times New Roman" w:eastAsia="Times New Roman" w:hAnsi="Times New Roman" w:cs="Times New Roman"/>
        </w:rPr>
      </w:pPr>
      <w:bookmarkStart w:id="7" w:name="_heading=h.1t3h5sf" w:colFirst="0" w:colLast="0"/>
      <w:bookmarkEnd w:id="7"/>
      <w:r>
        <w:rPr>
          <w:rFonts w:ascii="Times New Roman" w:eastAsia="Times New Roman" w:hAnsi="Times New Roman" w:cs="Times New Roman"/>
          <w:color w:val="000000"/>
        </w:rPr>
        <w:t>Porter’s Industry Five Forces Analysis</w:t>
      </w:r>
    </w:p>
    <w:tbl>
      <w:tblPr>
        <w:tblStyle w:val="Table20"/>
        <w:tblW w:w="9026" w:type="dxa"/>
        <w:tblBorders>
          <w:top w:val="nil"/>
          <w:left w:val="nil"/>
          <w:bottom w:val="nil"/>
          <w:right w:val="nil"/>
          <w:insideH w:val="nil"/>
          <w:insideV w:val="nil"/>
        </w:tblBorders>
        <w:tblLayout w:type="fixed"/>
        <w:tblLook w:val="0600" w:firstRow="0" w:lastRow="0" w:firstColumn="0" w:lastColumn="0" w:noHBand="1" w:noVBand="1"/>
      </w:tblPr>
      <w:tblGrid>
        <w:gridCol w:w="1723"/>
        <w:gridCol w:w="2427"/>
        <w:gridCol w:w="4876"/>
      </w:tblGrid>
      <w:tr w:rsidR="00A1056B" w14:paraId="4352B9EB" w14:textId="77777777">
        <w:trPr>
          <w:trHeight w:val="710"/>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2B411821" w14:textId="77777777" w:rsidR="00A1056B" w:rsidRDefault="00000000">
            <w:pPr>
              <w:spacing w:before="380" w:after="200" w:line="360" w:lineRule="auto"/>
              <w:jc w:val="center"/>
            </w:pPr>
            <w:r>
              <w:rPr>
                <w:b/>
              </w:rPr>
              <w:t>Force</w:t>
            </w:r>
          </w:p>
        </w:tc>
        <w:tc>
          <w:tcPr>
            <w:tcW w:w="242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7B477BE2" w14:textId="77777777" w:rsidR="00A1056B" w:rsidRDefault="00000000">
            <w:pPr>
              <w:spacing w:before="380" w:after="200" w:line="360" w:lineRule="auto"/>
              <w:jc w:val="center"/>
            </w:pPr>
            <w:r>
              <w:rPr>
                <w:b/>
              </w:rPr>
              <w:t>Explanation</w:t>
            </w:r>
          </w:p>
        </w:tc>
        <w:tc>
          <w:tcPr>
            <w:tcW w:w="48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00687B66" w14:textId="77777777" w:rsidR="00A1056B" w:rsidRDefault="00000000">
            <w:pPr>
              <w:spacing w:before="380" w:after="200" w:line="360" w:lineRule="auto"/>
              <w:jc w:val="center"/>
            </w:pPr>
            <w:r>
              <w:rPr>
                <w:b/>
              </w:rPr>
              <w:t>Impact on Industry</w:t>
            </w:r>
          </w:p>
        </w:tc>
      </w:tr>
      <w:tr w:rsidR="00A1056B" w14:paraId="7C470295" w14:textId="77777777">
        <w:trPr>
          <w:trHeight w:val="249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7B3393F" w14:textId="77777777" w:rsidR="00A1056B" w:rsidRDefault="00000000">
            <w:pPr>
              <w:spacing w:before="380" w:after="200" w:line="360" w:lineRule="auto"/>
            </w:pPr>
            <w:r>
              <w:t>The threat of new entrants</w:t>
            </w:r>
          </w:p>
        </w:tc>
        <w:tc>
          <w:tcPr>
            <w:tcW w:w="242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1A81C0D" w14:textId="77777777" w:rsidR="00A1056B" w:rsidRDefault="00000000">
            <w:pPr>
              <w:spacing w:before="380" w:after="200" w:line="360" w:lineRule="auto"/>
            </w:pPr>
            <w:r>
              <w:t>The degree to which new competitors can easily enter the market.</w:t>
            </w:r>
          </w:p>
        </w:tc>
        <w:tc>
          <w:tcPr>
            <w:tcW w:w="48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948E35B" w14:textId="77777777" w:rsidR="00A1056B" w:rsidRDefault="00000000">
            <w:pPr>
              <w:spacing w:before="380" w:after="200" w:line="360" w:lineRule="auto"/>
            </w:pPr>
            <w:r>
              <w:t>High barriers to entry, such as high capital requirements or regulatory restrictions, can limit the threat of new entrants (Parsons,  2022). However, if there are low barriers to entry, new competitors can quickly enter the market and increase competition, leading to lower prices and reduced profitability.</w:t>
            </w:r>
          </w:p>
        </w:tc>
      </w:tr>
      <w:tr w:rsidR="00A1056B" w14:paraId="26DA95E4" w14:textId="77777777">
        <w:trPr>
          <w:trHeight w:val="285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B3AF6F4" w14:textId="77777777" w:rsidR="00A1056B" w:rsidRDefault="00000000">
            <w:pPr>
              <w:spacing w:before="380" w:after="200" w:line="360" w:lineRule="auto"/>
            </w:pPr>
            <w:r>
              <w:t>Bargaining power of suppliers</w:t>
            </w:r>
          </w:p>
        </w:tc>
        <w:tc>
          <w:tcPr>
            <w:tcW w:w="242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020CCFA" w14:textId="77777777" w:rsidR="00A1056B" w:rsidRDefault="00000000">
            <w:pPr>
              <w:spacing w:before="380" w:after="200" w:line="360" w:lineRule="auto"/>
            </w:pPr>
            <w:r>
              <w:t>The degree to which suppliers can influence pricing and terms of supply.</w:t>
            </w:r>
          </w:p>
        </w:tc>
        <w:tc>
          <w:tcPr>
            <w:tcW w:w="48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5646098" w14:textId="77777777" w:rsidR="00A1056B" w:rsidRDefault="00000000">
            <w:pPr>
              <w:spacing w:before="380" w:after="200" w:line="360" w:lineRule="auto"/>
            </w:pPr>
            <w:r>
              <w:t>If there are few suppliers or the industry relies heavily on a single supplier, the bargaining power of suppliers may be high. This can lead to increased costs for the industry, reducing profitability. However, if there are many suppliers and the industry is a large customer, the bargaining power of suppliers may be low.</w:t>
            </w:r>
          </w:p>
        </w:tc>
      </w:tr>
      <w:tr w:rsidR="00A1056B" w14:paraId="09FAE5CE" w14:textId="77777777">
        <w:trPr>
          <w:trHeight w:val="321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AB50A3F" w14:textId="77777777" w:rsidR="00A1056B" w:rsidRDefault="00000000">
            <w:pPr>
              <w:spacing w:before="380" w:after="200" w:line="360" w:lineRule="auto"/>
            </w:pPr>
            <w:r>
              <w:t>Bargaining power of buyers</w:t>
            </w:r>
          </w:p>
        </w:tc>
        <w:tc>
          <w:tcPr>
            <w:tcW w:w="242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E56D21F" w14:textId="77777777" w:rsidR="00A1056B" w:rsidRDefault="00000000">
            <w:pPr>
              <w:spacing w:before="380" w:after="200" w:line="360" w:lineRule="auto"/>
            </w:pPr>
            <w:r>
              <w:t>The degree to which buyers can influence pricing and terms of sale.</w:t>
            </w:r>
          </w:p>
        </w:tc>
        <w:tc>
          <w:tcPr>
            <w:tcW w:w="48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3C7FB27" w14:textId="77777777" w:rsidR="00A1056B" w:rsidRDefault="00000000">
            <w:pPr>
              <w:spacing w:before="380" w:after="200" w:line="360" w:lineRule="auto"/>
            </w:pPr>
            <w:r>
              <w:t>If there are few buyers or the industry sells a unique or essential product, the bargaining power of buyers may be low. This can allow the industry to charge higher prices and increase profitability (</w:t>
            </w:r>
            <w:r>
              <w:rPr>
                <w:color w:val="222222"/>
                <w:highlight w:val="white"/>
              </w:rPr>
              <w:t>Sony et al., 2021).</w:t>
            </w:r>
            <w:r>
              <w:t xml:space="preserve"> However, if there are many buyers or the industry sells a commodity product, the bargaining power of buyers may be high, leading to lower prices and reduced profitability.</w:t>
            </w:r>
          </w:p>
        </w:tc>
      </w:tr>
      <w:tr w:rsidR="00A1056B" w14:paraId="302686D1" w14:textId="77777777">
        <w:trPr>
          <w:trHeight w:val="321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94ED31E" w14:textId="77777777" w:rsidR="00A1056B" w:rsidRDefault="00000000">
            <w:pPr>
              <w:spacing w:before="380" w:after="200" w:line="360" w:lineRule="auto"/>
            </w:pPr>
            <w:r>
              <w:t>Threat of substitutes</w:t>
            </w:r>
          </w:p>
        </w:tc>
        <w:tc>
          <w:tcPr>
            <w:tcW w:w="242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0062A72" w14:textId="77777777" w:rsidR="00A1056B" w:rsidRDefault="00000000">
            <w:pPr>
              <w:spacing w:before="380" w:after="200" w:line="360" w:lineRule="auto"/>
            </w:pPr>
            <w:r>
              <w:t>The degree to which alternative products or services can be used in place of the industry's product.</w:t>
            </w:r>
          </w:p>
        </w:tc>
        <w:tc>
          <w:tcPr>
            <w:tcW w:w="48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7973DB0" w14:textId="77777777" w:rsidR="00A1056B" w:rsidRDefault="00000000">
            <w:pPr>
              <w:spacing w:before="380" w:after="200" w:line="360" w:lineRule="auto"/>
            </w:pPr>
            <w:r>
              <w:t>If there are no close substitutes or the industry's product is essential, the threat of substitutes may be low. This can allow the industry to charge higher prices and increase profitability. However, if there are many close substitutes or the industry's product is not essential, the threat of substitutes may be high, leading to lower prices and reduced profitability.</w:t>
            </w:r>
          </w:p>
        </w:tc>
      </w:tr>
      <w:tr w:rsidR="00A1056B" w14:paraId="39FDACA6" w14:textId="77777777">
        <w:trPr>
          <w:trHeight w:val="321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10EDFC2" w14:textId="77777777" w:rsidR="00A1056B" w:rsidRDefault="00000000">
            <w:pPr>
              <w:spacing w:before="380" w:after="200" w:line="360" w:lineRule="auto"/>
            </w:pPr>
            <w:r>
              <w:t>Rivalry among existing competitors</w:t>
            </w:r>
          </w:p>
        </w:tc>
        <w:tc>
          <w:tcPr>
            <w:tcW w:w="242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2AAFB87" w14:textId="77777777" w:rsidR="00A1056B" w:rsidRDefault="00000000">
            <w:pPr>
              <w:spacing w:before="380" w:after="200" w:line="360" w:lineRule="auto"/>
            </w:pPr>
            <w:r>
              <w:t>The degree to which competitors in the industry compete with each other for market share and profitability.</w:t>
            </w:r>
          </w:p>
        </w:tc>
        <w:tc>
          <w:tcPr>
            <w:tcW w:w="48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4805305" w14:textId="77777777" w:rsidR="00A1056B" w:rsidRDefault="00000000">
            <w:pPr>
              <w:spacing w:before="380" w:after="200" w:line="360" w:lineRule="auto"/>
            </w:pPr>
            <w:r>
              <w:t>If there are many competitors or the industry is growing slowly, rivalry among competitors may be high (Li,  Wang and Zhang,  2023). This can lead to price competition and reduced profitability. However, if there are few competitors or the industry is growing rapidly, rivalry among competitors may be low, allowing the industry to charge higher prices and increase profitability.</w:t>
            </w:r>
          </w:p>
        </w:tc>
      </w:tr>
    </w:tbl>
    <w:p w14:paraId="53D5413B" w14:textId="77777777" w:rsidR="00A1056B" w:rsidRDefault="00A1056B">
      <w:pPr>
        <w:spacing w:line="360" w:lineRule="auto"/>
        <w:jc w:val="both"/>
      </w:pPr>
    </w:p>
    <w:p w14:paraId="373467F9" w14:textId="77777777" w:rsidR="00A1056B" w:rsidRDefault="00000000">
      <w:pPr>
        <w:pStyle w:val="Heading1"/>
        <w:spacing w:after="200" w:line="360" w:lineRule="auto"/>
        <w:rPr>
          <w:rFonts w:ascii="Times New Roman" w:eastAsia="Times New Roman" w:hAnsi="Times New Roman"/>
        </w:rPr>
      </w:pPr>
      <w:bookmarkStart w:id="8" w:name="_heading=h.4d34og8" w:colFirst="0" w:colLast="0"/>
      <w:bookmarkEnd w:id="8"/>
      <w:r>
        <w:rPr>
          <w:rFonts w:ascii="Times New Roman" w:eastAsia="Times New Roman" w:hAnsi="Times New Roman"/>
          <w:color w:val="000000"/>
        </w:rPr>
        <w:t>Internal Analysis</w:t>
      </w:r>
    </w:p>
    <w:p w14:paraId="708598BD" w14:textId="77777777" w:rsidR="00A1056B" w:rsidRDefault="00000000">
      <w:pPr>
        <w:pStyle w:val="Heading2"/>
        <w:spacing w:after="200"/>
        <w:rPr>
          <w:rFonts w:ascii="Times New Roman" w:eastAsia="Times New Roman" w:hAnsi="Times New Roman" w:cs="Times New Roman"/>
        </w:rPr>
      </w:pPr>
      <w:bookmarkStart w:id="9" w:name="_heading=h.17dp8vu" w:colFirst="0" w:colLast="0"/>
      <w:bookmarkEnd w:id="9"/>
      <w:r>
        <w:rPr>
          <w:rFonts w:ascii="Times New Roman" w:eastAsia="Times New Roman" w:hAnsi="Times New Roman" w:cs="Times New Roman"/>
          <w:color w:val="000000"/>
        </w:rPr>
        <w:t>Mark and Spencers's Strategic Resources and Capabilities</w:t>
      </w:r>
    </w:p>
    <w:tbl>
      <w:tblPr>
        <w:tblStyle w:val="Table30"/>
        <w:tblW w:w="9026" w:type="dxa"/>
        <w:tblBorders>
          <w:top w:val="nil"/>
          <w:left w:val="nil"/>
          <w:bottom w:val="nil"/>
          <w:right w:val="nil"/>
          <w:insideH w:val="nil"/>
          <w:insideV w:val="nil"/>
        </w:tblBorders>
        <w:tblLayout w:type="fixed"/>
        <w:tblLook w:val="0600" w:firstRow="0" w:lastRow="0" w:firstColumn="0" w:lastColumn="0" w:noHBand="1" w:noVBand="1"/>
      </w:tblPr>
      <w:tblGrid>
        <w:gridCol w:w="2452"/>
        <w:gridCol w:w="2753"/>
        <w:gridCol w:w="3821"/>
      </w:tblGrid>
      <w:tr w:rsidR="00A1056B" w14:paraId="5CDB78DE" w14:textId="77777777">
        <w:trPr>
          <w:trHeight w:val="1070"/>
        </w:trPr>
        <w:tc>
          <w:tcPr>
            <w:tcW w:w="24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50419055" w14:textId="77777777" w:rsidR="00A1056B" w:rsidRDefault="00000000">
            <w:pPr>
              <w:spacing w:before="380" w:after="200" w:line="360" w:lineRule="auto"/>
              <w:jc w:val="center"/>
            </w:pPr>
            <w:r>
              <w:rPr>
                <w:b/>
              </w:rPr>
              <w:t>Strategic Resource/Capability</w:t>
            </w:r>
          </w:p>
        </w:tc>
        <w:tc>
          <w:tcPr>
            <w:tcW w:w="27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7E4AE883" w14:textId="77777777" w:rsidR="00A1056B" w:rsidRDefault="00000000">
            <w:pPr>
              <w:spacing w:before="380" w:after="200" w:line="360" w:lineRule="auto"/>
              <w:jc w:val="center"/>
            </w:pPr>
            <w:r>
              <w:rPr>
                <w:b/>
              </w:rPr>
              <w:t>Explanation</w:t>
            </w:r>
          </w:p>
        </w:tc>
        <w:tc>
          <w:tcPr>
            <w:tcW w:w="382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1AC6EF6A" w14:textId="77777777" w:rsidR="00A1056B" w:rsidRDefault="00000000">
            <w:pPr>
              <w:spacing w:before="380" w:after="200" w:line="360" w:lineRule="auto"/>
              <w:jc w:val="center"/>
            </w:pPr>
            <w:r>
              <w:rPr>
                <w:b/>
              </w:rPr>
              <w:t>Impact on M&amp;S</w:t>
            </w:r>
          </w:p>
        </w:tc>
      </w:tr>
      <w:tr w:rsidR="00A1056B" w14:paraId="7164C2A8" w14:textId="77777777">
        <w:trPr>
          <w:trHeight w:val="2135"/>
        </w:trPr>
        <w:tc>
          <w:tcPr>
            <w:tcW w:w="24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AB8C1CD" w14:textId="77777777" w:rsidR="00A1056B" w:rsidRDefault="00000000">
            <w:pPr>
              <w:spacing w:before="380" w:after="200" w:line="360" w:lineRule="auto"/>
            </w:pPr>
            <w:r>
              <w:t>Brand reputation</w:t>
            </w:r>
          </w:p>
        </w:tc>
        <w:tc>
          <w:tcPr>
            <w:tcW w:w="27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CEFB78E" w14:textId="77777777" w:rsidR="00A1056B" w:rsidRDefault="00000000">
            <w:pPr>
              <w:spacing w:before="380" w:after="200" w:line="360" w:lineRule="auto"/>
            </w:pPr>
            <w:r>
              <w:t>M&amp;S has a strong brand reputation in the UK and globally for high-quality products and sustainability.</w:t>
            </w:r>
          </w:p>
        </w:tc>
        <w:tc>
          <w:tcPr>
            <w:tcW w:w="382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3619383" w14:textId="77777777" w:rsidR="00A1056B" w:rsidRDefault="00000000">
            <w:pPr>
              <w:spacing w:before="380" w:after="200" w:line="360" w:lineRule="auto"/>
            </w:pPr>
            <w:r>
              <w:t>This reputation helps to attract and retain customers, build customer loyalty, and differentiate M&amp;S from competitors.</w:t>
            </w:r>
          </w:p>
        </w:tc>
      </w:tr>
      <w:tr w:rsidR="00A1056B" w14:paraId="01B38BD5" w14:textId="77777777">
        <w:trPr>
          <w:trHeight w:val="2135"/>
        </w:trPr>
        <w:tc>
          <w:tcPr>
            <w:tcW w:w="24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18C9E78" w14:textId="77777777" w:rsidR="00A1056B" w:rsidRDefault="00000000">
            <w:pPr>
              <w:spacing w:before="380" w:after="200" w:line="360" w:lineRule="auto"/>
            </w:pPr>
            <w:r>
              <w:t>Supply chain</w:t>
            </w:r>
          </w:p>
        </w:tc>
        <w:tc>
          <w:tcPr>
            <w:tcW w:w="27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AA829C0" w14:textId="77777777" w:rsidR="00A1056B" w:rsidRDefault="00000000">
            <w:pPr>
              <w:spacing w:before="380" w:after="200" w:line="360" w:lineRule="auto"/>
            </w:pPr>
            <w:r>
              <w:t>M&amp;S has a complex and extensive supply chain that is focused on sustainability and ethical practices.</w:t>
            </w:r>
          </w:p>
        </w:tc>
        <w:tc>
          <w:tcPr>
            <w:tcW w:w="382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0568185" w14:textId="77777777" w:rsidR="00A1056B" w:rsidRDefault="00000000">
            <w:pPr>
              <w:spacing w:before="380" w:after="200" w:line="360" w:lineRule="auto"/>
            </w:pPr>
            <w:r>
              <w:t>This supply chain helps to ensure a reliable and consistent supply of high-quality products, while also reducing costs and improving efficiency.</w:t>
            </w:r>
          </w:p>
        </w:tc>
      </w:tr>
      <w:tr w:rsidR="00A1056B" w14:paraId="078759EF" w14:textId="77777777">
        <w:trPr>
          <w:trHeight w:val="2495"/>
        </w:trPr>
        <w:tc>
          <w:tcPr>
            <w:tcW w:w="24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0082CEA" w14:textId="77777777" w:rsidR="00A1056B" w:rsidRDefault="00000000">
            <w:pPr>
              <w:spacing w:before="380" w:after="200" w:line="360" w:lineRule="auto"/>
            </w:pPr>
            <w:r>
              <w:t>Product development and innovation</w:t>
            </w:r>
          </w:p>
        </w:tc>
        <w:tc>
          <w:tcPr>
            <w:tcW w:w="27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4AFF23D" w14:textId="77777777" w:rsidR="00A1056B" w:rsidRDefault="00000000">
            <w:pPr>
              <w:spacing w:before="380" w:after="200" w:line="360" w:lineRule="auto"/>
            </w:pPr>
            <w:r>
              <w:t>M&amp;S has a strong focus on product development and innovation, particularly in areas such as sustainability and digital technology.</w:t>
            </w:r>
          </w:p>
        </w:tc>
        <w:tc>
          <w:tcPr>
            <w:tcW w:w="382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CECE7D9" w14:textId="77777777" w:rsidR="00A1056B" w:rsidRDefault="00000000">
            <w:pPr>
              <w:spacing w:before="380" w:after="200" w:line="360" w:lineRule="auto"/>
            </w:pPr>
            <w:r>
              <w:t>This focus on innovation helps to differentiate M&amp;S's products and services, attract new customers, and maintain customer loyalty (</w:t>
            </w:r>
            <w:r>
              <w:rPr>
                <w:color w:val="222222"/>
                <w:highlight w:val="white"/>
              </w:rPr>
              <w:t>Rafi-Ul-Shan, Grant, and Perry, 2022)</w:t>
            </w:r>
            <w:r>
              <w:t>.</w:t>
            </w:r>
          </w:p>
        </w:tc>
      </w:tr>
      <w:tr w:rsidR="00A1056B" w14:paraId="7E47F701" w14:textId="77777777">
        <w:trPr>
          <w:trHeight w:val="1775"/>
        </w:trPr>
        <w:tc>
          <w:tcPr>
            <w:tcW w:w="24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E91E117" w14:textId="77777777" w:rsidR="00A1056B" w:rsidRDefault="00000000">
            <w:pPr>
              <w:spacing w:before="380" w:after="200" w:line="360" w:lineRule="auto"/>
            </w:pPr>
            <w:r>
              <w:t>Customer service</w:t>
            </w:r>
          </w:p>
        </w:tc>
        <w:tc>
          <w:tcPr>
            <w:tcW w:w="27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D752331" w14:textId="77777777" w:rsidR="00A1056B" w:rsidRDefault="00000000">
            <w:pPr>
              <w:spacing w:before="380" w:after="200" w:line="360" w:lineRule="auto"/>
            </w:pPr>
            <w:r>
              <w:t>M&amp;S has a reputation for excellent customer service, both in-store and online.</w:t>
            </w:r>
          </w:p>
        </w:tc>
        <w:tc>
          <w:tcPr>
            <w:tcW w:w="382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1D4081C" w14:textId="77777777" w:rsidR="00A1056B" w:rsidRDefault="00000000">
            <w:pPr>
              <w:spacing w:before="380" w:after="200" w:line="360" w:lineRule="auto"/>
            </w:pPr>
            <w:r>
              <w:t>This reputation helps to build customer loyalty and satisfaction, as well as attract new customers through word-of-mouth recommendations.</w:t>
            </w:r>
          </w:p>
        </w:tc>
      </w:tr>
      <w:tr w:rsidR="00A1056B" w14:paraId="5BCE34D6" w14:textId="77777777">
        <w:trPr>
          <w:trHeight w:val="2135"/>
        </w:trPr>
        <w:tc>
          <w:tcPr>
            <w:tcW w:w="24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9DBE397" w14:textId="77777777" w:rsidR="00A1056B" w:rsidRDefault="00000000">
            <w:pPr>
              <w:spacing w:before="380" w:after="200" w:line="360" w:lineRule="auto"/>
            </w:pPr>
            <w:r>
              <w:t>Human resources</w:t>
            </w:r>
          </w:p>
        </w:tc>
        <w:tc>
          <w:tcPr>
            <w:tcW w:w="27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3B6E601" w14:textId="77777777" w:rsidR="00A1056B" w:rsidRDefault="00000000">
            <w:pPr>
              <w:spacing w:before="380" w:after="200" w:line="360" w:lineRule="auto"/>
            </w:pPr>
            <w:r>
              <w:t>M&amp;S has a large and diverse workforce, with a focus on employee development and engagement.</w:t>
            </w:r>
          </w:p>
        </w:tc>
        <w:tc>
          <w:tcPr>
            <w:tcW w:w="382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AA29F83" w14:textId="77777777" w:rsidR="00A1056B" w:rsidRDefault="00000000">
            <w:pPr>
              <w:spacing w:before="380" w:after="200" w:line="360" w:lineRule="auto"/>
            </w:pPr>
            <w:r>
              <w:t>This focus on human resources helps to attract and retain top talent, improve employee satisfaction and productivity, and create a positive company culture.</w:t>
            </w:r>
          </w:p>
        </w:tc>
      </w:tr>
      <w:tr w:rsidR="00A1056B" w14:paraId="1327D946" w14:textId="77777777">
        <w:trPr>
          <w:trHeight w:val="2495"/>
        </w:trPr>
        <w:tc>
          <w:tcPr>
            <w:tcW w:w="24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0CDE431" w14:textId="77777777" w:rsidR="00A1056B" w:rsidRDefault="00000000">
            <w:pPr>
              <w:spacing w:before="380" w:after="200" w:line="360" w:lineRule="auto"/>
            </w:pPr>
            <w:r>
              <w:t>Financial stability</w:t>
            </w:r>
          </w:p>
        </w:tc>
        <w:tc>
          <w:tcPr>
            <w:tcW w:w="275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5B7D53C" w14:textId="77777777" w:rsidR="00A1056B" w:rsidRDefault="00000000">
            <w:pPr>
              <w:spacing w:before="380" w:after="200" w:line="360" w:lineRule="auto"/>
            </w:pPr>
            <w:r>
              <w:t>M&amp;S has a strong financial position, with a history of consistent profitability and low debt levels (Abukari, Musah and Assaidi, 2023).</w:t>
            </w:r>
          </w:p>
        </w:tc>
        <w:tc>
          <w:tcPr>
            <w:tcW w:w="382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87C49CC" w14:textId="77777777" w:rsidR="00A1056B" w:rsidRDefault="00000000">
            <w:pPr>
              <w:spacing w:before="380" w:after="200" w:line="360" w:lineRule="auto"/>
            </w:pPr>
            <w:r>
              <w:t>This financial stability allows M&amp;S to make strategic investments in areas such as product development and innovation and provides a cushion against economic downturns or other financial challenges.</w:t>
            </w:r>
          </w:p>
        </w:tc>
      </w:tr>
    </w:tbl>
    <w:p w14:paraId="7AC714D0" w14:textId="77777777" w:rsidR="00A1056B" w:rsidRDefault="00A1056B">
      <w:pPr>
        <w:spacing w:line="360" w:lineRule="auto"/>
        <w:jc w:val="both"/>
      </w:pPr>
    </w:p>
    <w:p w14:paraId="42766D38" w14:textId="77777777" w:rsidR="00A1056B" w:rsidRDefault="00000000">
      <w:pPr>
        <w:pStyle w:val="Heading2"/>
        <w:spacing w:after="200"/>
        <w:rPr>
          <w:rFonts w:ascii="Times New Roman" w:eastAsia="Times New Roman" w:hAnsi="Times New Roman" w:cs="Times New Roman"/>
        </w:rPr>
      </w:pPr>
      <w:bookmarkStart w:id="10" w:name="_heading=h.3rdcrjn" w:colFirst="0" w:colLast="0"/>
      <w:bookmarkEnd w:id="10"/>
      <w:r>
        <w:rPr>
          <w:rFonts w:ascii="Times New Roman" w:eastAsia="Times New Roman" w:hAnsi="Times New Roman" w:cs="Times New Roman"/>
          <w:color w:val="000000"/>
        </w:rPr>
        <w:t>Value Chain Analysis</w:t>
      </w:r>
      <w:r>
        <w:rPr>
          <w:rFonts w:ascii="Times New Roman" w:eastAsia="Times New Roman" w:hAnsi="Times New Roman" w:cs="Times New Roman"/>
          <w:color w:val="000000"/>
        </w:rPr>
        <w:tab/>
      </w:r>
    </w:p>
    <w:p w14:paraId="5448C859" w14:textId="77777777" w:rsidR="00A1056B" w:rsidRDefault="00000000">
      <w:pPr>
        <w:pStyle w:val="Heading3"/>
        <w:spacing w:after="200" w:line="360" w:lineRule="auto"/>
        <w:rPr>
          <w:rFonts w:ascii="Times New Roman" w:eastAsia="Times New Roman" w:hAnsi="Times New Roman" w:cs="Times New Roman"/>
        </w:rPr>
      </w:pPr>
      <w:bookmarkStart w:id="11" w:name="_heading=h.26in1rg" w:colFirst="0" w:colLast="0"/>
      <w:bookmarkEnd w:id="11"/>
      <w:r>
        <w:rPr>
          <w:rFonts w:ascii="Times New Roman" w:eastAsia="Times New Roman" w:hAnsi="Times New Roman" w:cs="Times New Roman"/>
          <w:color w:val="000000"/>
        </w:rPr>
        <w:t>Primary Activities</w:t>
      </w:r>
    </w:p>
    <w:tbl>
      <w:tblPr>
        <w:tblStyle w:val="Table40"/>
        <w:tblW w:w="9026" w:type="dxa"/>
        <w:tblBorders>
          <w:top w:val="nil"/>
          <w:left w:val="nil"/>
          <w:bottom w:val="nil"/>
          <w:right w:val="nil"/>
          <w:insideH w:val="nil"/>
          <w:insideV w:val="nil"/>
        </w:tblBorders>
        <w:tblLayout w:type="fixed"/>
        <w:tblLook w:val="0600" w:firstRow="0" w:lastRow="0" w:firstColumn="0" w:lastColumn="0" w:noHBand="1" w:noVBand="1"/>
      </w:tblPr>
      <w:tblGrid>
        <w:gridCol w:w="1704"/>
        <w:gridCol w:w="7322"/>
      </w:tblGrid>
      <w:tr w:rsidR="00A1056B" w14:paraId="666D1F5E" w14:textId="77777777">
        <w:trPr>
          <w:trHeight w:val="1070"/>
        </w:trPr>
        <w:tc>
          <w:tcPr>
            <w:tcW w:w="170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073AD15B" w14:textId="77777777" w:rsidR="00A1056B" w:rsidRDefault="00000000">
            <w:pPr>
              <w:spacing w:before="380" w:after="200" w:line="360" w:lineRule="auto"/>
              <w:jc w:val="center"/>
            </w:pPr>
            <w:r>
              <w:rPr>
                <w:b/>
              </w:rPr>
              <w:t>Primary Activities</w:t>
            </w:r>
          </w:p>
        </w:tc>
        <w:tc>
          <w:tcPr>
            <w:tcW w:w="732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767E4D6C" w14:textId="77777777" w:rsidR="00A1056B" w:rsidRDefault="00000000">
            <w:pPr>
              <w:spacing w:before="380" w:after="200" w:line="360" w:lineRule="auto"/>
              <w:jc w:val="center"/>
            </w:pPr>
            <w:r>
              <w:rPr>
                <w:b/>
              </w:rPr>
              <w:t>Explanation</w:t>
            </w:r>
          </w:p>
        </w:tc>
      </w:tr>
      <w:tr w:rsidR="00A1056B" w14:paraId="7FB17108" w14:textId="77777777">
        <w:trPr>
          <w:trHeight w:val="1415"/>
        </w:trPr>
        <w:tc>
          <w:tcPr>
            <w:tcW w:w="170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3595229" w14:textId="77777777" w:rsidR="00A1056B" w:rsidRDefault="00000000">
            <w:pPr>
              <w:spacing w:before="380" w:after="200" w:line="360" w:lineRule="auto"/>
            </w:pPr>
            <w:r>
              <w:t>Inbound logistics</w:t>
            </w:r>
          </w:p>
        </w:tc>
        <w:tc>
          <w:tcPr>
            <w:tcW w:w="732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4B1AFC9" w14:textId="77777777" w:rsidR="00A1056B" w:rsidRDefault="00000000">
            <w:pPr>
              <w:spacing w:before="380" w:after="200" w:line="360" w:lineRule="auto"/>
            </w:pPr>
            <w:r>
              <w:t>M&amp;S has a complex and extensive supply chain that involves sourcing raw materials and finished goods from around the world. The company focuses on sustainability and ethical practices in its supply chain (Donaldson, 2022).</w:t>
            </w:r>
          </w:p>
        </w:tc>
      </w:tr>
      <w:tr w:rsidR="00A1056B" w14:paraId="0384AE50" w14:textId="77777777">
        <w:trPr>
          <w:trHeight w:val="1415"/>
        </w:trPr>
        <w:tc>
          <w:tcPr>
            <w:tcW w:w="170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54A36E4" w14:textId="77777777" w:rsidR="00A1056B" w:rsidRDefault="00000000">
            <w:pPr>
              <w:spacing w:before="380" w:after="200" w:line="360" w:lineRule="auto"/>
            </w:pPr>
            <w:r>
              <w:t>Operations</w:t>
            </w:r>
          </w:p>
        </w:tc>
        <w:tc>
          <w:tcPr>
            <w:tcW w:w="732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B28B3C1" w14:textId="77777777" w:rsidR="00A1056B" w:rsidRDefault="00000000">
            <w:pPr>
              <w:spacing w:before="380" w:after="200" w:line="360" w:lineRule="auto"/>
            </w:pPr>
            <w:r>
              <w:t>M&amp;S operates a variety of facilities, including manufacturing plants, warehouses, and retail stores. The company focuses on efficiency and quality in its operations to ensure high-quality products and services.</w:t>
            </w:r>
          </w:p>
        </w:tc>
      </w:tr>
      <w:tr w:rsidR="00A1056B" w14:paraId="4013B96F" w14:textId="77777777">
        <w:trPr>
          <w:trHeight w:val="1415"/>
        </w:trPr>
        <w:tc>
          <w:tcPr>
            <w:tcW w:w="170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41FD336" w14:textId="77777777" w:rsidR="00A1056B" w:rsidRDefault="00000000">
            <w:pPr>
              <w:spacing w:before="380" w:after="200" w:line="360" w:lineRule="auto"/>
            </w:pPr>
            <w:r>
              <w:t>Outbound logistics</w:t>
            </w:r>
          </w:p>
        </w:tc>
        <w:tc>
          <w:tcPr>
            <w:tcW w:w="732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3F66F2C" w14:textId="77777777" w:rsidR="00A1056B" w:rsidRDefault="00000000">
            <w:pPr>
              <w:spacing w:before="380" w:after="200" w:line="360" w:lineRule="auto"/>
            </w:pPr>
            <w:r>
              <w:t>M&amp;S distributes its products through a variety of channels, including retail stores, online sales, and partnerships with other retailers (Jhanji, 2023). The company focuses on timely and accurate delivery of products to customers.</w:t>
            </w:r>
          </w:p>
        </w:tc>
      </w:tr>
      <w:tr w:rsidR="00A1056B" w14:paraId="30EE4CE7" w14:textId="77777777">
        <w:trPr>
          <w:trHeight w:val="1415"/>
        </w:trPr>
        <w:tc>
          <w:tcPr>
            <w:tcW w:w="170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FBDB7FB" w14:textId="77777777" w:rsidR="00A1056B" w:rsidRDefault="00000000">
            <w:pPr>
              <w:spacing w:before="380" w:after="200" w:line="360" w:lineRule="auto"/>
            </w:pPr>
            <w:r>
              <w:t>Marketing and sales</w:t>
            </w:r>
          </w:p>
        </w:tc>
        <w:tc>
          <w:tcPr>
            <w:tcW w:w="732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C47FE29" w14:textId="77777777" w:rsidR="00A1056B" w:rsidRDefault="00000000">
            <w:pPr>
              <w:spacing w:before="380" w:after="200" w:line="360" w:lineRule="auto"/>
            </w:pPr>
            <w:r>
              <w:t>M&amp;S markets its products through a variety of channels, including advertising, promotions, and social media. The company focuses on building brand awareness and customer loyalty.</w:t>
            </w:r>
          </w:p>
        </w:tc>
      </w:tr>
      <w:tr w:rsidR="00A1056B" w14:paraId="4EF9995F" w14:textId="77777777">
        <w:trPr>
          <w:trHeight w:val="1415"/>
        </w:trPr>
        <w:tc>
          <w:tcPr>
            <w:tcW w:w="170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10903DF" w14:textId="77777777" w:rsidR="00A1056B" w:rsidRDefault="00000000">
            <w:pPr>
              <w:spacing w:before="380" w:after="200" w:line="360" w:lineRule="auto"/>
            </w:pPr>
            <w:r>
              <w:t>Service</w:t>
            </w:r>
          </w:p>
        </w:tc>
        <w:tc>
          <w:tcPr>
            <w:tcW w:w="732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1E66692" w14:textId="77777777" w:rsidR="00A1056B" w:rsidRDefault="00000000">
            <w:pPr>
              <w:spacing w:before="380" w:after="200" w:line="360" w:lineRule="auto"/>
            </w:pPr>
            <w:r>
              <w:t>M&amp;S provides customer service through a variety of channels, including in-store support, online chat, and social media (</w:t>
            </w:r>
            <w:r>
              <w:rPr>
                <w:color w:val="222222"/>
                <w:highlight w:val="white"/>
              </w:rPr>
              <w:t>Clark, Hood, and Birkin, 2021)</w:t>
            </w:r>
            <w:r>
              <w:t>. The company focuses on providing excellent customer service to build customer loyalty.</w:t>
            </w:r>
          </w:p>
        </w:tc>
      </w:tr>
    </w:tbl>
    <w:p w14:paraId="587DC367" w14:textId="77777777" w:rsidR="00A1056B" w:rsidRDefault="00000000">
      <w:pPr>
        <w:spacing w:line="360" w:lineRule="auto"/>
        <w:jc w:val="both"/>
      </w:pPr>
      <w:r>
        <w:tab/>
      </w:r>
    </w:p>
    <w:p w14:paraId="6BBE23DA" w14:textId="77777777" w:rsidR="00A1056B" w:rsidRDefault="00000000">
      <w:pPr>
        <w:pStyle w:val="Heading3"/>
        <w:spacing w:after="200" w:line="360" w:lineRule="auto"/>
        <w:rPr>
          <w:rFonts w:ascii="Times New Roman" w:eastAsia="Times New Roman" w:hAnsi="Times New Roman" w:cs="Times New Roman"/>
        </w:rPr>
      </w:pPr>
      <w:bookmarkStart w:id="12" w:name="_heading=h.lnxbz9" w:colFirst="0" w:colLast="0"/>
      <w:bookmarkEnd w:id="12"/>
      <w:r>
        <w:rPr>
          <w:rFonts w:ascii="Times New Roman" w:eastAsia="Times New Roman" w:hAnsi="Times New Roman" w:cs="Times New Roman"/>
          <w:color w:val="000000"/>
        </w:rPr>
        <w:t>Secondary Activities</w:t>
      </w:r>
    </w:p>
    <w:tbl>
      <w:tblPr>
        <w:tblStyle w:val="Table50"/>
        <w:tblW w:w="9026" w:type="dxa"/>
        <w:tblBorders>
          <w:top w:val="nil"/>
          <w:left w:val="nil"/>
          <w:bottom w:val="nil"/>
          <w:right w:val="nil"/>
          <w:insideH w:val="nil"/>
          <w:insideV w:val="nil"/>
        </w:tblBorders>
        <w:tblLayout w:type="fixed"/>
        <w:tblLook w:val="0600" w:firstRow="0" w:lastRow="0" w:firstColumn="0" w:lastColumn="0" w:noHBand="1" w:noVBand="1"/>
      </w:tblPr>
      <w:tblGrid>
        <w:gridCol w:w="1969"/>
        <w:gridCol w:w="7057"/>
      </w:tblGrid>
      <w:tr w:rsidR="00A1056B" w14:paraId="46D23670" w14:textId="77777777">
        <w:trPr>
          <w:trHeight w:val="1070"/>
        </w:trPr>
        <w:tc>
          <w:tcPr>
            <w:tcW w:w="196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78724F70" w14:textId="77777777" w:rsidR="00A1056B" w:rsidRDefault="00000000">
            <w:pPr>
              <w:spacing w:before="380" w:after="200" w:line="360" w:lineRule="auto"/>
              <w:jc w:val="center"/>
            </w:pPr>
            <w:bookmarkStart w:id="13" w:name="_heading=h.35nkun2" w:colFirst="0" w:colLast="0"/>
            <w:bookmarkEnd w:id="13"/>
            <w:r>
              <w:rPr>
                <w:b/>
              </w:rPr>
              <w:t>Secondary Activities</w:t>
            </w:r>
          </w:p>
        </w:tc>
        <w:tc>
          <w:tcPr>
            <w:tcW w:w="705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545E7598" w14:textId="77777777" w:rsidR="00A1056B" w:rsidRDefault="00000000">
            <w:pPr>
              <w:spacing w:before="380" w:after="200" w:line="360" w:lineRule="auto"/>
              <w:jc w:val="center"/>
            </w:pPr>
            <w:r>
              <w:rPr>
                <w:b/>
              </w:rPr>
              <w:t>Explanation</w:t>
            </w:r>
          </w:p>
        </w:tc>
      </w:tr>
      <w:tr w:rsidR="00A1056B" w14:paraId="2A55D50C" w14:textId="77777777">
        <w:trPr>
          <w:trHeight w:val="1415"/>
        </w:trPr>
        <w:tc>
          <w:tcPr>
            <w:tcW w:w="196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97F47F3" w14:textId="77777777" w:rsidR="00A1056B" w:rsidRDefault="00000000">
            <w:pPr>
              <w:spacing w:before="380" w:after="200" w:line="360" w:lineRule="auto"/>
            </w:pPr>
            <w:r>
              <w:t>Procurement</w:t>
            </w:r>
          </w:p>
        </w:tc>
        <w:tc>
          <w:tcPr>
            <w:tcW w:w="705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2F7DFE9" w14:textId="77777777" w:rsidR="00A1056B" w:rsidRDefault="00000000">
            <w:pPr>
              <w:spacing w:before="380" w:after="200" w:line="360" w:lineRule="auto"/>
            </w:pPr>
            <w:r>
              <w:t>M&amp;S procures raw materials and finished goods from suppliers around the world. The company focuses on sustainability and ethical practices in its procurement process.</w:t>
            </w:r>
          </w:p>
        </w:tc>
      </w:tr>
      <w:tr w:rsidR="00A1056B" w14:paraId="3DDBB5B9" w14:textId="77777777">
        <w:trPr>
          <w:trHeight w:val="1775"/>
        </w:trPr>
        <w:tc>
          <w:tcPr>
            <w:tcW w:w="196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9DAFA50" w14:textId="77777777" w:rsidR="00A1056B" w:rsidRDefault="00000000">
            <w:pPr>
              <w:spacing w:before="380" w:after="200" w:line="360" w:lineRule="auto"/>
            </w:pPr>
            <w:r>
              <w:t>Technology development</w:t>
            </w:r>
          </w:p>
        </w:tc>
        <w:tc>
          <w:tcPr>
            <w:tcW w:w="705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0C19772" w14:textId="77777777" w:rsidR="00A1056B" w:rsidRDefault="00000000">
            <w:pPr>
              <w:spacing w:before="380" w:after="200" w:line="360" w:lineRule="auto"/>
            </w:pPr>
            <w:r>
              <w:t>M&amp;S invests in technology development to improve its products and services, such as its e-commerce platform and in-store technology. The company also focuses on sustainability and innovation in its technology development.</w:t>
            </w:r>
          </w:p>
        </w:tc>
      </w:tr>
      <w:tr w:rsidR="00A1056B" w14:paraId="79601F4F" w14:textId="77777777">
        <w:trPr>
          <w:trHeight w:val="1415"/>
        </w:trPr>
        <w:tc>
          <w:tcPr>
            <w:tcW w:w="196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0D754B9" w14:textId="77777777" w:rsidR="00A1056B" w:rsidRDefault="00000000">
            <w:pPr>
              <w:spacing w:before="380" w:after="200" w:line="360" w:lineRule="auto"/>
            </w:pPr>
            <w:r>
              <w:t>Human resources</w:t>
            </w:r>
          </w:p>
        </w:tc>
        <w:tc>
          <w:tcPr>
            <w:tcW w:w="705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FDA00DE" w14:textId="77777777" w:rsidR="00A1056B" w:rsidRDefault="00000000">
            <w:pPr>
              <w:spacing w:before="380" w:after="200" w:line="360" w:lineRule="auto"/>
            </w:pPr>
            <w:r>
              <w:t>M&amp;S has a large and diverse workforce and focuses on employee development and engagement (Hull and Scott, 2020). The company also focuses on sustainability and ethical practices in its human resources processes.</w:t>
            </w:r>
          </w:p>
        </w:tc>
      </w:tr>
      <w:tr w:rsidR="00A1056B" w14:paraId="6E30CE37" w14:textId="77777777">
        <w:trPr>
          <w:trHeight w:val="1415"/>
        </w:trPr>
        <w:tc>
          <w:tcPr>
            <w:tcW w:w="196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79E11A8" w14:textId="77777777" w:rsidR="00A1056B" w:rsidRDefault="00000000">
            <w:pPr>
              <w:spacing w:before="380" w:after="200" w:line="360" w:lineRule="auto"/>
            </w:pPr>
            <w:r>
              <w:t>Infrastructure</w:t>
            </w:r>
          </w:p>
        </w:tc>
        <w:tc>
          <w:tcPr>
            <w:tcW w:w="705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61852E5" w14:textId="77777777" w:rsidR="00A1056B" w:rsidRDefault="00000000">
            <w:pPr>
              <w:spacing w:before="380" w:after="200" w:line="360" w:lineRule="auto"/>
            </w:pPr>
            <w:r>
              <w:t>M&amp;S has a variety of facilities and infrastructure, including manufacturing plants, warehouses, and retail stores (al Habibi,  2019). The company focuses on efficiency and sustainability in its infrastructure.</w:t>
            </w:r>
          </w:p>
        </w:tc>
      </w:tr>
      <w:tr w:rsidR="00A1056B" w14:paraId="65BDFBB9" w14:textId="77777777">
        <w:trPr>
          <w:trHeight w:val="1415"/>
        </w:trPr>
        <w:tc>
          <w:tcPr>
            <w:tcW w:w="1969"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1640891" w14:textId="77777777" w:rsidR="00A1056B" w:rsidRDefault="00000000">
            <w:pPr>
              <w:spacing w:before="380" w:after="200" w:line="360" w:lineRule="auto"/>
            </w:pPr>
            <w:r>
              <w:t>Firm-level strategy</w:t>
            </w:r>
          </w:p>
        </w:tc>
        <w:tc>
          <w:tcPr>
            <w:tcW w:w="705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5A994CA" w14:textId="77777777" w:rsidR="00A1056B" w:rsidRDefault="00000000">
            <w:pPr>
              <w:spacing w:before="380" w:after="200" w:line="360" w:lineRule="auto"/>
            </w:pPr>
            <w:r>
              <w:t>M&amp;S has a firm-level strategy focused on sustainability, innovation, and customer service (</w:t>
            </w:r>
            <w:r>
              <w:rPr>
                <w:color w:val="222222"/>
                <w:highlight w:val="white"/>
              </w:rPr>
              <w:t xml:space="preserve">Sogn-Grundvåg, </w:t>
            </w:r>
            <w:r>
              <w:rPr>
                <w:i/>
                <w:color w:val="222222"/>
                <w:highlight w:val="white"/>
              </w:rPr>
              <w:t xml:space="preserve">et al., </w:t>
            </w:r>
            <w:r>
              <w:rPr>
                <w:color w:val="222222"/>
                <w:highlight w:val="white"/>
              </w:rPr>
              <w:t>2019)</w:t>
            </w:r>
            <w:r>
              <w:t>. The company aims to differentiate itself from competitors through its focus on these areas.</w:t>
            </w:r>
          </w:p>
        </w:tc>
      </w:tr>
    </w:tbl>
    <w:p w14:paraId="446EC917" w14:textId="77777777" w:rsidR="00A1056B" w:rsidRDefault="00A1056B">
      <w:pPr>
        <w:spacing w:line="360" w:lineRule="auto"/>
        <w:jc w:val="both"/>
      </w:pPr>
    </w:p>
    <w:p w14:paraId="69254BDF" w14:textId="77777777" w:rsidR="00A1056B" w:rsidRDefault="00A1056B">
      <w:pPr>
        <w:spacing w:line="360" w:lineRule="auto"/>
        <w:jc w:val="both"/>
      </w:pPr>
    </w:p>
    <w:p w14:paraId="56DCA604" w14:textId="77777777" w:rsidR="00A1056B" w:rsidRDefault="00000000">
      <w:pPr>
        <w:pStyle w:val="Heading2"/>
        <w:spacing w:after="200"/>
        <w:rPr>
          <w:rFonts w:ascii="Times New Roman" w:eastAsia="Times New Roman" w:hAnsi="Times New Roman" w:cs="Times New Roman"/>
        </w:rPr>
      </w:pPr>
      <w:bookmarkStart w:id="14" w:name="_heading=h.1ksv4uv" w:colFirst="0" w:colLast="0"/>
      <w:bookmarkEnd w:id="14"/>
      <w:r>
        <w:rPr>
          <w:rFonts w:ascii="Times New Roman" w:eastAsia="Times New Roman" w:hAnsi="Times New Roman" w:cs="Times New Roman"/>
          <w:color w:val="000000"/>
        </w:rPr>
        <w:t>VRIO Analysis of Distinctive Resources and Capabilities</w:t>
      </w:r>
    </w:p>
    <w:tbl>
      <w:tblPr>
        <w:tblStyle w:val="Table60"/>
        <w:tblW w:w="9030" w:type="dxa"/>
        <w:tblBorders>
          <w:top w:val="nil"/>
          <w:left w:val="nil"/>
          <w:bottom w:val="nil"/>
          <w:right w:val="nil"/>
          <w:insideH w:val="nil"/>
          <w:insideV w:val="nil"/>
        </w:tblBorders>
        <w:tblLayout w:type="fixed"/>
        <w:tblLook w:val="0600" w:firstRow="0" w:lastRow="0" w:firstColumn="0" w:lastColumn="0" w:noHBand="1" w:noVBand="1"/>
      </w:tblPr>
      <w:tblGrid>
        <w:gridCol w:w="1710"/>
        <w:gridCol w:w="5145"/>
        <w:gridCol w:w="2175"/>
      </w:tblGrid>
      <w:tr w:rsidR="00A1056B" w14:paraId="26A94B2A" w14:textId="77777777">
        <w:trPr>
          <w:trHeight w:val="710"/>
        </w:trPr>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69D9D8E4" w14:textId="77777777" w:rsidR="00A1056B" w:rsidRDefault="00000000">
            <w:pPr>
              <w:spacing w:before="380" w:after="200" w:line="360" w:lineRule="auto"/>
              <w:jc w:val="center"/>
              <w:rPr>
                <w:b/>
              </w:rPr>
            </w:pPr>
            <w:r>
              <w:rPr>
                <w:b/>
              </w:rPr>
              <w:t>Resource/</w:t>
            </w:r>
          </w:p>
          <w:p w14:paraId="6562A32E" w14:textId="77777777" w:rsidR="00A1056B" w:rsidRDefault="00000000">
            <w:pPr>
              <w:spacing w:before="380" w:after="200" w:line="360" w:lineRule="auto"/>
              <w:jc w:val="center"/>
            </w:pPr>
            <w:r>
              <w:rPr>
                <w:b/>
              </w:rPr>
              <w:t>Capability</w:t>
            </w:r>
          </w:p>
        </w:tc>
        <w:tc>
          <w:tcPr>
            <w:tcW w:w="514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141AFB53" w14:textId="77777777" w:rsidR="00A1056B" w:rsidRDefault="00000000">
            <w:pPr>
              <w:spacing w:before="380" w:after="200" w:line="360" w:lineRule="auto"/>
              <w:jc w:val="center"/>
            </w:pPr>
            <w:r>
              <w:rPr>
                <w:b/>
              </w:rPr>
              <w:t>Explanation</w:t>
            </w:r>
          </w:p>
        </w:tc>
        <w:tc>
          <w:tcPr>
            <w:tcW w:w="21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6A2849EF" w14:textId="77777777" w:rsidR="00A1056B" w:rsidRDefault="00000000">
            <w:pPr>
              <w:spacing w:before="380" w:after="200" w:line="360" w:lineRule="auto"/>
              <w:jc w:val="center"/>
            </w:pPr>
            <w:r>
              <w:rPr>
                <w:b/>
              </w:rPr>
              <w:t>VRIO Analysis</w:t>
            </w:r>
          </w:p>
        </w:tc>
      </w:tr>
      <w:tr w:rsidR="00A1056B" w14:paraId="7D765EE8" w14:textId="77777777">
        <w:trPr>
          <w:trHeight w:val="1415"/>
        </w:trPr>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7B54EF8" w14:textId="77777777" w:rsidR="00A1056B" w:rsidRDefault="00000000">
            <w:pPr>
              <w:spacing w:before="380" w:after="200" w:line="360" w:lineRule="auto"/>
            </w:pPr>
            <w:r>
              <w:t>Strong brand reputation</w:t>
            </w:r>
          </w:p>
        </w:tc>
        <w:tc>
          <w:tcPr>
            <w:tcW w:w="514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1A3493A" w14:textId="77777777" w:rsidR="00A1056B" w:rsidRDefault="00000000">
            <w:pPr>
              <w:spacing w:before="380" w:after="200" w:line="360" w:lineRule="auto"/>
            </w:pPr>
            <w:r>
              <w:t>M&amp;S has a strong brand reputation in the UK and globally for high-quality products and sustainability.</w:t>
            </w:r>
          </w:p>
        </w:tc>
        <w:tc>
          <w:tcPr>
            <w:tcW w:w="21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03CF456" w14:textId="77777777" w:rsidR="00A1056B" w:rsidRDefault="00000000">
            <w:pPr>
              <w:spacing w:before="380" w:after="200" w:line="360" w:lineRule="auto"/>
            </w:pPr>
            <w:r>
              <w:t>Valuable, Rare, Inimitable, Organized (VRIO)</w:t>
            </w:r>
          </w:p>
        </w:tc>
      </w:tr>
      <w:tr w:rsidR="00A1056B" w14:paraId="02370809" w14:textId="77777777">
        <w:trPr>
          <w:trHeight w:val="1415"/>
        </w:trPr>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123D80D" w14:textId="77777777" w:rsidR="00A1056B" w:rsidRDefault="00000000">
            <w:pPr>
              <w:spacing w:before="380" w:after="200" w:line="360" w:lineRule="auto"/>
            </w:pPr>
            <w:r>
              <w:t>Extensive supply chain focused on sustainability and ethical practices</w:t>
            </w:r>
          </w:p>
        </w:tc>
        <w:tc>
          <w:tcPr>
            <w:tcW w:w="514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724489C" w14:textId="77777777" w:rsidR="00A1056B" w:rsidRDefault="00000000">
            <w:pPr>
              <w:spacing w:before="380" w:after="200" w:line="360" w:lineRule="auto"/>
            </w:pPr>
            <w:r>
              <w:t>M&amp;S has a complex and extensive supply chain that is focused on sustainability and ethical practices.</w:t>
            </w:r>
          </w:p>
        </w:tc>
        <w:tc>
          <w:tcPr>
            <w:tcW w:w="21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6025300" w14:textId="77777777" w:rsidR="00A1056B" w:rsidRDefault="00000000">
            <w:pPr>
              <w:spacing w:before="380" w:after="200" w:line="360" w:lineRule="auto"/>
            </w:pPr>
            <w:r>
              <w:t>Valuable, Rare, Costly to Imitate, Organized (VRIO)</w:t>
            </w:r>
          </w:p>
        </w:tc>
      </w:tr>
      <w:tr w:rsidR="00A1056B" w14:paraId="3EB5BAF2" w14:textId="77777777">
        <w:trPr>
          <w:trHeight w:val="2135"/>
        </w:trPr>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43BFD5D" w14:textId="77777777" w:rsidR="00A1056B" w:rsidRDefault="00000000">
            <w:pPr>
              <w:spacing w:before="380" w:after="200" w:line="360" w:lineRule="auto"/>
            </w:pPr>
            <w:r>
              <w:t>Focus on product development and innovation, particularly in sustainability and digital technology</w:t>
            </w:r>
          </w:p>
        </w:tc>
        <w:tc>
          <w:tcPr>
            <w:tcW w:w="514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C73A630" w14:textId="77777777" w:rsidR="00A1056B" w:rsidRDefault="00000000">
            <w:pPr>
              <w:spacing w:before="380" w:after="200" w:line="360" w:lineRule="auto"/>
            </w:pPr>
            <w:r>
              <w:t>M&amp;S has a strong focus on product development and innovation, particularly in areas such as sustainability and digital technology (</w:t>
            </w:r>
            <w:r>
              <w:rPr>
                <w:color w:val="222222"/>
                <w:highlight w:val="white"/>
              </w:rPr>
              <w:t xml:space="preserve">Stuart, </w:t>
            </w:r>
            <w:r>
              <w:rPr>
                <w:i/>
                <w:color w:val="222222"/>
                <w:highlight w:val="white"/>
              </w:rPr>
              <w:t>et al.,</w:t>
            </w:r>
            <w:r>
              <w:rPr>
                <w:color w:val="222222"/>
                <w:highlight w:val="white"/>
              </w:rPr>
              <w:t xml:space="preserve"> 2021)</w:t>
            </w:r>
            <w:r>
              <w:t>.</w:t>
            </w:r>
          </w:p>
        </w:tc>
        <w:tc>
          <w:tcPr>
            <w:tcW w:w="21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BBB6244" w14:textId="77777777" w:rsidR="00A1056B" w:rsidRDefault="00000000">
            <w:pPr>
              <w:spacing w:before="380" w:after="200" w:line="360" w:lineRule="auto"/>
            </w:pPr>
            <w:r>
              <w:t>Valuable, Rare, Costly to Imitate, Organized (VRIO)</w:t>
            </w:r>
          </w:p>
        </w:tc>
      </w:tr>
      <w:tr w:rsidR="00A1056B" w14:paraId="048F1C96" w14:textId="77777777">
        <w:trPr>
          <w:trHeight w:val="1415"/>
        </w:trPr>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CD1B380" w14:textId="77777777" w:rsidR="00A1056B" w:rsidRDefault="00000000">
            <w:pPr>
              <w:spacing w:before="380" w:after="200" w:line="360" w:lineRule="auto"/>
            </w:pPr>
            <w:r>
              <w:t>Reputation for excellent customer service</w:t>
            </w:r>
          </w:p>
        </w:tc>
        <w:tc>
          <w:tcPr>
            <w:tcW w:w="514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3E00A51" w14:textId="77777777" w:rsidR="00A1056B" w:rsidRDefault="00000000">
            <w:pPr>
              <w:spacing w:before="380" w:after="200" w:line="360" w:lineRule="auto"/>
            </w:pPr>
            <w:r>
              <w:t>M&amp;S has a reputation for excellent customer service, both in-store and online.</w:t>
            </w:r>
          </w:p>
        </w:tc>
        <w:tc>
          <w:tcPr>
            <w:tcW w:w="21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4F8B6F0" w14:textId="77777777" w:rsidR="00A1056B" w:rsidRDefault="00000000">
            <w:pPr>
              <w:spacing w:before="380" w:after="200" w:line="360" w:lineRule="auto"/>
            </w:pPr>
            <w:r>
              <w:t>Valuable, Rare, Inimitable, Organized (VRIO)</w:t>
            </w:r>
          </w:p>
        </w:tc>
      </w:tr>
      <w:tr w:rsidR="00A1056B" w14:paraId="28DD206E" w14:textId="77777777">
        <w:trPr>
          <w:trHeight w:val="1775"/>
        </w:trPr>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14862AA" w14:textId="77777777" w:rsidR="00A1056B" w:rsidRDefault="00000000">
            <w:pPr>
              <w:spacing w:before="380" w:after="200" w:line="360" w:lineRule="auto"/>
            </w:pPr>
            <w:r>
              <w:t>A large and diverse workforce with a focus on employee development and engagement</w:t>
            </w:r>
          </w:p>
        </w:tc>
        <w:tc>
          <w:tcPr>
            <w:tcW w:w="514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0FDC1C3" w14:textId="77777777" w:rsidR="00A1056B" w:rsidRDefault="00000000">
            <w:pPr>
              <w:spacing w:before="380" w:after="200" w:line="360" w:lineRule="auto"/>
            </w:pPr>
            <w:r>
              <w:t>M&amp;S has a large and diverse workforce, with a focus on employee development and engagement.</w:t>
            </w:r>
          </w:p>
        </w:tc>
        <w:tc>
          <w:tcPr>
            <w:tcW w:w="21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1FF43E9" w14:textId="77777777" w:rsidR="00A1056B" w:rsidRDefault="00000000">
            <w:pPr>
              <w:spacing w:before="380" w:after="200" w:line="360" w:lineRule="auto"/>
            </w:pPr>
            <w:r>
              <w:t>Valuable, Rare, Costly to Imitate, Organized (VRIO)</w:t>
            </w:r>
          </w:p>
        </w:tc>
      </w:tr>
      <w:tr w:rsidR="00A1056B" w14:paraId="75DE2948" w14:textId="77777777">
        <w:trPr>
          <w:trHeight w:val="1775"/>
        </w:trPr>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631ED2F" w14:textId="77777777" w:rsidR="00A1056B" w:rsidRDefault="00000000">
            <w:pPr>
              <w:spacing w:before="380" w:after="200" w:line="360" w:lineRule="auto"/>
            </w:pPr>
            <w:r>
              <w:t>Strong financial position</w:t>
            </w:r>
          </w:p>
        </w:tc>
        <w:tc>
          <w:tcPr>
            <w:tcW w:w="514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464FA05" w14:textId="77777777" w:rsidR="00A1056B" w:rsidRDefault="00000000">
            <w:pPr>
              <w:spacing w:before="380" w:after="200" w:line="360" w:lineRule="auto"/>
            </w:pPr>
            <w:r>
              <w:t>M&amp;S has a strong financial position, with a history of consistent profitability and low debt levels (</w:t>
            </w:r>
            <w:r>
              <w:rPr>
                <w:color w:val="222222"/>
                <w:highlight w:val="white"/>
              </w:rPr>
              <w:t xml:space="preserve">Asche, </w:t>
            </w:r>
            <w:r>
              <w:rPr>
                <w:i/>
                <w:color w:val="222222"/>
                <w:highlight w:val="white"/>
              </w:rPr>
              <w:t xml:space="preserve">et al., </w:t>
            </w:r>
            <w:r>
              <w:rPr>
                <w:color w:val="222222"/>
                <w:highlight w:val="white"/>
              </w:rPr>
              <w:t>2021)</w:t>
            </w:r>
            <w:r>
              <w:t>.</w:t>
            </w:r>
          </w:p>
        </w:tc>
        <w:tc>
          <w:tcPr>
            <w:tcW w:w="217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0D85268" w14:textId="77777777" w:rsidR="00A1056B" w:rsidRDefault="00000000">
            <w:pPr>
              <w:spacing w:before="380" w:after="200" w:line="360" w:lineRule="auto"/>
            </w:pPr>
            <w:r>
              <w:t>Valuable, Rare, Inimitable, Organized (VRIO)</w:t>
            </w:r>
          </w:p>
        </w:tc>
      </w:tr>
    </w:tbl>
    <w:p w14:paraId="66E2B6A0" w14:textId="77777777" w:rsidR="00A1056B" w:rsidRDefault="00000000">
      <w:pPr>
        <w:spacing w:line="360" w:lineRule="auto"/>
        <w:jc w:val="both"/>
      </w:pPr>
      <w:r>
        <w:tab/>
      </w:r>
    </w:p>
    <w:p w14:paraId="2285018D" w14:textId="77777777" w:rsidR="00A1056B" w:rsidRDefault="00000000">
      <w:pPr>
        <w:pStyle w:val="Heading2"/>
        <w:spacing w:after="200"/>
        <w:rPr>
          <w:rFonts w:ascii="Times New Roman" w:eastAsia="Times New Roman" w:hAnsi="Times New Roman" w:cs="Times New Roman"/>
        </w:rPr>
      </w:pPr>
      <w:bookmarkStart w:id="15" w:name="_heading=h.44sinio" w:colFirst="0" w:colLast="0"/>
      <w:bookmarkEnd w:id="15"/>
      <w:r>
        <w:rPr>
          <w:rFonts w:ascii="Times New Roman" w:eastAsia="Times New Roman" w:hAnsi="Times New Roman" w:cs="Times New Roman"/>
          <w:color w:val="000000"/>
        </w:rPr>
        <w:t>SWOT Analysis</w:t>
      </w:r>
    </w:p>
    <w:tbl>
      <w:tblPr>
        <w:tblStyle w:val="Table70"/>
        <w:tblW w:w="9225" w:type="dxa"/>
        <w:tblBorders>
          <w:top w:val="nil"/>
          <w:left w:val="nil"/>
          <w:bottom w:val="nil"/>
          <w:right w:val="nil"/>
          <w:insideH w:val="nil"/>
          <w:insideV w:val="nil"/>
        </w:tblBorders>
        <w:tblLayout w:type="fixed"/>
        <w:tblLook w:val="0600" w:firstRow="0" w:lastRow="0" w:firstColumn="0" w:lastColumn="0" w:noHBand="1" w:noVBand="1"/>
      </w:tblPr>
      <w:tblGrid>
        <w:gridCol w:w="4935"/>
        <w:gridCol w:w="4290"/>
      </w:tblGrid>
      <w:tr w:rsidR="00A1056B" w14:paraId="1065179A" w14:textId="77777777">
        <w:trPr>
          <w:trHeight w:val="710"/>
        </w:trPr>
        <w:tc>
          <w:tcPr>
            <w:tcW w:w="4935"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63994780" w14:textId="77777777" w:rsidR="00A1056B" w:rsidRDefault="00000000">
            <w:pPr>
              <w:spacing w:before="380" w:after="200" w:line="360" w:lineRule="auto"/>
              <w:jc w:val="center"/>
            </w:pPr>
            <w:r>
              <w:rPr>
                <w:b/>
              </w:rPr>
              <w:t>Strengths</w:t>
            </w:r>
          </w:p>
        </w:tc>
        <w:tc>
          <w:tcPr>
            <w:tcW w:w="4290"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0A58EC12" w14:textId="77777777" w:rsidR="00A1056B" w:rsidRDefault="00000000">
            <w:pPr>
              <w:spacing w:before="380" w:after="200" w:line="360" w:lineRule="auto"/>
              <w:jc w:val="center"/>
            </w:pPr>
            <w:r>
              <w:rPr>
                <w:b/>
              </w:rPr>
              <w:t>Weaknesses</w:t>
            </w:r>
          </w:p>
        </w:tc>
      </w:tr>
      <w:tr w:rsidR="00A1056B" w14:paraId="2B088FC1" w14:textId="77777777">
        <w:trPr>
          <w:trHeight w:val="1055"/>
        </w:trPr>
        <w:tc>
          <w:tcPr>
            <w:tcW w:w="4935" w:type="dxa"/>
            <w:vMerge w:val="restart"/>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147371B" w14:textId="77777777" w:rsidR="00A1056B" w:rsidRDefault="00000000">
            <w:pPr>
              <w:spacing w:before="380" w:after="200" w:line="360" w:lineRule="auto"/>
            </w:pPr>
            <w:r>
              <w:t>Strong brand reputation for quality and sustainability</w:t>
            </w:r>
          </w:p>
          <w:p w14:paraId="7419B736" w14:textId="77777777" w:rsidR="00A1056B" w:rsidRDefault="00000000">
            <w:pPr>
              <w:spacing w:before="380" w:after="200" w:line="360" w:lineRule="auto"/>
            </w:pPr>
            <w:r>
              <w:t>Focus on sustainability and ethical practices throughout the supply chain</w:t>
            </w:r>
          </w:p>
          <w:p w14:paraId="1996797F" w14:textId="77777777" w:rsidR="00A1056B" w:rsidRDefault="00000000">
            <w:pPr>
              <w:spacing w:before="380" w:after="200" w:line="360" w:lineRule="auto"/>
            </w:pPr>
            <w:r>
              <w:t>Strong financial position and consistent profitability</w:t>
            </w:r>
          </w:p>
          <w:p w14:paraId="3CBFBFC0" w14:textId="77777777" w:rsidR="00A1056B" w:rsidRDefault="00000000">
            <w:pPr>
              <w:spacing w:before="380" w:after="200" w:line="360" w:lineRule="auto"/>
            </w:pPr>
            <w:r>
              <w:t>Reputation for excellent customer service</w:t>
            </w:r>
          </w:p>
          <w:p w14:paraId="232BEE96" w14:textId="77777777" w:rsidR="00A1056B" w:rsidRDefault="00000000">
            <w:pPr>
              <w:spacing w:before="380" w:after="200" w:line="360" w:lineRule="auto"/>
            </w:pPr>
            <w:r>
              <w:t>Strong focus on product development and innovation</w:t>
            </w:r>
          </w:p>
        </w:tc>
        <w:tc>
          <w:tcPr>
            <w:tcW w:w="4290" w:type="dxa"/>
            <w:vMerge w:val="restart"/>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76CAF0E" w14:textId="77777777" w:rsidR="00A1056B" w:rsidRDefault="00000000">
            <w:pPr>
              <w:spacing w:before="380" w:after="200" w:line="360" w:lineRule="auto"/>
            </w:pPr>
            <w:r>
              <w:t>Reliance on the UK market</w:t>
            </w:r>
          </w:p>
          <w:p w14:paraId="4F849FA0" w14:textId="77777777" w:rsidR="00A1056B" w:rsidRDefault="00000000">
            <w:pPr>
              <w:spacing w:before="380" w:after="200" w:line="360" w:lineRule="auto"/>
            </w:pPr>
            <w:r>
              <w:t>Limited online presence compared to competitors</w:t>
            </w:r>
            <w:r>
              <w:rPr>
                <w:color w:val="222222"/>
                <w:highlight w:val="white"/>
              </w:rPr>
              <w:t>.</w:t>
            </w:r>
          </w:p>
          <w:p w14:paraId="2DEC9A6A" w14:textId="77777777" w:rsidR="00A1056B" w:rsidRDefault="00000000">
            <w:pPr>
              <w:spacing w:before="380" w:after="200" w:line="360" w:lineRule="auto"/>
            </w:pPr>
            <w:r>
              <w:t>Slow to adapt to changing consumer preferences and trends</w:t>
            </w:r>
          </w:p>
          <w:p w14:paraId="68EC8D73" w14:textId="77777777" w:rsidR="00A1056B" w:rsidRDefault="00000000">
            <w:pPr>
              <w:spacing w:before="380" w:after="200" w:line="360" w:lineRule="auto"/>
            </w:pPr>
            <w:r>
              <w:t>Limited product differentiation compared to competitors</w:t>
            </w:r>
          </w:p>
          <w:p w14:paraId="55FB76C7" w14:textId="77777777" w:rsidR="00A1056B" w:rsidRDefault="00000000">
            <w:pPr>
              <w:spacing w:before="380" w:after="200" w:line="360" w:lineRule="auto"/>
              <w:ind w:left="-360"/>
            </w:pPr>
            <w:r>
              <w:t>Higher prices compared to some competitors</w:t>
            </w:r>
          </w:p>
        </w:tc>
      </w:tr>
      <w:tr w:rsidR="00A1056B" w14:paraId="42A3FD79" w14:textId="77777777">
        <w:trPr>
          <w:trHeight w:val="1055"/>
        </w:trPr>
        <w:tc>
          <w:tcPr>
            <w:tcW w:w="4935"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27FA254" w14:textId="77777777" w:rsidR="00A1056B" w:rsidRDefault="00A1056B">
            <w:pPr>
              <w:spacing w:line="360" w:lineRule="auto"/>
            </w:pPr>
          </w:p>
        </w:tc>
        <w:tc>
          <w:tcPr>
            <w:tcW w:w="4290"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583215E" w14:textId="77777777" w:rsidR="00A1056B" w:rsidRDefault="00A1056B">
            <w:pPr>
              <w:spacing w:line="360" w:lineRule="auto"/>
            </w:pPr>
          </w:p>
        </w:tc>
      </w:tr>
      <w:tr w:rsidR="00A1056B" w14:paraId="79136D95" w14:textId="77777777">
        <w:trPr>
          <w:trHeight w:val="1055"/>
        </w:trPr>
        <w:tc>
          <w:tcPr>
            <w:tcW w:w="4935"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83FF223" w14:textId="77777777" w:rsidR="00A1056B" w:rsidRDefault="00A1056B">
            <w:pPr>
              <w:spacing w:line="360" w:lineRule="auto"/>
            </w:pPr>
          </w:p>
        </w:tc>
        <w:tc>
          <w:tcPr>
            <w:tcW w:w="4290"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3838E0C3" w14:textId="77777777" w:rsidR="00A1056B" w:rsidRDefault="00A1056B">
            <w:pPr>
              <w:spacing w:line="360" w:lineRule="auto"/>
            </w:pPr>
          </w:p>
        </w:tc>
      </w:tr>
      <w:tr w:rsidR="00A1056B" w14:paraId="3250DB07" w14:textId="77777777">
        <w:trPr>
          <w:trHeight w:val="1055"/>
        </w:trPr>
        <w:tc>
          <w:tcPr>
            <w:tcW w:w="4935"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95FD7AC" w14:textId="77777777" w:rsidR="00A1056B" w:rsidRDefault="00A1056B">
            <w:pPr>
              <w:spacing w:line="360" w:lineRule="auto"/>
            </w:pPr>
          </w:p>
        </w:tc>
        <w:tc>
          <w:tcPr>
            <w:tcW w:w="4290"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CE1ED13" w14:textId="77777777" w:rsidR="00A1056B" w:rsidRDefault="00A1056B">
            <w:pPr>
              <w:spacing w:line="360" w:lineRule="auto"/>
            </w:pPr>
          </w:p>
        </w:tc>
      </w:tr>
      <w:tr w:rsidR="00A1056B" w14:paraId="559DF991" w14:textId="77777777">
        <w:trPr>
          <w:trHeight w:val="1055"/>
        </w:trPr>
        <w:tc>
          <w:tcPr>
            <w:tcW w:w="4935"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2EF6F63" w14:textId="77777777" w:rsidR="00A1056B" w:rsidRDefault="00A1056B">
            <w:pPr>
              <w:spacing w:line="360" w:lineRule="auto"/>
            </w:pPr>
          </w:p>
        </w:tc>
        <w:tc>
          <w:tcPr>
            <w:tcW w:w="4290"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6910C9F" w14:textId="77777777" w:rsidR="00A1056B" w:rsidRDefault="00A1056B">
            <w:pPr>
              <w:spacing w:line="360" w:lineRule="auto"/>
            </w:pPr>
          </w:p>
        </w:tc>
      </w:tr>
    </w:tbl>
    <w:p w14:paraId="287C064B" w14:textId="77777777" w:rsidR="00A1056B" w:rsidRDefault="00A1056B">
      <w:pPr>
        <w:spacing w:line="360" w:lineRule="auto"/>
        <w:jc w:val="both"/>
      </w:pPr>
    </w:p>
    <w:tbl>
      <w:tblPr>
        <w:tblStyle w:val="Table80"/>
        <w:tblW w:w="9026" w:type="dxa"/>
        <w:tblBorders>
          <w:top w:val="nil"/>
          <w:left w:val="nil"/>
          <w:bottom w:val="nil"/>
          <w:right w:val="nil"/>
          <w:insideH w:val="nil"/>
          <w:insideV w:val="nil"/>
        </w:tblBorders>
        <w:tblLayout w:type="fixed"/>
        <w:tblLook w:val="0600" w:firstRow="0" w:lastRow="0" w:firstColumn="0" w:lastColumn="0" w:noHBand="1" w:noVBand="1"/>
      </w:tblPr>
      <w:tblGrid>
        <w:gridCol w:w="4134"/>
        <w:gridCol w:w="4892"/>
      </w:tblGrid>
      <w:tr w:rsidR="00A1056B" w14:paraId="02031277" w14:textId="77777777">
        <w:trPr>
          <w:trHeight w:val="710"/>
        </w:trPr>
        <w:tc>
          <w:tcPr>
            <w:tcW w:w="413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390A4430" w14:textId="77777777" w:rsidR="00A1056B" w:rsidRDefault="00000000">
            <w:pPr>
              <w:spacing w:before="380" w:after="200" w:line="360" w:lineRule="auto"/>
              <w:jc w:val="center"/>
            </w:pPr>
            <w:r>
              <w:rPr>
                <w:b/>
              </w:rPr>
              <w:t>Opportunities</w:t>
            </w:r>
          </w:p>
        </w:tc>
        <w:tc>
          <w:tcPr>
            <w:tcW w:w="4891"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59E6B037" w14:textId="77777777" w:rsidR="00A1056B" w:rsidRDefault="00000000">
            <w:pPr>
              <w:spacing w:before="380" w:after="200" w:line="360" w:lineRule="auto"/>
              <w:jc w:val="center"/>
            </w:pPr>
            <w:r>
              <w:rPr>
                <w:b/>
              </w:rPr>
              <w:t>Threats</w:t>
            </w:r>
          </w:p>
        </w:tc>
      </w:tr>
      <w:tr w:rsidR="00A1056B" w14:paraId="39E298A1" w14:textId="77777777">
        <w:trPr>
          <w:trHeight w:val="695"/>
        </w:trPr>
        <w:tc>
          <w:tcPr>
            <w:tcW w:w="4134" w:type="dxa"/>
            <w:vMerge w:val="restart"/>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AE80299" w14:textId="77777777" w:rsidR="00A1056B" w:rsidRDefault="00000000">
            <w:pPr>
              <w:spacing w:before="380" w:after="200" w:line="360" w:lineRule="auto"/>
            </w:pPr>
            <w:r>
              <w:t>Expansion into new international markets</w:t>
            </w:r>
          </w:p>
          <w:p w14:paraId="41B8773C" w14:textId="77777777" w:rsidR="00A1056B" w:rsidRDefault="00000000">
            <w:pPr>
              <w:spacing w:before="380" w:after="200" w:line="360" w:lineRule="auto"/>
            </w:pPr>
            <w:r>
              <w:t>Growth of e-commerce and mobile technology</w:t>
            </w:r>
          </w:p>
          <w:p w14:paraId="5CC3067F" w14:textId="77777777" w:rsidR="00A1056B" w:rsidRDefault="00000000">
            <w:pPr>
              <w:spacing w:before="380" w:after="200" w:line="360" w:lineRule="auto"/>
            </w:pPr>
            <w:r>
              <w:t>Increasing consumer demand for sustainable and ethical products</w:t>
            </w:r>
          </w:p>
          <w:p w14:paraId="40DD1DD6" w14:textId="77777777" w:rsidR="00A1056B" w:rsidRDefault="00000000">
            <w:pPr>
              <w:spacing w:before="380" w:after="200" w:line="360" w:lineRule="auto"/>
            </w:pPr>
            <w:r>
              <w:t>Ageing population and changing demographics</w:t>
            </w:r>
          </w:p>
          <w:p w14:paraId="7DCE8390" w14:textId="77777777" w:rsidR="00A1056B" w:rsidRDefault="00000000">
            <w:pPr>
              <w:spacing w:before="380" w:after="200" w:line="360" w:lineRule="auto"/>
            </w:pPr>
            <w:r>
              <w:t>Shifts in consumer preferences towards digital and omnichannel retail</w:t>
            </w:r>
          </w:p>
        </w:tc>
        <w:tc>
          <w:tcPr>
            <w:tcW w:w="4891" w:type="dxa"/>
            <w:vMerge w:val="restart"/>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69A2FEF" w14:textId="77777777" w:rsidR="00A1056B" w:rsidRDefault="00000000">
            <w:pPr>
              <w:spacing w:before="380" w:after="200" w:line="360" w:lineRule="auto"/>
            </w:pPr>
            <w:r>
              <w:t>Increasing competition in the retail industry</w:t>
            </w:r>
          </w:p>
          <w:p w14:paraId="142DD126" w14:textId="77777777" w:rsidR="00A1056B" w:rsidRDefault="00000000">
            <w:pPr>
              <w:spacing w:before="380" w:after="200" w:line="360" w:lineRule="auto"/>
            </w:pPr>
            <w:r>
              <w:t>Economic downturns and fluctuations in consumer spending (</w:t>
            </w:r>
            <w:r>
              <w:rPr>
                <w:color w:val="222222"/>
                <w:highlight w:val="white"/>
              </w:rPr>
              <w:t xml:space="preserve">Moussa, </w:t>
            </w:r>
            <w:r>
              <w:rPr>
                <w:i/>
                <w:color w:val="222222"/>
                <w:highlight w:val="white"/>
              </w:rPr>
              <w:t>et al.,</w:t>
            </w:r>
            <w:r>
              <w:rPr>
                <w:color w:val="222222"/>
                <w:highlight w:val="white"/>
              </w:rPr>
              <w:t xml:space="preserve"> 2022)</w:t>
            </w:r>
          </w:p>
          <w:p w14:paraId="3CBD52E1" w14:textId="77777777" w:rsidR="00A1056B" w:rsidRDefault="00000000">
            <w:pPr>
              <w:spacing w:before="380" w:after="200" w:line="360" w:lineRule="auto"/>
            </w:pPr>
            <w:r>
              <w:t>Potential supply chain disruptions due to climate change or other environmental factors</w:t>
            </w:r>
          </w:p>
          <w:p w14:paraId="462164CB" w14:textId="77777777" w:rsidR="00A1056B" w:rsidRDefault="00000000">
            <w:pPr>
              <w:spacing w:before="380" w:after="200" w:line="360" w:lineRule="auto"/>
            </w:pPr>
            <w:r>
              <w:t>Changes in government policies or regulations that could impact operations</w:t>
            </w:r>
          </w:p>
          <w:p w14:paraId="0A249E89" w14:textId="77777777" w:rsidR="00A1056B" w:rsidRDefault="00000000">
            <w:pPr>
              <w:spacing w:before="380" w:after="200" w:line="360" w:lineRule="auto"/>
            </w:pPr>
            <w:r>
              <w:t>Natural disasters or other unexpected events that could impact operations</w:t>
            </w:r>
          </w:p>
        </w:tc>
      </w:tr>
      <w:tr w:rsidR="00A1056B" w14:paraId="65389283" w14:textId="77777777">
        <w:trPr>
          <w:trHeight w:val="1055"/>
        </w:trPr>
        <w:tc>
          <w:tcPr>
            <w:tcW w:w="4134"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5062E6E" w14:textId="77777777" w:rsidR="00A1056B" w:rsidRDefault="00A1056B">
            <w:pPr>
              <w:spacing w:line="360" w:lineRule="auto"/>
            </w:pPr>
          </w:p>
        </w:tc>
        <w:tc>
          <w:tcPr>
            <w:tcW w:w="4891"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93018EA" w14:textId="77777777" w:rsidR="00A1056B" w:rsidRDefault="00A1056B">
            <w:pPr>
              <w:spacing w:line="360" w:lineRule="auto"/>
            </w:pPr>
          </w:p>
        </w:tc>
      </w:tr>
      <w:tr w:rsidR="00A1056B" w14:paraId="2560A5A3" w14:textId="77777777">
        <w:trPr>
          <w:trHeight w:val="1055"/>
        </w:trPr>
        <w:tc>
          <w:tcPr>
            <w:tcW w:w="4134"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6598CB2" w14:textId="77777777" w:rsidR="00A1056B" w:rsidRDefault="00A1056B">
            <w:pPr>
              <w:spacing w:line="360" w:lineRule="auto"/>
            </w:pPr>
          </w:p>
        </w:tc>
        <w:tc>
          <w:tcPr>
            <w:tcW w:w="4891"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4777216" w14:textId="77777777" w:rsidR="00A1056B" w:rsidRDefault="00A1056B">
            <w:pPr>
              <w:spacing w:line="360" w:lineRule="auto"/>
            </w:pPr>
          </w:p>
        </w:tc>
      </w:tr>
      <w:tr w:rsidR="00A1056B" w14:paraId="2649718C" w14:textId="77777777">
        <w:trPr>
          <w:trHeight w:val="1055"/>
        </w:trPr>
        <w:tc>
          <w:tcPr>
            <w:tcW w:w="4134"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07BF2A92" w14:textId="77777777" w:rsidR="00A1056B" w:rsidRDefault="00A1056B">
            <w:pPr>
              <w:spacing w:line="360" w:lineRule="auto"/>
            </w:pPr>
          </w:p>
        </w:tc>
        <w:tc>
          <w:tcPr>
            <w:tcW w:w="4891"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BD0DA09" w14:textId="77777777" w:rsidR="00A1056B" w:rsidRDefault="00A1056B">
            <w:pPr>
              <w:spacing w:line="360" w:lineRule="auto"/>
            </w:pPr>
          </w:p>
        </w:tc>
      </w:tr>
      <w:tr w:rsidR="00A1056B" w14:paraId="362A16CF" w14:textId="77777777">
        <w:trPr>
          <w:trHeight w:val="1055"/>
        </w:trPr>
        <w:tc>
          <w:tcPr>
            <w:tcW w:w="4134"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A95DF60" w14:textId="77777777" w:rsidR="00A1056B" w:rsidRDefault="00A1056B">
            <w:pPr>
              <w:spacing w:line="360" w:lineRule="auto"/>
            </w:pPr>
          </w:p>
        </w:tc>
        <w:tc>
          <w:tcPr>
            <w:tcW w:w="4891" w:type="dxa"/>
            <w:vMerge/>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2A745B6" w14:textId="77777777" w:rsidR="00A1056B" w:rsidRDefault="00A1056B">
            <w:pPr>
              <w:spacing w:line="360" w:lineRule="auto"/>
            </w:pPr>
          </w:p>
        </w:tc>
      </w:tr>
    </w:tbl>
    <w:p w14:paraId="07B9C5D0" w14:textId="77777777" w:rsidR="00A1056B" w:rsidRDefault="00A1056B">
      <w:pPr>
        <w:spacing w:line="360" w:lineRule="auto"/>
        <w:jc w:val="both"/>
      </w:pPr>
    </w:p>
    <w:p w14:paraId="7CE68264" w14:textId="77777777" w:rsidR="00A1056B" w:rsidRDefault="00000000">
      <w:pPr>
        <w:spacing w:line="360" w:lineRule="auto"/>
        <w:jc w:val="both"/>
      </w:pPr>
      <w:r>
        <w:t>The strengths section of the table highlights M&amp;S's many advantages, such as the company's excellent financial standing and consistent profitability, its stellar reputation for excellent customer service, and its dedication to both product development and innovation (</w:t>
      </w:r>
      <w:r>
        <w:rPr>
          <w:color w:val="222222"/>
          <w:highlight w:val="white"/>
        </w:rPr>
        <w:t>Parsons, 2022)</w:t>
      </w:r>
      <w:r>
        <w:t>. Weaknesses listed in the table include M&amp;S's dependence on the UK market, its lacklustre online presence in comparison to competitors, its reluctance to respond quickly to changes in customer tastes and preferences, its inability to differentiate its products from those of its rivals, and its relatively higher costs. Expansion into new international markets, advances in e-commerce and mobile technology, rising consumer interest in environmentally friendly and ethically made goods, an ageing population, shifting demographics, and a general trend towards online and omnichannel shopping are all listed in the table as potential advantages (</w:t>
      </w:r>
      <w:r>
        <w:rPr>
          <w:color w:val="222222"/>
          <w:highlight w:val="white"/>
        </w:rPr>
        <w:t>Eccles, Krzus, and Solano, 2019)</w:t>
      </w:r>
      <w:r>
        <w:t>. Increased retail competition, economic downturns, consumer spending swings, supply chain disruptions from climate change or other environmental factors, changes in government policies or regulations, and natural disasters or other unexpected events are all listed in the table under the "threats" column (</w:t>
      </w:r>
      <w:r>
        <w:rPr>
          <w:color w:val="222222"/>
          <w:highlight w:val="white"/>
        </w:rPr>
        <w:t xml:space="preserve">Raybould, </w:t>
      </w:r>
      <w:r>
        <w:rPr>
          <w:i/>
          <w:color w:val="222222"/>
          <w:highlight w:val="white"/>
        </w:rPr>
        <w:t xml:space="preserve">et al., </w:t>
      </w:r>
      <w:r>
        <w:rPr>
          <w:color w:val="222222"/>
          <w:highlight w:val="white"/>
        </w:rPr>
        <w:t>2020)</w:t>
      </w:r>
      <w:r>
        <w:t>.In sum, the SWOT analysis aids M&amp;S in identifying its internal strengths and weaknesses as well as external opportunities and threats, allowing it to better capitalise on its strengths and mitigate its shortcomings.</w:t>
      </w:r>
    </w:p>
    <w:p w14:paraId="3225419F" w14:textId="77777777" w:rsidR="00A1056B" w:rsidRDefault="00000000">
      <w:pPr>
        <w:pStyle w:val="Heading1"/>
        <w:spacing w:after="200" w:line="360" w:lineRule="auto"/>
        <w:rPr>
          <w:rFonts w:ascii="Times New Roman" w:eastAsia="Times New Roman" w:hAnsi="Times New Roman"/>
        </w:rPr>
      </w:pPr>
      <w:bookmarkStart w:id="16" w:name="_heading=h.2jxsxqh" w:colFirst="0" w:colLast="0"/>
      <w:bookmarkEnd w:id="16"/>
      <w:r>
        <w:rPr>
          <w:rFonts w:ascii="Times New Roman" w:eastAsia="Times New Roman" w:hAnsi="Times New Roman"/>
          <w:color w:val="000000"/>
        </w:rPr>
        <w:t>Strategies to Sustain Competitive Advantage</w:t>
      </w:r>
    </w:p>
    <w:tbl>
      <w:tblPr>
        <w:tblStyle w:val="Table90"/>
        <w:tblW w:w="9026" w:type="dxa"/>
        <w:tblBorders>
          <w:top w:val="nil"/>
          <w:left w:val="nil"/>
          <w:bottom w:val="nil"/>
          <w:right w:val="nil"/>
          <w:insideH w:val="nil"/>
          <w:insideV w:val="nil"/>
        </w:tblBorders>
        <w:tblLayout w:type="fixed"/>
        <w:tblLook w:val="0600" w:firstRow="0" w:lastRow="0" w:firstColumn="0" w:lastColumn="0" w:noHBand="1" w:noVBand="1"/>
      </w:tblPr>
      <w:tblGrid>
        <w:gridCol w:w="1723"/>
        <w:gridCol w:w="3508"/>
        <w:gridCol w:w="3795"/>
      </w:tblGrid>
      <w:tr w:rsidR="00A1056B" w14:paraId="36EF5E8B" w14:textId="77777777">
        <w:trPr>
          <w:trHeight w:val="1070"/>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5A533E03" w14:textId="77777777" w:rsidR="00A1056B" w:rsidRDefault="00000000">
            <w:pPr>
              <w:spacing w:before="380" w:after="200" w:line="360" w:lineRule="auto"/>
              <w:jc w:val="center"/>
            </w:pPr>
            <w:r>
              <w:rPr>
                <w:b/>
              </w:rPr>
              <w:t>Generic Strategy</w:t>
            </w:r>
          </w:p>
        </w:tc>
        <w:tc>
          <w:tcPr>
            <w:tcW w:w="35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467EDD58" w14:textId="77777777" w:rsidR="00A1056B" w:rsidRDefault="00000000">
            <w:pPr>
              <w:spacing w:before="380" w:after="200" w:line="360" w:lineRule="auto"/>
              <w:jc w:val="center"/>
            </w:pPr>
            <w:r>
              <w:rPr>
                <w:b/>
              </w:rPr>
              <w:t>Explanation</w:t>
            </w:r>
          </w:p>
        </w:tc>
        <w:tc>
          <w:tcPr>
            <w:tcW w:w="379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0BFE5429" w14:textId="77777777" w:rsidR="00A1056B" w:rsidRDefault="00000000">
            <w:pPr>
              <w:spacing w:before="380" w:after="200" w:line="360" w:lineRule="auto"/>
              <w:jc w:val="center"/>
            </w:pPr>
            <w:r>
              <w:rPr>
                <w:b/>
              </w:rPr>
              <w:t>Impact on M&amp;S</w:t>
            </w:r>
          </w:p>
        </w:tc>
      </w:tr>
      <w:tr w:rsidR="00A1056B" w14:paraId="2B815709" w14:textId="77777777">
        <w:trPr>
          <w:trHeight w:val="321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80AD670" w14:textId="77777777" w:rsidR="00A1056B" w:rsidRDefault="00000000">
            <w:pPr>
              <w:spacing w:before="380" w:after="200" w:line="360" w:lineRule="auto"/>
            </w:pPr>
            <w:r>
              <w:t>Cost Leadership</w:t>
            </w:r>
          </w:p>
        </w:tc>
        <w:tc>
          <w:tcPr>
            <w:tcW w:w="35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2D1354A" w14:textId="77777777" w:rsidR="00A1056B" w:rsidRDefault="00000000">
            <w:pPr>
              <w:spacing w:before="380" w:after="200" w:line="360" w:lineRule="auto"/>
            </w:pPr>
            <w:r>
              <w:t>M&amp;S can focus on cost leadership by reducing costs throughout its supply chain and operations to offer products at a lower price point than its competitors (Ng and Yee, 2020). This can help to attract price-sensitive customers and increase market share.</w:t>
            </w:r>
          </w:p>
        </w:tc>
        <w:tc>
          <w:tcPr>
            <w:tcW w:w="379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EF65756" w14:textId="77777777" w:rsidR="00A1056B" w:rsidRDefault="00000000">
            <w:pPr>
              <w:spacing w:before="380" w:after="200" w:line="360" w:lineRule="auto"/>
            </w:pPr>
            <w:r>
              <w:t>This strategy could help M&amp;S to compete with discount retailers and budget fashion brands. However, it could also require significant investment in cost-cutting measures and could impact product quality or brand reputation.</w:t>
            </w:r>
          </w:p>
        </w:tc>
      </w:tr>
      <w:tr w:rsidR="00A1056B" w14:paraId="57B1E3AD" w14:textId="77777777">
        <w:trPr>
          <w:trHeight w:val="321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BF4B11D" w14:textId="77777777" w:rsidR="00A1056B" w:rsidRDefault="00000000">
            <w:pPr>
              <w:spacing w:before="380" w:after="200" w:line="360" w:lineRule="auto"/>
            </w:pPr>
            <w:r>
              <w:t>Differentiation</w:t>
            </w:r>
          </w:p>
        </w:tc>
        <w:tc>
          <w:tcPr>
            <w:tcW w:w="35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53B6BE5" w14:textId="77777777" w:rsidR="00A1056B" w:rsidRDefault="00000000">
            <w:pPr>
              <w:spacing w:before="380" w:after="200" w:line="360" w:lineRule="auto"/>
            </w:pPr>
            <w:r>
              <w:t>M&amp;S can focus on differentiation by developing unique and high-quality products and services that stand out from its competitors. This can help to build brand loyalty and attract customers who are willing to pay a premium for high-quality products (</w:t>
            </w:r>
            <w:r>
              <w:rPr>
                <w:color w:val="222222"/>
                <w:highlight w:val="white"/>
              </w:rPr>
              <w:t>Hull, and Scott, 2020)</w:t>
            </w:r>
            <w:r>
              <w:t>.</w:t>
            </w:r>
          </w:p>
        </w:tc>
        <w:tc>
          <w:tcPr>
            <w:tcW w:w="379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3A6F92C" w14:textId="77777777" w:rsidR="00A1056B" w:rsidRDefault="00000000">
            <w:pPr>
              <w:spacing w:before="380" w:after="200" w:line="360" w:lineRule="auto"/>
            </w:pPr>
            <w:r>
              <w:t>This strategy aligns with M&amp;S's focus on sustainability, product innovation, and customer service. It could help to differentiate M&amp;S from competitors and attract a loyal customer base (</w:t>
            </w:r>
            <w:r>
              <w:rPr>
                <w:color w:val="222222"/>
                <w:highlight w:val="white"/>
              </w:rPr>
              <w:t xml:space="preserve">Zhang, </w:t>
            </w:r>
            <w:r>
              <w:rPr>
                <w:i/>
                <w:color w:val="222222"/>
                <w:highlight w:val="white"/>
              </w:rPr>
              <w:t xml:space="preserve">et al., </w:t>
            </w:r>
            <w:r>
              <w:rPr>
                <w:color w:val="222222"/>
                <w:highlight w:val="white"/>
              </w:rPr>
              <w:t>2021)</w:t>
            </w:r>
            <w:r>
              <w:t>. However, it could also require significant investment in product development and marketing.</w:t>
            </w:r>
          </w:p>
        </w:tc>
      </w:tr>
      <w:tr w:rsidR="00A1056B" w14:paraId="41ED5076" w14:textId="77777777">
        <w:trPr>
          <w:trHeight w:val="3215"/>
        </w:trPr>
        <w:tc>
          <w:tcPr>
            <w:tcW w:w="172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E7843C1" w14:textId="77777777" w:rsidR="00A1056B" w:rsidRDefault="00000000">
            <w:pPr>
              <w:spacing w:before="380" w:after="200" w:line="360" w:lineRule="auto"/>
            </w:pPr>
            <w:r>
              <w:t>Focus</w:t>
            </w:r>
          </w:p>
        </w:tc>
        <w:tc>
          <w:tcPr>
            <w:tcW w:w="3507"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6CC3022" w14:textId="77777777" w:rsidR="00A1056B" w:rsidRDefault="00000000">
            <w:pPr>
              <w:spacing w:before="380" w:after="200" w:line="360" w:lineRule="auto"/>
            </w:pPr>
            <w:r>
              <w:t>M&amp;S can focus on a specific customer segment or niche market to offer products and services tailored to their needs. This can help to build brand loyalty and attract customers who are seeking specialized products or services.</w:t>
            </w:r>
          </w:p>
        </w:tc>
        <w:tc>
          <w:tcPr>
            <w:tcW w:w="3794"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225F6D35" w14:textId="77777777" w:rsidR="00A1056B" w:rsidRDefault="00000000">
            <w:pPr>
              <w:spacing w:before="380" w:after="200" w:line="360" w:lineRule="auto"/>
            </w:pPr>
            <w:r>
              <w:t>This strategy could help M&amp;S to compete with niche retailers and speciality stores. It aligns with M&amp;S's focus on sustainability and customer service. However, it could also limit M&amp;S's potential customer base and could require significant investment in product development and marketing.</w:t>
            </w:r>
          </w:p>
        </w:tc>
      </w:tr>
    </w:tbl>
    <w:p w14:paraId="4834A046" w14:textId="77777777" w:rsidR="00A1056B" w:rsidRDefault="00A1056B">
      <w:pPr>
        <w:spacing w:line="360" w:lineRule="auto"/>
        <w:jc w:val="both"/>
      </w:pPr>
    </w:p>
    <w:p w14:paraId="25F57C5E" w14:textId="77777777" w:rsidR="00A1056B" w:rsidRDefault="00000000">
      <w:pPr>
        <w:pStyle w:val="Heading1"/>
        <w:spacing w:after="200" w:line="360" w:lineRule="auto"/>
        <w:rPr>
          <w:rFonts w:ascii="Times New Roman" w:eastAsia="Times New Roman" w:hAnsi="Times New Roman"/>
        </w:rPr>
      </w:pPr>
      <w:bookmarkStart w:id="17" w:name="_heading=h.z337ya" w:colFirst="0" w:colLast="0"/>
      <w:bookmarkEnd w:id="17"/>
      <w:r>
        <w:rPr>
          <w:rFonts w:ascii="Times New Roman" w:eastAsia="Times New Roman" w:hAnsi="Times New Roman"/>
          <w:color w:val="000000"/>
        </w:rPr>
        <w:t>Growth Strategies</w:t>
      </w:r>
    </w:p>
    <w:tbl>
      <w:tblPr>
        <w:tblStyle w:val="Table1000"/>
        <w:tblW w:w="9026" w:type="dxa"/>
        <w:tblBorders>
          <w:top w:val="nil"/>
          <w:left w:val="nil"/>
          <w:bottom w:val="nil"/>
          <w:right w:val="nil"/>
          <w:insideH w:val="nil"/>
          <w:insideV w:val="nil"/>
        </w:tblBorders>
        <w:tblLayout w:type="fixed"/>
        <w:tblLook w:val="0600" w:firstRow="0" w:lastRow="0" w:firstColumn="0" w:lastColumn="0" w:noHBand="1" w:noVBand="1"/>
      </w:tblPr>
      <w:tblGrid>
        <w:gridCol w:w="1762"/>
        <w:gridCol w:w="3287"/>
        <w:gridCol w:w="3977"/>
      </w:tblGrid>
      <w:tr w:rsidR="00A1056B" w14:paraId="2690A620" w14:textId="77777777">
        <w:trPr>
          <w:trHeight w:val="1070"/>
        </w:trPr>
        <w:tc>
          <w:tcPr>
            <w:tcW w:w="176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55B0DAF1" w14:textId="77777777" w:rsidR="00A1056B" w:rsidRDefault="00000000">
            <w:pPr>
              <w:spacing w:before="380" w:after="200" w:line="360" w:lineRule="auto"/>
              <w:jc w:val="center"/>
            </w:pPr>
            <w:r>
              <w:rPr>
                <w:b/>
              </w:rPr>
              <w:t>Ansoff Matrix Strategy</w:t>
            </w:r>
          </w:p>
        </w:tc>
        <w:tc>
          <w:tcPr>
            <w:tcW w:w="328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7CCC439C" w14:textId="77777777" w:rsidR="00A1056B" w:rsidRDefault="00000000">
            <w:pPr>
              <w:spacing w:before="380" w:after="200" w:line="360" w:lineRule="auto"/>
              <w:jc w:val="center"/>
            </w:pPr>
            <w:r>
              <w:rPr>
                <w:b/>
              </w:rPr>
              <w:t>Explanation</w:t>
            </w:r>
          </w:p>
        </w:tc>
        <w:tc>
          <w:tcPr>
            <w:tcW w:w="397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bottom"/>
          </w:tcPr>
          <w:p w14:paraId="434AC5BC" w14:textId="77777777" w:rsidR="00A1056B" w:rsidRDefault="00000000">
            <w:pPr>
              <w:spacing w:before="380" w:after="200" w:line="360" w:lineRule="auto"/>
              <w:jc w:val="center"/>
            </w:pPr>
            <w:r>
              <w:rPr>
                <w:b/>
              </w:rPr>
              <w:t>Impact on M&amp;S</w:t>
            </w:r>
          </w:p>
        </w:tc>
      </w:tr>
      <w:tr w:rsidR="00A1056B" w14:paraId="34B70912" w14:textId="77777777">
        <w:trPr>
          <w:trHeight w:val="3575"/>
        </w:trPr>
        <w:tc>
          <w:tcPr>
            <w:tcW w:w="176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641D186" w14:textId="77777777" w:rsidR="00A1056B" w:rsidRDefault="00000000">
            <w:pPr>
              <w:spacing w:before="380" w:after="200" w:line="360" w:lineRule="auto"/>
            </w:pPr>
            <w:r>
              <w:t>Market Penetration</w:t>
            </w:r>
          </w:p>
        </w:tc>
        <w:tc>
          <w:tcPr>
            <w:tcW w:w="328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60FC87C" w14:textId="77777777" w:rsidR="00A1056B" w:rsidRDefault="00000000">
            <w:pPr>
              <w:spacing w:before="380" w:after="200" w:line="360" w:lineRule="auto"/>
            </w:pPr>
            <w:r>
              <w:t>M&amp;S can focus on market penetration by increasing sales of its existing products in its current markets. This can be achieved by increasing marketing and advertising efforts, improving customer service, and offering promotions or discounts (</w:t>
            </w:r>
            <w:r>
              <w:rPr>
                <w:color w:val="222222"/>
                <w:highlight w:val="white"/>
              </w:rPr>
              <w:t>Leavy, and McKiernan, 2020).</w:t>
            </w:r>
          </w:p>
        </w:tc>
        <w:tc>
          <w:tcPr>
            <w:tcW w:w="397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68B2FD6" w14:textId="77777777" w:rsidR="00A1056B" w:rsidRDefault="00000000">
            <w:pPr>
              <w:spacing w:before="380" w:after="200" w:line="360" w:lineRule="auto"/>
            </w:pPr>
            <w:r>
              <w:t>This strategy could help M&amp;S to increase its market share and customer base and improve profitability without requiring significant investment. However, it could also require significant marketing and advertising spending and could impact profit margins if discounts or promotions are offered.</w:t>
            </w:r>
          </w:p>
        </w:tc>
      </w:tr>
      <w:tr w:rsidR="00A1056B" w14:paraId="7F40C0F2" w14:textId="77777777">
        <w:trPr>
          <w:trHeight w:val="2855"/>
        </w:trPr>
        <w:tc>
          <w:tcPr>
            <w:tcW w:w="176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CE3D9B1" w14:textId="77777777" w:rsidR="00A1056B" w:rsidRDefault="00000000">
            <w:pPr>
              <w:spacing w:before="380" w:after="200" w:line="360" w:lineRule="auto"/>
            </w:pPr>
            <w:r>
              <w:t>Market Development</w:t>
            </w:r>
          </w:p>
        </w:tc>
        <w:tc>
          <w:tcPr>
            <w:tcW w:w="328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C23598D" w14:textId="77777777" w:rsidR="00A1056B" w:rsidRDefault="00000000">
            <w:pPr>
              <w:spacing w:before="380" w:after="200" w:line="360" w:lineRule="auto"/>
            </w:pPr>
            <w:r>
              <w:t>M&amp;S can focus on market development by entering new markets with its existing products. This can be achieved by expanding geographically or targeting new customer segments.</w:t>
            </w:r>
          </w:p>
        </w:tc>
        <w:tc>
          <w:tcPr>
            <w:tcW w:w="397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32F78F8" w14:textId="77777777" w:rsidR="00A1056B" w:rsidRDefault="00000000">
            <w:pPr>
              <w:spacing w:before="380" w:after="200" w:line="360" w:lineRule="auto"/>
            </w:pPr>
            <w:r>
              <w:t>This strategy could help M&amp;S to diversify its revenue streams and increase its customer base. However, it could also require significant investment in research and development, marketing, and supply chain management to enter new markets successfully.</w:t>
            </w:r>
          </w:p>
        </w:tc>
      </w:tr>
      <w:tr w:rsidR="00A1056B" w14:paraId="1C25F812" w14:textId="77777777">
        <w:trPr>
          <w:trHeight w:val="3215"/>
        </w:trPr>
        <w:tc>
          <w:tcPr>
            <w:tcW w:w="176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236F1AE" w14:textId="77777777" w:rsidR="00A1056B" w:rsidRDefault="00000000">
            <w:pPr>
              <w:spacing w:before="380" w:after="200" w:line="360" w:lineRule="auto"/>
            </w:pPr>
            <w:r>
              <w:t>Product Development</w:t>
            </w:r>
          </w:p>
        </w:tc>
        <w:tc>
          <w:tcPr>
            <w:tcW w:w="328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40E2A476" w14:textId="77777777" w:rsidR="00A1056B" w:rsidRDefault="00000000">
            <w:pPr>
              <w:spacing w:before="380" w:after="200" w:line="360" w:lineRule="auto"/>
            </w:pPr>
            <w:r>
              <w:t>M&amp;S can focus on product development by introducing new or improved products to its existing markets (Jones and Comfort,  2019). This can be achieved by investing in research and development to improve product quality, design, or functionality.</w:t>
            </w:r>
          </w:p>
        </w:tc>
        <w:tc>
          <w:tcPr>
            <w:tcW w:w="397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51CC0D45" w14:textId="77777777" w:rsidR="00A1056B" w:rsidRDefault="00000000">
            <w:pPr>
              <w:spacing w:before="380" w:after="200" w:line="360" w:lineRule="auto"/>
            </w:pPr>
            <w:r>
              <w:t>This strategy could help M&amp;S to differentiate itself from competitors, improve customer loyalty, and increase market share. However, it could also require significant investment in research and development, marketing, and supply chain management to develop and launch new products successfully.</w:t>
            </w:r>
          </w:p>
        </w:tc>
      </w:tr>
      <w:tr w:rsidR="00A1056B" w14:paraId="32295D96" w14:textId="77777777">
        <w:trPr>
          <w:trHeight w:val="3575"/>
        </w:trPr>
        <w:tc>
          <w:tcPr>
            <w:tcW w:w="176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77AA8282" w14:textId="77777777" w:rsidR="00A1056B" w:rsidRDefault="00000000">
            <w:pPr>
              <w:spacing w:before="380" w:after="200" w:line="360" w:lineRule="auto"/>
            </w:pPr>
            <w:r>
              <w:t>Diversification</w:t>
            </w:r>
          </w:p>
        </w:tc>
        <w:tc>
          <w:tcPr>
            <w:tcW w:w="328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635DA95D" w14:textId="77777777" w:rsidR="00A1056B" w:rsidRDefault="00000000">
            <w:pPr>
              <w:spacing w:before="380" w:after="200" w:line="360" w:lineRule="auto"/>
            </w:pPr>
            <w:r>
              <w:t>M&amp;S can focus on diversification by entering new markets with new products or services (Jones,  2023). This can be achieved by investing in research and development or acquiring new companies to expand its product offerings.</w:t>
            </w:r>
          </w:p>
        </w:tc>
        <w:tc>
          <w:tcPr>
            <w:tcW w:w="3976"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vAlign w:val="center"/>
          </w:tcPr>
          <w:p w14:paraId="1B37439B" w14:textId="77777777" w:rsidR="00A1056B" w:rsidRDefault="00000000">
            <w:pPr>
              <w:spacing w:before="380" w:after="200" w:line="360" w:lineRule="auto"/>
            </w:pPr>
            <w:r>
              <w:t>This strategy could help M&amp;S to diversify its revenue streams, reduce its reliance on its current markets and products, and increase its customer base (Schleper et al., 2021). However, it could also require significant investment in research and development, marketing, and supply chain management to enter new markets and develop new products or services successfully.</w:t>
            </w:r>
          </w:p>
        </w:tc>
      </w:tr>
    </w:tbl>
    <w:p w14:paraId="77F819E2" w14:textId="77777777" w:rsidR="00A1056B" w:rsidRDefault="00A1056B">
      <w:pPr>
        <w:spacing w:line="360" w:lineRule="auto"/>
        <w:jc w:val="both"/>
      </w:pPr>
    </w:p>
    <w:p w14:paraId="0405DD81" w14:textId="77777777" w:rsidR="00A1056B" w:rsidRDefault="00000000">
      <w:pPr>
        <w:pStyle w:val="Heading1"/>
        <w:spacing w:after="200" w:line="360" w:lineRule="auto"/>
        <w:rPr>
          <w:rFonts w:ascii="Times New Roman" w:eastAsia="Times New Roman" w:hAnsi="Times New Roman"/>
          <w:color w:val="000000"/>
        </w:rPr>
      </w:pPr>
      <w:bookmarkStart w:id="18" w:name="_heading=h.3j2qqm3" w:colFirst="0" w:colLast="0"/>
      <w:bookmarkEnd w:id="18"/>
      <w:r>
        <w:rPr>
          <w:rFonts w:ascii="Times New Roman" w:eastAsia="Times New Roman" w:hAnsi="Times New Roman"/>
          <w:color w:val="000000"/>
        </w:rPr>
        <w:t>Green Strategy and CSR</w:t>
      </w:r>
    </w:p>
    <w:p w14:paraId="700F4EA4" w14:textId="77777777" w:rsidR="00A1056B" w:rsidRDefault="00000000">
      <w:pPr>
        <w:spacing w:line="360" w:lineRule="auto"/>
        <w:jc w:val="both"/>
      </w:pPr>
      <w:r>
        <w:t>Sustainability and corporate social responsibility (CSR) at Marks &amp; Spencer (M&amp;S) are significant parts of the company's overall business plan. To lessen its impact on the planet and boost its social standing, M&amp;S has implemented a number of green policies and CSR projects. Some of M&amp;S's most important projects include:</w:t>
      </w:r>
    </w:p>
    <w:p w14:paraId="1648CCF0" w14:textId="77777777" w:rsidR="00A1056B" w:rsidRDefault="00000000">
      <w:pPr>
        <w:spacing w:line="360" w:lineRule="auto"/>
        <w:jc w:val="both"/>
      </w:pPr>
      <w:r>
        <w:t xml:space="preserve">With the announcement of Plan A in 2007, M&amp;S set out to become the most sustainable big retailer in the world (Bridger, 2022). Reducing carbon emissions, using sustainable materials, and encouraging responsible supply chain practices are just a few of the 100 social and environmental pledges included in Plan A. M&amp;S has come a long way in fulfilling these promises, which include being carbon neutral and only using cotton from sustainable sources. Sustainable Sourcing: In an effort to lessen its ecological footprint and promote ethical and equitable working conditions, M&amp;S has adopted sustainable sourcing practices. The business uses animal welfare standards across its supply chain and uses sustainable palm oil, soy, and seafood. M&amp;S has developed waste reduction measures to lessen its negative effects on the environment and advance the cause of a circular economy (Akbari and McClelland,  2020). For instance, they have phased out single-use plastic and implemented a closed-loop recycling system for their plastic packaging. M&amp;S actively participates in local communities to foster positive social results and advance sustainable business policies. </w:t>
      </w:r>
    </w:p>
    <w:p w14:paraId="01EAC146" w14:textId="77777777" w:rsidR="00A1056B" w:rsidRDefault="00000000">
      <w:pPr>
        <w:spacing w:line="360" w:lineRule="auto"/>
        <w:jc w:val="both"/>
      </w:pPr>
      <w:r>
        <w:t>The firm has teamed with local food banks to give excess food, and it has also established community energy initiatives like solar panel installations. Fair and respectful treatment of employees is a top priority for M&amp;S, thus the company has instituted ethical labour practises across its entire supply chain. The firm has adopted a variety of steps to protect the rights of its workforce, including the payment of living wages, maintenance of a safe working environment, and provision of opportunities for professional growth (</w:t>
      </w:r>
      <w:r>
        <w:rPr>
          <w:color w:val="222222"/>
          <w:highlight w:val="white"/>
        </w:rPr>
        <w:t>Saurwein, and Spencer-Smith, 2020)</w:t>
      </w:r>
      <w:r>
        <w:t xml:space="preserve">. To lessen its influence on the environment and advance sustainable building practices, M&amp;S has adopted "green building" policies. The company has introduced energy-efficient lighting, heating, and cooling systems in its stores and has implemented sustainable building materials and design features. The company's operations and reputation have benefited greatly from these green methods and CSR activities (Rani and Saha,  2021). Numerous honours and recognitions have been bestowed upon the firm for its pioneering efforts in the field of sustainability. In addition, these actions have helped bring in and keep consumers that care deeply about environmental and social responsibility. Finally, M&amp;S's green strategy and CSR activities demonstrate the company's dedication to ethical business practices and the environment. </w:t>
      </w:r>
    </w:p>
    <w:p w14:paraId="260542BE" w14:textId="77777777" w:rsidR="00A1056B" w:rsidRDefault="00000000">
      <w:pPr>
        <w:spacing w:line="360" w:lineRule="auto"/>
        <w:jc w:val="both"/>
      </w:pPr>
      <w:r>
        <w:t>The company's bottom line, society at large, and the environment have all benefited from these efforts. Customers and other stakeholders are increasingly demanding responsible business practices, therefore M&amp;S's emphasis on sustainability and CSR is expected to become even more essential in the future.</w:t>
      </w:r>
    </w:p>
    <w:p w14:paraId="32DE423A" w14:textId="77777777" w:rsidR="00A1056B" w:rsidRDefault="00A1056B">
      <w:pPr>
        <w:pStyle w:val="Heading1"/>
        <w:spacing w:after="200" w:line="360" w:lineRule="auto"/>
        <w:rPr>
          <w:rFonts w:ascii="Times New Roman" w:eastAsia="Times New Roman" w:hAnsi="Times New Roman"/>
          <w:color w:val="000000"/>
        </w:rPr>
      </w:pPr>
      <w:bookmarkStart w:id="19" w:name="_heading=h.q2lylf6n4c4x" w:colFirst="0" w:colLast="0"/>
      <w:bookmarkEnd w:id="19"/>
    </w:p>
    <w:p w14:paraId="139F7554" w14:textId="77777777" w:rsidR="00A1056B" w:rsidRDefault="00000000">
      <w:pPr>
        <w:pStyle w:val="Heading1"/>
        <w:spacing w:after="200" w:line="360" w:lineRule="auto"/>
        <w:rPr>
          <w:rFonts w:ascii="Times New Roman" w:eastAsia="Times New Roman" w:hAnsi="Times New Roman"/>
          <w:color w:val="000000"/>
        </w:rPr>
      </w:pPr>
      <w:bookmarkStart w:id="20" w:name="_heading=h.1y810tw" w:colFirst="0" w:colLast="0"/>
      <w:bookmarkEnd w:id="20"/>
      <w:r>
        <w:rPr>
          <w:rFonts w:ascii="Times New Roman" w:eastAsia="Times New Roman" w:hAnsi="Times New Roman"/>
          <w:color w:val="000000"/>
        </w:rPr>
        <w:t>Conclusion</w:t>
      </w:r>
    </w:p>
    <w:p w14:paraId="6764CB37" w14:textId="77777777" w:rsidR="00A1056B" w:rsidRDefault="00000000">
      <w:pPr>
        <w:spacing w:line="360" w:lineRule="auto"/>
        <w:jc w:val="both"/>
      </w:pPr>
      <w:r>
        <w:t>To sum up, Marks &amp; Spencer (M&amp;S) is a reputable British retailer known for its high-quality goods and commitment to environmental responsibility. Over the last several years, M&amp;S has had to overcome a number of obstacles, including rising retail sector rivalry, shifting customer tastes and trends, and the effects of the COVID-19 epidemic. M&amp;S has used a variety of tactics to meet these difficulties, such as emphasising sustainability and innovation, cultivating and keeping top personnel, establishing solid customer connections, embracing technology, and entering new markets.</w:t>
      </w:r>
    </w:p>
    <w:p w14:paraId="20D4E38F" w14:textId="77777777" w:rsidR="00A1056B" w:rsidRDefault="00A1056B">
      <w:pPr>
        <w:spacing w:line="360" w:lineRule="auto"/>
        <w:jc w:val="both"/>
      </w:pPr>
    </w:p>
    <w:p w14:paraId="222AB1FA" w14:textId="77777777" w:rsidR="00A1056B" w:rsidRDefault="00000000">
      <w:pPr>
        <w:spacing w:line="360" w:lineRule="auto"/>
        <w:jc w:val="both"/>
      </w:pPr>
      <w:r>
        <w:t>M&amp;S has taken steps to enhance social and environmental results by implementing a green strategy and corporate social responsibility (CSR) activities. Consumers who care about ethical and environmentally friendly business practices have been drawn to M&amp;S thanks to these efforts, and those consumers have stayed.</w:t>
      </w:r>
    </w:p>
    <w:p w14:paraId="5AFA932B" w14:textId="77777777" w:rsidR="00A1056B" w:rsidRDefault="00000000">
      <w:pPr>
        <w:spacing w:line="360" w:lineRule="auto"/>
        <w:jc w:val="both"/>
      </w:pPr>
      <w:r>
        <w:t>M&amp;S will need to make strategic shifts going ahead if it wants to be competitive in the retail sector. The business must maintain its commitment to sustainability and innovation while also recruiting and retaining top employees, strengthening customer connections, embracing new technologies, and penetrating untapped areas. Concerns about climate change and social responsibility are only expected to increase. Therefore M&amp;S will need to keep its green strategy and CSR activities at the forefront.</w:t>
      </w:r>
    </w:p>
    <w:p w14:paraId="59ECC02C" w14:textId="77777777" w:rsidR="00A1056B" w:rsidRDefault="00000000">
      <w:pPr>
        <w:spacing w:line="360" w:lineRule="auto"/>
        <w:jc w:val="both"/>
      </w:pPr>
      <w:r>
        <w:t>M&amp;S has a lot going for it, and keeping its eye on sustainability and ethical practices will be crucial to keeping it ahead of the competition and making money for the foreseeable future.</w:t>
      </w:r>
    </w:p>
    <w:p w14:paraId="6A9532DF" w14:textId="77777777" w:rsidR="00A1056B" w:rsidRDefault="00A1056B">
      <w:pPr>
        <w:spacing w:line="360" w:lineRule="auto"/>
        <w:jc w:val="both"/>
      </w:pPr>
    </w:p>
    <w:p w14:paraId="78CD7B83" w14:textId="77777777" w:rsidR="00A1056B" w:rsidRDefault="00000000">
      <w:pPr>
        <w:pStyle w:val="Heading1"/>
        <w:spacing w:after="200" w:line="360" w:lineRule="auto"/>
        <w:rPr>
          <w:rFonts w:ascii="Times New Roman" w:eastAsia="Times New Roman" w:hAnsi="Times New Roman"/>
          <w:color w:val="000000"/>
        </w:rPr>
      </w:pPr>
      <w:bookmarkStart w:id="21" w:name="_heading=h.4i7ojhp" w:colFirst="0" w:colLast="0"/>
      <w:bookmarkEnd w:id="21"/>
      <w:r>
        <w:rPr>
          <w:rFonts w:ascii="Times New Roman" w:eastAsia="Times New Roman" w:hAnsi="Times New Roman"/>
          <w:color w:val="000000"/>
        </w:rPr>
        <w:t xml:space="preserve">Recommendation </w:t>
      </w:r>
    </w:p>
    <w:p w14:paraId="7E083D02" w14:textId="77777777" w:rsidR="00A1056B" w:rsidRDefault="00000000">
      <w:pPr>
        <w:spacing w:line="360" w:lineRule="auto"/>
        <w:jc w:val="both"/>
        <w:rPr>
          <w:b/>
          <w:i/>
        </w:rPr>
      </w:pPr>
      <w:r>
        <w:rPr>
          <w:b/>
          <w:i/>
        </w:rPr>
        <w:t>Emphasise Online Presence</w:t>
      </w:r>
    </w:p>
    <w:p w14:paraId="1D196FA3" w14:textId="77777777" w:rsidR="00A1056B" w:rsidRDefault="00000000">
      <w:pPr>
        <w:spacing w:line="360" w:lineRule="auto"/>
        <w:jc w:val="both"/>
      </w:pPr>
      <w:r>
        <w:t>To keep up with the ever-changing retail landscape, M&amp;S must place a strong emphasis on its online presence (Habersang et al., 2019). Customers are shifting their shopping habits to take advantage of the convenience of online platforms, and M&amp;S must change to keep up. M&amp;S may do this by prioritising the development of its e-commerce infrastructure, increasing its digital marketing budget, and providing enhanced levels of customization in its online shopping offerings.</w:t>
      </w:r>
    </w:p>
    <w:p w14:paraId="73DC8811" w14:textId="77777777" w:rsidR="00A1056B" w:rsidRDefault="00000000">
      <w:pPr>
        <w:spacing w:line="360" w:lineRule="auto"/>
        <w:jc w:val="both"/>
      </w:pPr>
      <w:r>
        <w:t>To better serve its clients, M&amp;S should put more effort into enhancing its e-commerce platform. This may include making the site easier to use, streamlining the purchasing procedure, and making it mobile-friendly (Beyne,  2020). M&amp;S can do better with its online services by providing a wider selection of products and more opportunities for individualization.</w:t>
      </w:r>
    </w:p>
    <w:p w14:paraId="6E5CFBCB" w14:textId="77777777" w:rsidR="00A1056B" w:rsidRDefault="00000000">
      <w:pPr>
        <w:spacing w:line="360" w:lineRule="auto"/>
        <w:jc w:val="both"/>
      </w:pPr>
      <w:r>
        <w:t>M&amp;S should put money into digital marketing so that it may reach more people and win over more consumers. This might include interacting with consumers and promoting offerings on social media sites like Facebook and Instagram. M&amp;S may also personalise its marketing to the tastes of its varied clientele via the use of targeted advertising and email marketing. In order to enhance consumer loyalty and revenue, M&amp;S should prioritise providing more personalised online experiences for customers (Daffy, 2019). This may be done in a number of ways, for example by letting consumers tailor items to their specific needs using data analytics and information gleaned from their purchases.</w:t>
      </w:r>
    </w:p>
    <w:p w14:paraId="00349243" w14:textId="77777777" w:rsidR="00A1056B" w:rsidRDefault="00000000">
      <w:pPr>
        <w:spacing w:line="360" w:lineRule="auto"/>
        <w:jc w:val="both"/>
      </w:pPr>
      <w:r>
        <w:t>Online shopping at M&amp;S may be made more immersive and exciting by using digital technologies like augmented reality and virtual reality. M&amp;S might utilise augmented reality to show clients how an item would appear in their own house, while virtual reality could provide a 360-degree look at merchandise. To keep up with the competition and adapt to changing consumer needs, M&amp;S must place a strong emphasis on its online presence (Al‐Nabhani, Wilson and McLean, 2022). M&amp;S can attract and keep consumers and boost sales by enhancing its e-commerce platform, spending more on digital marketing, and providing more individualised online experiences for customers.</w:t>
      </w:r>
    </w:p>
    <w:p w14:paraId="7BDBBD06" w14:textId="77777777" w:rsidR="00A1056B" w:rsidRDefault="00A1056B">
      <w:pPr>
        <w:spacing w:line="360" w:lineRule="auto"/>
        <w:jc w:val="both"/>
      </w:pPr>
    </w:p>
    <w:p w14:paraId="37EF8139" w14:textId="77777777" w:rsidR="00A1056B" w:rsidRDefault="00000000">
      <w:pPr>
        <w:spacing w:line="360" w:lineRule="auto"/>
        <w:jc w:val="both"/>
        <w:rPr>
          <w:b/>
          <w:i/>
        </w:rPr>
      </w:pPr>
      <w:r>
        <w:rPr>
          <w:b/>
          <w:i/>
        </w:rPr>
        <w:t>Diversify Product Offerings</w:t>
      </w:r>
    </w:p>
    <w:p w14:paraId="7A3D3B19" w14:textId="77777777" w:rsidR="00A1056B" w:rsidRDefault="00000000">
      <w:pPr>
        <w:spacing w:line="360" w:lineRule="auto"/>
        <w:jc w:val="both"/>
      </w:pPr>
      <w:r>
        <w:t>M&amp;S recognises that having a broader selection of products is essential to both growing its client base and maintaining its position as a retail industry leader. M&amp;S may cater to a wider variety of clients by releasing new product lines and entering new product categories.</w:t>
      </w:r>
    </w:p>
    <w:p w14:paraId="1A1134A8" w14:textId="77777777" w:rsidR="00A1056B" w:rsidRDefault="00000000">
      <w:pPr>
        <w:spacing w:line="360" w:lineRule="auto"/>
        <w:jc w:val="both"/>
      </w:pPr>
      <w:r>
        <w:t>M&amp;S may expand its selection by working with other companies to launch complementary lines of items. By doing so, M&amp;S may benefit from the knowledge of other companies and reach people who would not otherwise purchase there (Chernetsky, Hughes and Schrock, 2022). M&amp;S may broaden its client base and increase sales by entering new product categories like cosmetics and home decor. This may entail spending money on R&amp;D to create new items or purchasing current brands to increase availability.</w:t>
      </w:r>
    </w:p>
    <w:p w14:paraId="211DCD33" w14:textId="77777777" w:rsidR="00A1056B" w:rsidRDefault="00000000">
      <w:pPr>
        <w:spacing w:line="360" w:lineRule="auto"/>
        <w:jc w:val="both"/>
      </w:pPr>
      <w:r>
        <w:t>M&amp;S may increase its competitiveness and appeal to a broader client base by expanding the variety of products it sells. To make sure future partnerships and product lines are consistent with M&amp;S's brand values and address consumer requirements, the company will need to do extensive research (Shail, 2022). To successfully introduce and advertise new items, M&amp;S will also need to allocate resources towards marketing and public relations.</w:t>
      </w:r>
    </w:p>
    <w:p w14:paraId="0F55F1E6" w14:textId="77777777" w:rsidR="00A1056B" w:rsidRDefault="00000000">
      <w:pPr>
        <w:spacing w:line="360" w:lineRule="auto"/>
        <w:jc w:val="both"/>
        <w:rPr>
          <w:b/>
          <w:i/>
        </w:rPr>
      </w:pPr>
      <w:r>
        <w:rPr>
          <w:b/>
          <w:i/>
        </w:rPr>
        <w:t>Expand Internationally</w:t>
      </w:r>
    </w:p>
    <w:p w14:paraId="6F2DCC42" w14:textId="77777777" w:rsidR="00A1056B" w:rsidRDefault="00000000">
      <w:pPr>
        <w:spacing w:line="360" w:lineRule="auto"/>
        <w:jc w:val="both"/>
      </w:pPr>
      <w:r>
        <w:t>M&amp;S is looking to minimise its dependency on the UK market and diversify its income sources by expanding worldwide. M&amp;S may reach out to different types of customers and increase its market share in different areas if it expands into new territories. This has the potential to lessen the company's reliance on the British market while expanding its overall horizons.</w:t>
      </w:r>
    </w:p>
    <w:p w14:paraId="4B01F9A9" w14:textId="77777777" w:rsidR="00A1056B" w:rsidRDefault="00000000">
      <w:pPr>
        <w:spacing w:line="360" w:lineRule="auto"/>
        <w:jc w:val="both"/>
      </w:pPr>
      <w:r>
        <w:t>M&amp;S may need to form strategic alliances with regional shops or purchase regional brands in order to develop worldwide. This may aid in penetrating untapped markets and making use of in-depth local knowledge (Highmore, 2023). M&amp;S may also need to modify its product lines and advertising approaches to better cater to the varying tastes and lifestyles of its consumers in various parts of the world. In sum, M&amp;S may benefit from going global since it will be able to increase its client base, diversify its income, and lessen its reliance on the UK market. However, there are risks associated with going global, and you may need to spend much on areas like advertising, logistics, and management to succeed. Because of this, in order for M&amp;S's planned growth to be successful, the company will need to do extensive market research.</w:t>
      </w:r>
    </w:p>
    <w:p w14:paraId="25D3A1A3" w14:textId="77777777" w:rsidR="00A1056B" w:rsidRDefault="00A1056B">
      <w:pPr>
        <w:spacing w:line="360" w:lineRule="auto"/>
        <w:jc w:val="both"/>
      </w:pPr>
    </w:p>
    <w:p w14:paraId="42ECAA81" w14:textId="77777777" w:rsidR="00A1056B" w:rsidRDefault="00000000">
      <w:pPr>
        <w:spacing w:line="360" w:lineRule="auto"/>
        <w:jc w:val="both"/>
        <w:rPr>
          <w:b/>
          <w:i/>
        </w:rPr>
      </w:pPr>
      <w:r>
        <w:rPr>
          <w:b/>
          <w:i/>
        </w:rPr>
        <w:t>Continue Sustainability Efforts</w:t>
      </w:r>
    </w:p>
    <w:p w14:paraId="0C55EADD" w14:textId="77777777" w:rsidR="00A1056B" w:rsidRDefault="00000000">
      <w:pPr>
        <w:spacing w:line="360" w:lineRule="auto"/>
        <w:jc w:val="both"/>
      </w:pPr>
      <w:r>
        <w:t>To maintain its position as a sustainability leader and address rising worries about climate change and social responsibility, M&amp;S must keep up its sustainability initiatives. M&amp;S can do more to decrease its environmental impact and spread sustainable practices across its supply chain if it establishes new sustainability goals. The company may benefit the environment and its workers by adopting sustainable procurement practices like buying organic or Fairtrade-certified items. Reducing environmental impact and increasing consumer loyalty may be accomplished by educating customers about sustainable lifestyle choices like recycling and reusable bag usage (Papasolomou, Melanthiou and Tsamouridis, 2023). Overall, M&amp;S can contribute to a more sustainable and fair world via its ongoing sustainability initiatives, and it can attract and keep consumers who value sustainability and ethical practices.</w:t>
      </w:r>
    </w:p>
    <w:p w14:paraId="571FC526" w14:textId="77777777" w:rsidR="00A1056B" w:rsidRDefault="00A1056B">
      <w:pPr>
        <w:spacing w:line="360" w:lineRule="auto"/>
        <w:jc w:val="both"/>
      </w:pPr>
    </w:p>
    <w:p w14:paraId="78DB2ABA" w14:textId="77777777" w:rsidR="00A1056B" w:rsidRDefault="00000000">
      <w:pPr>
        <w:spacing w:line="360" w:lineRule="auto"/>
        <w:jc w:val="both"/>
        <w:rPr>
          <w:b/>
          <w:i/>
        </w:rPr>
      </w:pPr>
      <w:r>
        <w:rPr>
          <w:b/>
          <w:i/>
        </w:rPr>
        <w:t>Improve Customer Experience</w:t>
      </w:r>
    </w:p>
    <w:p w14:paraId="0B031F4E" w14:textId="77777777" w:rsidR="00A1056B" w:rsidRDefault="00000000">
      <w:pPr>
        <w:spacing w:line="360" w:lineRule="auto"/>
        <w:jc w:val="both"/>
      </w:pPr>
      <w:r>
        <w:t>M&amp;S has to put money into employee training so that stores can consistently provide high-quality service to their clients. Training in interpersonal skills, product familiarity, and customer service could be part of this. M&amp;S can guarantee that its personnel will be able to answer customers' questions and provide helpful suggestions because of its commitment to training. To better serve its consumers, M&amp;S should work to enhance the aesthetics and functionality of its retail locations. Store fixtures and displays may be modernised, as could the store's lighting and décor, and new sections could be set aside for certain product types. M&amp;S can provide its consumers with a better, more memorable shopping experience by focusing on the store's aesthetics. If M&amp;S wants its consumers to feel more connected to the company, it should prioritise providing them with unique, personalised experiences (Ritch, 2022). One way to do this is to provide individualised product suggestions or discounts based on a customer's specific interests and needs. M&amp;S can boost customer loyalty and contentment by providing individualised service.</w:t>
      </w:r>
    </w:p>
    <w:p w14:paraId="11D49F06" w14:textId="77777777" w:rsidR="00A1056B" w:rsidRDefault="00000000">
      <w:pPr>
        <w:spacing w:line="360" w:lineRule="auto"/>
        <w:jc w:val="both"/>
      </w:pPr>
      <w:r>
        <w:t>M&amp;S should also work on making its website easier to use for its consumers. To achieve this goal, a website's interface, product suggestions, and checkout procedure might all be enhanced. M&amp;S is able to attract and keep clients who prefer to purchase online because of the excellent experience they provide there (Joshi, Gabhane and Somashekhar, 2022). Whether it is in-store, online, or through customer care, M&amp;S has to do a better job of serving its customers. This might include things like giving quick responses to consumer questions and allowing for a range of return options. M&amp;S can improve its reputation and gain loyal customers if its customer service is top-notch.</w:t>
      </w:r>
    </w:p>
    <w:p w14:paraId="24E558B0" w14:textId="77777777" w:rsidR="00A1056B" w:rsidRDefault="00000000">
      <w:pPr>
        <w:spacing w:line="360" w:lineRule="auto"/>
        <w:jc w:val="both"/>
      </w:pPr>
      <w:r>
        <w:t>To sum up, if M&amp;S wants to stay competitive and grow customer loyalty, it must prioritise enhancing the customer experience. M&amp;S can make shopping with them more enjoyable for their clients if they put effort into educating their employees, updating their store designs, providing more personalised services, enhancing their online offerings, and enhancing their customer service (Lin and Bowman, 2022). In the end, this may boost sales, client loyalty, and profitability over time.</w:t>
      </w:r>
    </w:p>
    <w:p w14:paraId="0D881190" w14:textId="77777777" w:rsidR="00A1056B" w:rsidRDefault="00A1056B">
      <w:pPr>
        <w:pStyle w:val="Heading1"/>
        <w:spacing w:after="200" w:line="360" w:lineRule="auto"/>
        <w:rPr>
          <w:rFonts w:ascii="Times New Roman" w:eastAsia="Times New Roman" w:hAnsi="Times New Roman"/>
          <w:color w:val="000000"/>
        </w:rPr>
      </w:pPr>
      <w:bookmarkStart w:id="22" w:name="_heading=h.v5lilp1mqdf0" w:colFirst="0" w:colLast="0"/>
      <w:bookmarkEnd w:id="22"/>
    </w:p>
    <w:p w14:paraId="38166893" w14:textId="77777777" w:rsidR="00A1056B" w:rsidRDefault="00000000">
      <w:pPr>
        <w:pStyle w:val="Heading1"/>
        <w:spacing w:after="200" w:line="360" w:lineRule="auto"/>
        <w:rPr>
          <w:rFonts w:ascii="Times New Roman" w:eastAsia="Times New Roman" w:hAnsi="Times New Roman"/>
          <w:color w:val="000000"/>
        </w:rPr>
      </w:pPr>
      <w:bookmarkStart w:id="23" w:name="_heading=h.1rgq53x2cvc4" w:colFirst="0" w:colLast="0"/>
      <w:bookmarkEnd w:id="23"/>
      <w:r>
        <w:br w:type="page"/>
      </w:r>
    </w:p>
    <w:p w14:paraId="4EB6B022" w14:textId="77777777" w:rsidR="00A1056B" w:rsidRDefault="00000000">
      <w:pPr>
        <w:pStyle w:val="Heading1"/>
        <w:spacing w:after="200" w:line="360" w:lineRule="auto"/>
        <w:rPr>
          <w:rFonts w:ascii="Times New Roman" w:eastAsia="Times New Roman" w:hAnsi="Times New Roman"/>
          <w:color w:val="000000"/>
        </w:rPr>
      </w:pPr>
      <w:bookmarkStart w:id="24" w:name="_heading=h.skjg5qh9pmbz" w:colFirst="0" w:colLast="0"/>
      <w:bookmarkEnd w:id="24"/>
      <w:r>
        <w:rPr>
          <w:rFonts w:ascii="Times New Roman" w:eastAsia="Times New Roman" w:hAnsi="Times New Roman"/>
          <w:color w:val="000000"/>
        </w:rPr>
        <w:t xml:space="preserve">References </w:t>
      </w:r>
    </w:p>
    <w:p w14:paraId="518FF54C" w14:textId="77777777" w:rsidR="00A1056B" w:rsidRDefault="00000000">
      <w:pPr>
        <w:spacing w:line="360" w:lineRule="auto"/>
        <w:jc w:val="both"/>
        <w:rPr>
          <w:color w:val="222222"/>
          <w:highlight w:val="white"/>
        </w:rPr>
      </w:pPr>
      <w:r>
        <w:rPr>
          <w:color w:val="222222"/>
          <w:highlight w:val="white"/>
        </w:rPr>
        <w:t xml:space="preserve">Abukari, K., Musah, A. and Assaidi, A., 2023. The Role of Corporate Sustainability and Its Consistency on Firm Financial Performance: Canadian Evidence. </w:t>
      </w:r>
      <w:r>
        <w:rPr>
          <w:i/>
          <w:color w:val="222222"/>
          <w:highlight w:val="white"/>
        </w:rPr>
        <w:t>Accounting Perspectives</w:t>
      </w:r>
      <w:r>
        <w:rPr>
          <w:color w:val="222222"/>
          <w:highlight w:val="white"/>
        </w:rPr>
        <w:t xml:space="preserve">, </w:t>
      </w:r>
      <w:r>
        <w:rPr>
          <w:i/>
          <w:color w:val="222222"/>
          <w:highlight w:val="white"/>
        </w:rPr>
        <w:t>22</w:t>
      </w:r>
      <w:r>
        <w:rPr>
          <w:color w:val="222222"/>
          <w:highlight w:val="white"/>
        </w:rPr>
        <w:t>(1), pp.55-86.</w:t>
      </w:r>
    </w:p>
    <w:p w14:paraId="1AC2427F" w14:textId="77777777" w:rsidR="00A1056B" w:rsidRDefault="00000000">
      <w:pPr>
        <w:spacing w:line="360" w:lineRule="auto"/>
        <w:jc w:val="both"/>
        <w:rPr>
          <w:color w:val="222222"/>
          <w:highlight w:val="white"/>
        </w:rPr>
      </w:pPr>
      <w:r>
        <w:rPr>
          <w:color w:val="222222"/>
          <w:highlight w:val="white"/>
        </w:rPr>
        <w:t xml:space="preserve">Akbari, M. and McClelland, R., 2020. Corporate social responsibility and corporate citizenship in sustainable supply chain: a structured literature review. </w:t>
      </w:r>
      <w:r>
        <w:rPr>
          <w:i/>
          <w:color w:val="222222"/>
          <w:highlight w:val="white"/>
        </w:rPr>
        <w:t>Benchmarking: An International Journal</w:t>
      </w:r>
      <w:r>
        <w:rPr>
          <w:color w:val="222222"/>
          <w:highlight w:val="white"/>
        </w:rPr>
        <w:t xml:space="preserve">, </w:t>
      </w:r>
      <w:r>
        <w:rPr>
          <w:i/>
          <w:color w:val="222222"/>
          <w:highlight w:val="white"/>
        </w:rPr>
        <w:t>27</w:t>
      </w:r>
      <w:r>
        <w:rPr>
          <w:color w:val="222222"/>
          <w:highlight w:val="white"/>
        </w:rPr>
        <w:t>(6), pp.1799-1841.</w:t>
      </w:r>
    </w:p>
    <w:p w14:paraId="297DCC78" w14:textId="77777777" w:rsidR="00A1056B" w:rsidRDefault="00000000">
      <w:pPr>
        <w:spacing w:line="360" w:lineRule="auto"/>
        <w:jc w:val="both"/>
      </w:pPr>
      <w:r>
        <w:rPr>
          <w:color w:val="222222"/>
          <w:highlight w:val="white"/>
        </w:rPr>
        <w:t xml:space="preserve">al Habibi, B., 2019. </w:t>
      </w:r>
      <w:r>
        <w:rPr>
          <w:i/>
          <w:color w:val="222222"/>
          <w:highlight w:val="white"/>
        </w:rPr>
        <w:t>HR practices of Marks &amp; Spencer, Selfridges, Primark, and Sainsbury’s</w:t>
      </w:r>
      <w:r>
        <w:rPr>
          <w:color w:val="222222"/>
          <w:highlight w:val="white"/>
        </w:rPr>
        <w:t xml:space="preserve"> (Doctoral dissertation, University of Science &amp; Technology).</w:t>
      </w:r>
    </w:p>
    <w:p w14:paraId="5A19D243" w14:textId="77777777" w:rsidR="00A1056B" w:rsidRDefault="00000000">
      <w:pPr>
        <w:widowControl w:val="0"/>
        <w:spacing w:after="0" w:line="360" w:lineRule="auto"/>
        <w:jc w:val="both"/>
        <w:rPr>
          <w:color w:val="222222"/>
          <w:highlight w:val="white"/>
        </w:rPr>
      </w:pPr>
      <w:r>
        <w:rPr>
          <w:color w:val="222222"/>
          <w:highlight w:val="white"/>
        </w:rPr>
        <w:t xml:space="preserve">Al‐Nabhani, K., Wilson, A. and McLean, G., 2022. Examining consumers' continuous usage of multichannel retailers' mobile applications. </w:t>
      </w:r>
      <w:r>
        <w:rPr>
          <w:i/>
          <w:color w:val="222222"/>
          <w:highlight w:val="white"/>
        </w:rPr>
        <w:t>Psychology &amp; Marketing</w:t>
      </w:r>
      <w:r>
        <w:rPr>
          <w:color w:val="222222"/>
          <w:highlight w:val="white"/>
        </w:rPr>
        <w:t xml:space="preserve">, </w:t>
      </w:r>
      <w:r>
        <w:rPr>
          <w:i/>
          <w:color w:val="222222"/>
          <w:highlight w:val="white"/>
        </w:rPr>
        <w:t>39</w:t>
      </w:r>
      <w:r>
        <w:rPr>
          <w:color w:val="222222"/>
          <w:highlight w:val="white"/>
        </w:rPr>
        <w:t>(1), pp.168-195.</w:t>
      </w:r>
    </w:p>
    <w:p w14:paraId="2BA436CC" w14:textId="77777777" w:rsidR="00A1056B" w:rsidRDefault="00000000">
      <w:pPr>
        <w:spacing w:line="360" w:lineRule="auto"/>
        <w:jc w:val="both"/>
        <w:rPr>
          <w:color w:val="222222"/>
          <w:highlight w:val="white"/>
        </w:rPr>
      </w:pPr>
      <w:r>
        <w:rPr>
          <w:color w:val="222222"/>
          <w:highlight w:val="white"/>
        </w:rPr>
        <w:t xml:space="preserve">Asche, F., Sogn-Grundvåg, G., Zhang, D., Cojocaru, A.L. and Young, J.A., 2021. Brands, labels, and product longevity: the case of salmon in UK grocery retailing. </w:t>
      </w:r>
      <w:r>
        <w:rPr>
          <w:i/>
          <w:color w:val="222222"/>
          <w:highlight w:val="white"/>
        </w:rPr>
        <w:t>Journal of International Food &amp; Agribusiness Marketing</w:t>
      </w:r>
      <w:r>
        <w:rPr>
          <w:color w:val="222222"/>
          <w:highlight w:val="white"/>
        </w:rPr>
        <w:t xml:space="preserve">, </w:t>
      </w:r>
      <w:r>
        <w:rPr>
          <w:i/>
          <w:color w:val="222222"/>
          <w:highlight w:val="white"/>
        </w:rPr>
        <w:t>33</w:t>
      </w:r>
      <w:r>
        <w:rPr>
          <w:color w:val="222222"/>
          <w:highlight w:val="white"/>
        </w:rPr>
        <w:t>(1), pp.53-68.</w:t>
      </w:r>
    </w:p>
    <w:p w14:paraId="55D6FD82" w14:textId="77777777" w:rsidR="00A1056B" w:rsidRDefault="00000000">
      <w:pPr>
        <w:spacing w:line="360" w:lineRule="auto"/>
        <w:jc w:val="both"/>
        <w:rPr>
          <w:color w:val="222222"/>
          <w:highlight w:val="white"/>
        </w:rPr>
      </w:pPr>
      <w:r>
        <w:rPr>
          <w:color w:val="222222"/>
          <w:highlight w:val="white"/>
        </w:rPr>
        <w:t xml:space="preserve">Bridger, E., 2022. </w:t>
      </w:r>
      <w:r>
        <w:rPr>
          <w:i/>
          <w:color w:val="222222"/>
          <w:highlight w:val="white"/>
        </w:rPr>
        <w:t>Employee engagement: A practical introduction</w:t>
      </w:r>
      <w:r>
        <w:rPr>
          <w:color w:val="222222"/>
          <w:highlight w:val="white"/>
        </w:rPr>
        <w:t xml:space="preserve"> (Vol. 24). Kogan Page Publishers.</w:t>
      </w:r>
    </w:p>
    <w:p w14:paraId="33C8566B" w14:textId="77777777" w:rsidR="00A1056B" w:rsidRDefault="00000000">
      <w:pPr>
        <w:widowControl w:val="0"/>
        <w:spacing w:after="0" w:line="360" w:lineRule="auto"/>
        <w:jc w:val="both"/>
        <w:rPr>
          <w:color w:val="222222"/>
          <w:highlight w:val="white"/>
        </w:rPr>
      </w:pPr>
      <w:r>
        <w:rPr>
          <w:color w:val="222222"/>
          <w:highlight w:val="white"/>
        </w:rPr>
        <w:t xml:space="preserve">Chernetsky, V.V., Hughes, D.E. and Schrock, W.A., 2022. A synthesis of research on the marketing-sales interface (1984–2020). </w:t>
      </w:r>
      <w:r>
        <w:rPr>
          <w:i/>
          <w:color w:val="222222"/>
          <w:highlight w:val="white"/>
        </w:rPr>
        <w:t>Industrial Marketing Management</w:t>
      </w:r>
      <w:r>
        <w:rPr>
          <w:color w:val="222222"/>
          <w:highlight w:val="white"/>
        </w:rPr>
        <w:t xml:space="preserve">, </w:t>
      </w:r>
      <w:r>
        <w:rPr>
          <w:i/>
          <w:color w:val="222222"/>
          <w:highlight w:val="white"/>
        </w:rPr>
        <w:t>105</w:t>
      </w:r>
      <w:r>
        <w:rPr>
          <w:color w:val="222222"/>
          <w:highlight w:val="white"/>
        </w:rPr>
        <w:t>, pp.159-181.</w:t>
      </w:r>
    </w:p>
    <w:p w14:paraId="27A819D2" w14:textId="77777777" w:rsidR="00A1056B" w:rsidRDefault="00000000">
      <w:pPr>
        <w:spacing w:line="360" w:lineRule="auto"/>
        <w:jc w:val="both"/>
        <w:rPr>
          <w:color w:val="222222"/>
          <w:highlight w:val="white"/>
        </w:rPr>
      </w:pPr>
      <w:r>
        <w:rPr>
          <w:color w:val="222222"/>
          <w:highlight w:val="white"/>
        </w:rPr>
        <w:t xml:space="preserve">Clark, S., Hood, N. and Birkin, M., 2021. A hedonic model of the association between grocery brand provision and residential rental prices in England. </w:t>
      </w:r>
      <w:r>
        <w:rPr>
          <w:i/>
          <w:color w:val="222222"/>
          <w:highlight w:val="white"/>
        </w:rPr>
        <w:t>International Journal of Housing Markets and Analysis</w:t>
      </w:r>
      <w:r>
        <w:rPr>
          <w:color w:val="222222"/>
          <w:highlight w:val="white"/>
        </w:rPr>
        <w:t xml:space="preserve">, </w:t>
      </w:r>
      <w:r>
        <w:rPr>
          <w:i/>
          <w:color w:val="222222"/>
          <w:highlight w:val="white"/>
        </w:rPr>
        <w:t>14</w:t>
      </w:r>
      <w:r>
        <w:rPr>
          <w:color w:val="222222"/>
          <w:highlight w:val="white"/>
        </w:rPr>
        <w:t>(4), pp.680-700.</w:t>
      </w:r>
    </w:p>
    <w:p w14:paraId="76F343AF" w14:textId="77777777" w:rsidR="00A1056B" w:rsidRDefault="00000000">
      <w:pPr>
        <w:widowControl w:val="0"/>
        <w:spacing w:after="0" w:line="360" w:lineRule="auto"/>
        <w:jc w:val="both"/>
        <w:rPr>
          <w:color w:val="222222"/>
          <w:highlight w:val="white"/>
        </w:rPr>
      </w:pPr>
      <w:r>
        <w:rPr>
          <w:color w:val="222222"/>
          <w:highlight w:val="white"/>
        </w:rPr>
        <w:t xml:space="preserve">Daffy, C., 2019. </w:t>
      </w:r>
      <w:r>
        <w:rPr>
          <w:i/>
          <w:color w:val="222222"/>
          <w:highlight w:val="white"/>
        </w:rPr>
        <w:t>Creating customer loyalty: build lasting loyalty using customer experience management</w:t>
      </w:r>
      <w:r>
        <w:rPr>
          <w:color w:val="222222"/>
          <w:highlight w:val="white"/>
        </w:rPr>
        <w:t>. Kogan Page Publishers.</w:t>
      </w:r>
    </w:p>
    <w:p w14:paraId="6D788BD4" w14:textId="77777777" w:rsidR="00A1056B" w:rsidRDefault="00000000">
      <w:pPr>
        <w:spacing w:line="360" w:lineRule="auto"/>
        <w:jc w:val="both"/>
        <w:rPr>
          <w:color w:val="222222"/>
          <w:highlight w:val="white"/>
        </w:rPr>
      </w:pPr>
      <w:r>
        <w:rPr>
          <w:color w:val="222222"/>
          <w:highlight w:val="white"/>
        </w:rPr>
        <w:t xml:space="preserve">Donaldson, A., 2022. Digital from farm to fork: Infrastructures of quality and control in food supply chains. </w:t>
      </w:r>
      <w:r>
        <w:rPr>
          <w:i/>
          <w:color w:val="222222"/>
          <w:highlight w:val="white"/>
        </w:rPr>
        <w:t>Journal of Rural Studies</w:t>
      </w:r>
      <w:r>
        <w:rPr>
          <w:color w:val="222222"/>
          <w:highlight w:val="white"/>
        </w:rPr>
        <w:t xml:space="preserve">, </w:t>
      </w:r>
      <w:r>
        <w:rPr>
          <w:i/>
          <w:color w:val="222222"/>
          <w:highlight w:val="white"/>
        </w:rPr>
        <w:t>91</w:t>
      </w:r>
      <w:r>
        <w:rPr>
          <w:color w:val="222222"/>
          <w:highlight w:val="white"/>
        </w:rPr>
        <w:t>, pp.228-235.</w:t>
      </w:r>
    </w:p>
    <w:p w14:paraId="44993C93" w14:textId="77777777" w:rsidR="00A1056B" w:rsidRDefault="00000000">
      <w:pPr>
        <w:spacing w:line="360" w:lineRule="auto"/>
        <w:jc w:val="both"/>
        <w:rPr>
          <w:color w:val="222222"/>
          <w:highlight w:val="white"/>
        </w:rPr>
      </w:pPr>
      <w:r>
        <w:rPr>
          <w:color w:val="222222"/>
          <w:highlight w:val="white"/>
        </w:rPr>
        <w:t xml:space="preserve">Eccles, R.G., Krzus, M.P. and Solano, C., 2019. A comparative analysis of integrated reporting in ten countries. </w:t>
      </w:r>
      <w:r>
        <w:rPr>
          <w:i/>
          <w:color w:val="222222"/>
          <w:highlight w:val="white"/>
        </w:rPr>
        <w:t>Available at SSRN 3345590</w:t>
      </w:r>
      <w:r>
        <w:rPr>
          <w:color w:val="222222"/>
          <w:highlight w:val="white"/>
        </w:rPr>
        <w:t>.</w:t>
      </w:r>
    </w:p>
    <w:p w14:paraId="45B5B748" w14:textId="77777777" w:rsidR="00A1056B" w:rsidRDefault="00000000">
      <w:pPr>
        <w:spacing w:line="360" w:lineRule="auto"/>
        <w:jc w:val="both"/>
        <w:rPr>
          <w:color w:val="222222"/>
          <w:highlight w:val="white"/>
        </w:rPr>
      </w:pPr>
      <w:r>
        <w:rPr>
          <w:color w:val="222222"/>
          <w:highlight w:val="white"/>
        </w:rPr>
        <w:t xml:space="preserve">Habersang, S., Küberling‐Jost, J., Reihlen, M. and Seckler, C., 2019. A process perspective on organizational failure: a qualitative meta‐analysis. </w:t>
      </w:r>
      <w:r>
        <w:rPr>
          <w:i/>
          <w:color w:val="222222"/>
          <w:highlight w:val="white"/>
        </w:rPr>
        <w:t>Journal of Management Studies</w:t>
      </w:r>
      <w:r>
        <w:rPr>
          <w:color w:val="222222"/>
          <w:highlight w:val="white"/>
        </w:rPr>
        <w:t xml:space="preserve">, </w:t>
      </w:r>
      <w:r>
        <w:rPr>
          <w:i/>
          <w:color w:val="222222"/>
          <w:highlight w:val="white"/>
        </w:rPr>
        <w:t>56</w:t>
      </w:r>
      <w:r>
        <w:rPr>
          <w:color w:val="222222"/>
          <w:highlight w:val="white"/>
        </w:rPr>
        <w:t>(1), pp.19-56.</w:t>
      </w:r>
    </w:p>
    <w:p w14:paraId="674523DD" w14:textId="77777777" w:rsidR="00A1056B" w:rsidRDefault="00000000">
      <w:pPr>
        <w:widowControl w:val="0"/>
        <w:spacing w:after="0" w:line="360" w:lineRule="auto"/>
        <w:jc w:val="both"/>
        <w:rPr>
          <w:color w:val="222222"/>
          <w:highlight w:val="white"/>
        </w:rPr>
      </w:pPr>
      <w:r>
        <w:rPr>
          <w:color w:val="222222"/>
          <w:highlight w:val="white"/>
        </w:rPr>
        <w:t xml:space="preserve">Highmore, B., 2023. Instant good taste: The Habitat story. In </w:t>
      </w:r>
      <w:r>
        <w:rPr>
          <w:i/>
          <w:color w:val="222222"/>
          <w:highlight w:val="white"/>
        </w:rPr>
        <w:t>Lifestyle revolution</w:t>
      </w:r>
      <w:r>
        <w:rPr>
          <w:color w:val="222222"/>
          <w:highlight w:val="white"/>
        </w:rPr>
        <w:t xml:space="preserve"> (pp. 30-55). Manchester University Press.</w:t>
      </w:r>
    </w:p>
    <w:p w14:paraId="627DC5E7" w14:textId="77777777" w:rsidR="00A1056B" w:rsidRDefault="00000000">
      <w:pPr>
        <w:spacing w:line="360" w:lineRule="auto"/>
        <w:jc w:val="both"/>
        <w:rPr>
          <w:color w:val="222222"/>
          <w:highlight w:val="white"/>
        </w:rPr>
      </w:pPr>
      <w:r>
        <w:rPr>
          <w:color w:val="222222"/>
          <w:highlight w:val="white"/>
        </w:rPr>
        <w:t xml:space="preserve">Hull, A. and Scott, P., 2020. The ‘value’of business archives: assessing the academic importance of corporate archival collections. </w:t>
      </w:r>
      <w:r>
        <w:rPr>
          <w:i/>
          <w:color w:val="222222"/>
          <w:highlight w:val="white"/>
        </w:rPr>
        <w:t>Management &amp; Organizational History</w:t>
      </w:r>
      <w:r>
        <w:rPr>
          <w:color w:val="222222"/>
          <w:highlight w:val="white"/>
        </w:rPr>
        <w:t xml:space="preserve">, </w:t>
      </w:r>
      <w:r>
        <w:rPr>
          <w:i/>
          <w:color w:val="222222"/>
          <w:highlight w:val="white"/>
        </w:rPr>
        <w:t>15</w:t>
      </w:r>
      <w:r>
        <w:rPr>
          <w:color w:val="222222"/>
          <w:highlight w:val="white"/>
        </w:rPr>
        <w:t>(1), pp.1-21.</w:t>
      </w:r>
    </w:p>
    <w:p w14:paraId="0E1E08FC" w14:textId="77777777" w:rsidR="00A1056B" w:rsidRDefault="00000000">
      <w:pPr>
        <w:spacing w:line="360" w:lineRule="auto"/>
        <w:jc w:val="both"/>
        <w:rPr>
          <w:color w:val="222222"/>
          <w:highlight w:val="white"/>
        </w:rPr>
      </w:pPr>
      <w:r>
        <w:rPr>
          <w:color w:val="222222"/>
          <w:highlight w:val="white"/>
        </w:rPr>
        <w:t xml:space="preserve">Hull, A. and Scott, P., 2020. The ‘value’of business archives: assessing the academic importance of corporate archival collections. </w:t>
      </w:r>
      <w:r>
        <w:rPr>
          <w:i/>
          <w:color w:val="222222"/>
          <w:highlight w:val="white"/>
        </w:rPr>
        <w:t>Management &amp; Organizational History</w:t>
      </w:r>
      <w:r>
        <w:rPr>
          <w:color w:val="222222"/>
          <w:highlight w:val="white"/>
        </w:rPr>
        <w:t xml:space="preserve">, </w:t>
      </w:r>
      <w:r>
        <w:rPr>
          <w:i/>
          <w:color w:val="222222"/>
          <w:highlight w:val="white"/>
        </w:rPr>
        <w:t>15</w:t>
      </w:r>
      <w:r>
        <w:rPr>
          <w:color w:val="222222"/>
          <w:highlight w:val="white"/>
        </w:rPr>
        <w:t>(1), pp.1-21.</w:t>
      </w:r>
    </w:p>
    <w:p w14:paraId="314B6BC3" w14:textId="77777777" w:rsidR="00A1056B" w:rsidRDefault="00000000">
      <w:pPr>
        <w:spacing w:line="360" w:lineRule="auto"/>
        <w:jc w:val="both"/>
        <w:rPr>
          <w:color w:val="222222"/>
          <w:highlight w:val="white"/>
        </w:rPr>
      </w:pPr>
      <w:r>
        <w:rPr>
          <w:color w:val="222222"/>
          <w:highlight w:val="white"/>
        </w:rPr>
        <w:t xml:space="preserve">Jhanji, Y., 2023. Life cycle analysis of textiles and associated carbon emissions. In </w:t>
      </w:r>
      <w:r>
        <w:rPr>
          <w:i/>
          <w:color w:val="222222"/>
          <w:highlight w:val="white"/>
        </w:rPr>
        <w:t>Sustainable Fibres for Fashion and Textile Manufacturing</w:t>
      </w:r>
      <w:r>
        <w:rPr>
          <w:color w:val="222222"/>
          <w:highlight w:val="white"/>
        </w:rPr>
        <w:t xml:space="preserve"> (pp. 403-431). Woodhead Publishing.</w:t>
      </w:r>
    </w:p>
    <w:p w14:paraId="3571E4DE" w14:textId="77777777" w:rsidR="00A1056B" w:rsidRDefault="00000000">
      <w:pPr>
        <w:spacing w:line="360" w:lineRule="auto"/>
        <w:jc w:val="both"/>
        <w:rPr>
          <w:color w:val="222222"/>
          <w:highlight w:val="white"/>
        </w:rPr>
      </w:pPr>
      <w:r>
        <w:rPr>
          <w:color w:val="222222"/>
          <w:highlight w:val="white"/>
        </w:rPr>
        <w:t xml:space="preserve">Jones, P., 2023. UK Retailers and Plant-Based Alternatives to Meat and Dairy Products. </w:t>
      </w:r>
      <w:r>
        <w:rPr>
          <w:i/>
          <w:color w:val="222222"/>
          <w:highlight w:val="white"/>
        </w:rPr>
        <w:t>Athens Journal of Business and Economics</w:t>
      </w:r>
      <w:r>
        <w:rPr>
          <w:color w:val="222222"/>
          <w:highlight w:val="white"/>
        </w:rPr>
        <w:t xml:space="preserve">, </w:t>
      </w:r>
      <w:r>
        <w:rPr>
          <w:i/>
          <w:color w:val="222222"/>
          <w:highlight w:val="white"/>
        </w:rPr>
        <w:t>9</w:t>
      </w:r>
      <w:r>
        <w:rPr>
          <w:color w:val="222222"/>
          <w:highlight w:val="white"/>
        </w:rPr>
        <w:t>(2), pp.207-220.</w:t>
      </w:r>
    </w:p>
    <w:p w14:paraId="6D65E7FF" w14:textId="77777777" w:rsidR="00A1056B" w:rsidRDefault="00000000">
      <w:pPr>
        <w:widowControl w:val="0"/>
        <w:spacing w:after="0" w:line="360" w:lineRule="auto"/>
        <w:jc w:val="both"/>
        <w:rPr>
          <w:color w:val="222222"/>
          <w:highlight w:val="white"/>
        </w:rPr>
      </w:pPr>
      <w:r>
        <w:rPr>
          <w:color w:val="222222"/>
          <w:highlight w:val="white"/>
        </w:rPr>
        <w:t xml:space="preserve">Joshi, N., Gabhane, D. and Somashekhar, C., 2022. How Social Media Marketing is Helping in Customer Retention and Customer Engagement: A Case of Marks and Spencer. </w:t>
      </w:r>
      <w:r>
        <w:rPr>
          <w:i/>
          <w:color w:val="222222"/>
          <w:highlight w:val="white"/>
        </w:rPr>
        <w:t>ECS Transactions</w:t>
      </w:r>
      <w:r>
        <w:rPr>
          <w:color w:val="222222"/>
          <w:highlight w:val="white"/>
        </w:rPr>
        <w:t xml:space="preserve">, </w:t>
      </w:r>
      <w:r>
        <w:rPr>
          <w:i/>
          <w:color w:val="222222"/>
          <w:highlight w:val="white"/>
        </w:rPr>
        <w:t>107</w:t>
      </w:r>
      <w:r>
        <w:rPr>
          <w:color w:val="222222"/>
          <w:highlight w:val="white"/>
        </w:rPr>
        <w:t>(1), p.17027.</w:t>
      </w:r>
    </w:p>
    <w:p w14:paraId="7982092F" w14:textId="77777777" w:rsidR="00A1056B" w:rsidRDefault="00000000">
      <w:pPr>
        <w:spacing w:line="360" w:lineRule="auto"/>
        <w:jc w:val="both"/>
        <w:rPr>
          <w:color w:val="222222"/>
          <w:highlight w:val="white"/>
        </w:rPr>
      </w:pPr>
      <w:r>
        <w:rPr>
          <w:color w:val="222222"/>
          <w:highlight w:val="white"/>
        </w:rPr>
        <w:t xml:space="preserve">Leavy, B. and McKiernan, P., 2020. </w:t>
      </w:r>
      <w:r>
        <w:rPr>
          <w:i/>
          <w:color w:val="222222"/>
          <w:highlight w:val="white"/>
        </w:rPr>
        <w:t>Strategic leadership: Governance and renewal</w:t>
      </w:r>
      <w:r>
        <w:rPr>
          <w:color w:val="222222"/>
          <w:highlight w:val="white"/>
        </w:rPr>
        <w:t>. Bloomsbury Publishing.</w:t>
      </w:r>
    </w:p>
    <w:p w14:paraId="0CA7517B" w14:textId="77777777" w:rsidR="00A1056B" w:rsidRDefault="00000000">
      <w:pPr>
        <w:spacing w:line="360" w:lineRule="auto"/>
        <w:jc w:val="both"/>
        <w:rPr>
          <w:color w:val="222222"/>
          <w:highlight w:val="white"/>
        </w:rPr>
      </w:pPr>
      <w:r>
        <w:rPr>
          <w:color w:val="222222"/>
          <w:highlight w:val="white"/>
        </w:rPr>
        <w:t xml:space="preserve">Leavy, B. and McKiernan, P., 2020. </w:t>
      </w:r>
      <w:r>
        <w:rPr>
          <w:i/>
          <w:color w:val="222222"/>
          <w:highlight w:val="white"/>
        </w:rPr>
        <w:t>Strategic leadership: Governance and renewal</w:t>
      </w:r>
      <w:r>
        <w:rPr>
          <w:color w:val="222222"/>
          <w:highlight w:val="white"/>
        </w:rPr>
        <w:t>. Bloomsbury Publishing.</w:t>
      </w:r>
    </w:p>
    <w:p w14:paraId="09ED8379" w14:textId="77777777" w:rsidR="00A1056B" w:rsidRDefault="00000000">
      <w:pPr>
        <w:widowControl w:val="0"/>
        <w:spacing w:after="0" w:line="360" w:lineRule="auto"/>
        <w:jc w:val="both"/>
        <w:rPr>
          <w:color w:val="222222"/>
          <w:highlight w:val="white"/>
        </w:rPr>
      </w:pPr>
      <w:r>
        <w:rPr>
          <w:color w:val="222222"/>
          <w:highlight w:val="white"/>
        </w:rPr>
        <w:t xml:space="preserve">Lin, C. and Bowman, D., 2022. The impact of introducing a customer loyalty program on category sales and profitability. </w:t>
      </w:r>
      <w:r>
        <w:rPr>
          <w:i/>
          <w:color w:val="222222"/>
          <w:highlight w:val="white"/>
        </w:rPr>
        <w:t>Journal of Retailing and Consumer Services</w:t>
      </w:r>
      <w:r>
        <w:rPr>
          <w:color w:val="222222"/>
          <w:highlight w:val="white"/>
        </w:rPr>
        <w:t xml:space="preserve">, </w:t>
      </w:r>
      <w:r>
        <w:rPr>
          <w:i/>
          <w:color w:val="222222"/>
          <w:highlight w:val="white"/>
        </w:rPr>
        <w:t>64</w:t>
      </w:r>
      <w:r>
        <w:rPr>
          <w:color w:val="222222"/>
          <w:highlight w:val="white"/>
        </w:rPr>
        <w:t>, p.102769.</w:t>
      </w:r>
    </w:p>
    <w:p w14:paraId="77D97DBD" w14:textId="77777777" w:rsidR="00A1056B" w:rsidRDefault="00000000">
      <w:pPr>
        <w:spacing w:line="360" w:lineRule="auto"/>
        <w:jc w:val="both"/>
        <w:rPr>
          <w:color w:val="222222"/>
          <w:highlight w:val="white"/>
        </w:rPr>
      </w:pPr>
      <w:r>
        <w:rPr>
          <w:color w:val="222222"/>
          <w:highlight w:val="white"/>
        </w:rPr>
        <w:t xml:space="preserve">Moussa, T., Kotb, A. and Helfaya, A., 2022. An empirical investigation of UK environmental targets disclosure: The role of environmental governance and performance. </w:t>
      </w:r>
      <w:r>
        <w:rPr>
          <w:i/>
          <w:color w:val="222222"/>
          <w:highlight w:val="white"/>
        </w:rPr>
        <w:t>European Accounting Review</w:t>
      </w:r>
      <w:r>
        <w:rPr>
          <w:color w:val="222222"/>
          <w:highlight w:val="white"/>
        </w:rPr>
        <w:t xml:space="preserve">, </w:t>
      </w:r>
      <w:r>
        <w:rPr>
          <w:i/>
          <w:color w:val="222222"/>
          <w:highlight w:val="white"/>
        </w:rPr>
        <w:t>31</w:t>
      </w:r>
      <w:r>
        <w:rPr>
          <w:color w:val="222222"/>
          <w:highlight w:val="white"/>
        </w:rPr>
        <w:t>(4), pp.937-971.</w:t>
      </w:r>
    </w:p>
    <w:p w14:paraId="6DB9B21F" w14:textId="77777777" w:rsidR="00A1056B" w:rsidRDefault="00000000">
      <w:pPr>
        <w:spacing w:line="360" w:lineRule="auto"/>
        <w:jc w:val="both"/>
        <w:rPr>
          <w:color w:val="222222"/>
          <w:highlight w:val="white"/>
        </w:rPr>
      </w:pPr>
      <w:r>
        <w:rPr>
          <w:color w:val="222222"/>
          <w:highlight w:val="white"/>
        </w:rPr>
        <w:t xml:space="preserve">Nyame-Asiamah, F. and Ghulam, S., 2020. The relationship between CSR activity and sales growth in the UK retailing sector. </w:t>
      </w:r>
      <w:r>
        <w:rPr>
          <w:i/>
          <w:color w:val="222222"/>
          <w:highlight w:val="white"/>
        </w:rPr>
        <w:t>Social Responsibility Journal</w:t>
      </w:r>
      <w:r>
        <w:rPr>
          <w:color w:val="222222"/>
          <w:highlight w:val="white"/>
        </w:rPr>
        <w:t xml:space="preserve">, </w:t>
      </w:r>
      <w:r>
        <w:rPr>
          <w:i/>
          <w:color w:val="222222"/>
          <w:highlight w:val="white"/>
        </w:rPr>
        <w:t>16</w:t>
      </w:r>
      <w:r>
        <w:rPr>
          <w:color w:val="222222"/>
          <w:highlight w:val="white"/>
        </w:rPr>
        <w:t>(3), pp.387-401.</w:t>
      </w:r>
    </w:p>
    <w:p w14:paraId="07F32FD9" w14:textId="77777777" w:rsidR="00A1056B" w:rsidRDefault="00000000">
      <w:pPr>
        <w:widowControl w:val="0"/>
        <w:spacing w:after="0" w:line="360" w:lineRule="auto"/>
        <w:jc w:val="both"/>
        <w:rPr>
          <w:color w:val="222222"/>
          <w:highlight w:val="white"/>
        </w:rPr>
      </w:pPr>
      <w:r>
        <w:rPr>
          <w:color w:val="222222"/>
          <w:highlight w:val="white"/>
        </w:rPr>
        <w:t xml:space="preserve">Papasolomou, I., Melanthiou, Y. and Tsamouridis, A., 2023. The fast fashion vs environment debate: Consumers’ level of awareness, feelings, and behaviour towards sustainability within the fast-fashion sector. </w:t>
      </w:r>
      <w:r>
        <w:rPr>
          <w:i/>
          <w:color w:val="222222"/>
          <w:highlight w:val="white"/>
        </w:rPr>
        <w:t>Journal of Marketing Communications</w:t>
      </w:r>
      <w:r>
        <w:rPr>
          <w:color w:val="222222"/>
          <w:highlight w:val="white"/>
        </w:rPr>
        <w:t xml:space="preserve">, </w:t>
      </w:r>
      <w:r>
        <w:rPr>
          <w:i/>
          <w:color w:val="222222"/>
          <w:highlight w:val="white"/>
        </w:rPr>
        <w:t>29</w:t>
      </w:r>
      <w:r>
        <w:rPr>
          <w:color w:val="222222"/>
          <w:highlight w:val="white"/>
        </w:rPr>
        <w:t>(2), pp.191-209.</w:t>
      </w:r>
    </w:p>
    <w:p w14:paraId="177F508E" w14:textId="77777777" w:rsidR="00A1056B" w:rsidRDefault="00000000">
      <w:pPr>
        <w:spacing w:line="360" w:lineRule="auto"/>
        <w:jc w:val="both"/>
      </w:pPr>
      <w:r>
        <w:rPr>
          <w:color w:val="222222"/>
          <w:highlight w:val="white"/>
        </w:rPr>
        <w:t xml:space="preserve">Parsons, R., 2022. The role of plastic packaging in transforming food retailing. </w:t>
      </w:r>
      <w:r>
        <w:rPr>
          <w:i/>
          <w:color w:val="222222"/>
          <w:highlight w:val="white"/>
        </w:rPr>
        <w:t>British Food Journal</w:t>
      </w:r>
      <w:r>
        <w:rPr>
          <w:color w:val="222222"/>
          <w:highlight w:val="white"/>
        </w:rPr>
        <w:t xml:space="preserve">, </w:t>
      </w:r>
      <w:r>
        <w:rPr>
          <w:i/>
          <w:color w:val="222222"/>
          <w:highlight w:val="white"/>
        </w:rPr>
        <w:t>124</w:t>
      </w:r>
      <w:r>
        <w:rPr>
          <w:color w:val="222222"/>
          <w:highlight w:val="white"/>
        </w:rPr>
        <w:t>(4), pp.1285-1300.</w:t>
      </w:r>
    </w:p>
    <w:p w14:paraId="0A421E52" w14:textId="77777777" w:rsidR="00A1056B" w:rsidRDefault="00000000">
      <w:pPr>
        <w:spacing w:line="360" w:lineRule="auto"/>
        <w:jc w:val="both"/>
        <w:rPr>
          <w:color w:val="222222"/>
          <w:highlight w:val="white"/>
        </w:rPr>
      </w:pPr>
      <w:r>
        <w:rPr>
          <w:color w:val="222222"/>
          <w:highlight w:val="white"/>
        </w:rPr>
        <w:t xml:space="preserve">Parsons, R., 2022. The role of plastic packaging in transforming food retailing. </w:t>
      </w:r>
      <w:r>
        <w:rPr>
          <w:i/>
          <w:color w:val="222222"/>
          <w:highlight w:val="white"/>
        </w:rPr>
        <w:t>British Food Journal</w:t>
      </w:r>
      <w:r>
        <w:rPr>
          <w:color w:val="222222"/>
          <w:highlight w:val="white"/>
        </w:rPr>
        <w:t xml:space="preserve">, </w:t>
      </w:r>
      <w:r>
        <w:rPr>
          <w:i/>
          <w:color w:val="222222"/>
          <w:highlight w:val="white"/>
        </w:rPr>
        <w:t>124</w:t>
      </w:r>
      <w:r>
        <w:rPr>
          <w:color w:val="222222"/>
          <w:highlight w:val="white"/>
        </w:rPr>
        <w:t>(4), pp.1285-1300.</w:t>
      </w:r>
    </w:p>
    <w:p w14:paraId="2591F540" w14:textId="77777777" w:rsidR="00A1056B" w:rsidRDefault="00000000">
      <w:pPr>
        <w:spacing w:line="360" w:lineRule="auto"/>
        <w:jc w:val="both"/>
        <w:rPr>
          <w:color w:val="222222"/>
          <w:highlight w:val="white"/>
        </w:rPr>
      </w:pPr>
      <w:r>
        <w:rPr>
          <w:color w:val="222222"/>
          <w:highlight w:val="white"/>
        </w:rPr>
        <w:t xml:space="preserve">Rafi-Ul-Shan, P.M., Grant, D.B. and Perry, P., 2022. Are fashion supply chains capable of coopetition? An exploratory study in the UK. </w:t>
      </w:r>
      <w:r>
        <w:rPr>
          <w:i/>
          <w:color w:val="222222"/>
          <w:highlight w:val="white"/>
        </w:rPr>
        <w:t>International Journal of Logistics Research and Applications</w:t>
      </w:r>
      <w:r>
        <w:rPr>
          <w:color w:val="222222"/>
          <w:highlight w:val="white"/>
        </w:rPr>
        <w:t xml:space="preserve">, </w:t>
      </w:r>
      <w:r>
        <w:rPr>
          <w:i/>
          <w:color w:val="222222"/>
          <w:highlight w:val="white"/>
        </w:rPr>
        <w:t>25</w:t>
      </w:r>
      <w:r>
        <w:rPr>
          <w:color w:val="222222"/>
          <w:highlight w:val="white"/>
        </w:rPr>
        <w:t>(3), pp.278-295.</w:t>
      </w:r>
    </w:p>
    <w:p w14:paraId="6B7A5A56" w14:textId="77777777" w:rsidR="00A1056B" w:rsidRDefault="00000000">
      <w:pPr>
        <w:spacing w:line="360" w:lineRule="auto"/>
        <w:jc w:val="both"/>
        <w:rPr>
          <w:color w:val="222222"/>
          <w:highlight w:val="white"/>
        </w:rPr>
      </w:pPr>
      <w:r>
        <w:rPr>
          <w:color w:val="222222"/>
          <w:highlight w:val="white"/>
        </w:rPr>
        <w:t xml:space="preserve">Rani, H. and Saha, G., 2021. Organizations and standards related to textile and fashion waste management and sustainability. In </w:t>
      </w:r>
      <w:r>
        <w:rPr>
          <w:i/>
          <w:color w:val="222222"/>
          <w:highlight w:val="white"/>
        </w:rPr>
        <w:t>Waste Management in the Fashion and Textile Industries</w:t>
      </w:r>
      <w:r>
        <w:rPr>
          <w:color w:val="222222"/>
          <w:highlight w:val="white"/>
        </w:rPr>
        <w:t xml:space="preserve"> (pp. 173-196). Woodhead Publishing.</w:t>
      </w:r>
    </w:p>
    <w:p w14:paraId="4FE87706" w14:textId="77777777" w:rsidR="00A1056B" w:rsidRDefault="00000000">
      <w:pPr>
        <w:spacing w:line="360" w:lineRule="auto"/>
        <w:jc w:val="both"/>
        <w:rPr>
          <w:color w:val="222222"/>
          <w:highlight w:val="white"/>
        </w:rPr>
      </w:pPr>
      <w:r>
        <w:rPr>
          <w:color w:val="222222"/>
          <w:highlight w:val="white"/>
        </w:rPr>
        <w:t xml:space="preserve">Raybould, B., Cheung, W.M., Connor, C. and Butcher, R., 2020. An investigation into UK government policy and legislation to renewable energy and greenhouse gas reduction commitments. </w:t>
      </w:r>
      <w:r>
        <w:rPr>
          <w:i/>
          <w:color w:val="222222"/>
          <w:highlight w:val="white"/>
        </w:rPr>
        <w:t>Clean Technologies and Environmental Policy</w:t>
      </w:r>
      <w:r>
        <w:rPr>
          <w:color w:val="222222"/>
          <w:highlight w:val="white"/>
        </w:rPr>
        <w:t xml:space="preserve">, </w:t>
      </w:r>
      <w:r>
        <w:rPr>
          <w:i/>
          <w:color w:val="222222"/>
          <w:highlight w:val="white"/>
        </w:rPr>
        <w:t>22</w:t>
      </w:r>
      <w:r>
        <w:rPr>
          <w:color w:val="222222"/>
          <w:highlight w:val="white"/>
        </w:rPr>
        <w:t>, pp.371-387.</w:t>
      </w:r>
    </w:p>
    <w:p w14:paraId="242AFCAB" w14:textId="77777777" w:rsidR="00A1056B" w:rsidRDefault="00000000">
      <w:pPr>
        <w:widowControl w:val="0"/>
        <w:spacing w:after="0" w:line="360" w:lineRule="auto"/>
        <w:jc w:val="both"/>
        <w:rPr>
          <w:color w:val="222222"/>
          <w:highlight w:val="white"/>
        </w:rPr>
      </w:pPr>
      <w:r>
        <w:rPr>
          <w:color w:val="222222"/>
          <w:highlight w:val="white"/>
        </w:rPr>
        <w:t xml:space="preserve">Ritch, E.L., 2022. Consumer interpretations of fashion sustainability terminology communicated through labelling. </w:t>
      </w:r>
      <w:r>
        <w:rPr>
          <w:i/>
          <w:color w:val="222222"/>
          <w:highlight w:val="white"/>
        </w:rPr>
        <w:t>Journal of Fashion Marketing and Management: An International Journal</w:t>
      </w:r>
      <w:r>
        <w:rPr>
          <w:color w:val="222222"/>
          <w:highlight w:val="white"/>
        </w:rPr>
        <w:t xml:space="preserve">, </w:t>
      </w:r>
      <w:r>
        <w:rPr>
          <w:i/>
          <w:color w:val="222222"/>
          <w:highlight w:val="white"/>
        </w:rPr>
        <w:t>26</w:t>
      </w:r>
      <w:r>
        <w:rPr>
          <w:color w:val="222222"/>
          <w:highlight w:val="white"/>
        </w:rPr>
        <w:t>(5), pp.741-758.</w:t>
      </w:r>
    </w:p>
    <w:p w14:paraId="202BFDA5" w14:textId="77777777" w:rsidR="00A1056B" w:rsidRDefault="00000000">
      <w:pPr>
        <w:spacing w:line="360" w:lineRule="auto"/>
        <w:jc w:val="both"/>
        <w:rPr>
          <w:color w:val="222222"/>
          <w:highlight w:val="white"/>
        </w:rPr>
      </w:pPr>
      <w:r>
        <w:rPr>
          <w:color w:val="222222"/>
          <w:highlight w:val="white"/>
        </w:rPr>
        <w:t xml:space="preserve">Saurwein, F. and Spencer-Smith, C., 2020. Combating disinformation on social media: Multilevel governance and distributed accountability in Europe. </w:t>
      </w:r>
      <w:r>
        <w:rPr>
          <w:i/>
          <w:color w:val="222222"/>
          <w:highlight w:val="white"/>
        </w:rPr>
        <w:t>Digital Journalism</w:t>
      </w:r>
      <w:r>
        <w:rPr>
          <w:color w:val="222222"/>
          <w:highlight w:val="white"/>
        </w:rPr>
        <w:t xml:space="preserve">, </w:t>
      </w:r>
      <w:r>
        <w:rPr>
          <w:i/>
          <w:color w:val="222222"/>
          <w:highlight w:val="white"/>
        </w:rPr>
        <w:t>8</w:t>
      </w:r>
      <w:r>
        <w:rPr>
          <w:color w:val="222222"/>
          <w:highlight w:val="white"/>
        </w:rPr>
        <w:t xml:space="preserve">(6), pp.820-841. </w:t>
      </w:r>
    </w:p>
    <w:p w14:paraId="52AE6E65" w14:textId="77777777" w:rsidR="00A1056B" w:rsidRDefault="00000000">
      <w:pPr>
        <w:spacing w:line="360" w:lineRule="auto"/>
        <w:jc w:val="both"/>
      </w:pPr>
      <w:r>
        <w:rPr>
          <w:color w:val="222222"/>
          <w:highlight w:val="white"/>
        </w:rPr>
        <w:t xml:space="preserve">Schleper, M.C., Gold, S., Trautrims, A. and Baldock, D., 2021. Pandemic-induced knowledge gaps in operations and supply chain management: COVID-19’s impacts on retailing. </w:t>
      </w:r>
      <w:r>
        <w:rPr>
          <w:i/>
          <w:color w:val="222222"/>
          <w:highlight w:val="white"/>
        </w:rPr>
        <w:t>International Journal of Operations &amp; Production Management</w:t>
      </w:r>
      <w:r>
        <w:rPr>
          <w:color w:val="222222"/>
          <w:highlight w:val="white"/>
        </w:rPr>
        <w:t xml:space="preserve">, </w:t>
      </w:r>
      <w:r>
        <w:rPr>
          <w:i/>
          <w:color w:val="222222"/>
          <w:highlight w:val="white"/>
        </w:rPr>
        <w:t>41</w:t>
      </w:r>
      <w:r>
        <w:rPr>
          <w:color w:val="222222"/>
          <w:highlight w:val="white"/>
        </w:rPr>
        <w:t>(3), pp.193-205.</w:t>
      </w:r>
    </w:p>
    <w:p w14:paraId="08CDEF2A" w14:textId="77777777" w:rsidR="00A1056B" w:rsidRDefault="00000000">
      <w:pPr>
        <w:spacing w:line="360" w:lineRule="auto"/>
        <w:jc w:val="both"/>
        <w:rPr>
          <w:color w:val="222222"/>
          <w:highlight w:val="white"/>
        </w:rPr>
      </w:pPr>
      <w:r>
        <w:rPr>
          <w:color w:val="222222"/>
          <w:highlight w:val="white"/>
        </w:rPr>
        <w:t xml:space="preserve">Schleper, M.C., Gold, S., Trautrims, A. and Baldock, D., 2021. Pandemic-induced knowledge gaps in operations and supply chain management: COVID-19’s impacts on retailing. </w:t>
      </w:r>
      <w:r>
        <w:rPr>
          <w:i/>
          <w:color w:val="222222"/>
          <w:highlight w:val="white"/>
        </w:rPr>
        <w:t>International Journal of Operations &amp; Production Management</w:t>
      </w:r>
      <w:r>
        <w:rPr>
          <w:color w:val="222222"/>
          <w:highlight w:val="white"/>
        </w:rPr>
        <w:t xml:space="preserve">, </w:t>
      </w:r>
      <w:r>
        <w:rPr>
          <w:i/>
          <w:color w:val="222222"/>
          <w:highlight w:val="white"/>
        </w:rPr>
        <w:t>41</w:t>
      </w:r>
      <w:r>
        <w:rPr>
          <w:color w:val="222222"/>
          <w:highlight w:val="white"/>
        </w:rPr>
        <w:t>(3), pp.193-205.</w:t>
      </w:r>
    </w:p>
    <w:p w14:paraId="5F5CC2E5" w14:textId="77777777" w:rsidR="00A1056B" w:rsidRDefault="00000000">
      <w:pPr>
        <w:widowControl w:val="0"/>
        <w:spacing w:after="0" w:line="360" w:lineRule="auto"/>
        <w:jc w:val="both"/>
        <w:rPr>
          <w:color w:val="222222"/>
          <w:highlight w:val="white"/>
        </w:rPr>
      </w:pPr>
      <w:r>
        <w:rPr>
          <w:color w:val="222222"/>
          <w:highlight w:val="white"/>
        </w:rPr>
        <w:t xml:space="preserve">Shail, R., 2022. Film in the Workplace: Exploring the Film Holdings of the Marks and Spencer Company Archive. </w:t>
      </w:r>
      <w:r>
        <w:rPr>
          <w:i/>
          <w:color w:val="222222"/>
          <w:highlight w:val="white"/>
        </w:rPr>
        <w:t>Journal of British Cinema and Television</w:t>
      </w:r>
      <w:r>
        <w:rPr>
          <w:color w:val="222222"/>
          <w:highlight w:val="white"/>
        </w:rPr>
        <w:t xml:space="preserve">, </w:t>
      </w:r>
      <w:r>
        <w:rPr>
          <w:i/>
          <w:color w:val="222222"/>
          <w:highlight w:val="white"/>
        </w:rPr>
        <w:t>19</w:t>
      </w:r>
      <w:r>
        <w:rPr>
          <w:color w:val="222222"/>
          <w:highlight w:val="white"/>
        </w:rPr>
        <w:t>(4), pp.536-553.</w:t>
      </w:r>
    </w:p>
    <w:p w14:paraId="04ADC494" w14:textId="77777777" w:rsidR="00A1056B" w:rsidRDefault="00000000">
      <w:pPr>
        <w:spacing w:line="360" w:lineRule="auto"/>
        <w:jc w:val="both"/>
        <w:rPr>
          <w:color w:val="222222"/>
          <w:highlight w:val="white"/>
        </w:rPr>
      </w:pPr>
      <w:r>
        <w:rPr>
          <w:color w:val="222222"/>
          <w:highlight w:val="white"/>
        </w:rPr>
        <w:t xml:space="preserve">Sogn-Grundvåg, G., Asche, F., Zhang, D. and Young, J.A., 2019. Eco-labels and product longevity: The case of whitefish in UK grocery retailing. </w:t>
      </w:r>
      <w:r>
        <w:rPr>
          <w:i/>
          <w:color w:val="222222"/>
          <w:highlight w:val="white"/>
        </w:rPr>
        <w:t>Food Policy</w:t>
      </w:r>
      <w:r>
        <w:rPr>
          <w:color w:val="222222"/>
          <w:highlight w:val="white"/>
        </w:rPr>
        <w:t xml:space="preserve">, </w:t>
      </w:r>
      <w:r>
        <w:rPr>
          <w:i/>
          <w:color w:val="222222"/>
          <w:highlight w:val="white"/>
        </w:rPr>
        <w:t>88</w:t>
      </w:r>
      <w:r>
        <w:rPr>
          <w:color w:val="222222"/>
          <w:highlight w:val="white"/>
        </w:rPr>
        <w:t>, p.101750.</w:t>
      </w:r>
    </w:p>
    <w:p w14:paraId="195B1F22" w14:textId="77777777" w:rsidR="00A1056B" w:rsidRDefault="00000000">
      <w:pPr>
        <w:spacing w:line="360" w:lineRule="auto"/>
        <w:jc w:val="both"/>
        <w:rPr>
          <w:color w:val="222222"/>
          <w:highlight w:val="white"/>
        </w:rPr>
      </w:pPr>
      <w:r>
        <w:rPr>
          <w:color w:val="222222"/>
          <w:highlight w:val="white"/>
        </w:rPr>
        <w:t xml:space="preserve">Sony, M., Antony, J., Mc Dermott, O. and Garza-Reyes, J.A., 2021. An empirical examination of benefits, challenges, and critical success factors of industry 4.0 in manufacturing and service sector. </w:t>
      </w:r>
      <w:r>
        <w:rPr>
          <w:i/>
          <w:color w:val="222222"/>
          <w:highlight w:val="white"/>
        </w:rPr>
        <w:t>Technology in Society</w:t>
      </w:r>
      <w:r>
        <w:rPr>
          <w:color w:val="222222"/>
          <w:highlight w:val="white"/>
        </w:rPr>
        <w:t xml:space="preserve">, </w:t>
      </w:r>
      <w:r>
        <w:rPr>
          <w:i/>
          <w:color w:val="222222"/>
          <w:highlight w:val="white"/>
        </w:rPr>
        <w:t>67</w:t>
      </w:r>
      <w:r>
        <w:rPr>
          <w:color w:val="222222"/>
          <w:highlight w:val="white"/>
        </w:rPr>
        <w:t>, p.101754</w:t>
      </w:r>
    </w:p>
    <w:p w14:paraId="57C62C20" w14:textId="77777777" w:rsidR="00A1056B" w:rsidRDefault="00000000">
      <w:pPr>
        <w:spacing w:line="360" w:lineRule="auto"/>
        <w:jc w:val="both"/>
        <w:rPr>
          <w:color w:val="222222"/>
          <w:highlight w:val="white"/>
        </w:rPr>
      </w:pPr>
      <w:r>
        <w:rPr>
          <w:color w:val="222222"/>
          <w:highlight w:val="white"/>
        </w:rPr>
        <w:t xml:space="preserve">Stuart, M., Spencer, D.A., McLachlan, C.J. and Forde, C., 2021. COVID‐19 and the uncertain future of HRM: Furlough, job retention and reform. </w:t>
      </w:r>
      <w:r>
        <w:rPr>
          <w:i/>
          <w:color w:val="222222"/>
          <w:highlight w:val="white"/>
        </w:rPr>
        <w:t>Human Resource Management Journal</w:t>
      </w:r>
      <w:r>
        <w:rPr>
          <w:color w:val="222222"/>
          <w:highlight w:val="white"/>
        </w:rPr>
        <w:t xml:space="preserve">, </w:t>
      </w:r>
      <w:r>
        <w:rPr>
          <w:i/>
          <w:color w:val="222222"/>
          <w:highlight w:val="white"/>
        </w:rPr>
        <w:t>31</w:t>
      </w:r>
      <w:r>
        <w:rPr>
          <w:color w:val="222222"/>
          <w:highlight w:val="white"/>
        </w:rPr>
        <w:t xml:space="preserve">(4), pp.904-917. </w:t>
      </w:r>
    </w:p>
    <w:p w14:paraId="68979A1E" w14:textId="77777777" w:rsidR="00A1056B" w:rsidRDefault="00000000">
      <w:pPr>
        <w:spacing w:line="360" w:lineRule="auto"/>
        <w:jc w:val="both"/>
        <w:rPr>
          <w:color w:val="222222"/>
          <w:highlight w:val="white"/>
        </w:rPr>
      </w:pPr>
      <w:r>
        <w:rPr>
          <w:color w:val="222222"/>
          <w:highlight w:val="white"/>
        </w:rPr>
        <w:t xml:space="preserve">Zhang, L., Wu, L., Huang, L. and Zhang, Y., 2021. Wield the power of omni-channel retailing strategy: a capability and supply chain resilience perspective. </w:t>
      </w:r>
      <w:r>
        <w:rPr>
          <w:i/>
          <w:color w:val="222222"/>
          <w:highlight w:val="white"/>
        </w:rPr>
        <w:t>Journal of Strategic Marketing</w:t>
      </w:r>
      <w:r>
        <w:rPr>
          <w:color w:val="222222"/>
          <w:highlight w:val="white"/>
        </w:rPr>
        <w:t>, pp.1-25.</w:t>
      </w:r>
    </w:p>
    <w:p w14:paraId="1B007094" w14:textId="77777777" w:rsidR="00A1056B" w:rsidRDefault="00A1056B">
      <w:pPr>
        <w:widowControl w:val="0"/>
        <w:spacing w:after="0" w:line="360" w:lineRule="auto"/>
        <w:rPr>
          <w:color w:val="222222"/>
          <w:highlight w:val="white"/>
        </w:rPr>
      </w:pPr>
    </w:p>
    <w:p w14:paraId="7AEBA505" w14:textId="77777777" w:rsidR="00A1056B" w:rsidRDefault="00A1056B">
      <w:pPr>
        <w:spacing w:line="360" w:lineRule="auto"/>
        <w:jc w:val="both"/>
      </w:pPr>
    </w:p>
    <w:sectPr w:rsidR="00A1056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2D633" w14:textId="77777777" w:rsidR="00375633" w:rsidRDefault="00375633">
      <w:pPr>
        <w:spacing w:after="0" w:line="240" w:lineRule="auto"/>
      </w:pPr>
      <w:r>
        <w:separator/>
      </w:r>
    </w:p>
  </w:endnote>
  <w:endnote w:type="continuationSeparator" w:id="0">
    <w:p w14:paraId="2A4820BD" w14:textId="77777777" w:rsidR="00375633" w:rsidRDefault="00375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ECC9" w14:textId="77777777" w:rsidR="00A1056B" w:rsidRDefault="00A1056B">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C2CE" w14:textId="1CE6731E" w:rsidR="00A1056B"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438A0">
      <w:rPr>
        <w:color w:val="000000"/>
      </w:rPr>
      <w:t>1</w:t>
    </w:r>
    <w:r>
      <w:rPr>
        <w:color w:val="000000"/>
      </w:rPr>
      <w:fldChar w:fldCharType="end"/>
    </w:r>
    <w:r>
      <w:rPr>
        <w:color w:val="000000"/>
      </w:rPr>
      <w:t xml:space="preserve"> | </w:t>
    </w:r>
    <w:r>
      <w:rPr>
        <w:color w:val="7F7F7F"/>
      </w:rPr>
      <w:t>Page</w:t>
    </w:r>
  </w:p>
  <w:p w14:paraId="078D238B" w14:textId="77777777" w:rsidR="00A1056B" w:rsidRDefault="00A1056B">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45866" w14:textId="77777777" w:rsidR="00A1056B" w:rsidRDefault="00A1056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0EFB5" w14:textId="77777777" w:rsidR="00375633" w:rsidRDefault="00375633">
      <w:pPr>
        <w:spacing w:after="0" w:line="240" w:lineRule="auto"/>
      </w:pPr>
      <w:r>
        <w:separator/>
      </w:r>
    </w:p>
  </w:footnote>
  <w:footnote w:type="continuationSeparator" w:id="0">
    <w:p w14:paraId="79D53662" w14:textId="77777777" w:rsidR="00375633" w:rsidRDefault="00375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8A84" w14:textId="77777777" w:rsidR="00A1056B" w:rsidRDefault="00A1056B">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6B217" w14:textId="77777777" w:rsidR="00A1056B" w:rsidRDefault="00A1056B">
    <w:pPr>
      <w:pBdr>
        <w:top w:val="nil"/>
        <w:left w:val="nil"/>
        <w:bottom w:val="nil"/>
        <w:right w:val="nil"/>
        <w:between w:val="nil"/>
      </w:pBdr>
      <w:tabs>
        <w:tab w:val="center" w:pos="4513"/>
        <w:tab w:val="right" w:pos="9026"/>
      </w:tabs>
      <w:spacing w:after="0" w:line="240" w:lineRule="auto"/>
      <w:rPr>
        <w:color w:val="000000"/>
      </w:rPr>
    </w:pPr>
  </w:p>
  <w:p w14:paraId="646B0D0C" w14:textId="77777777" w:rsidR="00A1056B" w:rsidRDefault="00A1056B">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E81CB" w14:textId="77777777" w:rsidR="00A1056B" w:rsidRDefault="00A1056B">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56B"/>
    <w:rsid w:val="0033259D"/>
    <w:rsid w:val="00375633"/>
    <w:rsid w:val="008620EE"/>
    <w:rsid w:val="00A1056B"/>
    <w:rsid w:val="00B15400"/>
    <w:rsid w:val="00F438A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14811"/>
  <w15:docId w15:val="{0A76AE21-9CB7-2A4A-9359-DD63127B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noProof/>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b/>
      <w:bCs/>
      <w:color w:val="17365D" w:themeColor="text2" w:themeShade="BF"/>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2">
    <w:name w:val="Table2"/>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3">
    <w:name w:val="Table3"/>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4">
    <w:name w:val="Table4"/>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5">
    <w:name w:val="Table5"/>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6">
    <w:name w:val="Table6"/>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7">
    <w:name w:val="Table7"/>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8">
    <w:name w:val="Table8"/>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9">
    <w:name w:val="Table9"/>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Table10">
    <w:name w:val="Table10"/>
    <w:basedOn w:val="TableNormal"/>
    <w:tblPr>
      <w:tblStyleRowBandSize w:val="1"/>
      <w:tblStyleColBandSize w:val="1"/>
      <w:tblCellMar>
        <w:top w:w="100" w:type="dxa"/>
        <w:left w:w="100" w:type="dxa"/>
        <w:bottom w:w="100" w:type="dxa"/>
        <w:right w:w="100" w:type="dxa"/>
      </w:tblCellMar>
    </w:tblPr>
    <w:tcPr>
      <w:shd w:val="clear" w:color="auto" w:fill="F7F7F8"/>
    </w:tc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00">
    <w:name w:val="Table1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20">
    <w:name w:val="Table2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30">
    <w:name w:val="Table3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40">
    <w:name w:val="Table4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50">
    <w:name w:val="Table5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60">
    <w:name w:val="Table6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70">
    <w:name w:val="Table7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80">
    <w:name w:val="Table8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90">
    <w:name w:val="Table9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 w:type="table" w:customStyle="1" w:styleId="Table1000">
    <w:name w:val="Table10_0"/>
    <w:basedOn w:val="TableNormal"/>
    <w:pPr>
      <w:spacing w:after="0" w:line="240" w:lineRule="auto"/>
      <w:jc w:val="both"/>
    </w:pPr>
    <w:rPr>
      <w:color w:val="000000"/>
    </w:rPr>
    <w:tblPr>
      <w:tblStyleRowBandSize w:val="1"/>
      <w:tblStyleColBandSize w:val="1"/>
      <w:tblCellMar>
        <w:left w:w="115" w:type="dxa"/>
        <w:right w:w="115" w:type="dxa"/>
      </w:tblCellMar>
    </w:tblPr>
    <w:tcPr>
      <w:shd w:val="clear" w:color="auto" w:fill="F7F7F8"/>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Zmg4xiU3UoD8ffD9pzm/8nLKR2w==">AMUW2mWgg4TBVtIcGfsVdvtKL0/8SxHcUmXLY7VurcuD21PXxHsblEWPZlvmQw2l37Aen71Xxc8LpbAgkuv5J1dLcG2tuLLFVgr4pPnNDhQDQQrRAGlWeTdRkL2DTgnfG/jXEMWVHJ7hPCkdEPZ+/BCZ4mAxmoj9slzPDin7v+Mzz9vFRySPl9ZuWrS4+n5iPPEFHAECeqS3+1A0U1t5xrDX232xl4TSht7B51CYpOB9iAqRJy0V6mryw0Q5eZaypWLOGEH/pQ+j1ex+EjC3M/4yEnMXN561vZvrFAbBMXHc3XvvwqAs1kcxiPJMBVjxlIiXM+uogiRg9AG5JdvAkbBJoYPRI8Tj24XASF3DqZA/IITx+UMdJHK6n9TmPpqdQs/0kxzFybRELxdIcaVhXj8G81GzMA/Z89nusq4mDvSmlId37a4IGE8ZMAvNpmWJV9K87G3gTFph70MW82O7I+zowz9cDCq933m4JpUAd1FuD6P6NKuByo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6924</Words>
  <Characters>39467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patel</dc:creator>
  <cp:keywords/>
  <dc:description/>
  <cp:lastModifiedBy>meet patel</cp:lastModifiedBy>
  <cp:revision>2</cp:revision>
  <dcterms:created xsi:type="dcterms:W3CDTF">2023-05-05T22:45:00Z</dcterms:created>
  <dcterms:modified xsi:type="dcterms:W3CDTF">2023-05-05T22:45:00Z</dcterms:modified>
  <cp:category/>
</cp:coreProperties>
</file>