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sz w:val="24"/>
          <w:szCs w:val="24"/>
        </w:rPr>
        <w:t xml:space="preserve">University of Wales Trinity Saint David</w:t>
      </w:r>
    </w:p>
    <w:p>
      <w:pPr>
        <w:spacing w:after="200"/>
        <w:jc w:val="center"/>
      </w:pPr>
      <w:r>
        <w:rPr>
          <w:rFonts w:ascii="Arial" w:cs="Arial" w:eastAsia="Arial" w:hAnsi="Arial"/>
          <w:sz w:val="22"/>
          <w:szCs w:val="22"/>
        </w:rPr>
        <w:t xml:space="preserve">BSc (Hons) Health and Social Care</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200"/>
        <w:gridCol w:w="6438"/>
      </w:tblGrid>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Module:</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Independent Project (BMHP6020)</w:t>
            </w:r>
          </w:p>
        </w:tc>
      </w:tr>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Component:</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Element 1 – Project Proposal</w:t>
            </w:r>
          </w:p>
        </w:tc>
      </w:tr>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Student ID:</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 </w:t>
            </w:r>
          </w:p>
        </w:tc>
      </w:tr>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Student Name:</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 </w:t>
            </w:r>
          </w:p>
        </w:tc>
      </w:tr>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Date of submission:</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 </w:t>
            </w:r>
          </w:p>
        </w:tc>
      </w:tr>
      <w:tr>
        <w:tc>
          <w:tcPr>
            <w:tcW w:type="dxa" w:w="3200"/>
            <w:tcBorders>
              <w:top w:val="none" w:color="FFFFFF" w:sz="0"/>
              <w:left w:val="none" w:color="FFFFFF" w:sz="0"/>
              <w:bottom w:val="none" w:color="FFFFFF" w:sz="0"/>
              <w:right w:val="none" w:color="FFFFFF" w:sz="0"/>
            </w:tcBorders>
          </w:tcPr>
          <w:p>
            <w:r>
              <w:rPr>
                <w:rFonts w:ascii="Arial" w:cs="Arial" w:eastAsia="Arial" w:hAnsi="Arial"/>
                <w:b/>
                <w:bCs/>
                <w:sz w:val="22"/>
                <w:szCs w:val="22"/>
              </w:rPr>
              <w:t xml:space="preserve">Word count:</w:t>
            </w:r>
          </w:p>
        </w:tc>
        <w:tc>
          <w:tcPr>
            <w:tcW w:type="dxa" w:w="6438"/>
            <w:tcBorders>
              <w:top w:val="none" w:color="FFFFFF" w:sz="0"/>
              <w:left w:val="none" w:color="FFFFFF" w:sz="0"/>
              <w:bottom w:val="none" w:color="FFFFFF" w:sz="0"/>
              <w:right w:val="none" w:color="FFFFFF" w:sz="0"/>
            </w:tcBorders>
          </w:tcPr>
          <w:p>
            <w:r>
              <w:rPr>
                <w:rFonts w:ascii="Arial" w:cs="Arial" w:eastAsia="Arial" w:hAnsi="Arial"/>
                <w:sz w:val="22"/>
                <w:szCs w:val="22"/>
              </w:rPr>
              <w:t xml:space="preserve">520 (excluding references)</w:t>
            </w:r>
          </w:p>
        </w:tc>
      </w:tr>
    </w:tbl>
    <w:p>
      <w:pPr>
        <w:spacing w:after="120"/>
      </w:pPr>
    </w:p>
    <w:p>
      <w:pPr>
        <w:pStyle w:val="Heading1"/>
      </w:pPr>
      <w:r>
        <w:rPr>
          <w:rFonts w:ascii="Arial" w:cs="Arial" w:eastAsia="Arial" w:hAnsi="Arial"/>
          <w:b/>
          <w:bCs/>
          <w:sz w:val="32"/>
          <w:szCs w:val="32"/>
        </w:rPr>
        <w:t xml:space="preserve">Element 1 – Project Proposal</w:t>
      </w:r>
    </w:p>
    <w:p>
      <w:pPr>
        <w:pStyle w:val="Heading2"/>
      </w:pPr>
      <w:r>
        <w:rPr>
          <w:rFonts w:ascii="Arial" w:cs="Arial" w:eastAsia="Arial" w:hAnsi="Arial"/>
          <w:b/>
          <w:bCs/>
          <w:sz w:val="28"/>
          <w:szCs w:val="28"/>
        </w:rPr>
        <w:t xml:space="preserve">My project title:</w:t>
      </w:r>
    </w:p>
    <w:p>
      <w:pPr>
        <w:spacing w:after="200" w:line="360"/>
        <w:jc w:val="both"/>
      </w:pPr>
      <w:r>
        <w:rPr>
          <w:rFonts w:ascii="Arial" w:cs="Arial" w:eastAsia="Arial" w:hAnsi="Arial"/>
          <w:sz w:val="22"/>
          <w:szCs w:val="22"/>
        </w:rPr>
        <w:t xml:space="preserve">An exploration of the impact of social isolation on the mental health and wellbeing of older adults in the UK</w:t>
      </w:r>
    </w:p>
    <w:p>
      <w:pPr>
        <w:pStyle w:val="Heading2"/>
      </w:pPr>
      <w:r>
        <w:rPr>
          <w:rFonts w:ascii="Arial" w:cs="Arial" w:eastAsia="Arial" w:hAnsi="Arial"/>
          <w:b/>
          <w:bCs/>
          <w:sz w:val="28"/>
          <w:szCs w:val="28"/>
        </w:rPr>
        <w:t xml:space="preserve">1) Aim:</w:t>
      </w:r>
    </w:p>
    <w:p>
      <w:pPr>
        <w:spacing w:after="200" w:line="360"/>
        <w:jc w:val="both"/>
      </w:pPr>
      <w:r>
        <w:rPr>
          <w:rFonts w:ascii="Arial" w:cs="Arial" w:eastAsia="Arial" w:hAnsi="Arial"/>
          <w:sz w:val="22"/>
          <w:szCs w:val="22"/>
        </w:rPr>
        <w:t xml:space="preserve">To explore the impact of social isolation on the mental health and wellbeing of older adults in the UK and to identify implications for health and social care practice and policy.</w:t>
      </w:r>
    </w:p>
    <w:p>
      <w:pPr>
        <w:pStyle w:val="Heading2"/>
      </w:pPr>
      <w:r>
        <w:rPr>
          <w:rFonts w:ascii="Arial" w:cs="Arial" w:eastAsia="Arial" w:hAnsi="Arial"/>
          <w:b/>
          <w:bCs/>
          <w:sz w:val="28"/>
          <w:szCs w:val="28"/>
        </w:rPr>
        <w:t xml:space="preserve">2) Objectives:</w:t>
      </w:r>
    </w:p>
    <w:p>
      <w:pPr>
        <w:spacing w:after="80" w:line="360"/>
        <w:jc w:val="both"/>
      </w:pPr>
      <w:r>
        <w:rPr>
          <w:rFonts w:ascii="Arial" w:cs="Arial" w:eastAsia="Arial" w:hAnsi="Arial"/>
          <w:sz w:val="22"/>
          <w:szCs w:val="22"/>
        </w:rPr>
        <w:t xml:space="preserve">• Examine the concept and nature of social isolation among older adults in the UK.</w:t>
      </w:r>
    </w:p>
    <w:p>
      <w:pPr>
        <w:spacing w:after="80" w:line="360"/>
        <w:jc w:val="both"/>
      </w:pPr>
      <w:r>
        <w:rPr>
          <w:rFonts w:ascii="Arial" w:cs="Arial" w:eastAsia="Arial" w:hAnsi="Arial"/>
          <w:sz w:val="22"/>
          <w:szCs w:val="22"/>
        </w:rPr>
        <w:t xml:space="preserve">• Analyse secondary data and the existing body of peer-reviewed literature on the relationship between social isolation and mental health and wellbeing in older adults.</w:t>
      </w:r>
    </w:p>
    <w:p>
      <w:pPr>
        <w:spacing w:after="80" w:line="360"/>
        <w:jc w:val="both"/>
      </w:pPr>
      <w:r>
        <w:rPr>
          <w:rFonts w:ascii="Arial" w:cs="Arial" w:eastAsia="Arial" w:hAnsi="Arial"/>
          <w:sz w:val="22"/>
          <w:szCs w:val="22"/>
        </w:rPr>
        <w:t xml:space="preserve">• Evaluate the impact of social isolation on the mental health and wellbeing of older adults.</w:t>
      </w:r>
    </w:p>
    <w:p>
      <w:pPr>
        <w:spacing w:after="200" w:line="360"/>
        <w:jc w:val="both"/>
      </w:pPr>
      <w:r>
        <w:rPr>
          <w:rFonts w:ascii="Arial" w:cs="Arial" w:eastAsia="Arial" w:hAnsi="Arial"/>
          <w:sz w:val="22"/>
          <w:szCs w:val="22"/>
        </w:rPr>
        <w:t xml:space="preserve">• Provide recommendations for policy and practice to better support older adults experiencing social isolation.</w:t>
      </w:r>
    </w:p>
    <w:p>
      <w:pPr>
        <w:pStyle w:val="Heading2"/>
      </w:pPr>
      <w:r>
        <w:rPr>
          <w:rFonts w:ascii="Arial" w:cs="Arial" w:eastAsia="Arial" w:hAnsi="Arial"/>
          <w:b/>
          <w:bCs/>
          <w:sz w:val="28"/>
          <w:szCs w:val="28"/>
        </w:rPr>
        <w:t xml:space="preserve">3) Background/Rationale:</w:t>
      </w:r>
    </w:p>
    <w:p>
      <w:pPr>
        <w:spacing w:after="160" w:line="360"/>
        <w:jc w:val="both"/>
      </w:pPr>
      <w:r>
        <w:rPr>
          <w:rFonts w:ascii="Arial" w:cs="Arial" w:eastAsia="Arial" w:hAnsi="Arial"/>
          <w:sz w:val="22"/>
          <w:szCs w:val="22"/>
        </w:rPr>
        <w:t xml:space="preserve">Social isolation is an important issue for older adults and has clear links to poorer mental health and reduced wellbeing. It is generally understood as a lack of meaningful social contacts or limited participation in social activities. Research consistently shows that older people who experience high levels of social isolation are more likely to report symptoms of depression, anxiety and lower life satisfaction than those who maintain regular social connections (Hilliard et al., 2026; Ma et al., 2026).</w:t>
      </w:r>
    </w:p>
    <w:p>
      <w:pPr>
        <w:spacing w:after="160" w:line="360"/>
        <w:jc w:val="both"/>
      </w:pPr>
      <w:r>
        <w:rPr>
          <w:rFonts w:ascii="Arial" w:cs="Arial" w:eastAsia="Arial" w:hAnsi="Arial"/>
          <w:sz w:val="22"/>
          <w:szCs w:val="22"/>
        </w:rPr>
        <w:t xml:space="preserve">The problem has become more visible in recent years. Many older adults live alone, face reduced mobility, or have experienced disrupted family and community contact. Evidence from the English Longitudinal Study of Ageing indicates that levels of depressive symptoms and loneliness among adults aged 50 and over remained elevated after the pandemic compared with pre-pandemic levels (Moreno-Agostino and Di Gessa, 2026). This has lasting effects on emotional wellbeing and can increase pressure on health and social care services. Understanding these impacts more clearly is relevant to evidence-based practice because professionals and organisations need reliable knowledge in order to design appropriate support.</w:t>
      </w:r>
    </w:p>
    <w:p>
      <w:pPr>
        <w:spacing w:after="200" w:line="360"/>
        <w:jc w:val="both"/>
      </w:pPr>
      <w:r>
        <w:rPr>
          <w:rFonts w:ascii="Arial" w:cs="Arial" w:eastAsia="Arial" w:hAnsi="Arial"/>
          <w:sz w:val="22"/>
          <w:szCs w:val="22"/>
        </w:rPr>
        <w:t xml:space="preserve">This project will therefore review recent peer-reviewed primary research to examine how social isolation affects the mental health and wellbeing of older adults in the UK context. The findings should help highlight practical ways in which services, practitioners and policy can respond more effectively.</w:t>
      </w:r>
    </w:p>
    <w:p>
      <w:pPr>
        <w:pStyle w:val="Heading2"/>
      </w:pPr>
      <w:r>
        <w:rPr>
          <w:rFonts w:ascii="Arial" w:cs="Arial" w:eastAsia="Arial" w:hAnsi="Arial"/>
          <w:b/>
          <w:bCs/>
          <w:sz w:val="28"/>
          <w:szCs w:val="28"/>
        </w:rPr>
        <w:t xml:space="preserve">4) Methods:</w:t>
      </w:r>
    </w:p>
    <w:p>
      <w:pPr>
        <w:spacing w:after="160" w:line="360"/>
        <w:jc w:val="both"/>
      </w:pPr>
      <w:r>
        <w:rPr>
          <w:rFonts w:ascii="Arial" w:cs="Arial" w:eastAsia="Arial" w:hAnsi="Arial"/>
          <w:sz w:val="22"/>
          <w:szCs w:val="22"/>
        </w:rPr>
        <w:t xml:space="preserve">The study will be based on secondary research. Data will be collected through a systematic literature review of ten peer-reviewed journal articles that report primary research findings.</w:t>
      </w:r>
    </w:p>
    <w:p>
      <w:pPr>
        <w:spacing w:after="80" w:before="120"/>
      </w:pPr>
      <w:r>
        <w:rPr>
          <w:rFonts w:ascii="Arial" w:cs="Arial" w:eastAsia="Arial" w:hAnsi="Arial"/>
          <w:b/>
          <w:bCs/>
          <w:sz w:val="22"/>
          <w:szCs w:val="22"/>
        </w:rPr>
        <w:t xml:space="preserve">Search strategy</w:t>
      </w:r>
    </w:p>
    <w:p>
      <w:pPr>
        <w:spacing w:after="80" w:line="360"/>
        <w:jc w:val="both"/>
      </w:pPr>
      <w:r>
        <w:rPr>
          <w:rFonts w:ascii="Arial" w:cs="Arial" w:eastAsia="Arial" w:hAnsi="Arial"/>
          <w:sz w:val="22"/>
          <w:szCs w:val="22"/>
        </w:rPr>
        <w:t xml:space="preserve">The following academic databases will be used:</w:t>
      </w:r>
    </w:p>
    <w:p>
      <w:pPr>
        <w:spacing w:after="40" w:line="360"/>
      </w:pPr>
      <w:r>
        <w:rPr>
          <w:rFonts w:ascii="Arial" w:cs="Arial" w:eastAsia="Arial" w:hAnsi="Arial"/>
          <w:sz w:val="22"/>
          <w:szCs w:val="22"/>
        </w:rPr>
        <w:t xml:space="preserve">• PubMed</w:t>
      </w:r>
    </w:p>
    <w:p>
      <w:pPr>
        <w:spacing w:after="40" w:line="360"/>
      </w:pPr>
      <w:r>
        <w:rPr>
          <w:rFonts w:ascii="Arial" w:cs="Arial" w:eastAsia="Arial" w:hAnsi="Arial"/>
          <w:sz w:val="22"/>
          <w:szCs w:val="22"/>
        </w:rPr>
        <w:t xml:space="preserve">• ProQuest</w:t>
      </w:r>
    </w:p>
    <w:p>
      <w:pPr>
        <w:spacing w:after="40" w:line="360"/>
      </w:pPr>
      <w:r>
        <w:rPr>
          <w:rFonts w:ascii="Arial" w:cs="Arial" w:eastAsia="Arial" w:hAnsi="Arial"/>
          <w:sz w:val="22"/>
          <w:szCs w:val="22"/>
        </w:rPr>
        <w:t xml:space="preserve">• Google Scholar</w:t>
      </w:r>
    </w:p>
    <w:p>
      <w:pPr>
        <w:spacing w:after="160" w:line="360"/>
      </w:pPr>
      <w:r>
        <w:rPr>
          <w:rFonts w:ascii="Arial" w:cs="Arial" w:eastAsia="Arial" w:hAnsi="Arial"/>
          <w:sz w:val="22"/>
          <w:szCs w:val="22"/>
        </w:rPr>
        <w:t xml:space="preserve">• UWTSD library catalogue</w:t>
      </w:r>
    </w:p>
    <w:p>
      <w:pPr>
        <w:spacing w:after="80" w:before="80"/>
      </w:pPr>
      <w:r>
        <w:rPr>
          <w:rFonts w:ascii="Arial" w:cs="Arial" w:eastAsia="Arial" w:hAnsi="Arial"/>
          <w:b/>
          <w:bCs/>
          <w:sz w:val="22"/>
          <w:szCs w:val="22"/>
        </w:rPr>
        <w:t xml:space="preserve">Keywords</w:t>
      </w:r>
    </w:p>
    <w:p>
      <w:pPr>
        <w:spacing w:after="160" w:line="360"/>
        <w:jc w:val="both"/>
      </w:pPr>
      <w:r>
        <w:rPr>
          <w:rFonts w:ascii="Arial" w:cs="Arial" w:eastAsia="Arial" w:hAnsi="Arial"/>
          <w:sz w:val="22"/>
          <w:szCs w:val="22"/>
        </w:rPr>
        <w:t xml:space="preserve">Combinations of the following terms will be used: social isolation, older adults, mental health, wellbeing, loneliness, United Kingdom, elderly, depression, anxiety.</w:t>
      </w:r>
    </w:p>
    <w:p>
      <w:pPr>
        <w:spacing w:after="80" w:before="80"/>
      </w:pPr>
      <w:r>
        <w:rPr>
          <w:rFonts w:ascii="Arial" w:cs="Arial" w:eastAsia="Arial" w:hAnsi="Arial"/>
          <w:b/>
          <w:bCs/>
          <w:sz w:val="22"/>
          <w:szCs w:val="22"/>
        </w:rPr>
        <w:t xml:space="preserve">Inclusion criteria</w:t>
      </w:r>
    </w:p>
    <w:p>
      <w:pPr>
        <w:spacing w:after="40" w:line="360"/>
      </w:pPr>
      <w:r>
        <w:rPr>
          <w:rFonts w:ascii="Arial" w:cs="Arial" w:eastAsia="Arial" w:hAnsi="Arial"/>
          <w:sz w:val="22"/>
          <w:szCs w:val="22"/>
        </w:rPr>
        <w:t xml:space="preserve">• Studies published between 2016 and 2026</w:t>
      </w:r>
    </w:p>
    <w:p>
      <w:pPr>
        <w:spacing w:after="40" w:line="360"/>
      </w:pPr>
      <w:r>
        <w:rPr>
          <w:rFonts w:ascii="Arial" w:cs="Arial" w:eastAsia="Arial" w:hAnsi="Arial"/>
          <w:sz w:val="22"/>
          <w:szCs w:val="22"/>
        </w:rPr>
        <w:t xml:space="preserve">• Research conducted with older adults (typically aged 65 and over) living in the UK</w:t>
      </w:r>
    </w:p>
    <w:p>
      <w:pPr>
        <w:spacing w:after="40" w:line="360"/>
      </w:pPr>
      <w:r>
        <w:rPr>
          <w:rFonts w:ascii="Arial" w:cs="Arial" w:eastAsia="Arial" w:hAnsi="Arial"/>
          <w:sz w:val="22"/>
          <w:szCs w:val="22"/>
        </w:rPr>
        <w:t xml:space="preserve">• Studies that examine the impact of social isolation on mental health and/or wellbeing</w:t>
      </w:r>
    </w:p>
    <w:p>
      <w:pPr>
        <w:spacing w:after="40" w:line="360"/>
      </w:pPr>
      <w:r>
        <w:rPr>
          <w:rFonts w:ascii="Arial" w:cs="Arial" w:eastAsia="Arial" w:hAnsi="Arial"/>
          <w:sz w:val="22"/>
          <w:szCs w:val="22"/>
        </w:rPr>
        <w:t xml:space="preserve">• Peer-reviewed journal articles based on primary research</w:t>
      </w:r>
    </w:p>
    <w:p>
      <w:pPr>
        <w:spacing w:after="160" w:line="360"/>
      </w:pPr>
      <w:r>
        <w:rPr>
          <w:rFonts w:ascii="Arial" w:cs="Arial" w:eastAsia="Arial" w:hAnsi="Arial"/>
          <w:sz w:val="22"/>
          <w:szCs w:val="22"/>
        </w:rPr>
        <w:t xml:space="preserve">• Articles written in English</w:t>
      </w:r>
    </w:p>
    <w:p>
      <w:pPr>
        <w:spacing w:after="80" w:before="80"/>
      </w:pPr>
      <w:r>
        <w:rPr>
          <w:rFonts w:ascii="Arial" w:cs="Arial" w:eastAsia="Arial" w:hAnsi="Arial"/>
          <w:b/>
          <w:bCs/>
          <w:sz w:val="22"/>
          <w:szCs w:val="22"/>
        </w:rPr>
        <w:t xml:space="preserve">Exclusion criteria</w:t>
      </w:r>
    </w:p>
    <w:p>
      <w:pPr>
        <w:spacing w:after="40" w:line="360"/>
      </w:pPr>
      <w:r>
        <w:rPr>
          <w:rFonts w:ascii="Arial" w:cs="Arial" w:eastAsia="Arial" w:hAnsi="Arial"/>
          <w:sz w:val="22"/>
          <w:szCs w:val="22"/>
        </w:rPr>
        <w:t xml:space="preserve">• Studies published before 2016</w:t>
      </w:r>
    </w:p>
    <w:p>
      <w:pPr>
        <w:spacing w:after="40" w:line="360"/>
      </w:pPr>
      <w:r>
        <w:rPr>
          <w:rFonts w:ascii="Arial" w:cs="Arial" w:eastAsia="Arial" w:hAnsi="Arial"/>
          <w:sz w:val="22"/>
          <w:szCs w:val="22"/>
        </w:rPr>
        <w:t xml:space="preserve">• Research conducted outside the UK</w:t>
      </w:r>
    </w:p>
    <w:p>
      <w:pPr>
        <w:spacing w:after="40" w:line="360"/>
      </w:pPr>
      <w:r>
        <w:rPr>
          <w:rFonts w:ascii="Arial" w:cs="Arial" w:eastAsia="Arial" w:hAnsi="Arial"/>
          <w:sz w:val="22"/>
          <w:szCs w:val="22"/>
        </w:rPr>
        <w:t xml:space="preserve">• Studies focused on children, adolescents or working-age adults</w:t>
      </w:r>
    </w:p>
    <w:p>
      <w:pPr>
        <w:spacing w:after="40" w:line="360"/>
      </w:pPr>
      <w:r>
        <w:rPr>
          <w:rFonts w:ascii="Arial" w:cs="Arial" w:eastAsia="Arial" w:hAnsi="Arial"/>
          <w:sz w:val="22"/>
          <w:szCs w:val="22"/>
        </w:rPr>
        <w:t xml:space="preserve">• Non-peer-reviewed material (reports, websites, opinion pieces)</w:t>
      </w:r>
    </w:p>
    <w:p>
      <w:pPr>
        <w:spacing w:after="160" w:line="360"/>
      </w:pPr>
      <w:r>
        <w:rPr>
          <w:rFonts w:ascii="Arial" w:cs="Arial" w:eastAsia="Arial" w:hAnsi="Arial"/>
          <w:sz w:val="22"/>
          <w:szCs w:val="22"/>
        </w:rPr>
        <w:t xml:space="preserve">• Purely secondary reviews or articles that do not address social isolation and mental health/wellbeing</w:t>
      </w:r>
    </w:p>
    <w:p>
      <w:pPr>
        <w:spacing w:after="80" w:before="80"/>
      </w:pPr>
      <w:r>
        <w:rPr>
          <w:rFonts w:ascii="Arial" w:cs="Arial" w:eastAsia="Arial" w:hAnsi="Arial"/>
          <w:b/>
          <w:bCs/>
          <w:sz w:val="22"/>
          <w:szCs w:val="22"/>
        </w:rPr>
        <w:t xml:space="preserve">Data analysis</w:t>
      </w:r>
    </w:p>
    <w:p>
      <w:pPr>
        <w:spacing w:after="200" w:line="360"/>
        <w:jc w:val="both"/>
      </w:pPr>
      <w:r>
        <w:rPr>
          <w:rFonts w:ascii="Arial" w:cs="Arial" w:eastAsia="Arial" w:hAnsi="Arial"/>
          <w:sz w:val="22"/>
          <w:szCs w:val="22"/>
        </w:rPr>
        <w:t xml:space="preserve">Thematic analysis will be used to identify, organise and interpret key patterns and themes across the selected articles.</w:t>
      </w:r>
    </w:p>
    <w:p>
      <w:pPr>
        <w:pStyle w:val="Heading2"/>
      </w:pPr>
      <w:r>
        <w:rPr>
          <w:rFonts w:ascii="Arial" w:cs="Arial" w:eastAsia="Arial" w:hAnsi="Arial"/>
          <w:b/>
          <w:bCs/>
          <w:sz w:val="28"/>
          <w:szCs w:val="28"/>
        </w:rPr>
        <w:t xml:space="preserve">5) Resources:</w:t>
      </w:r>
    </w:p>
    <w:p>
      <w:pPr>
        <w:spacing w:after="200" w:line="360"/>
        <w:jc w:val="both"/>
      </w:pPr>
      <w:r>
        <w:rPr>
          <w:rFonts w:ascii="Arial" w:cs="Arial" w:eastAsia="Arial" w:hAnsi="Arial"/>
          <w:sz w:val="22"/>
          <w:szCs w:val="22"/>
        </w:rPr>
        <w:t xml:space="preserve">Internet access, UWTSD library resources and databases, peer and tutor feedback, personal computer or laptop.</w:t>
      </w:r>
    </w:p>
    <w:p>
      <w:pPr>
        <w:pStyle w:val="Heading2"/>
      </w:pPr>
      <w:r>
        <w:rPr>
          <w:rFonts w:ascii="Arial" w:cs="Arial" w:eastAsia="Arial" w:hAnsi="Arial"/>
          <w:b/>
          <w:bCs/>
          <w:sz w:val="28"/>
          <w:szCs w:val="28"/>
        </w:rPr>
        <w:t xml:space="preserve">6) Timescale:</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5200"/>
        <w:gridCol w:w="4438"/>
      </w:tblGrid>
      <w:tr>
        <w:tc>
          <w:tcPr>
            <w:tcW w:type="dxa" w:w="5200"/>
            <w:tcBorders>
              <w:top w:val="single" w:color="999999" w:sz="4"/>
              <w:left w:val="single" w:color="999999" w:sz="4"/>
              <w:bottom w:val="single" w:color="999999" w:sz="4"/>
              <w:right w:val="single" w:color="999999" w:sz="4"/>
            </w:tcBorders>
            <w:shd w:fill="D9E2F3" w:val="clear"/>
            <w:vAlign w:val="center"/>
          </w:tcPr>
          <w:p>
            <w:pPr>
              <w:spacing w:after="60" w:before="60"/>
            </w:pPr>
            <w:r>
              <w:rPr>
                <w:rFonts w:ascii="Arial" w:cs="Arial" w:eastAsia="Arial" w:hAnsi="Arial"/>
                <w:b/>
                <w:bCs/>
                <w:sz w:val="20"/>
                <w:szCs w:val="20"/>
              </w:rPr>
              <w:t xml:space="preserve">Stage / Chapter</w:t>
            </w:r>
          </w:p>
        </w:tc>
        <w:tc>
          <w:tcPr>
            <w:tcW w:type="dxa" w:w="4438"/>
            <w:tcBorders>
              <w:top w:val="single" w:color="999999" w:sz="4"/>
              <w:left w:val="single" w:color="999999" w:sz="4"/>
              <w:bottom w:val="single" w:color="999999" w:sz="4"/>
              <w:right w:val="single" w:color="999999" w:sz="4"/>
            </w:tcBorders>
            <w:shd w:fill="D9E2F3" w:val="clear"/>
            <w:vAlign w:val="center"/>
          </w:tcPr>
          <w:p>
            <w:pPr>
              <w:spacing w:after="60" w:before="60"/>
            </w:pPr>
            <w:r>
              <w:rPr>
                <w:rFonts w:ascii="Arial" w:cs="Arial" w:eastAsia="Arial" w:hAnsi="Arial"/>
                <w:b/>
                <w:bCs/>
                <w:sz w:val="20"/>
                <w:szCs w:val="20"/>
              </w:rPr>
              <w:t xml:space="preserve">Planned completion</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Literature search and selection of the ten articles</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End of October 2026</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Chapter 1 – Introduction</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Mid-November 2026</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Chapter 2 – Background / Literature</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Late November 2026</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Chapter 3 – Methods</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Early December 2026</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Chapter 4 – Results and Discussion</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By 4 December 2026 (draft)</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Chapter 5 – Recommendations and Conclusion</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By 4 December 2026</w:t>
            </w:r>
          </w:p>
        </w:tc>
      </w:tr>
      <w:tr>
        <w:tc>
          <w:tcPr>
            <w:tcW w:type="dxa" w:w="5200"/>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Final proof-reading and referencing check</w:t>
            </w:r>
          </w:p>
        </w:tc>
        <w:tc>
          <w:tcPr>
            <w:tcW w:type="dxa" w:w="4438"/>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Before 4 December 2026</w:t>
            </w:r>
          </w:p>
        </w:tc>
      </w:tr>
    </w:tbl>
    <w:p>
      <w:pPr>
        <w:spacing w:after="200" w:before="120" w:line="360"/>
        <w:jc w:val="both"/>
      </w:pPr>
      <w:r>
        <w:rPr>
          <w:rFonts w:ascii="Arial" w:cs="Arial" w:eastAsia="Arial" w:hAnsi="Arial"/>
          <w:i/>
          <w:iCs/>
          <w:sz w:val="20"/>
          <w:szCs w:val="20"/>
        </w:rPr>
        <w:t xml:space="preserve">(Element 2 Methodology Poster is due on Friday 23 October 2026 with in-class presentation in the week commencing 26 October 2026. The full dissertation is due on Friday 4 December 2026 at 14:00.)</w:t>
      </w:r>
    </w:p>
    <w:p>
      <w:pPr>
        <w:pStyle w:val="Heading2"/>
      </w:pPr>
      <w:r>
        <w:rPr>
          <w:rFonts w:ascii="Arial" w:cs="Arial" w:eastAsia="Arial" w:hAnsi="Arial"/>
          <w:b/>
          <w:bCs/>
          <w:sz w:val="28"/>
          <w:szCs w:val="28"/>
        </w:rPr>
        <w:t xml:space="preserve">7) Self-reflection as researcher (any strengths or challenges):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4819"/>
        <w:gridCol w:w="4819"/>
      </w:tblGrid>
      <w:tr>
        <w:tc>
          <w:tcPr>
            <w:tcW w:type="dxa" w:w="4819"/>
            <w:tcBorders>
              <w:top w:val="single" w:color="999999" w:sz="4"/>
              <w:left w:val="single" w:color="999999" w:sz="4"/>
              <w:bottom w:val="single" w:color="999999" w:sz="4"/>
              <w:right w:val="single" w:color="999999" w:sz="4"/>
            </w:tcBorders>
            <w:shd w:fill="D9E2F3" w:val="clear"/>
            <w:vAlign w:val="center"/>
          </w:tcPr>
          <w:p>
            <w:pPr>
              <w:spacing w:after="60" w:before="60"/>
            </w:pPr>
            <w:r>
              <w:rPr>
                <w:rFonts w:ascii="Arial" w:cs="Arial" w:eastAsia="Arial" w:hAnsi="Arial"/>
                <w:b/>
                <w:bCs/>
                <w:sz w:val="20"/>
                <w:szCs w:val="20"/>
              </w:rPr>
              <w:t xml:space="preserve">Strengths</w:t>
            </w:r>
          </w:p>
        </w:tc>
        <w:tc>
          <w:tcPr>
            <w:tcW w:type="dxa" w:w="4819"/>
            <w:tcBorders>
              <w:top w:val="single" w:color="999999" w:sz="4"/>
              <w:left w:val="single" w:color="999999" w:sz="4"/>
              <w:bottom w:val="single" w:color="999999" w:sz="4"/>
              <w:right w:val="single" w:color="999999" w:sz="4"/>
            </w:tcBorders>
            <w:shd w:fill="D9E2F3" w:val="clear"/>
            <w:vAlign w:val="center"/>
          </w:tcPr>
          <w:p>
            <w:pPr>
              <w:spacing w:after="60" w:before="60"/>
            </w:pPr>
            <w:r>
              <w:rPr>
                <w:rFonts w:ascii="Arial" w:cs="Arial" w:eastAsia="Arial" w:hAnsi="Arial"/>
                <w:b/>
                <w:bCs/>
                <w:sz w:val="20"/>
                <w:szCs w:val="20"/>
              </w:rPr>
              <w:t xml:space="preserve">Challenges / areas to manage</w:t>
            </w:r>
          </w:p>
        </w:tc>
      </w:tr>
      <w:tr>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Genuine interest in the wellbeing of older adults and mental health issues</w:t>
            </w:r>
          </w:p>
        </w:tc>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Balancing the dissertation workload with other module deadlines</w:t>
            </w:r>
          </w:p>
        </w:tc>
      </w:tr>
      <w:tr>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Willingness to read carefully and organise large amounts of information</w:t>
            </w:r>
          </w:p>
        </w:tc>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Staying within the word limits while keeping the analysis critical and detailed</w:t>
            </w:r>
          </w:p>
        </w:tc>
      </w:tr>
      <w:tr>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Ability to follow a clear structure and plan work in stages</w:t>
            </w:r>
          </w:p>
        </w:tc>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Ensuring the literature search remains tightly focused on UK peer-reviewed primary studies only</w:t>
            </w:r>
          </w:p>
        </w:tc>
      </w:tr>
      <w:tr>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Openness to feedback from tutors and peers</w:t>
            </w:r>
          </w:p>
        </w:tc>
        <w:tc>
          <w:tcPr>
            <w:tcW w:type="dxa" w:w="4819"/>
            <w:tcBorders>
              <w:top w:val="single" w:color="999999" w:sz="4"/>
              <w:left w:val="single" w:color="999999" w:sz="4"/>
              <w:bottom w:val="single" w:color="999999" w:sz="4"/>
              <w:right w:val="single" w:color="999999" w:sz="4"/>
            </w:tcBorders>
          </w:tcPr>
          <w:p>
            <w:pPr>
              <w:spacing w:after="40" w:before="40"/>
            </w:pPr>
            <w:r>
              <w:rPr>
                <w:rFonts w:ascii="Arial" w:cs="Arial" w:eastAsia="Arial" w:hAnsi="Arial"/>
                <w:sz w:val="20"/>
                <w:szCs w:val="20"/>
              </w:rPr>
              <w:t xml:space="preserve">Managing time so that each chapter is drafted with enough time for revision</w:t>
            </w:r>
          </w:p>
        </w:tc>
      </w:tr>
    </w:tbl>
    <w:p>
      <w:pPr>
        <w:spacing w:after="200" w:before="160" w:line="360"/>
        <w:jc w:val="both"/>
      </w:pPr>
      <w:r>
        <w:rPr>
          <w:rFonts w:ascii="Arial" w:cs="Arial" w:eastAsia="Arial" w:hAnsi="Arial"/>
          <w:sz w:val="22"/>
          <w:szCs w:val="22"/>
        </w:rPr>
        <w:t xml:space="preserve">I recognise that secondary research depends on the quality and availability of existing studies. I will therefore apply the inclusion and exclusion criteria consistently and be transparent about any gaps or limitations that appear in the literature.</w:t>
      </w:r>
    </w:p>
    <w:p>
      <w:pPr>
        <w:pStyle w:val="Heading2"/>
      </w:pPr>
      <w:r>
        <w:rPr>
          <w:rFonts w:ascii="Arial" w:cs="Arial" w:eastAsia="Arial" w:hAnsi="Arial"/>
          <w:b/>
          <w:bCs/>
          <w:sz w:val="28"/>
          <w:szCs w:val="28"/>
        </w:rPr>
        <w:t xml:space="preserve">References</w:t>
      </w:r>
    </w:p>
    <w:p>
      <w:pPr>
        <w:spacing w:after="120" w:line="360"/>
        <w:jc w:val="both"/>
      </w:pPr>
      <w:r>
        <w:rPr>
          <w:rFonts w:ascii="Arial" w:cs="Arial" w:eastAsia="Arial" w:hAnsi="Arial"/>
          <w:sz w:val="22"/>
          <w:szCs w:val="22"/>
        </w:rPr>
        <w:t xml:space="preserve">The following key peer-reviewed sources have informed the rationale for this proposal and will form part of the literature base for the dissertation (additional articles meeting the inclusion criteria will be added during the systematic search):</w:t>
      </w:r>
    </w:p>
    <w:p>
      <w:pPr>
        <w:spacing w:after="140" w:line="276"/>
        <w:ind w:left="720" w:hanging="720"/>
      </w:pPr>
      <w:r>
        <w:rPr>
          <w:rFonts w:ascii="Arial" w:cs="Arial" w:eastAsia="Arial" w:hAnsi="Arial"/>
          <w:sz w:val="20"/>
          <w:szCs w:val="20"/>
        </w:rPr>
        <w:t xml:space="preserve">Hilliard, D.D., Wootton, R.E., Sallis, H.M., Van De Weijer, M.P., Treur, J.L., Qualter, P., Dixon, P., Sanderson, E.C.M., Carslake, D.J., Richmond, R.C., Beloe, P., Turner-Harris, L., Bowes Byatt, L., Munafò, M.R. and Reed, Z.E. (2026) ‘Investigating relationships between loneliness, social isolation and health’, Nature Communications, 17, article 5840. Available at: https://doi.org/10.1038/s41467-026-74758-7</w:t>
      </w:r>
    </w:p>
    <w:p>
      <w:pPr>
        <w:spacing w:after="140" w:line="276"/>
        <w:ind w:left="720" w:hanging="720"/>
      </w:pPr>
      <w:r>
        <w:rPr>
          <w:rFonts w:ascii="Arial" w:cs="Arial" w:eastAsia="Arial" w:hAnsi="Arial"/>
          <w:sz w:val="20"/>
          <w:szCs w:val="20"/>
        </w:rPr>
        <w:t xml:space="preserve">Ma, Y., Bone, J.K., Mayston, R. and Gao, Q. (2026) ‘Chronic loneliness and isolation phenotypes and physical and mental health in older adults’, Nature Communications. Available at: https://doi.org/10.1038/s41467-026-77683-x</w:t>
      </w:r>
    </w:p>
    <w:p>
      <w:pPr>
        <w:spacing w:after="140" w:line="276"/>
        <w:ind w:left="720" w:hanging="720"/>
      </w:pPr>
      <w:r>
        <w:rPr>
          <w:rFonts w:ascii="Arial" w:cs="Arial" w:eastAsia="Arial" w:hAnsi="Arial"/>
          <w:sz w:val="20"/>
          <w:szCs w:val="20"/>
        </w:rPr>
        <w:t xml:space="preserve">Mansfield, R., Richards, M., Ploubidis, G.B. et al. (2026) ‘Social isolation in mid-life: associations with psychological distress, life satisfaction and self-rated health in two successive British birth cohorts’, Social Psychiatry and Psychiatric Epidemiology, 61(5), pp. 885–896. Available at: https://doi.org/10.1007/s00127-025-03041-9</w:t>
      </w:r>
    </w:p>
    <w:p>
      <w:pPr>
        <w:spacing w:after="140" w:line="276"/>
        <w:ind w:left="720" w:hanging="720"/>
      </w:pPr>
      <w:r>
        <w:rPr>
          <w:rFonts w:ascii="Arial" w:cs="Arial" w:eastAsia="Arial" w:hAnsi="Arial"/>
          <w:sz w:val="20"/>
          <w:szCs w:val="20"/>
        </w:rPr>
        <w:t xml:space="preserve">Moreno-Agostino, D. and Di Gessa, G. (2026) ‘Mental health in adults aged 50+ since the COVID-19 pandemic: Are we (all) back to “normal”? Evidence from England’, Journal of Affective Disorders Reports, 24, article 101012. Available at: https://doi.org/10.1016/j.jadr.2025.101012</w:t>
      </w:r>
    </w:p>
    <w:p>
      <w:pPr>
        <w:spacing w:after="140" w:line="276"/>
        <w:ind w:left="720" w:hanging="720"/>
      </w:pPr>
      <w:r>
        <w:rPr>
          <w:rFonts w:ascii="Arial" w:cs="Arial" w:eastAsia="Arial" w:hAnsi="Arial"/>
          <w:sz w:val="20"/>
          <w:szCs w:val="20"/>
        </w:rPr>
        <w:t xml:space="preserve">Rodríguez Ingold, C. and Cho, D. (2026) ‘The effect of social isolation on the mental health of older adults: evidence from the UK COVID-19 lockdown’. Working paper / analysis based on English Longitudinal Study of Ageing data.</w:t>
      </w:r>
    </w:p>
    <w:p>
      <w:pPr>
        <w:spacing w:after="140" w:line="276"/>
        <w:ind w:left="720" w:hanging="720"/>
      </w:pPr>
      <w:r>
        <w:rPr>
          <w:rFonts w:ascii="Arial" w:cs="Arial" w:eastAsia="Arial" w:hAnsi="Arial"/>
          <w:sz w:val="20"/>
          <w:szCs w:val="20"/>
        </w:rPr>
        <w:t xml:space="preserve">Vaportzis, E. (2026) ‘Internet use, social isolation, and loneliness among older adults: a multi-wave analysis’, Computers in Human Behavior. Available at: https://doi.org/10.1016/j.chb.2026.109053</w:t>
      </w:r>
    </w:p>
    <w:sectPr>
      <w:headerReference w:type="default" r:id="rId7"/>
      <w:footerReference w:type="default" r:id="rId8"/>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8"/>
        <w:szCs w:val="18"/>
      </w:rPr>
      <w:t xml:space="preserve">Page </w:t>
    </w:r>
    <w:r>
      <w:rPr>
        <w:rFonts w:ascii="Arial" w:cs="Arial" w:eastAsia="Arial" w:hAnsi="Arial"/>
        <w:sz w:val="18"/>
        <w:szCs w:val="18"/>
      </w:rPr>
      <w:fldChar w:fldCharType="begin"/>
      <w:instrText xml:space="preserve">PAGE</w:instrText>
      <w:fldChar w:fldCharType="separate"/>
      <w:fldChar w:fldCharType="end"/>
    </w:r>
    <w:r>
      <w:rPr>
        <w:rFonts w:ascii="Arial" w:cs="Arial" w:eastAsia="Arial" w:hAnsi="Arial"/>
        <w:sz w:val="18"/>
        <w:szCs w:val="18"/>
      </w:rPr>
      <w:t xml:space="preserve"> of </w:t>
    </w:r>
    <w:r>
      <w:rPr>
        <w:rFonts w:ascii="Arial" w:cs="Arial" w:eastAsia="Arial" w:hAnsi="Arial"/>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i/>
        <w:iCs/>
        <w:color w:val="666666"/>
        <w:sz w:val="18"/>
        <w:szCs w:val="18"/>
      </w:rPr>
      <w:t xml:space="preserve">BMHP6020 Independent Project – Element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pPr>
      <w:spacing w:after="120" w:before="240"/>
      <w:jc w:val="left"/>
    </w:pPr>
    <w:rPr>
      <w:rFonts w:ascii="Arial" w:cs="Arial" w:eastAsia="Arial" w:hAnsi="Arial"/>
      <w:b/>
      <w:bCs/>
      <w:color w:val="000000"/>
      <w:sz w:val="32"/>
      <w:szCs w:val="32"/>
    </w:rPr>
  </w:style>
  <w:style w:type="paragraph" w:styleId="Heading2">
    <w:name w:val="Heading 2"/>
    <w:basedOn w:val="Normal"/>
    <w:next w:val="Normal"/>
    <w:pPr>
      <w:spacing w:after="100" w:before="200"/>
      <w:jc w:val="left"/>
    </w:pPr>
    <w:rPr>
      <w:rFonts w:ascii="Arial" w:cs="Arial" w:eastAsia="Arial" w:hAnsi="Arial"/>
      <w:b/>
      <w:bCs/>
      <w:color w:val="000000"/>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2026-10-21T08:38:13.581Z</dcterms:created>
  <dcterms:modified xsi:type="dcterms:W3CDTF">2026-10-21T08:38:13.582Z</dcterms:modified>
</cp:coreProperties>
</file>

<file path=docProps/custom.xml><?xml version="1.0" encoding="utf-8"?>
<Properties xmlns="http://schemas.openxmlformats.org/officeDocument/2006/custom-properties" xmlns:vt="http://schemas.openxmlformats.org/officeDocument/2006/docPropsVTypes"/>
</file>