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Arial" w:hAnsi="Arial" w:cs="Arial"/>
          <w:b/>
          <w:bCs/>
          <w:sz w:val="40"/>
          <w:szCs w:val="40"/>
          <w:lang w:val="en-US"/>
        </w:rPr>
      </w:pPr>
      <w:r>
        <w:rPr>
          <w:rFonts w:hint="default" w:ascii="Arial" w:hAnsi="Arial" w:cs="Arial"/>
          <w:b/>
          <w:bCs/>
          <w:sz w:val="40"/>
          <w:szCs w:val="40"/>
          <w:lang w:val="en-US"/>
        </w:rPr>
        <w:t>Student’s Name</w:t>
      </w:r>
    </w:p>
    <w:p>
      <w:pPr>
        <w:spacing w:line="360" w:lineRule="auto"/>
        <w:jc w:val="center"/>
        <w:rPr>
          <w:rFonts w:hint="default" w:ascii="Arial" w:hAnsi="Arial" w:cs="Arial"/>
          <w:sz w:val="40"/>
          <w:szCs w:val="40"/>
          <w:lang w:val="en-US"/>
        </w:rPr>
      </w:pPr>
      <w:r>
        <w:rPr>
          <w:rFonts w:hint="default" w:ascii="Arial" w:hAnsi="Arial" w:cs="Arial"/>
          <w:sz w:val="40"/>
          <w:szCs w:val="40"/>
          <w:lang w:val="en-US"/>
        </w:rPr>
        <w:t>Wasiu Olagbemiga Yusuph</w:t>
      </w:r>
    </w:p>
    <w:p>
      <w:pPr>
        <w:spacing w:line="360" w:lineRule="auto"/>
        <w:jc w:val="center"/>
        <w:rPr>
          <w:rFonts w:hint="default" w:ascii="Arial" w:hAnsi="Arial" w:cs="Arial"/>
          <w:sz w:val="40"/>
          <w:szCs w:val="40"/>
          <w:lang w:val="en-US"/>
        </w:rPr>
      </w:pPr>
    </w:p>
    <w:p>
      <w:pPr>
        <w:spacing w:line="360" w:lineRule="auto"/>
        <w:jc w:val="center"/>
        <w:rPr>
          <w:rFonts w:hint="default" w:ascii="Arial" w:hAnsi="Arial" w:cs="Arial"/>
          <w:b/>
          <w:bCs/>
          <w:sz w:val="40"/>
          <w:szCs w:val="40"/>
          <w:lang w:val="en-US"/>
        </w:rPr>
      </w:pPr>
      <w:r>
        <w:rPr>
          <w:rFonts w:hint="default" w:ascii="Arial" w:hAnsi="Arial" w:cs="Arial"/>
          <w:b/>
          <w:bCs/>
          <w:sz w:val="40"/>
          <w:szCs w:val="40"/>
          <w:lang w:val="en-US"/>
        </w:rPr>
        <w:t>Student’s ID Number</w:t>
      </w:r>
    </w:p>
    <w:p>
      <w:pPr>
        <w:spacing w:line="360" w:lineRule="auto"/>
        <w:jc w:val="center"/>
        <w:rPr>
          <w:rFonts w:hint="default" w:ascii="Arial" w:hAnsi="Arial" w:cs="Arial"/>
          <w:sz w:val="40"/>
          <w:szCs w:val="40"/>
          <w:lang w:val="en-US"/>
        </w:rPr>
      </w:pPr>
      <w:r>
        <w:rPr>
          <w:rFonts w:hint="default" w:ascii="Arial" w:hAnsi="Arial" w:cs="Arial"/>
          <w:sz w:val="40"/>
          <w:szCs w:val="40"/>
          <w:lang w:val="en-US"/>
        </w:rPr>
        <w:t>2509130</w:t>
      </w:r>
    </w:p>
    <w:p>
      <w:pPr>
        <w:spacing w:line="360" w:lineRule="auto"/>
        <w:jc w:val="center"/>
        <w:rPr>
          <w:rFonts w:hint="default" w:ascii="Arial" w:hAnsi="Arial" w:cs="Arial"/>
          <w:sz w:val="40"/>
          <w:szCs w:val="40"/>
          <w:lang w:val="en-US"/>
        </w:rPr>
      </w:pPr>
    </w:p>
    <w:p>
      <w:pPr>
        <w:spacing w:line="360" w:lineRule="auto"/>
        <w:jc w:val="center"/>
        <w:rPr>
          <w:rFonts w:hint="default" w:ascii="Arial" w:hAnsi="Arial" w:cs="Arial"/>
          <w:b/>
          <w:bCs/>
          <w:sz w:val="40"/>
          <w:szCs w:val="40"/>
          <w:lang w:val="en-US"/>
        </w:rPr>
      </w:pPr>
      <w:r>
        <w:rPr>
          <w:rFonts w:hint="default" w:ascii="Arial" w:hAnsi="Arial" w:cs="Arial"/>
          <w:b/>
          <w:bCs/>
          <w:sz w:val="40"/>
          <w:szCs w:val="40"/>
          <w:lang w:val="en-US"/>
        </w:rPr>
        <w:t>Module Code</w:t>
      </w:r>
    </w:p>
    <w:p>
      <w:pPr>
        <w:spacing w:line="360" w:lineRule="auto"/>
        <w:jc w:val="center"/>
        <w:rPr>
          <w:rFonts w:hint="default" w:ascii="Arial" w:hAnsi="Arial" w:cs="Arial"/>
          <w:sz w:val="40"/>
          <w:szCs w:val="40"/>
          <w:lang w:val="en-US"/>
        </w:rPr>
      </w:pPr>
      <w:r>
        <w:rPr>
          <w:rFonts w:hint="default" w:ascii="Arial" w:hAnsi="Arial" w:cs="Arial"/>
          <w:sz w:val="40"/>
          <w:szCs w:val="40"/>
          <w:lang w:val="en-US"/>
        </w:rPr>
        <w:t>LCHS4007</w:t>
      </w:r>
    </w:p>
    <w:p>
      <w:pPr>
        <w:spacing w:line="360" w:lineRule="auto"/>
        <w:jc w:val="center"/>
        <w:rPr>
          <w:rFonts w:hint="default" w:ascii="Arial" w:hAnsi="Arial" w:cs="Arial"/>
          <w:sz w:val="40"/>
          <w:szCs w:val="40"/>
          <w:lang w:val="en-US"/>
        </w:rPr>
      </w:pPr>
    </w:p>
    <w:p>
      <w:pPr>
        <w:spacing w:line="360" w:lineRule="auto"/>
        <w:jc w:val="center"/>
        <w:rPr>
          <w:rFonts w:hint="default" w:ascii="Arial" w:hAnsi="Arial" w:cs="Arial"/>
          <w:b/>
          <w:bCs/>
          <w:sz w:val="40"/>
          <w:szCs w:val="40"/>
          <w:lang w:val="en-US"/>
        </w:rPr>
      </w:pPr>
      <w:r>
        <w:rPr>
          <w:rFonts w:hint="default" w:ascii="Arial" w:hAnsi="Arial" w:cs="Arial"/>
          <w:b/>
          <w:bCs/>
          <w:sz w:val="40"/>
          <w:szCs w:val="40"/>
          <w:lang w:val="en-US"/>
        </w:rPr>
        <w:t>Module Title</w:t>
      </w:r>
    </w:p>
    <w:p>
      <w:pPr>
        <w:spacing w:line="360" w:lineRule="auto"/>
        <w:jc w:val="center"/>
        <w:rPr>
          <w:rFonts w:hint="default" w:ascii="Arial" w:hAnsi="Arial" w:cs="Arial"/>
          <w:sz w:val="40"/>
          <w:szCs w:val="40"/>
          <w:lang w:val="en-US"/>
        </w:rPr>
      </w:pPr>
      <w:r>
        <w:rPr>
          <w:rFonts w:hint="default" w:ascii="Arial" w:hAnsi="Arial" w:cs="Arial"/>
          <w:sz w:val="40"/>
          <w:szCs w:val="40"/>
          <w:lang w:val="en-US"/>
        </w:rPr>
        <w:t>Digital Skills and Research Method</w:t>
      </w:r>
    </w:p>
    <w:p>
      <w:pPr>
        <w:spacing w:line="360" w:lineRule="auto"/>
        <w:jc w:val="center"/>
        <w:rPr>
          <w:rFonts w:hint="default" w:ascii="Arial" w:hAnsi="Arial" w:cs="Arial"/>
          <w:sz w:val="40"/>
          <w:szCs w:val="40"/>
          <w:lang w:val="en-US"/>
        </w:rPr>
      </w:pPr>
    </w:p>
    <w:p>
      <w:pPr>
        <w:spacing w:line="360" w:lineRule="auto"/>
        <w:jc w:val="center"/>
        <w:rPr>
          <w:rFonts w:hint="default" w:ascii="Arial" w:hAnsi="Arial" w:cs="Arial"/>
          <w:b/>
          <w:bCs/>
          <w:sz w:val="40"/>
          <w:szCs w:val="40"/>
          <w:lang w:val="en-US"/>
        </w:rPr>
      </w:pPr>
      <w:r>
        <w:rPr>
          <w:rFonts w:hint="default" w:ascii="Arial" w:hAnsi="Arial" w:cs="Arial"/>
          <w:b/>
          <w:bCs/>
          <w:sz w:val="40"/>
          <w:szCs w:val="40"/>
          <w:lang w:val="en-US"/>
        </w:rPr>
        <w:t>Lecturer’s Name</w:t>
      </w:r>
    </w:p>
    <w:p>
      <w:pPr>
        <w:spacing w:line="360" w:lineRule="auto"/>
        <w:jc w:val="center"/>
        <w:rPr>
          <w:rFonts w:hint="default" w:ascii="Arial" w:hAnsi="Arial" w:cs="Arial"/>
          <w:sz w:val="40"/>
          <w:szCs w:val="40"/>
          <w:lang w:val="en-US"/>
        </w:rPr>
      </w:pPr>
      <w:r>
        <w:rPr>
          <w:rFonts w:hint="default" w:ascii="Arial" w:hAnsi="Arial" w:cs="Arial"/>
          <w:sz w:val="40"/>
          <w:szCs w:val="40"/>
          <w:lang w:val="en-US"/>
        </w:rPr>
        <w:t>Arif Ahmed</w:t>
      </w:r>
    </w:p>
    <w:p>
      <w:pPr>
        <w:spacing w:line="360" w:lineRule="auto"/>
        <w:jc w:val="center"/>
        <w:rPr>
          <w:rFonts w:hint="default" w:ascii="Arial" w:hAnsi="Arial" w:cs="Arial"/>
          <w:sz w:val="40"/>
          <w:szCs w:val="40"/>
          <w:lang w:val="en-US"/>
        </w:rPr>
      </w:pPr>
    </w:p>
    <w:p>
      <w:pPr>
        <w:spacing w:line="360" w:lineRule="auto"/>
        <w:jc w:val="center"/>
        <w:rPr>
          <w:rFonts w:hint="default" w:ascii="Arial" w:hAnsi="Arial" w:cs="Arial"/>
          <w:b/>
          <w:bCs/>
          <w:sz w:val="40"/>
          <w:szCs w:val="40"/>
          <w:lang w:val="en-US"/>
        </w:rPr>
      </w:pPr>
      <w:r>
        <w:rPr>
          <w:rFonts w:hint="default" w:ascii="Arial" w:hAnsi="Arial" w:cs="Arial"/>
          <w:b/>
          <w:bCs/>
          <w:sz w:val="40"/>
          <w:szCs w:val="40"/>
          <w:lang w:val="en-US"/>
        </w:rPr>
        <w:t>Assignment Title</w:t>
      </w:r>
    </w:p>
    <w:p>
      <w:pPr>
        <w:spacing w:line="360" w:lineRule="auto"/>
        <w:jc w:val="center"/>
        <w:rPr>
          <w:rFonts w:hint="default" w:ascii="Arial" w:hAnsi="Arial" w:cs="Arial"/>
          <w:sz w:val="40"/>
          <w:szCs w:val="40"/>
          <w:lang w:val="en-US"/>
        </w:rPr>
      </w:pPr>
      <w:r>
        <w:rPr>
          <w:rFonts w:hint="default" w:ascii="Arial" w:hAnsi="Arial" w:cs="Arial"/>
          <w:sz w:val="40"/>
          <w:szCs w:val="40"/>
          <w:lang w:val="en-US"/>
        </w:rPr>
        <w:t>Component 2 - Research Report</w:t>
      </w:r>
    </w:p>
    <w:p>
      <w:pPr>
        <w:spacing w:line="360" w:lineRule="auto"/>
        <w:jc w:val="both"/>
        <w:rPr>
          <w:rFonts w:hint="default" w:ascii="Arial" w:hAnsi="Arial" w:cs="Arial"/>
          <w:sz w:val="22"/>
          <w:szCs w:val="22"/>
          <w:lang w:val="en-US"/>
        </w:rPr>
      </w:pPr>
    </w:p>
    <w:p>
      <w:pPr>
        <w:rPr>
          <w:rFonts w:hint="default" w:ascii="Arial" w:hAnsi="Arial" w:cs="Arial"/>
          <w:sz w:val="22"/>
          <w:szCs w:val="22"/>
          <w:lang w:val="en-US"/>
        </w:rPr>
      </w:pPr>
    </w:p>
    <w:p>
      <w:pPr>
        <w:rPr>
          <w:rFonts w:hint="default" w:ascii="Arial" w:hAnsi="Arial" w:cs="Arial"/>
          <w:sz w:val="22"/>
          <w:szCs w:val="22"/>
        </w:rPr>
      </w:pPr>
      <w:r>
        <w:rPr>
          <w:rFonts w:hint="default" w:ascii="Arial" w:hAnsi="Arial" w:cs="Arial"/>
          <w:sz w:val="22"/>
          <w:szCs w:val="22"/>
        </w:rPr>
        <w:br w:type="page"/>
      </w:r>
    </w:p>
    <w:p>
      <w:pPr>
        <w:spacing w:line="360" w:lineRule="auto"/>
        <w:jc w:val="center"/>
        <w:rPr>
          <w:rFonts w:hint="default" w:ascii="Arial" w:hAnsi="Arial" w:cs="Arial"/>
          <w:b/>
          <w:bCs/>
          <w:sz w:val="22"/>
          <w:szCs w:val="22"/>
        </w:rPr>
      </w:pPr>
      <w:bookmarkStart w:id="0" w:name="_GoBack"/>
      <w:r>
        <w:rPr>
          <w:rFonts w:hint="default" w:ascii="Arial" w:hAnsi="Arial" w:cs="Arial"/>
          <w:b/>
          <w:bCs/>
          <w:sz w:val="22"/>
          <w:szCs w:val="22"/>
        </w:rPr>
        <w:t>The Adult Social Care Workforce Crisis in the UK</w:t>
      </w:r>
    </w:p>
    <w:bookmarkEnd w:id="0"/>
    <w:p>
      <w:pPr>
        <w:spacing w:line="360" w:lineRule="auto"/>
        <w:jc w:val="both"/>
        <w:rPr>
          <w:rFonts w:hint="default" w:ascii="Arial" w:hAnsi="Arial" w:cs="Arial"/>
          <w:sz w:val="22"/>
          <w:szCs w:val="22"/>
        </w:rPr>
      </w:pPr>
    </w:p>
    <w:p>
      <w:pPr>
        <w:spacing w:line="360" w:lineRule="auto"/>
        <w:jc w:val="both"/>
        <w:rPr>
          <w:rFonts w:hint="default" w:ascii="Arial" w:hAnsi="Arial" w:cs="Arial"/>
          <w:b/>
          <w:bCs/>
          <w:sz w:val="22"/>
          <w:szCs w:val="22"/>
        </w:rPr>
      </w:pPr>
      <w:r>
        <w:rPr>
          <w:rFonts w:hint="default" w:ascii="Arial" w:hAnsi="Arial" w:cs="Arial"/>
          <w:b/>
          <w:bCs/>
          <w:sz w:val="22"/>
          <w:szCs w:val="22"/>
        </w:rPr>
        <w:t>Introduction</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This report investigates a critical and current issue within the UK health and social care sector: the systemic workforce crisis in adult social care. The purpose of this research is to delineate the scope of this problem, identify its primary causes and impacts, and justify the urgent need for targeted investigation. The scope encompasses an analysis of workforce demographics, retention and recruitment challenges, and the consequent effects on service users, care workers, and the sustainability of the care sector. This report will outline a viable research topic, propose an appropriate methodology for its investigation, and detail a suitable data collection strategy to generate meaningful insights.</w:t>
      </w:r>
    </w:p>
    <w:p>
      <w:pPr>
        <w:spacing w:line="360" w:lineRule="auto"/>
        <w:jc w:val="both"/>
        <w:rPr>
          <w:rFonts w:hint="default" w:ascii="Arial" w:hAnsi="Arial" w:cs="Arial"/>
          <w:sz w:val="22"/>
          <w:szCs w:val="22"/>
        </w:rPr>
      </w:pPr>
    </w:p>
    <w:p>
      <w:pPr>
        <w:spacing w:line="360" w:lineRule="auto"/>
        <w:jc w:val="both"/>
        <w:rPr>
          <w:rFonts w:hint="default" w:ascii="Arial" w:hAnsi="Arial" w:cs="Arial"/>
          <w:b/>
          <w:bCs/>
          <w:sz w:val="22"/>
          <w:szCs w:val="22"/>
        </w:rPr>
      </w:pPr>
      <w:r>
        <w:rPr>
          <w:rFonts w:hint="default" w:ascii="Arial" w:hAnsi="Arial" w:cs="Arial"/>
          <w:b/>
          <w:bCs/>
          <w:sz w:val="22"/>
          <w:szCs w:val="22"/>
        </w:rPr>
        <w:t>Task 1 of 3 – Research Topic Identification</w:t>
      </w:r>
    </w:p>
    <w:p>
      <w:pPr>
        <w:spacing w:line="360" w:lineRule="auto"/>
        <w:jc w:val="both"/>
        <w:rPr>
          <w:rFonts w:hint="default" w:ascii="Arial" w:hAnsi="Arial" w:cs="Arial"/>
          <w:sz w:val="22"/>
          <w:szCs w:val="22"/>
        </w:rPr>
      </w:pPr>
    </w:p>
    <w:p>
      <w:pPr>
        <w:spacing w:line="360" w:lineRule="auto"/>
        <w:jc w:val="both"/>
        <w:rPr>
          <w:rFonts w:hint="default" w:ascii="Arial" w:hAnsi="Arial" w:cs="Arial"/>
          <w:b/>
          <w:bCs/>
          <w:sz w:val="22"/>
          <w:szCs w:val="22"/>
        </w:rPr>
      </w:pPr>
      <w:r>
        <w:rPr>
          <w:rFonts w:hint="default" w:ascii="Arial" w:hAnsi="Arial" w:cs="Arial"/>
          <w:b/>
          <w:bCs/>
          <w:sz w:val="22"/>
          <w:szCs w:val="22"/>
        </w:rPr>
        <w:t>Identified Issue: The Systemic Workforce Crisis in Adult Social Care</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 xml:space="preserve">The chosen research topic is the deepening workforce crisis within the UK's adult social care sector. This is not a singular issue but a multifaceted systemic failure characterised by chronic </w:t>
      </w:r>
      <w:r>
        <w:rPr>
          <w:rFonts w:hint="default" w:ascii="Arial" w:hAnsi="Arial" w:cs="Arial"/>
          <w:sz w:val="22"/>
          <w:szCs w:val="22"/>
          <w:lang w:val="en-US"/>
        </w:rPr>
        <w:t>under-staffing</w:t>
      </w:r>
      <w:r>
        <w:rPr>
          <w:rFonts w:hint="default" w:ascii="Arial" w:hAnsi="Arial" w:cs="Arial"/>
          <w:sz w:val="22"/>
          <w:szCs w:val="22"/>
        </w:rPr>
        <w:t>, exceptionally high vacancy and turnover rates, and significant challenges in recruiting and retaining a stable, skilled workforce. The problem is underpinned by a combination of factors, including poor pay and conditions, high work-related stress and burnout, a lack of career progression, and the perceived low status of care work within the wider economy and society.</w:t>
      </w:r>
    </w:p>
    <w:p>
      <w:pPr>
        <w:spacing w:line="360" w:lineRule="auto"/>
        <w:jc w:val="both"/>
        <w:rPr>
          <w:rFonts w:hint="default" w:ascii="Arial" w:hAnsi="Arial" w:cs="Arial"/>
          <w:sz w:val="22"/>
          <w:szCs w:val="22"/>
        </w:rPr>
      </w:pPr>
    </w:p>
    <w:p>
      <w:pPr>
        <w:spacing w:line="360" w:lineRule="auto"/>
        <w:jc w:val="both"/>
        <w:rPr>
          <w:rFonts w:hint="default" w:ascii="Arial" w:hAnsi="Arial" w:cs="Arial"/>
          <w:b/>
          <w:bCs/>
          <w:sz w:val="22"/>
          <w:szCs w:val="22"/>
        </w:rPr>
      </w:pPr>
      <w:r>
        <w:rPr>
          <w:rFonts w:hint="default" w:ascii="Arial" w:hAnsi="Arial" w:cs="Arial"/>
          <w:b/>
          <w:bCs/>
          <w:sz w:val="22"/>
          <w:szCs w:val="22"/>
        </w:rPr>
        <w:t>Who it Affects</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The impacts of this crisis are profound and far-reaching, affecting a wide range of stakeholders:</w:t>
      </w:r>
    </w:p>
    <w:p>
      <w:pPr>
        <w:spacing w:line="360" w:lineRule="auto"/>
        <w:jc w:val="both"/>
        <w:rPr>
          <w:rFonts w:hint="default" w:ascii="Arial" w:hAnsi="Arial" w:cs="Arial"/>
          <w:sz w:val="22"/>
          <w:szCs w:val="22"/>
        </w:rPr>
      </w:pPr>
    </w:p>
    <w:p>
      <w:pPr>
        <w:numPr>
          <w:ilvl w:val="0"/>
          <w:numId w:val="1"/>
        </w:numPr>
        <w:spacing w:line="360" w:lineRule="auto"/>
        <w:jc w:val="both"/>
        <w:rPr>
          <w:rFonts w:hint="default" w:ascii="Arial" w:hAnsi="Arial" w:cs="Arial"/>
          <w:sz w:val="22"/>
          <w:szCs w:val="22"/>
        </w:rPr>
      </w:pPr>
      <w:r>
        <w:rPr>
          <w:rFonts w:hint="default" w:ascii="Arial" w:hAnsi="Arial" w:cs="Arial"/>
          <w:sz w:val="22"/>
          <w:szCs w:val="22"/>
        </w:rPr>
        <w:t>Service Users (Patients and Clients):</w:t>
      </w:r>
      <w:r>
        <w:rPr>
          <w:rFonts w:hint="default" w:ascii="Arial" w:hAnsi="Arial" w:cs="Arial"/>
          <w:sz w:val="22"/>
          <w:szCs w:val="22"/>
          <w:lang w:val="en-US"/>
        </w:rPr>
        <w:t xml:space="preserve"> </w:t>
      </w:r>
      <w:r>
        <w:rPr>
          <w:rFonts w:hint="default" w:ascii="Arial" w:hAnsi="Arial" w:cs="Arial"/>
          <w:sz w:val="22"/>
          <w:szCs w:val="22"/>
        </w:rPr>
        <w:t xml:space="preserve">The most direct impact is on the 1.5 million people receiving formal care in England alone (Skills for Care, 2023). </w:t>
      </w:r>
      <w:r>
        <w:rPr>
          <w:rFonts w:hint="default" w:ascii="Arial" w:hAnsi="Arial" w:cs="Arial"/>
          <w:sz w:val="22"/>
          <w:szCs w:val="22"/>
          <w:lang w:val="en-US"/>
        </w:rPr>
        <w:t>Under-staffing</w:t>
      </w:r>
      <w:r>
        <w:rPr>
          <w:rFonts w:hint="default" w:ascii="Arial" w:hAnsi="Arial" w:cs="Arial"/>
          <w:sz w:val="22"/>
          <w:szCs w:val="22"/>
        </w:rPr>
        <w:t xml:space="preserve"> leads to reduced quality of care, missed or rushed visits, and the cancellation of essential services. This compromises the safety, dignity, and well-being of vulnerable individuals, including the elderly and those with disabilities, often leading to worse health outcomes and increased loneliness.</w:t>
      </w:r>
    </w:p>
    <w:p>
      <w:pPr>
        <w:numPr>
          <w:ilvl w:val="0"/>
          <w:numId w:val="1"/>
        </w:numPr>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Care Workers: The existing workforce bears the brunt of the crisis through excessive workloads, moral distress from being unable to provide adequate care, and financial hardship due to low wages. This leads to unprecedented levels of burnout, poor mental health, and an exodus from the profession. The workforce is also highly gendered, with a majority of female workers, and relies significantly on international staff, making it vulnerable to broader immigration and economic policies.</w:t>
      </w:r>
    </w:p>
    <w:p>
      <w:pPr>
        <w:numPr>
          <w:ilvl w:val="0"/>
          <w:numId w:val="1"/>
        </w:numPr>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Health and Social Care Organisations: Care providers operate on financially precarious models, often funded by local authority contracts that do not cover the true cost of care. High staff turnover incurs substantial recruitment and training costs, while vacancy rates force providers to refuse new clients, reducing their income and further destabilising their operations.</w:t>
      </w:r>
    </w:p>
    <w:p>
      <w:pPr>
        <w:numPr>
          <w:ilvl w:val="0"/>
          <w:numId w:val="1"/>
        </w:numPr>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The Wider NHS: The social care crisis creates a knock-on effect on the National Health Service. Without adequate social care support, patients experience delayed discharges from hospital (‘bed-blocking’), increasing NHS waiting times and straining acute services. This creates a vicious cycle where pressure on one part of the system exacerbates problems in the other.</w:t>
      </w:r>
    </w:p>
    <w:p>
      <w:pPr>
        <w:spacing w:line="360" w:lineRule="auto"/>
        <w:jc w:val="both"/>
        <w:rPr>
          <w:rFonts w:hint="default" w:ascii="Arial" w:hAnsi="Arial" w:cs="Arial"/>
          <w:sz w:val="22"/>
          <w:szCs w:val="22"/>
        </w:rPr>
      </w:pPr>
    </w:p>
    <w:p>
      <w:pPr>
        <w:spacing w:line="360" w:lineRule="auto"/>
        <w:jc w:val="both"/>
        <w:rPr>
          <w:rFonts w:hint="default" w:ascii="Arial" w:hAnsi="Arial" w:cs="Arial"/>
          <w:b/>
          <w:bCs/>
          <w:sz w:val="22"/>
          <w:szCs w:val="22"/>
        </w:rPr>
      </w:pPr>
      <w:r>
        <w:rPr>
          <w:rFonts w:hint="default" w:ascii="Arial" w:hAnsi="Arial" w:cs="Arial"/>
          <w:b/>
          <w:bCs/>
          <w:sz w:val="22"/>
          <w:szCs w:val="22"/>
        </w:rPr>
        <w:t>Justification for Research</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 xml:space="preserve">The need for research on this topic is critically urgent for several reasons. Firstly, the demographic imperative of an ageing population means the demand for social care is projected to rise substantially, intensifying the existing pressures. Without a sustainable workforce, the entire model of adult social care is at risk of collapse. Secondly, while the problem is widely acknowledged, research is needed to move beyond generic descriptions and identify the precise, actionable levers for intervention. For instance, understanding the specific factors that would </w:t>
      </w:r>
      <w:r>
        <w:rPr>
          <w:rFonts w:hint="default" w:ascii="Arial" w:hAnsi="Arial" w:cs="Arial"/>
          <w:sz w:val="22"/>
          <w:szCs w:val="22"/>
          <w:lang w:val="en-US"/>
        </w:rPr>
        <w:t xml:space="preserve">serve as </w:t>
      </w:r>
      <w:r>
        <w:rPr>
          <w:rFonts w:hint="default" w:ascii="Arial" w:hAnsi="Arial" w:cs="Arial"/>
          <w:sz w:val="22"/>
          <w:szCs w:val="22"/>
        </w:rPr>
        <w:t>incentive</w:t>
      </w:r>
      <w:r>
        <w:rPr>
          <w:rFonts w:hint="default" w:ascii="Arial" w:hAnsi="Arial" w:cs="Arial"/>
          <w:sz w:val="22"/>
          <w:szCs w:val="22"/>
          <w:lang w:val="en-US"/>
        </w:rPr>
        <w:t>s for</w:t>
      </w:r>
      <w:r>
        <w:rPr>
          <w:rFonts w:hint="default" w:ascii="Arial" w:hAnsi="Arial" w:cs="Arial"/>
          <w:sz w:val="22"/>
          <w:szCs w:val="22"/>
        </w:rPr>
        <w:t xml:space="preserve"> younger demographic</w:t>
      </w:r>
      <w:r>
        <w:rPr>
          <w:rFonts w:hint="default" w:ascii="Arial" w:hAnsi="Arial" w:cs="Arial"/>
          <w:sz w:val="22"/>
          <w:szCs w:val="22"/>
          <w:lang w:val="en-US"/>
        </w:rPr>
        <w:t>s</w:t>
      </w:r>
      <w:r>
        <w:rPr>
          <w:rFonts w:hint="default" w:ascii="Arial" w:hAnsi="Arial" w:cs="Arial"/>
          <w:sz w:val="22"/>
          <w:szCs w:val="22"/>
        </w:rPr>
        <w:t xml:space="preserve"> to join the care sector, or the most effective models of support for retaining experienced staff, requires targeted investigation. Finally, with government reforms, such as the implementation of the social care cost cap and the changes to the Fair Cost of Care, ongoing research is essential to monitor the real-world impact of these policies on the workforce itself. Research in this area is not merely academic; it is fundamental to informing evidence-based policy and strategic planning to secure the future of a vital public service.</w:t>
      </w:r>
    </w:p>
    <w:p>
      <w:pPr>
        <w:spacing w:line="360" w:lineRule="auto"/>
        <w:jc w:val="both"/>
        <w:rPr>
          <w:rFonts w:hint="default" w:ascii="Arial" w:hAnsi="Arial" w:cs="Arial"/>
          <w:sz w:val="22"/>
          <w:szCs w:val="22"/>
        </w:rPr>
      </w:pPr>
    </w:p>
    <w:p>
      <w:pPr>
        <w:spacing w:line="360" w:lineRule="auto"/>
        <w:jc w:val="both"/>
        <w:rPr>
          <w:rFonts w:hint="default" w:ascii="Arial" w:hAnsi="Arial" w:cs="Arial"/>
          <w:b/>
          <w:bCs/>
          <w:sz w:val="22"/>
          <w:szCs w:val="22"/>
        </w:rPr>
      </w:pPr>
    </w:p>
    <w:p>
      <w:pPr>
        <w:spacing w:line="360" w:lineRule="auto"/>
        <w:jc w:val="both"/>
        <w:rPr>
          <w:rFonts w:hint="default" w:ascii="Arial" w:hAnsi="Arial" w:cs="Arial"/>
          <w:b/>
          <w:bCs/>
          <w:sz w:val="22"/>
          <w:szCs w:val="22"/>
        </w:rPr>
      </w:pPr>
    </w:p>
    <w:p>
      <w:pPr>
        <w:spacing w:line="360" w:lineRule="auto"/>
        <w:jc w:val="both"/>
        <w:rPr>
          <w:rFonts w:hint="default" w:ascii="Arial" w:hAnsi="Arial" w:cs="Arial"/>
          <w:b/>
          <w:bCs/>
          <w:sz w:val="22"/>
          <w:szCs w:val="22"/>
        </w:rPr>
      </w:pPr>
    </w:p>
    <w:p>
      <w:pPr>
        <w:spacing w:line="360" w:lineRule="auto"/>
        <w:jc w:val="both"/>
        <w:rPr>
          <w:rFonts w:hint="default" w:ascii="Arial" w:hAnsi="Arial" w:cs="Arial"/>
          <w:b/>
          <w:bCs/>
          <w:sz w:val="22"/>
          <w:szCs w:val="22"/>
        </w:rPr>
      </w:pPr>
      <w:r>
        <w:rPr>
          <w:rFonts w:hint="default" w:ascii="Arial" w:hAnsi="Arial" w:cs="Arial"/>
          <w:b/>
          <w:bCs/>
          <w:sz w:val="22"/>
          <w:szCs w:val="22"/>
        </w:rPr>
        <w:t>Three Relevant Information Sources</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lang w:val="en-US"/>
        </w:rPr>
      </w:pPr>
      <w:r>
        <w:rPr>
          <w:rFonts w:hint="default" w:ascii="Arial" w:hAnsi="Arial" w:cs="Arial"/>
          <w:b/>
          <w:bCs/>
          <w:sz w:val="22"/>
          <w:szCs w:val="22"/>
        </w:rPr>
        <w:t>1.  Skills for Care (2023)</w:t>
      </w:r>
      <w:r>
        <w:rPr>
          <w:rFonts w:hint="default" w:ascii="Arial" w:hAnsi="Arial" w:cs="Arial"/>
          <w:b/>
          <w:bCs/>
          <w:sz w:val="22"/>
          <w:szCs w:val="22"/>
          <w:lang w:val="en-US"/>
        </w:rPr>
        <w:t>:</w:t>
      </w:r>
      <w:r>
        <w:rPr>
          <w:rFonts w:hint="default" w:ascii="Arial" w:hAnsi="Arial" w:cs="Arial"/>
          <w:sz w:val="22"/>
          <w:szCs w:val="22"/>
          <w:lang w:val="en-US"/>
        </w:rPr>
        <w:t xml:space="preserve"> </w:t>
      </w:r>
      <w:r>
        <w:rPr>
          <w:rFonts w:hint="default" w:ascii="Arial" w:hAnsi="Arial" w:cs="Arial"/>
          <w:sz w:val="22"/>
          <w:szCs w:val="22"/>
        </w:rPr>
        <w:t>The state of the adult social care sector and workforce in England</w:t>
      </w:r>
      <w:r>
        <w:rPr>
          <w:rFonts w:hint="default" w:ascii="Arial" w:hAnsi="Arial" w:cs="Arial"/>
          <w:sz w:val="22"/>
          <w:szCs w:val="22"/>
          <w:lang w:val="en-US"/>
        </w:rPr>
        <w:t>.</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b/>
          <w:bCs/>
          <w:sz w:val="22"/>
          <w:szCs w:val="22"/>
        </w:rPr>
        <w:t>Content and Relevance:</w:t>
      </w:r>
      <w:r>
        <w:rPr>
          <w:rFonts w:hint="default" w:ascii="Arial" w:hAnsi="Arial" w:cs="Arial"/>
          <w:sz w:val="22"/>
          <w:szCs w:val="22"/>
          <w:lang w:val="en-US"/>
        </w:rPr>
        <w:t xml:space="preserve"> </w:t>
      </w:r>
      <w:r>
        <w:rPr>
          <w:rFonts w:hint="default" w:ascii="Arial" w:hAnsi="Arial" w:cs="Arial"/>
          <w:sz w:val="22"/>
          <w:szCs w:val="22"/>
        </w:rPr>
        <w:t>This annual report is the most comprehensive and authoritative source of workforce intelligence for the adult social care sector in England. It provides detailed data on the size and structure of the workforce, vacancy rates, turnover, pay levels, and demographic characteristics. The 2023 edition highlights that the number of filled posts fell for the first time, vacancy rates rose to 9.9%, and staff turnover reached a record high of 28.3% (Skills for Care, 2023). It directly quantifies the scale of the crisis.</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b/>
          <w:bCs/>
          <w:sz w:val="22"/>
          <w:szCs w:val="22"/>
        </w:rPr>
        <w:t>Reason for Selection:</w:t>
      </w:r>
      <w:r>
        <w:rPr>
          <w:rFonts w:hint="default" w:ascii="Arial" w:hAnsi="Arial" w:cs="Arial"/>
          <w:sz w:val="22"/>
          <w:szCs w:val="22"/>
        </w:rPr>
        <w:t xml:space="preserve"> This source was selected because it provides an essential, robust quantitative baseline for the research. Its official status and rigorous methodology make its findings highly credible. It allows the research to be grounded in the most recent, reliable data, providing concrete evidence of the problem's severity and trends over time.</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lang w:val="en-US"/>
        </w:rPr>
      </w:pPr>
      <w:r>
        <w:rPr>
          <w:rFonts w:hint="default" w:ascii="Arial" w:hAnsi="Arial" w:cs="Arial"/>
          <w:b/>
          <w:bCs/>
          <w:sz w:val="22"/>
          <w:szCs w:val="22"/>
        </w:rPr>
        <w:t>2.  The King's Fund (2022)</w:t>
      </w:r>
      <w:r>
        <w:rPr>
          <w:rFonts w:hint="default" w:ascii="Arial" w:hAnsi="Arial" w:cs="Arial"/>
          <w:sz w:val="22"/>
          <w:szCs w:val="22"/>
          <w:lang w:val="en-US"/>
        </w:rPr>
        <w:t xml:space="preserve">: </w:t>
      </w:r>
      <w:r>
        <w:rPr>
          <w:rFonts w:hint="default" w:ascii="Arial" w:hAnsi="Arial" w:cs="Arial"/>
          <w:sz w:val="22"/>
          <w:szCs w:val="22"/>
        </w:rPr>
        <w:t>Social care 360</w:t>
      </w:r>
      <w:r>
        <w:rPr>
          <w:rFonts w:hint="default" w:ascii="Arial" w:hAnsi="Arial" w:cs="Arial"/>
          <w:sz w:val="22"/>
          <w:szCs w:val="22"/>
          <w:lang w:val="en-US"/>
        </w:rPr>
        <w:t>.</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b/>
          <w:bCs/>
          <w:sz w:val="22"/>
          <w:szCs w:val="22"/>
        </w:rPr>
        <w:t>Content and Relevance:</w:t>
      </w:r>
      <w:r>
        <w:rPr>
          <w:rFonts w:hint="default" w:ascii="Arial" w:hAnsi="Arial" w:cs="Arial"/>
          <w:sz w:val="22"/>
          <w:szCs w:val="22"/>
        </w:rPr>
        <w:t xml:space="preserve"> This review by a leading health and social care charity offers a concise yet holistic analysis of key trends in social care. It contextualises workforce issues within the broader system, covering topics like funding, access to care, and the provider market. It synthesises data from various sources, including Skills for Care and NHS Digital, to present a coherent narrative about the state of the sector, explicitly linking workforce challenges to systemic underfunding and fragmentation.</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b/>
          <w:bCs/>
          <w:sz w:val="22"/>
          <w:szCs w:val="22"/>
        </w:rPr>
        <w:t>Reason for Selection:</w:t>
      </w:r>
      <w:r>
        <w:rPr>
          <w:rFonts w:hint="default" w:ascii="Arial" w:hAnsi="Arial" w:cs="Arial"/>
          <w:sz w:val="22"/>
          <w:szCs w:val="22"/>
        </w:rPr>
        <w:t xml:space="preserve"> This source was chosen for its analytical depth and policy orientation. While Skills for Care provides the 'what', The King's Fund offers insight into the 'why'. Its relevance lies in its ability to connect workforce data to wider political and economic factors, helping to frame the research within the larger context of systemic failure and potential policy solutions.</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b/>
          <w:bCs/>
          <w:sz w:val="22"/>
          <w:szCs w:val="22"/>
        </w:rPr>
        <w:t xml:space="preserve">3.  </w:t>
      </w:r>
      <w:r>
        <w:rPr>
          <w:rFonts w:hint="default" w:ascii="Arial" w:hAnsi="Arial" w:eastAsia="SimSun" w:cs="Arial"/>
          <w:i w:val="0"/>
          <w:iCs w:val="0"/>
          <w:caps w:val="0"/>
          <w:color w:val="222222"/>
          <w:spacing w:val="0"/>
          <w:sz w:val="22"/>
          <w:szCs w:val="22"/>
          <w:shd w:val="clear" w:fill="FFFFFF"/>
        </w:rPr>
        <w:t>Pulman, A., &amp; Fenge, L. A. (2025)</w:t>
      </w:r>
      <w:r>
        <w:rPr>
          <w:rFonts w:hint="default" w:ascii="Arial" w:hAnsi="Arial" w:cs="Arial"/>
          <w:b/>
          <w:bCs/>
          <w:sz w:val="22"/>
          <w:szCs w:val="22"/>
          <w:lang w:val="en-US"/>
        </w:rPr>
        <w:t>:</w:t>
      </w:r>
      <w:r>
        <w:rPr>
          <w:rFonts w:hint="default" w:ascii="Arial" w:hAnsi="Arial" w:cs="Arial"/>
          <w:sz w:val="22"/>
          <w:szCs w:val="22"/>
          <w:lang w:val="en-US"/>
        </w:rPr>
        <w:t xml:space="preserve"> </w:t>
      </w:r>
      <w:r>
        <w:rPr>
          <w:rFonts w:ascii="Arial" w:hAnsi="Arial" w:eastAsia="SimSun" w:cs="Arial"/>
          <w:i w:val="0"/>
          <w:iCs w:val="0"/>
          <w:caps w:val="0"/>
          <w:color w:val="222222"/>
          <w:spacing w:val="0"/>
          <w:sz w:val="22"/>
          <w:szCs w:val="22"/>
          <w:shd w:val="clear" w:fill="FFFFFF"/>
        </w:rPr>
        <w:t>Impacts of workplace stress on the retention of social workers: a qualitative study</w:t>
      </w:r>
    </w:p>
    <w:p>
      <w:pPr>
        <w:spacing w:line="360" w:lineRule="auto"/>
        <w:jc w:val="both"/>
        <w:rPr>
          <w:rFonts w:hint="default" w:ascii="Arial" w:hAnsi="Arial" w:cs="Arial"/>
          <w:sz w:val="22"/>
          <w:szCs w:val="22"/>
        </w:rPr>
      </w:pPr>
      <w:r>
        <w:rPr>
          <w:rFonts w:hint="default" w:ascii="Arial" w:hAnsi="Arial" w:cs="Arial"/>
          <w:b/>
          <w:bCs/>
          <w:sz w:val="22"/>
          <w:szCs w:val="22"/>
        </w:rPr>
        <w:t>Content and Relevance:</w:t>
      </w:r>
      <w:r>
        <w:rPr>
          <w:rFonts w:hint="default" w:ascii="Arial" w:hAnsi="Arial" w:cs="Arial"/>
          <w:sz w:val="22"/>
          <w:szCs w:val="22"/>
        </w:rPr>
        <w:t xml:space="preserve"> This is a peer-reviewed academic study that explores the qualitative experiences of care workers. It investigates the psychological impact of the job, specifically stress and burnout, and how these factors directly influence decisions to leave the sector. The research provides rich, narrative data on the emotional labour, lack of resources, and feeling of being undervalued that drive staff away.</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b/>
          <w:bCs/>
          <w:sz w:val="22"/>
          <w:szCs w:val="22"/>
        </w:rPr>
        <w:t>Reason for Selection:</w:t>
      </w:r>
      <w:r>
        <w:rPr>
          <w:rFonts w:hint="default" w:ascii="Arial" w:hAnsi="Arial" w:cs="Arial"/>
          <w:sz w:val="22"/>
          <w:szCs w:val="22"/>
        </w:rPr>
        <w:t xml:space="preserve"> This source was selected to complement the macro-level data with micro-level human experience. It adds a crucial qualitative dimension to the research, giving a voice to the care workers themselves. Understanding the subjective, lived experience of the workforce is essential for developing effective retention strategies that address not just pay, but also well-being and professional fulfilment.</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b/>
          <w:bCs/>
          <w:sz w:val="22"/>
          <w:szCs w:val="22"/>
        </w:rPr>
        <w:t>Task 2 of 3 – Research Methodologies</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Research methodologies can be broadly categorised into quantitative and qualitative approaches. Quantitative research</w:t>
      </w:r>
      <w:r>
        <w:rPr>
          <w:rFonts w:hint="default" w:ascii="Arial" w:hAnsi="Arial" w:cs="Arial"/>
          <w:sz w:val="22"/>
          <w:szCs w:val="22"/>
          <w:lang w:val="en-US"/>
        </w:rPr>
        <w:t xml:space="preserve"> </w:t>
      </w:r>
      <w:r>
        <w:rPr>
          <w:rFonts w:hint="default" w:ascii="Arial" w:hAnsi="Arial" w:cs="Arial"/>
          <w:sz w:val="22"/>
          <w:szCs w:val="22"/>
        </w:rPr>
        <w:t>is primarily concerned with numerical data and objective measurement. It seeks to quantify a problem by generating data that can be transformed into usable statistics. It is often used to identify patterns, relationships, and causal effects through methods like surveys and experiments, and its findings are typically generalisable to a larger population. Characteristics include a structured design, large sample sizes, and data presented in graphs and tables.</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In contrast, qualitative research is exploratory and seeks to understand underlying reasons, opinions, and motivations. It provides insights into the problem by collecting non-numerical data, such as words, images, and narratives, through methods like interviews, focus groups, and observations. It focuses on depth rather than breadth, offering rich, detailed understanding from a smaller, often purposively selected, sample. The findings are context-specific and not statistically generalisable.</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For this research into the adult social care workforce crisis, a mixed-methods methodology is the most appropriate choice. A purely quantitative approach, while excellent for measuring the scale of vacancies and turnover (the 'what'), would fail to capture the nuanced human experiences behind these statistics. Conversely, a solely qualitative approach might provide deep insight into individual experiences but would lack the generalisable data to demonstrate the problem's national scale.</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A mixed-methods approach synergistically combines both. A quantitative strand, such as a survey of care workers, could establish the prevalence of issues like intention to leave and correlate it with factors like pay, hours, and seniority. The subsequent qualitative strand, involving in-depth interviews, would then explore the 'why'</w:t>
      </w:r>
      <w:r>
        <w:rPr>
          <w:rFonts w:hint="default" w:ascii="Arial" w:hAnsi="Arial" w:cs="Arial"/>
          <w:sz w:val="22"/>
          <w:szCs w:val="22"/>
          <w:lang w:val="en-US"/>
        </w:rPr>
        <w:t xml:space="preserve"> </w:t>
      </w:r>
      <w:r>
        <w:rPr>
          <w:rFonts w:hint="default" w:ascii="Arial" w:hAnsi="Arial" w:cs="Arial"/>
          <w:sz w:val="22"/>
          <w:szCs w:val="22"/>
        </w:rPr>
        <w:t>the personal stories of burnout, the impact of specific workplace policies, and the emotional toll of the work. This integrated approach provides a comprehensive evidence base: the quantitative data demonstrates the breadth of the crisis, while the qualitative data explains its depth and human cost, leading to more robust and actionable conclusions.</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b/>
          <w:bCs/>
          <w:sz w:val="22"/>
          <w:szCs w:val="22"/>
        </w:rPr>
        <w:t>Task 3 of 3 – Data Collection</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 xml:space="preserve">Data collection is the process of gathering information to address a research problem and can be classified as primary or secondary. Primary data is original data collected </w:t>
      </w:r>
      <w:r>
        <w:rPr>
          <w:rFonts w:hint="default" w:ascii="Arial" w:hAnsi="Arial" w:cs="Arial"/>
          <w:sz w:val="22"/>
          <w:szCs w:val="22"/>
          <w:lang w:val="en-US"/>
        </w:rPr>
        <w:t>first-hand</w:t>
      </w:r>
      <w:r>
        <w:rPr>
          <w:rFonts w:hint="default" w:ascii="Arial" w:hAnsi="Arial" w:cs="Arial"/>
          <w:sz w:val="22"/>
          <w:szCs w:val="22"/>
        </w:rPr>
        <w:t xml:space="preserve"> by the researcher for the specific purpose of their study. Examples include responses from newly conducted surveys, transcripts from interviews, or data from direct observations. Its main advantage is that it is tailored to the research question, but it is often time-consuming and costly to collect. Secondary data refers to data that has already been collected by someone else for a different purpose. This includes government reports, academic journal articles, industry statistics, and historical records. Its use is efficient and cost-effective, providing a valuable context, but it may not perfectly align with the current research needs.</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For this research project, a combination of both primary and secondary data will be employed, aligning with the chosen mixed-methods methodology.</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Secondary data will form the foundational stage of the research. The sources identified in Task 1, such as the Skills for Care report and The King's Fund review, will be indispensable. They will provide the macro-level context, establishing the scale of the workforce crisis with authoritative statistics on vacancy rates, turnover, and workforce demographics. This existing data will help to frame the research problem accurately and identify gaps in current understanding that the primary research can address.</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 xml:space="preserve">Subsequently, primary data will be collected to address these gaps and provide novel insights. To gather quantitative primary data, an </w:t>
      </w:r>
      <w:r>
        <w:rPr>
          <w:rFonts w:hint="default" w:ascii="Arial" w:hAnsi="Arial" w:cs="Arial"/>
          <w:sz w:val="22"/>
          <w:szCs w:val="22"/>
          <w:lang w:val="en-US"/>
        </w:rPr>
        <w:t>on-line</w:t>
      </w:r>
      <w:r>
        <w:rPr>
          <w:rFonts w:hint="default" w:ascii="Arial" w:hAnsi="Arial" w:cs="Arial"/>
          <w:sz w:val="22"/>
          <w:szCs w:val="22"/>
        </w:rPr>
        <w:t xml:space="preserve"> survey will be distributed to a sample of care workers across several providers. This survey will gather data on job satisfaction, workload, financial pressures, and future career intentions. For qualitative primary data, semi-structured interviews will be conducted with a smaller, purposively selected group of care workers, managers, and service users. These interviews will explore the lived experiences and consequences of the workforce shortages in rich detail.</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This dual approach is justified as it ensures the research is both grounded in established evidence (secondary data) and contributes new, targeted findings (primary data) that directly address the complex, human-centric nature of the workforce crisis.</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b/>
          <w:bCs/>
          <w:sz w:val="22"/>
          <w:szCs w:val="22"/>
        </w:rPr>
        <w:t>Conclusion</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r>
        <w:rPr>
          <w:rFonts w:hint="default" w:ascii="Arial" w:hAnsi="Arial" w:cs="Arial"/>
          <w:sz w:val="22"/>
          <w:szCs w:val="22"/>
        </w:rPr>
        <w:t>In summary, this report has identified the adult social care workforce crisis as a critical issue requiring immediate and thorough investigation. The crisis, characterised by severe staffing shortages and high attrition, detrimentally affects service users, care workers, and the entire health and care ecosystem. The justification for research is rooted in the demographic inevitability of rising demand and the urgent need for evidence-based solutions. A mixed-methods research methodology was proposed as the most robust approach to capture both the scale and the human experience of the crisis. This will be supported by a data collection strategy that leverages</w:t>
      </w:r>
      <w:r>
        <w:rPr>
          <w:rFonts w:hint="default" w:ascii="Arial" w:hAnsi="Arial" w:cs="Arial"/>
          <w:sz w:val="22"/>
          <w:szCs w:val="22"/>
          <w:lang w:val="en-US"/>
        </w:rPr>
        <w:t xml:space="preserve"> on</w:t>
      </w:r>
      <w:r>
        <w:rPr>
          <w:rFonts w:hint="default" w:ascii="Arial" w:hAnsi="Arial" w:cs="Arial"/>
          <w:sz w:val="22"/>
          <w:szCs w:val="22"/>
        </w:rPr>
        <w:t xml:space="preserve"> existing secondary data from authoritative sources like Skills for Care and The King's Fund, complemented by new primary data gathered through surveys and interviews. Ultimately, this research design promises to yield a comprehensive and nuanced understanding of the problem, providing a valuable evidence base for </w:t>
      </w:r>
      <w:r>
        <w:rPr>
          <w:rFonts w:hint="default" w:ascii="Arial" w:hAnsi="Arial" w:cs="Arial"/>
          <w:sz w:val="22"/>
          <w:szCs w:val="22"/>
          <w:lang w:val="en-US"/>
        </w:rPr>
        <w:t>policy-makers</w:t>
      </w:r>
      <w:r>
        <w:rPr>
          <w:rFonts w:hint="default" w:ascii="Arial" w:hAnsi="Arial" w:cs="Arial"/>
          <w:sz w:val="22"/>
          <w:szCs w:val="22"/>
        </w:rPr>
        <w:t>, providers, and stakeholders tasked with building a sustainable and effective adult social care system for the future.</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p>
    <w:p>
      <w:pPr>
        <w:rPr>
          <w:rFonts w:hint="default" w:ascii="Arial" w:hAnsi="Arial" w:cs="Arial"/>
          <w:b/>
          <w:bCs/>
          <w:sz w:val="22"/>
          <w:szCs w:val="22"/>
        </w:rPr>
      </w:pPr>
      <w:r>
        <w:rPr>
          <w:rFonts w:hint="default" w:ascii="Arial" w:hAnsi="Arial" w:cs="Arial"/>
          <w:b/>
          <w:bCs/>
          <w:sz w:val="22"/>
          <w:szCs w:val="22"/>
        </w:rPr>
        <w:br w:type="page"/>
      </w:r>
    </w:p>
    <w:p>
      <w:pPr>
        <w:spacing w:line="360" w:lineRule="auto"/>
        <w:jc w:val="both"/>
        <w:rPr>
          <w:rFonts w:hint="default" w:ascii="Arial" w:hAnsi="Arial" w:cs="Arial"/>
          <w:b/>
          <w:bCs/>
          <w:sz w:val="22"/>
          <w:szCs w:val="22"/>
        </w:rPr>
      </w:pPr>
      <w:r>
        <w:rPr>
          <w:rFonts w:hint="default" w:ascii="Arial" w:hAnsi="Arial" w:cs="Arial"/>
          <w:b/>
          <w:bCs/>
          <w:sz w:val="22"/>
          <w:szCs w:val="22"/>
        </w:rPr>
        <w:t>References</w:t>
      </w:r>
    </w:p>
    <w:p>
      <w:pPr>
        <w:spacing w:line="360" w:lineRule="auto"/>
        <w:jc w:val="both"/>
        <w:rPr>
          <w:rFonts w:hint="default" w:ascii="Arial" w:hAnsi="Arial" w:cs="Arial"/>
          <w:sz w:val="22"/>
          <w:szCs w:val="22"/>
        </w:rPr>
      </w:pPr>
    </w:p>
    <w:p>
      <w:pPr>
        <w:spacing w:line="360" w:lineRule="auto"/>
        <w:ind w:left="598" w:leftChars="0" w:hanging="598" w:hangingChars="272"/>
        <w:jc w:val="both"/>
        <w:rPr>
          <w:rFonts w:hint="default" w:ascii="Arial" w:hAnsi="Arial" w:eastAsia="SimSun" w:cs="Arial"/>
          <w:i w:val="0"/>
          <w:iCs w:val="0"/>
          <w:caps w:val="0"/>
          <w:color w:val="222222"/>
          <w:spacing w:val="0"/>
          <w:sz w:val="22"/>
          <w:szCs w:val="22"/>
          <w:shd w:val="clear" w:fill="FFFFFF"/>
        </w:rPr>
      </w:pPr>
      <w:r>
        <w:rPr>
          <w:rFonts w:ascii="Arial" w:hAnsi="Arial" w:eastAsia="SimSun" w:cs="Arial"/>
          <w:i w:val="0"/>
          <w:iCs w:val="0"/>
          <w:caps w:val="0"/>
          <w:color w:val="222222"/>
          <w:spacing w:val="0"/>
          <w:sz w:val="22"/>
          <w:szCs w:val="22"/>
          <w:shd w:val="clear" w:fill="FFFFFF"/>
        </w:rPr>
        <w:t>Pulman, A., &amp; Fenge, L. A. (2025). Impacts of workplace stress on the retention of social workers: a qualitative study.</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Practice</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37</w:t>
      </w:r>
      <w:r>
        <w:rPr>
          <w:rFonts w:hint="default" w:ascii="Arial" w:hAnsi="Arial" w:eastAsia="SimSun" w:cs="Arial"/>
          <w:i w:val="0"/>
          <w:iCs w:val="0"/>
          <w:caps w:val="0"/>
          <w:color w:val="222222"/>
          <w:spacing w:val="0"/>
          <w:sz w:val="22"/>
          <w:szCs w:val="22"/>
          <w:shd w:val="clear" w:fill="FFFFFF"/>
        </w:rPr>
        <w:t>(3), 231-246.</w:t>
      </w:r>
    </w:p>
    <w:p>
      <w:pPr>
        <w:spacing w:line="360" w:lineRule="auto"/>
        <w:ind w:left="598" w:leftChars="0" w:hanging="598" w:hangingChars="272"/>
        <w:jc w:val="both"/>
        <w:rPr>
          <w:rFonts w:hint="default" w:ascii="Arial" w:hAnsi="Arial" w:eastAsia="SimSun" w:cs="Arial"/>
          <w:i w:val="0"/>
          <w:iCs w:val="0"/>
          <w:caps w:val="0"/>
          <w:color w:val="222222"/>
          <w:spacing w:val="0"/>
          <w:sz w:val="22"/>
          <w:szCs w:val="22"/>
          <w:shd w:val="clear" w:fill="FFFFFF"/>
        </w:rPr>
      </w:pPr>
    </w:p>
    <w:p>
      <w:pPr>
        <w:spacing w:line="360" w:lineRule="auto"/>
        <w:ind w:left="598" w:leftChars="0" w:hanging="598" w:hangingChars="272"/>
        <w:jc w:val="both"/>
        <w:rPr>
          <w:rFonts w:hint="default" w:ascii="Arial" w:hAnsi="Arial" w:cs="Arial"/>
          <w:sz w:val="22"/>
          <w:szCs w:val="22"/>
        </w:rPr>
      </w:pPr>
      <w:r>
        <w:rPr>
          <w:rFonts w:hint="default" w:ascii="Arial" w:hAnsi="Arial" w:cs="Arial"/>
          <w:sz w:val="22"/>
          <w:szCs w:val="22"/>
        </w:rPr>
        <w:t>The King's Fund (2022). Social care 360. The King's Fund. Available at</w:t>
      </w:r>
      <w:r>
        <w:rPr>
          <w:rFonts w:hint="default" w:ascii="Arial" w:hAnsi="Arial" w:cs="Arial"/>
          <w:sz w:val="22"/>
          <w:szCs w:val="22"/>
          <w:lang w:val="en-US"/>
        </w:rPr>
        <w:t xml:space="preserve"> </w:t>
      </w:r>
      <w:r>
        <w:rPr>
          <w:rFonts w:hint="default" w:ascii="Arial" w:hAnsi="Arial" w:cs="Arial"/>
          <w:color w:val="auto"/>
          <w:sz w:val="22"/>
          <w:szCs w:val="22"/>
          <w:u w:val="none"/>
        </w:rPr>
        <w:t>https://www.kingsfund.org.uk/publications/social-care-360</w:t>
      </w:r>
    </w:p>
    <w:p>
      <w:pPr>
        <w:spacing w:line="360" w:lineRule="auto"/>
        <w:ind w:left="598" w:leftChars="0" w:hanging="598" w:hangingChars="272"/>
        <w:jc w:val="both"/>
        <w:rPr>
          <w:rFonts w:ascii="Arial" w:hAnsi="Arial" w:eastAsia="SimSun" w:cs="Arial"/>
          <w:i w:val="0"/>
          <w:iCs w:val="0"/>
          <w:caps w:val="0"/>
          <w:color w:val="222222"/>
          <w:spacing w:val="0"/>
          <w:sz w:val="22"/>
          <w:szCs w:val="22"/>
          <w:shd w:val="clear" w:fill="FFFFFF"/>
        </w:rPr>
      </w:pPr>
    </w:p>
    <w:p>
      <w:pPr>
        <w:spacing w:line="360" w:lineRule="auto"/>
        <w:ind w:left="598" w:leftChars="0" w:hanging="598" w:hangingChars="272"/>
        <w:jc w:val="both"/>
        <w:rPr>
          <w:rFonts w:hint="default" w:ascii="Arial" w:hAnsi="Arial" w:cs="Arial"/>
          <w:sz w:val="22"/>
          <w:szCs w:val="22"/>
        </w:rPr>
      </w:pPr>
      <w:r>
        <w:rPr>
          <w:rFonts w:ascii="Arial" w:hAnsi="Arial" w:eastAsia="SimSun" w:cs="Arial"/>
          <w:i w:val="0"/>
          <w:iCs w:val="0"/>
          <w:caps w:val="0"/>
          <w:color w:val="222222"/>
          <w:spacing w:val="0"/>
          <w:sz w:val="22"/>
          <w:szCs w:val="22"/>
          <w:shd w:val="clear" w:fill="FFFFFF"/>
        </w:rPr>
        <w:t>Fenton, K., Fell, G., Roberts, W., &amp; Rae, M. (2024). The UK Government's mandate for change must prioritise transfo</w:t>
      </w:r>
      <w:r>
        <w:rPr>
          <w:rFonts w:hint="default" w:ascii="Arial" w:hAnsi="Arial" w:eastAsia="SimSun" w:cs="Arial"/>
          <w:i w:val="0"/>
          <w:iCs w:val="0"/>
          <w:caps w:val="0"/>
          <w:color w:val="222222"/>
          <w:spacing w:val="0"/>
          <w:sz w:val="22"/>
          <w:szCs w:val="22"/>
          <w:shd w:val="clear" w:fill="FFFFFF"/>
        </w:rPr>
        <w:t>rmation of the public's health. </w:t>
      </w:r>
      <w:r>
        <w:rPr>
          <w:rFonts w:hint="default" w:ascii="Arial" w:hAnsi="Arial" w:eastAsia="SimSun" w:cs="Arial"/>
          <w:i/>
          <w:iCs/>
          <w:caps w:val="0"/>
          <w:color w:val="222222"/>
          <w:spacing w:val="0"/>
          <w:sz w:val="22"/>
          <w:szCs w:val="22"/>
          <w:shd w:val="clear" w:fill="FFFFFF"/>
        </w:rPr>
        <w:t>The Lancet</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404</w:t>
      </w:r>
      <w:r>
        <w:rPr>
          <w:rFonts w:hint="default" w:ascii="Arial" w:hAnsi="Arial" w:eastAsia="SimSun" w:cs="Arial"/>
          <w:i w:val="0"/>
          <w:iCs w:val="0"/>
          <w:caps w:val="0"/>
          <w:color w:val="222222"/>
          <w:spacing w:val="0"/>
          <w:sz w:val="22"/>
          <w:szCs w:val="22"/>
          <w:shd w:val="clear" w:fill="FFFFFF"/>
        </w:rPr>
        <w:t>(10449), 223-226.</w:t>
      </w:r>
    </w:p>
    <w:p>
      <w:pPr>
        <w:spacing w:line="360" w:lineRule="auto"/>
        <w:ind w:left="598" w:leftChars="0" w:hanging="598" w:hangingChars="272"/>
        <w:jc w:val="both"/>
        <w:rPr>
          <w:rFonts w:hint="default" w:ascii="Arial" w:hAnsi="Arial" w:cs="Arial"/>
          <w:sz w:val="22"/>
          <w:szCs w:val="22"/>
        </w:rPr>
      </w:pPr>
    </w:p>
    <w:p>
      <w:pPr>
        <w:spacing w:line="360" w:lineRule="auto"/>
        <w:ind w:left="598" w:leftChars="0" w:hanging="598" w:hangingChars="272"/>
        <w:jc w:val="both"/>
        <w:rPr>
          <w:rFonts w:hint="default" w:ascii="Arial" w:hAnsi="Arial" w:cs="Arial"/>
          <w:sz w:val="22"/>
          <w:szCs w:val="22"/>
        </w:rPr>
      </w:pPr>
      <w:r>
        <w:rPr>
          <w:rFonts w:hint="default" w:ascii="Arial" w:hAnsi="Arial" w:cs="Arial"/>
          <w:sz w:val="22"/>
          <w:szCs w:val="22"/>
        </w:rPr>
        <w:t>Skills for Care (2023). The state of the adult social care sector and workforce in England. Skills for Care. Available at</w:t>
      </w:r>
      <w:r>
        <w:rPr>
          <w:rFonts w:hint="default" w:ascii="Arial" w:hAnsi="Arial" w:cs="Arial"/>
          <w:sz w:val="22"/>
          <w:szCs w:val="22"/>
          <w:lang w:val="en-US"/>
        </w:rPr>
        <w:t xml:space="preserve"> </w:t>
      </w:r>
      <w:r>
        <w:rPr>
          <w:rFonts w:hint="default" w:ascii="Arial" w:hAnsi="Arial" w:eastAsia="SimSun" w:cs="Arial"/>
          <w:sz w:val="22"/>
          <w:szCs w:val="22"/>
        </w:rPr>
        <w:t>https://www.skillsforcare.org.uk/Home.aspx</w:t>
      </w: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p>
    <w:p>
      <w:pPr>
        <w:spacing w:line="360" w:lineRule="auto"/>
        <w:jc w:val="both"/>
        <w:rPr>
          <w:rFonts w:hint="default" w:ascii="Arial" w:hAnsi="Arial" w:cs="Arial"/>
          <w:sz w:val="22"/>
          <w:szCs w:val="22"/>
        </w:rPr>
      </w:pPr>
    </w:p>
    <w:p>
      <w:pPr>
        <w:rPr>
          <w:rFonts w:hint="default" w:ascii="Arial" w:hAnsi="Arial" w:cs="Arial"/>
          <w:sz w:val="22"/>
          <w:szCs w:val="22"/>
        </w:rPr>
      </w:pPr>
    </w:p>
    <w:sectPr>
      <w:headerReference r:id="rId3" w:type="default"/>
      <w:footerReference r:id="rId4" w:type="default"/>
      <w:pgSz w:w="11906" w:h="16838"/>
      <w:pgMar w:top="1440" w:right="1800" w:bottom="1440" w:left="180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27D514"/>
    <w:multiLevelType w:val="singleLevel"/>
    <w:tmpl w:val="F627D514"/>
    <w:lvl w:ilvl="0" w:tentative="0">
      <w:start w:val="1"/>
      <w:numFmt w:val="lowerRoman"/>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305"/>
    <w:rsid w:val="008A6305"/>
    <w:rsid w:val="24D608D7"/>
    <w:rsid w:val="29A766A1"/>
    <w:rsid w:val="5DDB64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qFormat/>
    <w:uiPriority w:val="0"/>
    <w:pPr>
      <w:tabs>
        <w:tab w:val="center" w:pos="4153"/>
        <w:tab w:val="right" w:pos="8306"/>
      </w:tabs>
      <w:snapToGrid w:val="0"/>
    </w:pPr>
    <w:rPr>
      <w:sz w:val="18"/>
      <w:szCs w:val="18"/>
    </w:rPr>
  </w:style>
  <w:style w:type="character" w:styleId="6">
    <w:name w:val="Hyperlink"/>
    <w:basedOn w:val="2"/>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TotalTime>
  <ScaleCrop>false</ScaleCrop>
  <LinksUpToDate>false</LinksUpToDate>
  <CharactersWithSpaces>0</CharactersWithSpaces>
  <Application>WPS Office_11.2.0.11417_F1E327BC-269C-435d-A152-05C5408002CA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2025-11-18T18:14:00Z</dcterms:created>
  <dc:creator>Dr. Godfrey Ojerheghan</dc:creator>
  <cp:lastModifiedBy>Dr. Godfrey Ojerheghan</cp:lastModifiedBy>
  <dcterms:modified xsi:type="dcterms:W3CDTF">2025-11-21T06:08:02Z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2057-11.2.0.11417</vt:lpwstr>
  </property>
  <property fmtid="{D5CDD505-2E9C-101B-9397-08002B2CF9AE}" pid="3" name="ICV">
    <vt:lpwstr>D0BAD2FD1F844B04AEF51FC88090E7BA</vt:lpwstr>
  </property>
</Properties>
</file>