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_rels/document.xml.rels" ContentType="application/vnd.openxmlformats-package.relationships+xml"/>
  <Override PartName="/word/settings.xml" ContentType="application/vnd.openxmlformats-officedocument.wordprocessingml.settings+xml"/>
  <Override PartName="/word/media/image4.png" ContentType="image/png"/>
  <Override PartName="/word/media/image3.png" ContentType="image/png"/>
  <Override PartName="/word/media/image2.png" ContentType="image/png"/>
  <Override PartName="/word/media/image1.png" ContentType="image/png"/>
  <Override PartName="/word/theme/theme1.xml" ContentType="application/vnd.openxmlformats-officedocument.theme+xml"/>
  <Override PartName="/word/styles.xml" ContentType="application/vnd.openxmlformats-officedocument.wordprocessingml.styles+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jc w:val="both"/>
        <w:rPr/>
      </w:pPr>
      <w:r>
        <w:rPr/>
        <w:drawing>
          <wp:inline distT="0" distB="0" distL="0" distR="0">
            <wp:extent cx="1524000" cy="609600"/>
            <wp:effectExtent l="0" t="0" r="0" b="0"/>
            <wp:docPr id="1"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4" descr=""/>
                    <pic:cNvPicPr>
                      <a:picLocks noChangeAspect="1" noChangeArrowheads="1"/>
                    </pic:cNvPicPr>
                  </pic:nvPicPr>
                  <pic:blipFill>
                    <a:blip r:embed="rId2"/>
                    <a:stretch>
                      <a:fillRect/>
                    </a:stretch>
                  </pic:blipFill>
                  <pic:spPr bwMode="auto">
                    <a:xfrm>
                      <a:off x="0" y="0"/>
                      <a:ext cx="1524000" cy="609600"/>
                    </a:xfrm>
                    <a:prstGeom prst="rect">
                      <a:avLst/>
                    </a:prstGeom>
                  </pic:spPr>
                </pic:pic>
              </a:graphicData>
            </a:graphic>
          </wp:inline>
        </w:drawing>
      </w:r>
      <w:r>
        <w:rPr>
          <w:rFonts w:cs="Arial" w:ascii="Arial" w:hAnsi="Arial"/>
        </w:rPr>
        <w:t> </w:t>
      </w:r>
      <w:r>
        <w:rPr>
          <w:rFonts w:cs="Arial" w:ascii="Arial" w:hAnsi="Arial"/>
        </w:rPr>
        <w:t>[Saut de retour à la ligne]</w:t>
      </w:r>
      <w:r>
        <w:rPr>
          <w:rFonts w:cs="Arial" w:ascii="Arial" w:hAnsi="Arial"/>
          <w:lang w:val="en-GB"/>
        </w:rPr>
        <w:t>APPENDIX GA36c</w:t>
      </w:r>
    </w:p>
    <w:p>
      <w:pPr>
        <w:pStyle w:val="TextBody"/>
        <w:spacing w:before="0" w:after="0"/>
        <w:ind w:left="0" w:right="0" w:hanging="0"/>
        <w:rPr/>
      </w:pPr>
      <w:r>
        <w:rPr/>
      </w:r>
    </w:p>
    <w:p>
      <w:pPr>
        <w:pStyle w:val="TextBody"/>
        <w:spacing w:before="0" w:after="0"/>
        <w:ind w:left="0" w:right="0" w:hanging="0"/>
        <w:rPr/>
      </w:pPr>
      <w:r>
        <w:rPr>
          <w:lang w:val="en-GB"/>
        </w:rPr>
        <w:t>LEVEL 6 ASSESSMENT SPECIFICATION</w:t>
      </w:r>
    </w:p>
    <w:p>
      <w:pPr>
        <w:pStyle w:val="TextBody"/>
        <w:spacing w:before="0" w:after="0"/>
        <w:ind w:left="0" w:right="0" w:hanging="0"/>
        <w:rPr/>
      </w:pPr>
      <w:r>
        <w:rPr/>
      </w:r>
    </w:p>
    <w:p>
      <w:pPr>
        <w:sectPr>
          <w:type w:val="nextPage"/>
          <w:pgSz w:w="11906" w:h="16838"/>
          <w:pgMar w:left="1440" w:right="1440" w:header="0" w:top="1440" w:footer="0" w:bottom="1440" w:gutter="0"/>
          <w:pgNumType w:fmt="decimal"/>
          <w:formProt w:val="false"/>
          <w:textDirection w:val="lrTb"/>
          <w:docGrid w:type="default" w:linePitch="360" w:charSpace="4294965247"/>
        </w:sectPr>
      </w:pPr>
    </w:p>
    <w:p>
      <w:pPr>
        <w:pStyle w:val="TextBody"/>
        <w:ind w:left="0" w:right="0" w:hanging="0"/>
        <w:rPr/>
      </w:pPr>
      <w:r>
        <w:rPr/>
      </w:r>
    </w:p>
    <w:p>
      <w:pPr>
        <w:sectPr>
          <w:type w:val="continuous"/>
          <w:pgSz w:w="11906" w:h="16838"/>
          <w:pgMar w:left="1440" w:right="1440" w:header="0" w:top="1440" w:footer="0" w:bottom="1440" w:gutter="0"/>
          <w:formProt w:val="false"/>
          <w:textDirection w:val="lrTb"/>
          <w:docGrid w:type="default" w:linePitch="360" w:charSpace="4294965247"/>
        </w:sectPr>
      </w:pPr>
    </w:p>
    <w:tbl>
      <w:tblPr>
        <w:tblW w:w="9026" w:type="dxa"/>
        <w:jc w:val="left"/>
        <w:tblInd w:w="0" w:type="dxa"/>
        <w:tblBorders/>
        <w:tblCellMar>
          <w:top w:w="0" w:type="dxa"/>
          <w:left w:w="0" w:type="dxa"/>
          <w:bottom w:w="0" w:type="dxa"/>
          <w:right w:w="0" w:type="dxa"/>
        </w:tblCellMar>
      </w:tblPr>
      <w:tblGrid>
        <w:gridCol w:w="1531"/>
        <w:gridCol w:w="2329"/>
        <w:gridCol w:w="3308"/>
        <w:gridCol w:w="1857"/>
      </w:tblGrid>
      <w:tr>
        <w:trPr/>
        <w:tc>
          <w:tcPr>
            <w:tcW w:w="1531" w:type="dxa"/>
            <w:tcBorders/>
            <w:shd w:fill="auto" w:val="clear"/>
            <w:vAlign w:val="center"/>
          </w:tcPr>
          <w:p>
            <w:pPr>
              <w:pStyle w:val="TableContents"/>
              <w:spacing w:before="0" w:after="0"/>
              <w:ind w:left="0" w:right="0" w:hanging="0"/>
              <w:rPr/>
            </w:pPr>
            <w:r>
              <w:rPr>
                <w:lang w:val="en-GB"/>
              </w:rPr>
              <w:t>Student name:</w:t>
            </w:r>
          </w:p>
        </w:tc>
        <w:tc>
          <w:tcPr>
            <w:tcW w:w="2329" w:type="dxa"/>
            <w:tcBorders/>
            <w:shd w:fill="auto" w:val="clear"/>
            <w:vAlign w:val="center"/>
          </w:tcPr>
          <w:p>
            <w:pPr>
              <w:pStyle w:val="TableContents"/>
              <w:spacing w:before="0" w:after="0"/>
              <w:ind w:left="0" w:right="0" w:hanging="0"/>
              <w:rPr/>
            </w:pPr>
            <w:r>
              <w:rPr/>
              <w:t>     </w:t>
            </w:r>
            <w:r>
              <w:rPr>
                <w:lang w:val="en-GB"/>
              </w:rPr>
              <w:t>Juliette Courtais</w:t>
            </w:r>
            <w:r>
              <w:rPr/>
              <w:t> </w:t>
            </w:r>
          </w:p>
        </w:tc>
        <w:tc>
          <w:tcPr>
            <w:tcW w:w="3308" w:type="dxa"/>
            <w:tcBorders/>
            <w:shd w:fill="auto" w:val="clear"/>
            <w:vAlign w:val="center"/>
          </w:tcPr>
          <w:p>
            <w:pPr>
              <w:pStyle w:val="TableContents"/>
              <w:spacing w:before="0" w:after="0"/>
              <w:ind w:left="0" w:right="0" w:hanging="0"/>
              <w:rPr/>
            </w:pPr>
            <w:r>
              <w:rPr>
                <w:lang w:val="en-GB"/>
              </w:rPr>
              <w:t>Student ID number:</w:t>
            </w:r>
            <w:r>
              <w:rPr/>
              <w:t> </w:t>
            </w:r>
          </w:p>
        </w:tc>
        <w:tc>
          <w:tcPr>
            <w:tcW w:w="1857" w:type="dxa"/>
            <w:tcBorders/>
            <w:shd w:fill="auto" w:val="clear"/>
            <w:vAlign w:val="center"/>
          </w:tcPr>
          <w:p>
            <w:pPr>
              <w:pStyle w:val="TableContents"/>
              <w:spacing w:before="0" w:after="0"/>
              <w:ind w:left="0" w:right="0" w:hanging="0"/>
              <w:rPr/>
            </w:pPr>
            <w:r>
              <w:rPr>
                <w:lang w:val="en-GB"/>
              </w:rPr>
              <w:t>1804584</w:t>
            </w:r>
            <w:r>
              <w:rPr/>
              <w:t> </w:t>
            </w:r>
          </w:p>
        </w:tc>
      </w:tr>
      <w:tr>
        <w:trPr/>
        <w:tc>
          <w:tcPr>
            <w:tcW w:w="1531" w:type="dxa"/>
            <w:tcBorders/>
            <w:shd w:fill="auto" w:val="clear"/>
            <w:vAlign w:val="center"/>
          </w:tcPr>
          <w:p>
            <w:pPr>
              <w:pStyle w:val="TableContents"/>
              <w:spacing w:before="0" w:after="0"/>
              <w:ind w:left="0" w:right="0" w:hanging="0"/>
              <w:rPr/>
            </w:pPr>
            <w:r>
              <w:rPr>
                <w:lang w:val="en-GB"/>
              </w:rPr>
              <w:t>Programme:</w:t>
            </w:r>
          </w:p>
        </w:tc>
        <w:tc>
          <w:tcPr>
            <w:tcW w:w="7494" w:type="dxa"/>
            <w:gridSpan w:val="3"/>
            <w:tcBorders/>
            <w:shd w:fill="auto" w:val="clear"/>
            <w:vAlign w:val="center"/>
          </w:tcPr>
          <w:p>
            <w:pPr>
              <w:pStyle w:val="TableContents"/>
              <w:spacing w:before="0" w:after="0"/>
              <w:ind w:left="0" w:right="0" w:hanging="0"/>
              <w:rPr/>
            </w:pPr>
            <w:r>
              <w:rPr>
                <w:lang w:val="en-GB"/>
              </w:rPr>
              <w:t>Secondary PGCE</w:t>
            </w:r>
          </w:p>
        </w:tc>
      </w:tr>
      <w:tr>
        <w:trPr/>
        <w:tc>
          <w:tcPr>
            <w:tcW w:w="1531" w:type="dxa"/>
            <w:tcBorders/>
            <w:shd w:fill="auto" w:val="clear"/>
            <w:vAlign w:val="center"/>
          </w:tcPr>
          <w:p>
            <w:pPr>
              <w:pStyle w:val="TableContents"/>
              <w:spacing w:before="0" w:after="0"/>
              <w:ind w:left="0" w:right="0" w:hanging="0"/>
              <w:rPr/>
            </w:pPr>
            <w:r>
              <w:rPr>
                <w:lang w:val="en-GB"/>
              </w:rPr>
              <w:t>Module:</w:t>
            </w:r>
          </w:p>
        </w:tc>
        <w:tc>
          <w:tcPr>
            <w:tcW w:w="7494" w:type="dxa"/>
            <w:gridSpan w:val="3"/>
            <w:tcBorders/>
            <w:shd w:fill="auto" w:val="clear"/>
            <w:vAlign w:val="center"/>
          </w:tcPr>
          <w:p>
            <w:pPr>
              <w:pStyle w:val="TableContents"/>
              <w:spacing w:before="0" w:after="0"/>
              <w:ind w:left="0" w:right="0" w:hanging="0"/>
              <w:rPr/>
            </w:pPr>
            <w:r>
              <w:rPr>
                <w:lang w:val="en-GB"/>
              </w:rPr>
              <w:t>Principles of Teaching, Learning and Pedagogy in the Secondary Sector </w:t>
            </w:r>
            <w:r>
              <w:rPr/>
              <w:t> </w:t>
            </w:r>
          </w:p>
        </w:tc>
      </w:tr>
      <w:tr>
        <w:trPr/>
        <w:tc>
          <w:tcPr>
            <w:tcW w:w="1531" w:type="dxa"/>
            <w:tcBorders/>
            <w:shd w:fill="auto" w:val="clear"/>
            <w:vAlign w:val="center"/>
          </w:tcPr>
          <w:p>
            <w:pPr>
              <w:pStyle w:val="TableContents"/>
              <w:spacing w:before="0" w:after="0"/>
              <w:ind w:left="0" w:right="0" w:hanging="0"/>
              <w:rPr/>
            </w:pPr>
            <w:r>
              <w:rPr>
                <w:lang w:val="en-GB"/>
              </w:rPr>
              <w:t>Module code:</w:t>
            </w:r>
            <w:r>
              <w:rPr/>
              <w:t> </w:t>
            </w:r>
          </w:p>
        </w:tc>
        <w:tc>
          <w:tcPr>
            <w:tcW w:w="2329" w:type="dxa"/>
            <w:tcBorders/>
            <w:shd w:fill="auto" w:val="clear"/>
            <w:vAlign w:val="center"/>
          </w:tcPr>
          <w:p>
            <w:pPr>
              <w:pStyle w:val="TableContents"/>
              <w:spacing w:before="0" w:after="0"/>
              <w:ind w:left="0" w:right="0" w:hanging="0"/>
              <w:rPr/>
            </w:pPr>
            <w:r>
              <w:rPr>
                <w:lang w:val="en-GB"/>
              </w:rPr>
              <w:t>ECSP6001</w:t>
            </w:r>
            <w:r>
              <w:rPr/>
              <w:t> </w:t>
            </w:r>
          </w:p>
        </w:tc>
        <w:tc>
          <w:tcPr>
            <w:tcW w:w="3308" w:type="dxa"/>
            <w:tcBorders/>
            <w:shd w:fill="auto" w:val="clear"/>
            <w:vAlign w:val="center"/>
          </w:tcPr>
          <w:p>
            <w:pPr>
              <w:pStyle w:val="TableContents"/>
              <w:spacing w:before="0" w:after="0"/>
              <w:ind w:left="0" w:right="0" w:hanging="0"/>
              <w:rPr/>
            </w:pPr>
            <w:r>
              <w:rPr>
                <w:lang w:val="en-GB"/>
              </w:rPr>
              <w:t>Contribution to Overall Module Assessment (%):</w:t>
            </w:r>
            <w:r>
              <w:rPr/>
              <w:t> </w:t>
            </w:r>
          </w:p>
        </w:tc>
        <w:tc>
          <w:tcPr>
            <w:tcW w:w="1857" w:type="dxa"/>
            <w:tcBorders/>
            <w:shd w:fill="auto" w:val="clear"/>
            <w:vAlign w:val="center"/>
          </w:tcPr>
          <w:p>
            <w:pPr>
              <w:pStyle w:val="TableContents"/>
              <w:spacing w:before="0" w:after="0"/>
              <w:ind w:left="0" w:right="0" w:hanging="0"/>
              <w:rPr/>
            </w:pPr>
            <w:r>
              <w:rPr>
                <w:lang w:val="en-GB"/>
              </w:rPr>
              <w:t>50%</w:t>
            </w:r>
            <w:r>
              <w:rPr/>
              <w:t> </w:t>
            </w:r>
          </w:p>
        </w:tc>
      </w:tr>
      <w:tr>
        <w:trPr/>
        <w:tc>
          <w:tcPr>
            <w:tcW w:w="1531" w:type="dxa"/>
            <w:tcBorders/>
            <w:shd w:fill="auto" w:val="clear"/>
            <w:vAlign w:val="center"/>
          </w:tcPr>
          <w:p>
            <w:pPr>
              <w:pStyle w:val="TableContents"/>
              <w:spacing w:before="0" w:after="0"/>
              <w:ind w:left="0" w:right="0" w:hanging="0"/>
              <w:rPr/>
            </w:pPr>
            <w:r>
              <w:rPr>
                <w:lang w:val="en-GB"/>
              </w:rPr>
              <w:t>Lecturer:</w:t>
            </w:r>
            <w:r>
              <w:rPr/>
              <w:t> </w:t>
            </w:r>
          </w:p>
        </w:tc>
        <w:tc>
          <w:tcPr>
            <w:tcW w:w="2329" w:type="dxa"/>
            <w:tcBorders/>
            <w:shd w:fill="auto" w:val="clear"/>
            <w:vAlign w:val="center"/>
          </w:tcPr>
          <w:p>
            <w:pPr>
              <w:pStyle w:val="TableContents"/>
              <w:spacing w:before="0" w:after="0"/>
              <w:ind w:left="0" w:right="0" w:hanging="0"/>
              <w:rPr/>
            </w:pPr>
            <w:r>
              <w:rPr>
                <w:lang w:val="en-GB"/>
              </w:rPr>
              <w:t>Alison S Evans </w:t>
            </w:r>
            <w:r>
              <w:rPr/>
              <w:t> </w:t>
            </w:r>
          </w:p>
        </w:tc>
        <w:tc>
          <w:tcPr>
            <w:tcW w:w="3308" w:type="dxa"/>
            <w:tcBorders/>
            <w:shd w:fill="auto" w:val="clear"/>
            <w:vAlign w:val="center"/>
          </w:tcPr>
          <w:p>
            <w:pPr>
              <w:pStyle w:val="TableContents"/>
              <w:spacing w:before="0" w:after="0"/>
              <w:ind w:left="0" w:right="0" w:hanging="0"/>
              <w:rPr/>
            </w:pPr>
            <w:r>
              <w:rPr>
                <w:lang w:val="en-GB"/>
              </w:rPr>
              <w:t>Internal Verifier:</w:t>
            </w:r>
            <w:r>
              <w:rPr/>
              <w:t> </w:t>
            </w:r>
          </w:p>
        </w:tc>
        <w:tc>
          <w:tcPr>
            <w:tcW w:w="1857" w:type="dxa"/>
            <w:tcBorders/>
            <w:shd w:fill="auto" w:val="clear"/>
            <w:vAlign w:val="center"/>
          </w:tcPr>
          <w:p>
            <w:pPr>
              <w:pStyle w:val="TableContents"/>
              <w:spacing w:before="0" w:after="0"/>
              <w:ind w:left="0" w:right="0" w:hanging="0"/>
              <w:rPr/>
            </w:pPr>
            <w:r>
              <w:rPr/>
              <w:t> </w:t>
            </w:r>
          </w:p>
        </w:tc>
      </w:tr>
      <w:tr>
        <w:trPr/>
        <w:tc>
          <w:tcPr>
            <w:tcW w:w="1531" w:type="dxa"/>
            <w:tcBorders/>
            <w:shd w:fill="auto" w:val="clear"/>
            <w:vAlign w:val="center"/>
          </w:tcPr>
          <w:p>
            <w:pPr>
              <w:pStyle w:val="TableContents"/>
              <w:spacing w:before="0" w:after="0"/>
              <w:ind w:left="0" w:right="0" w:hanging="0"/>
              <w:rPr/>
            </w:pPr>
            <w:r>
              <w:rPr>
                <w:lang w:val="en-GB"/>
              </w:rPr>
              <w:t>Assignment Title:</w:t>
            </w:r>
            <w:r>
              <w:rPr/>
              <w:t> </w:t>
            </w:r>
          </w:p>
        </w:tc>
        <w:tc>
          <w:tcPr>
            <w:tcW w:w="2329" w:type="dxa"/>
            <w:tcBorders/>
            <w:shd w:fill="auto" w:val="clear"/>
            <w:vAlign w:val="center"/>
          </w:tcPr>
          <w:p>
            <w:pPr>
              <w:pStyle w:val="TableContents"/>
              <w:spacing w:before="0" w:after="0"/>
              <w:ind w:left="0" w:right="0" w:hanging="0"/>
              <w:rPr/>
            </w:pPr>
            <w:r>
              <w:rPr>
                <w:lang w:val="en-GB"/>
              </w:rPr>
              <w:t>Part B, (i) and (ii) </w:t>
            </w:r>
            <w:r>
              <w:rPr/>
              <w:t> </w:t>
            </w:r>
          </w:p>
        </w:tc>
        <w:tc>
          <w:tcPr>
            <w:tcW w:w="3308" w:type="dxa"/>
            <w:tcBorders/>
            <w:shd w:fill="auto" w:val="clear"/>
            <w:vAlign w:val="center"/>
          </w:tcPr>
          <w:p>
            <w:pPr>
              <w:pStyle w:val="TableContents"/>
              <w:spacing w:before="0" w:after="0"/>
              <w:ind w:left="0" w:right="0" w:hanging="0"/>
              <w:rPr/>
            </w:pPr>
            <w:r>
              <w:rPr>
                <w:lang w:val="en-GB"/>
              </w:rPr>
              <w:t>Word count (or equivalent):</w:t>
            </w:r>
            <w:r>
              <w:rPr/>
              <w:t> </w:t>
            </w:r>
          </w:p>
        </w:tc>
        <w:tc>
          <w:tcPr>
            <w:tcW w:w="1857" w:type="dxa"/>
            <w:tcBorders/>
            <w:shd w:fill="auto" w:val="clear"/>
            <w:vAlign w:val="center"/>
          </w:tcPr>
          <w:p>
            <w:pPr>
              <w:pStyle w:val="TableContents"/>
              <w:numPr>
                <w:ilvl w:val="0"/>
                <w:numId w:val="14"/>
              </w:numPr>
              <w:tabs>
                <w:tab w:val="left" w:pos="0" w:leader="none"/>
              </w:tabs>
              <w:spacing w:before="0" w:after="0"/>
              <w:ind w:left="303" w:right="0" w:hanging="283"/>
              <w:rPr/>
            </w:pPr>
            <w:r>
              <w:rPr>
                <w:lang w:val="en-GB"/>
              </w:rPr>
              <w:t>= 1,500</w:t>
            </w:r>
            <w:r>
              <w:rPr/>
              <w:t> </w:t>
            </w:r>
          </w:p>
          <w:p>
            <w:pPr>
              <w:pStyle w:val="TableContents"/>
              <w:numPr>
                <w:ilvl w:val="0"/>
                <w:numId w:val="15"/>
              </w:numPr>
              <w:tabs>
                <w:tab w:val="left" w:pos="0" w:leader="none"/>
              </w:tabs>
              <w:spacing w:before="0" w:after="0"/>
              <w:ind w:left="0" w:right="0" w:hanging="283"/>
              <w:rPr/>
            </w:pPr>
            <w:r>
              <w:rPr>
                <w:lang w:val="en-GB"/>
              </w:rPr>
              <w:t>= 2,000</w:t>
            </w:r>
            <w:r>
              <w:rPr/>
              <w:t> </w:t>
            </w:r>
          </w:p>
        </w:tc>
      </w:tr>
      <w:tr>
        <w:trPr/>
        <w:tc>
          <w:tcPr>
            <w:tcW w:w="1531" w:type="dxa"/>
            <w:tcBorders/>
            <w:shd w:fill="auto" w:val="clear"/>
            <w:vAlign w:val="center"/>
          </w:tcPr>
          <w:p>
            <w:pPr>
              <w:pStyle w:val="TableContents"/>
              <w:spacing w:before="0" w:after="0"/>
              <w:ind w:left="0" w:right="0" w:hanging="0"/>
              <w:rPr/>
            </w:pPr>
            <w:r>
              <w:rPr>
                <w:lang w:val="en-GB"/>
              </w:rPr>
              <w:t>Submission deadline:</w:t>
            </w:r>
            <w:r>
              <w:rPr/>
              <w:t> </w:t>
            </w:r>
          </w:p>
        </w:tc>
        <w:tc>
          <w:tcPr>
            <w:tcW w:w="2329" w:type="dxa"/>
            <w:tcBorders/>
            <w:shd w:fill="auto" w:val="clear"/>
            <w:vAlign w:val="center"/>
          </w:tcPr>
          <w:p>
            <w:pPr>
              <w:pStyle w:val="TableContents"/>
              <w:spacing w:before="0" w:after="0"/>
              <w:ind w:left="0" w:right="0" w:hanging="0"/>
              <w:rPr/>
            </w:pPr>
            <w:r>
              <w:rPr>
                <w:lang w:val="en-GB"/>
              </w:rPr>
              <w:t>26 November 2018</w:t>
            </w:r>
            <w:r>
              <w:rPr/>
              <w:t> </w:t>
            </w:r>
          </w:p>
        </w:tc>
        <w:tc>
          <w:tcPr>
            <w:tcW w:w="3308" w:type="dxa"/>
            <w:tcBorders/>
            <w:shd w:fill="auto" w:val="clear"/>
            <w:vAlign w:val="center"/>
          </w:tcPr>
          <w:p>
            <w:pPr>
              <w:pStyle w:val="TableContents"/>
              <w:spacing w:before="0" w:after="0"/>
              <w:ind w:left="0" w:right="0" w:hanging="0"/>
              <w:rPr/>
            </w:pPr>
            <w:r>
              <w:rPr>
                <w:lang w:val="en-GB"/>
              </w:rPr>
              <w:t>Return date of provisional marks &amp; written feedback:</w:t>
            </w:r>
            <w:r>
              <w:rPr/>
              <w:t> </w:t>
            </w:r>
          </w:p>
        </w:tc>
        <w:tc>
          <w:tcPr>
            <w:tcW w:w="1857" w:type="dxa"/>
            <w:tcBorders/>
            <w:shd w:fill="auto" w:val="clear"/>
            <w:vAlign w:val="center"/>
          </w:tcPr>
          <w:p>
            <w:pPr>
              <w:pStyle w:val="TableContents"/>
              <w:spacing w:before="0" w:after="0"/>
              <w:ind w:left="0" w:right="0" w:hanging="0"/>
              <w:rPr/>
            </w:pPr>
            <w:r>
              <w:rPr>
                <w:lang w:val="en-GB"/>
              </w:rPr>
              <w:t>17 December 2018</w:t>
            </w:r>
            <w:r>
              <w:rPr/>
              <w:t> </w:t>
            </w:r>
          </w:p>
        </w:tc>
      </w:tr>
      <w:tr>
        <w:trPr/>
        <w:tc>
          <w:tcPr>
            <w:tcW w:w="1531" w:type="dxa"/>
            <w:tcBorders/>
            <w:shd w:fill="auto" w:val="clear"/>
            <w:vAlign w:val="center"/>
          </w:tcPr>
          <w:p>
            <w:pPr>
              <w:pStyle w:val="TableContents"/>
              <w:spacing w:before="0" w:after="0"/>
              <w:ind w:left="0" w:right="0" w:hanging="0"/>
              <w:rPr/>
            </w:pPr>
            <w:r>
              <w:rPr>
                <w:lang w:val="en-GB"/>
              </w:rPr>
              <w:t>Submission method:</w:t>
            </w:r>
            <w:r>
              <w:rPr/>
              <w:t> </w:t>
            </w:r>
          </w:p>
        </w:tc>
        <w:tc>
          <w:tcPr>
            <w:tcW w:w="7494" w:type="dxa"/>
            <w:gridSpan w:val="3"/>
            <w:tcBorders/>
            <w:shd w:fill="auto" w:val="clear"/>
            <w:vAlign w:val="center"/>
          </w:tcPr>
          <w:p>
            <w:pPr>
              <w:pStyle w:val="TableContents"/>
              <w:spacing w:before="0" w:after="0"/>
              <w:ind w:left="0" w:right="0" w:hanging="0"/>
              <w:rPr/>
            </w:pPr>
            <w:r>
              <w:rPr>
                <w:lang w:val="en-GB"/>
              </w:rPr>
              <w:t>All written assessments, where practical and possible, must be submitted via Turnitin</w:t>
            </w:r>
            <w:r>
              <w:rPr/>
              <w:t> </w:t>
            </w:r>
            <w:r>
              <w:rPr>
                <w:lang w:val="en-GB"/>
              </w:rPr>
              <w:t>unless otherwise instructed by the Lecturer. (Please DO NOT put this assessment specification into Turnitin</w:t>
            </w:r>
            <w:r>
              <w:rPr/>
              <w:t> </w:t>
            </w:r>
            <w:r>
              <w:rPr>
                <w:lang w:val="en-GB"/>
              </w:rPr>
              <w:t>or it will match many similarities with other students’ submissions.)</w:t>
            </w:r>
            <w:r>
              <w:rPr/>
              <w:t> </w:t>
            </w:r>
          </w:p>
          <w:p>
            <w:pPr>
              <w:pStyle w:val="TableContents"/>
              <w:spacing w:before="0" w:after="0"/>
              <w:ind w:left="0" w:right="0" w:hanging="0"/>
              <w:rPr/>
            </w:pPr>
            <w:r>
              <w:rPr>
                <w:lang w:val="en-GB"/>
              </w:rPr>
              <w:t>Alternative submission method (if applicable): </w:t>
            </w:r>
            <w:r>
              <w:rPr/>
              <w:t> </w:t>
            </w:r>
          </w:p>
          <w:p>
            <w:pPr>
              <w:pStyle w:val="TableContents"/>
              <w:spacing w:before="0" w:after="0"/>
              <w:ind w:left="0" w:right="0" w:hanging="0"/>
              <w:rPr/>
            </w:pPr>
            <w:r>
              <w:rPr>
                <w:lang w:val="en-GB"/>
              </w:rPr>
              <w:t>Late submission of the assessment will result in a late penalty mark.  Penalties for late submission: Up to one week late, maximum mark of 40%.  Over one week late, 0%.  Only the Extenuating Circumstances Panel may approve a change to submission dates.</w:t>
            </w:r>
            <w:r>
              <w:rPr/>
              <w:t> </w:t>
            </w:r>
          </w:p>
        </w:tc>
      </w:tr>
      <w:tr>
        <w:trPr/>
        <w:tc>
          <w:tcPr>
            <w:tcW w:w="1531" w:type="dxa"/>
            <w:tcBorders/>
            <w:shd w:fill="auto" w:val="clear"/>
            <w:vAlign w:val="center"/>
          </w:tcPr>
          <w:p>
            <w:pPr>
              <w:pStyle w:val="TableContents"/>
              <w:spacing w:before="0" w:after="0"/>
              <w:ind w:left="0" w:right="0" w:hanging="0"/>
              <w:rPr/>
            </w:pPr>
            <w:r>
              <w:rPr>
                <w:lang w:val="en-GB"/>
              </w:rPr>
              <w:t>Academic honesty / referencing:</w:t>
            </w:r>
            <w:r>
              <w:rPr/>
              <w:t> </w:t>
            </w:r>
          </w:p>
        </w:tc>
        <w:tc>
          <w:tcPr>
            <w:tcW w:w="7494" w:type="dxa"/>
            <w:gridSpan w:val="3"/>
            <w:tcBorders/>
            <w:shd w:fill="auto" w:val="clear"/>
            <w:vAlign w:val="center"/>
          </w:tcPr>
          <w:p>
            <w:pPr>
              <w:pStyle w:val="TableContents"/>
              <w:spacing w:before="0" w:after="0"/>
              <w:ind w:left="0" w:right="0" w:hanging="0"/>
              <w:rPr/>
            </w:pPr>
            <w:r>
              <w:rPr>
                <w:lang w:val="en-G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r>
              <w:rPr/>
              <w:t> </w:t>
            </w:r>
          </w:p>
        </w:tc>
      </w:tr>
    </w:tbl>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pPr>
      <w:r>
        <w:rPr>
          <w:rFonts w:cs="Arial" w:ascii="Arial" w:hAnsi="Arial"/>
        </w:rPr>
        <w:t xml:space="preserve">Part B (i)   </w:t>
      </w:r>
    </w:p>
    <w:p>
      <w:pPr>
        <w:pStyle w:val="Normal"/>
        <w:jc w:val="both"/>
        <w:rPr/>
      </w:pPr>
      <w:r>
        <w:rPr>
          <w:rFonts w:cs="Arial" w:ascii="Arial" w:hAnsi="Arial"/>
        </w:rPr>
        <w:tab/>
        <w:t xml:space="preserve">For the micro-teaching I had 11 pupils. One of which was visually impaired, one had ASD (Autism Spectrum Disorder) and two were MAT learners (More Able and Talented). The first thing I had to do was to differentiate the work and organise the classroom to create the best opportunities for each pupil. The pupil who was visually impaired had to be in front of the classroom facing the board with a different sheet with work published in a larger font. For the pupil with ASD, I decided to put her next to the door, just to make sure that in case of an incident it was easier for her to go outside without interrupting the lesson. I took the decision to put the two MAT learners next to each other to give them the opportunity to challenge each other and give them a real chance of progression. </w:t>
        <w:tab/>
      </w:r>
    </w:p>
    <w:p>
      <w:pPr>
        <w:pStyle w:val="Normal"/>
        <w:jc w:val="both"/>
        <w:rPr/>
      </w:pPr>
      <w:r>
        <w:rPr>
          <w:rFonts w:cs="Arial" w:ascii="Arial" w:hAnsi="Arial"/>
        </w:rPr>
        <w:tab/>
        <w:t xml:space="preserve">I also used differentiation in the way I built my lesson. Firstly, for my objectives I decided to use medals to encourage friendly competition. I also use Bloom’s Taxonomy to express my objectives, so I had different expectations depending on pupils’ levels and capacities. For the exercise sheet, I gave the pupils an opportunity to challenge themselves. I gave them the option of writing the vocabulary in French from memory or allowed them to use a PowerPoint I had created showing different possibilities. With this type of exercise, the pupils were in the struggle zone: challenging but no stress (Allison &amp; Tharby, 2015). </w:t>
      </w:r>
    </w:p>
    <w:p>
      <w:pPr>
        <w:pStyle w:val="Normal"/>
        <w:jc w:val="both"/>
        <w:rPr/>
      </w:pPr>
      <w:r>
        <w:rPr>
          <w:rFonts w:cs="Arial" w:ascii="Arial" w:hAnsi="Arial"/>
        </w:rPr>
        <w:tab/>
      </w:r>
    </w:p>
    <w:p>
      <w:pPr>
        <w:pStyle w:val="Normal"/>
        <w:jc w:val="both"/>
        <w:rPr/>
      </w:pPr>
      <w:r>
        <w:rPr>
          <w:rFonts w:cs="Arial" w:ascii="Arial" w:hAnsi="Arial"/>
        </w:rPr>
        <w:tab/>
        <w:t xml:space="preserve">With regards for behaviour management, the seating plan is also important. When they arrived in class, they knew where they had to sit to avoid disruptions. The starter was already on the board, and when everyone was sat, I explained quickly the instructions (Muijs &amp; Reynolds, 2010). I used a song to give them a time for the exercise and explained that when the song was over that they should have finished the task. For the end of the lesson, I planned an exit ticket. This way they knew when it was the end of the lesson but it ensured they were engaged until the end of the lesson. The beginning and the end of the lesson can be challenging from a behaviour management point of view. Having a starter and a plenary structure the lesson and improve the pupils’ behaviour.   They know these two moments are always the same and this way, we can avoid disruption.  </w:t>
      </w:r>
    </w:p>
    <w:p>
      <w:pPr>
        <w:pStyle w:val="Normal"/>
        <w:jc w:val="both"/>
        <w:rPr/>
      </w:pPr>
      <w:r>
        <w:rPr>
          <w:rFonts w:cs="Arial" w:ascii="Arial" w:hAnsi="Arial"/>
        </w:rPr>
        <w:tab/>
        <w:t xml:space="preserve">For the lesson, I used for the micro-teaching was the first lesson of a new topic. The first thing they need is new vocabulary that link with the topic. Behaviourism through drilling is a good way to learn new vocabulary and the repetition helps to remember. Drilling is also important for pronunciation. The British Council says that drilling can “help students notice the correct form or pronunciation of a word or phrase” (The British Council, Drilling 1).  When teachers start a new topic, they can “consider the learner as a clean slate” (Watson, 2013), means they know nothing about it. In this situation of drilling, pupils are passive and just repeat after the teacher. They answer to a stimulus, when the teacher says a word, they have to say it back. </w:t>
      </w:r>
    </w:p>
    <w:p>
      <w:pPr>
        <w:pStyle w:val="Normal"/>
        <w:jc w:val="both"/>
        <w:rPr/>
      </w:pPr>
      <w:r>
        <w:rPr>
          <w:rFonts w:cs="Arial" w:ascii="Arial" w:hAnsi="Arial"/>
        </w:rPr>
        <w:tab/>
        <w:t xml:space="preserve">For my lesson plan I tried to use Vygotsky’s theories about social constructivism and ZPD (Zone of Proximal Development). Vygotsky said that the best way to learn is in interactions with others. He “strongly believed that we can learn from others, both of the same age and of a higher age and developmental level” (Mujis, 2010). This is why I chose a speaking exercise in peer. They had to speak with the person next to them. In the situation, the seating plan is interesting. They are sitting next to someone with a similar level, or higher (except the two MAT learners). Be seating next to someone with a higher level (we don’t want a big gap either, it is why the two MAT learners are working together) can challenge pupils and put them in the Zone of Proximal Development, which can be similar as the struggle zone.  The ZPD “refers to the gap between what a person is able to do alone and what s/he can do with the help of someone more knowledgeable or skilled than her/himself” (Mujis, 2010). When a pupil is sat next to someone with a higher level, the situation can help her/him to improve her/his knowledge. </w:t>
      </w:r>
    </w:p>
    <w:p>
      <w:pPr>
        <w:pStyle w:val="Normal"/>
        <w:jc w:val="both"/>
        <w:rPr/>
      </w:pPr>
      <w:r>
        <w:rPr>
          <w:rFonts w:cs="Arial" w:ascii="Arial" w:hAnsi="Arial"/>
        </w:rPr>
        <w:tab/>
      </w:r>
    </w:p>
    <w:p>
      <w:pPr>
        <w:pStyle w:val="Normal"/>
        <w:jc w:val="both"/>
        <w:rPr/>
      </w:pPr>
      <w:r>
        <w:rPr>
          <w:rFonts w:cs="Arial" w:ascii="Arial" w:hAnsi="Arial"/>
        </w:rPr>
        <w:tab/>
        <w:t xml:space="preserve">Digital competence framework is a part of the new curriculum for Wales, it is “the set of skills, knowledge and attitudes that enable the confident, creative and critical use of technologies and systems” (Digital Competence Framework guidance, p2). For their project, pupils will have to use tablets and Internet to make some research about Wales. I wanted them to be able to choose the correct information and recognise official websites. They will have the chance if they want to be creative and use a device to make their touristic guides. Also, during the sequence, I will use different games or videos (Kahoot, Quizziz, using Youtube) to revise vocabulary. </w:t>
      </w:r>
    </w:p>
    <w:p>
      <w:pPr>
        <w:pStyle w:val="Normal"/>
        <w:jc w:val="both"/>
        <w:rPr/>
      </w:pPr>
      <w:r>
        <w:rPr>
          <w:rFonts w:cs="Arial" w:ascii="Arial" w:hAnsi="Arial"/>
        </w:rPr>
        <w:tab/>
        <w:t xml:space="preserve">YCC   (Y Cwricwlwm Cymreig)   is   very   important   in   the   learning   experience   in   Wales. “Culture builds our minds” (Bruner, 1996). For MFL teachers, put inside lesson a bit a Welsh can be hard. YCC is not just about the language, it is also about the Welsh culture and its traditions. The end product of my scheme of work is a guide for French tourists about Wales. Pupils will have to write in French about touristic places (castles, mines…) but also, they will have to make a small dictionary to help them translate French to Welsh. If the target language is French, we can see some similarities between the two languages (Developing Cwricwlwm Cymreig, 2003). When I was  introducing the new  vocabulary about   different   places,   the  word   for   “church”   in French   and   in  welsh   are   similar   (“église”   and “eglwys”). </w:t>
      </w:r>
    </w:p>
    <w:p>
      <w:pPr>
        <w:pStyle w:val="Normal"/>
        <w:jc w:val="both"/>
        <w:rPr/>
      </w:pPr>
      <w:r>
        <w:rPr>
          <w:rFonts w:cs="Arial" w:ascii="Arial" w:hAnsi="Arial"/>
        </w:rPr>
        <w:tab/>
        <w:t xml:space="preserve">With the end product I chose for this topic, YCC and ESDGC (Education for Sustainable Development and Global Citizenship) are linking. This project gives he pupils the opportunity to be more aware about their own environment (Common understanding for school, ESDGC, July 2008). They had to write the guide for French tourists and think from another point of view. </w:t>
      </w:r>
    </w:p>
    <w:p>
      <w:pPr>
        <w:pStyle w:val="Normal"/>
        <w:jc w:val="both"/>
        <w:rPr/>
      </w:pPr>
      <w:r>
        <w:rPr>
          <w:rFonts w:cs="Arial" w:ascii="Arial" w:hAnsi="Arial"/>
        </w:rPr>
        <w:tab/>
        <w:t xml:space="preserve">In my scheme of work, I also considered the literacy and numeracy framework (LNF). During their independent work (research), they will have to read in English different tourist brochures or make some research on Internet to find information for their tourist guide. </w:t>
      </w:r>
    </w:p>
    <w:p>
      <w:pPr>
        <w:pStyle w:val="Normal"/>
        <w:jc w:val="both"/>
        <w:rPr/>
      </w:pPr>
      <w:r>
        <w:rPr>
          <w:rFonts w:cs="Arial" w:ascii="Arial" w:hAnsi="Arial"/>
        </w:rPr>
        <w:tab/>
        <w:t xml:space="preserve">The LNF expects pupils be able to identify main ideas, events and supporting details. Pupils should also be able to organise and analyse relevant information (National Literacy and Numeracy Framework, January 2013, p18).They will also have to take notes about what they will find. For the last lesson of sequence, they will have to present their guide to the rest of the class in English, “communicate ideas and information to a wide range of audiences and a variety of situations”. The LNF says pupils should be able to “use number facts and relationships”, “Manage money”. For the project, pupils will have to interpret and compare prices of different touristic places in Wales and transports to travel between France and Wales. </w:t>
      </w:r>
    </w:p>
    <w:p>
      <w:pPr>
        <w:pStyle w:val="Normal"/>
        <w:jc w:val="both"/>
        <w:rPr>
          <w:rFonts w:ascii="Arial" w:hAnsi="Arial" w:cs="Arial"/>
        </w:rPr>
      </w:pPr>
      <w:r>
        <w:rPr>
          <w:rFonts w:cs="Arial" w:ascii="Arial" w:hAnsi="Arial"/>
        </w:rPr>
      </w:r>
    </w:p>
    <w:p>
      <w:pPr>
        <w:pStyle w:val="Normal"/>
        <w:jc w:val="both"/>
        <w:rPr/>
      </w:pPr>
      <w:r>
        <w:rPr>
          <w:rFonts w:cs="Arial" w:ascii="Arial" w:hAnsi="Arial"/>
        </w:rPr>
        <w:tab/>
        <w:t xml:space="preserve">In my lesson plan for the micro-teaching and in my scheme of work, I tried to use the two types   of assessment: formative   and summative.  The  first  one   is to   educate  and   improve  student performance (Wiggins, 1998, p7). Formative assessments occur in two primary forms: spontaneous and planned (Cook, 2009). During my lesson, I used spontaneous assessment after the vocabulary exercise. I was asking for answers to the pupils, it’s a quick way to know if the majority understood the activity. The formative assessment is more about feedback than a real assessment where the teacher needs to assign a mark. I also used a planned assessment when I asked the pupils to put a colour   dot next to their starter or their vocabulary exercise. This time the pupils had to assess themselves. They can take part in the learning process and not be passive. The exit ticket is also a part of the formative assessment. I planned one for my lesson plan.  In the end, I was expecting them to be able to use two to three sentences (the ones they practised during the speaking activity) using all the different part of the lesson. The formative assessment is also interesting for teachers, it can provide information to be used as feedback to modify teaching and learning activities (Black &amp; Wiliam, 2010, p82) </w:t>
      </w:r>
    </w:p>
    <w:p>
      <w:pPr>
        <w:pStyle w:val="Normal"/>
        <w:jc w:val="both"/>
        <w:rPr/>
      </w:pPr>
      <w:r>
        <w:rPr>
          <w:rFonts w:cs="Arial" w:ascii="Arial" w:hAnsi="Arial"/>
        </w:rPr>
        <w:tab/>
        <w:t xml:space="preserve">The summative assessment can be qualified as a “cumulative assessment”, judge   the performance against some standards (National Research Council p25). In this situation, the end product, the touristic guide will be the summative assessment. With this project I will know how much learning has taken place, how much does a student know (Gardner, 2010). With this type of assessment, we also give them the opportunity to think critically as they apply their understanding (National Research Council, 2001). It was also what Iwas   looking   for about the end product, something more than just a test, something that will also link the ESDGC. The summative assessment will put together all the sentences and vocabulary they used during the sequence. </w:t>
      </w:r>
    </w:p>
    <w:p>
      <w:pPr>
        <w:pStyle w:val="TextBody"/>
        <w:jc w:val="both"/>
        <w:rPr>
          <w:rFonts w:ascii="Arial" w:hAnsi="Arial"/>
        </w:rPr>
      </w:pPr>
      <w:r>
        <w:rPr>
          <w:rFonts w:ascii="Arial" w:hAnsi="Arial"/>
          <w:lang w:val="fr-FR"/>
        </w:rPr>
        <w:t>References:</w:t>
      </w:r>
      <w:r>
        <w:rPr>
          <w:rFonts w:ascii="Arial" w:hAnsi="Arial"/>
        </w:rPr>
        <w:t>  </w:t>
      </w:r>
    </w:p>
    <w:p>
      <w:pPr>
        <w:pStyle w:val="TextBody"/>
        <w:numPr>
          <w:ilvl w:val="0"/>
          <w:numId w:val="1"/>
        </w:numPr>
        <w:tabs>
          <w:tab w:val="left" w:pos="0" w:leader="none"/>
        </w:tabs>
        <w:spacing w:before="0" w:after="0"/>
        <w:ind w:left="303" w:right="0" w:hanging="283"/>
        <w:rPr>
          <w:rFonts w:ascii="Arial" w:hAnsi="Arial"/>
        </w:rPr>
      </w:pPr>
      <w:r>
        <w:rPr>
          <w:rFonts w:ascii="Arial" w:hAnsi="Arial"/>
          <w:lang w:val="en-GB"/>
        </w:rPr>
        <w:t>Allison S. &amp; Tharby</w:t>
      </w:r>
      <w:r>
        <w:rPr>
          <w:rFonts w:ascii="Arial" w:hAnsi="Arial"/>
        </w:rPr>
        <w:t> </w:t>
      </w:r>
      <w:r>
        <w:rPr>
          <w:rFonts w:ascii="Arial" w:hAnsi="Arial"/>
          <w:lang w:val="en-GB"/>
        </w:rPr>
        <w:t>A. (2015) </w:t>
      </w:r>
      <w:r>
        <w:rPr>
          <w:rFonts w:ascii="Arial" w:hAnsi="Arial"/>
          <w:lang w:val="fr-FR"/>
        </w:rPr>
        <w:t>Making</w:t>
      </w:r>
      <w:r>
        <w:rPr>
          <w:rFonts w:ascii="Arial" w:hAnsi="Arial"/>
        </w:rPr>
        <w:t> </w:t>
      </w:r>
      <w:r>
        <w:rPr>
          <w:rFonts w:ascii="Arial" w:hAnsi="Arial"/>
          <w:lang w:val="fr-FR"/>
        </w:rPr>
        <w:t>Every</w:t>
      </w:r>
      <w:r>
        <w:rPr>
          <w:rFonts w:ascii="Arial" w:hAnsi="Arial"/>
        </w:rPr>
        <w:t> </w:t>
      </w:r>
      <w:r>
        <w:rPr>
          <w:rFonts w:ascii="Arial" w:hAnsi="Arial"/>
          <w:lang w:val="fr-FR"/>
        </w:rPr>
        <w:t>Lesson Count:</w:t>
      </w:r>
      <w:r>
        <w:rPr>
          <w:rFonts w:ascii="Arial" w:hAnsi="Arial"/>
        </w:rPr>
        <w:t> </w:t>
      </w:r>
      <w:r>
        <w:rPr>
          <w:rFonts w:ascii="Arial" w:hAnsi="Arial"/>
          <w:lang w:val="fr-FR"/>
        </w:rPr>
        <w:t>Six principles</w:t>
      </w:r>
      <w:r>
        <w:rPr>
          <w:rFonts w:ascii="Arial" w:hAnsi="Arial"/>
        </w:rPr>
        <w:t> </w:t>
      </w:r>
      <w:r>
        <w:rPr>
          <w:rFonts w:ascii="Arial" w:hAnsi="Arial"/>
          <w:lang w:val="fr-FR"/>
        </w:rPr>
        <w:t>to support great</w:t>
      </w:r>
      <w:r>
        <w:rPr>
          <w:rFonts w:ascii="Arial" w:hAnsi="Arial"/>
        </w:rPr>
        <w:t> </w:t>
      </w:r>
      <w:r>
        <w:rPr>
          <w:rFonts w:ascii="Arial" w:hAnsi="Arial"/>
          <w:lang w:val="fr-FR"/>
        </w:rPr>
        <w:t>teaching</w:t>
      </w:r>
      <w:r>
        <w:rPr>
          <w:rFonts w:ascii="Arial" w:hAnsi="Arial"/>
        </w:rPr>
        <w:t> </w:t>
      </w:r>
      <w:r>
        <w:rPr>
          <w:rFonts w:ascii="Arial" w:hAnsi="Arial"/>
          <w:lang w:val="fr-FR"/>
        </w:rPr>
        <w:t>and learning, Crown House Publishing</w:t>
      </w:r>
      <w:r>
        <w:rPr>
          <w:rFonts w:ascii="Arial" w:hAnsi="Arial"/>
        </w:rPr>
        <w:t> </w:t>
      </w:r>
    </w:p>
    <w:p>
      <w:pPr>
        <w:pStyle w:val="TextBody"/>
        <w:numPr>
          <w:ilvl w:val="0"/>
          <w:numId w:val="1"/>
        </w:numPr>
        <w:tabs>
          <w:tab w:val="left" w:pos="0" w:leader="none"/>
        </w:tabs>
        <w:spacing w:before="0" w:after="0"/>
        <w:ind w:left="303" w:right="0" w:hanging="283"/>
        <w:rPr>
          <w:rFonts w:ascii="Arial" w:hAnsi="Arial"/>
        </w:rPr>
      </w:pPr>
      <w:r>
        <w:rPr>
          <w:rFonts w:ascii="Arial" w:hAnsi="Arial"/>
          <w:lang w:val="fr-FR"/>
        </w:rPr>
        <w:t>Black, P., &amp; Wiliam, D. (2010). Inside the black box:</w:t>
      </w:r>
      <w:r>
        <w:rPr>
          <w:rFonts w:ascii="Arial" w:hAnsi="Arial"/>
        </w:rPr>
        <w:t> </w:t>
      </w:r>
      <w:r>
        <w:rPr>
          <w:rFonts w:ascii="Arial" w:hAnsi="Arial"/>
          <w:lang w:val="fr-FR"/>
        </w:rPr>
        <w:t>Raising</w:t>
      </w:r>
      <w:r>
        <w:rPr>
          <w:rFonts w:ascii="Arial" w:hAnsi="Arial"/>
        </w:rPr>
        <w:t> </w:t>
      </w:r>
      <w:r>
        <w:rPr>
          <w:rFonts w:ascii="Arial" w:hAnsi="Arial"/>
          <w:lang w:val="fr-FR"/>
        </w:rPr>
        <w:t>standards through</w:t>
      </w:r>
      <w:r>
        <w:rPr>
          <w:rFonts w:ascii="Arial" w:hAnsi="Arial"/>
        </w:rPr>
        <w:t> </w:t>
      </w:r>
      <w:r>
        <w:rPr>
          <w:rFonts w:ascii="Arial" w:hAnsi="Arial"/>
          <w:lang w:val="fr-FR"/>
        </w:rPr>
        <w:t>classroom</w:t>
      </w:r>
      <w:r>
        <w:rPr>
          <w:rFonts w:ascii="Arial" w:hAnsi="Arial"/>
        </w:rPr>
        <w:t> </w:t>
      </w:r>
      <w:r>
        <w:rPr>
          <w:rFonts w:ascii="Arial" w:hAnsi="Arial"/>
          <w:lang w:val="fr-FR"/>
        </w:rPr>
        <w:t>assessment. Phi Delta Kappan</w:t>
      </w:r>
      <w:r>
        <w:rPr>
          <w:rFonts w:ascii="Arial" w:hAnsi="Arial"/>
        </w:rPr>
        <w:t> </w:t>
      </w:r>
    </w:p>
    <w:p>
      <w:pPr>
        <w:pStyle w:val="TextBody"/>
        <w:numPr>
          <w:ilvl w:val="0"/>
          <w:numId w:val="2"/>
        </w:numPr>
        <w:tabs>
          <w:tab w:val="left" w:pos="0" w:leader="none"/>
        </w:tabs>
        <w:spacing w:before="0" w:after="0"/>
        <w:ind w:left="303" w:right="0" w:hanging="283"/>
        <w:rPr>
          <w:rFonts w:ascii="Arial" w:hAnsi="Arial"/>
        </w:rPr>
      </w:pPr>
      <w:r>
        <w:rPr>
          <w:rFonts w:ascii="Arial" w:hAnsi="Arial"/>
          <w:lang w:val="fr-FR"/>
        </w:rPr>
        <w:t>British Council, Drilling</w:t>
      </w:r>
      <w:r>
        <w:rPr>
          <w:rFonts w:ascii="Arial" w:hAnsi="Arial"/>
        </w:rPr>
        <w:t> </w:t>
      </w:r>
      <w:r>
        <w:rPr>
          <w:rFonts w:ascii="Arial" w:hAnsi="Arial"/>
          <w:lang w:val="fr-FR"/>
        </w:rPr>
        <w:t>1, https://www.teachingenglish.org.uk/article/drilling-1</w:t>
      </w:r>
      <w:r>
        <w:rPr>
          <w:rFonts w:ascii="Arial" w:hAnsi="Arial"/>
        </w:rPr>
        <w:t> </w:t>
      </w:r>
    </w:p>
    <w:p>
      <w:pPr>
        <w:pStyle w:val="TextBody"/>
        <w:numPr>
          <w:ilvl w:val="0"/>
          <w:numId w:val="2"/>
        </w:numPr>
        <w:tabs>
          <w:tab w:val="left" w:pos="0" w:leader="none"/>
        </w:tabs>
        <w:spacing w:before="0" w:after="0"/>
        <w:ind w:left="303" w:right="0" w:hanging="283"/>
        <w:rPr>
          <w:rFonts w:ascii="Arial" w:hAnsi="Arial"/>
        </w:rPr>
      </w:pPr>
      <w:r>
        <w:rPr>
          <w:rFonts w:ascii="Arial" w:hAnsi="Arial"/>
          <w:lang w:val="en-GB"/>
        </w:rPr>
        <w:t>Bruner J. (1996), The culture of Education,</w:t>
      </w:r>
      <w:r>
        <w:rPr>
          <w:rFonts w:ascii="Arial" w:hAnsi="Arial"/>
        </w:rPr>
        <w:t> </w:t>
      </w:r>
      <w:r>
        <w:rPr>
          <w:rFonts w:ascii="Arial" w:hAnsi="Arial"/>
          <w:lang w:val="en-GB"/>
        </w:rPr>
        <w:t>Harvard University Press</w:t>
      </w:r>
      <w:r>
        <w:rPr>
          <w:rFonts w:ascii="Arial" w:hAnsi="Arial"/>
        </w:rPr>
        <w:t> </w:t>
      </w:r>
    </w:p>
    <w:p>
      <w:pPr>
        <w:pStyle w:val="TextBody"/>
        <w:numPr>
          <w:ilvl w:val="0"/>
          <w:numId w:val="2"/>
        </w:numPr>
        <w:tabs>
          <w:tab w:val="left" w:pos="0" w:leader="none"/>
        </w:tabs>
        <w:spacing w:before="0" w:after="0"/>
        <w:ind w:left="303" w:right="0" w:hanging="283"/>
        <w:rPr>
          <w:rFonts w:ascii="Arial" w:hAnsi="Arial"/>
        </w:rPr>
      </w:pPr>
      <w:r>
        <w:rPr>
          <w:rFonts w:ascii="Arial" w:hAnsi="Arial"/>
          <w:lang w:val="en-GB"/>
        </w:rPr>
        <w:t>Cook, H. G. (2009). Formative assessment: Best practices part 1 [PowerPoint slides]. Retrieved from http://flareassessment.org/resources/PA_PD_ Form_%20Assess_Ppt_1_rev050709.pdf</w:t>
      </w:r>
      <w:r>
        <w:rPr>
          <w:rFonts w:ascii="Arial" w:hAnsi="Arial"/>
        </w:rPr>
        <w:t> </w:t>
      </w:r>
    </w:p>
    <w:p>
      <w:pPr>
        <w:pStyle w:val="TextBody"/>
        <w:numPr>
          <w:ilvl w:val="0"/>
          <w:numId w:val="2"/>
        </w:numPr>
        <w:tabs>
          <w:tab w:val="left" w:pos="0" w:leader="none"/>
        </w:tabs>
        <w:spacing w:before="0" w:after="0"/>
        <w:ind w:left="303" w:right="0" w:hanging="283"/>
        <w:rPr>
          <w:rFonts w:ascii="Arial" w:hAnsi="Arial"/>
        </w:rPr>
      </w:pPr>
      <w:r>
        <w:rPr>
          <w:rFonts w:ascii="Arial" w:hAnsi="Arial"/>
          <w:lang w:val="en-GB"/>
        </w:rPr>
        <w:t>Developing Cwricwlwm</w:t>
      </w:r>
      <w:r>
        <w:rPr>
          <w:rFonts w:ascii="Arial" w:hAnsi="Arial"/>
        </w:rPr>
        <w:t> </w:t>
      </w:r>
      <w:r>
        <w:rPr>
          <w:rFonts w:ascii="Arial" w:hAnsi="Arial"/>
          <w:lang w:val="en-GB"/>
        </w:rPr>
        <w:t>Cymreig, (2003), Curriculum and Assessment Authority for Wales (ACCAC), Cardiff</w:t>
      </w:r>
      <w:r>
        <w:rPr>
          <w:rFonts w:ascii="Arial" w:hAnsi="Arial"/>
        </w:rPr>
        <w:t> </w:t>
      </w:r>
    </w:p>
    <w:p>
      <w:pPr>
        <w:pStyle w:val="TextBody"/>
        <w:numPr>
          <w:ilvl w:val="0"/>
          <w:numId w:val="2"/>
        </w:numPr>
        <w:tabs>
          <w:tab w:val="left" w:pos="0" w:leader="none"/>
        </w:tabs>
        <w:spacing w:before="0" w:after="0"/>
        <w:ind w:left="303" w:right="0" w:hanging="283"/>
        <w:rPr>
          <w:rFonts w:ascii="Arial" w:hAnsi="Arial"/>
        </w:rPr>
      </w:pPr>
      <w:r>
        <w:rPr>
          <w:rFonts w:ascii="Arial" w:hAnsi="Arial"/>
          <w:lang w:val="en-GB"/>
        </w:rPr>
        <w:t>Digital Competence Framework guidance (2018), Welsh Government</w:t>
      </w:r>
      <w:r>
        <w:rPr>
          <w:rFonts w:ascii="Arial" w:hAnsi="Arial"/>
        </w:rPr>
        <w:t> </w:t>
      </w:r>
    </w:p>
    <w:p>
      <w:pPr>
        <w:pStyle w:val="TextBody"/>
        <w:numPr>
          <w:ilvl w:val="0"/>
          <w:numId w:val="3"/>
        </w:numPr>
        <w:tabs>
          <w:tab w:val="left" w:pos="0" w:leader="none"/>
        </w:tabs>
        <w:spacing w:before="0" w:after="0"/>
        <w:ind w:left="303" w:right="0" w:hanging="283"/>
        <w:rPr>
          <w:rFonts w:ascii="Arial" w:hAnsi="Arial"/>
        </w:rPr>
      </w:pPr>
      <w:r>
        <w:rPr>
          <w:rFonts w:ascii="Arial" w:hAnsi="Arial"/>
          <w:lang w:val="en-GB"/>
        </w:rPr>
        <w:t>ESDGC, Common understanding for school (2008), Welsh Assembly Government</w:t>
      </w:r>
      <w:r>
        <w:rPr>
          <w:rFonts w:ascii="Arial" w:hAnsi="Arial"/>
        </w:rPr>
        <w:t> </w:t>
      </w:r>
    </w:p>
    <w:p>
      <w:pPr>
        <w:pStyle w:val="TextBody"/>
        <w:numPr>
          <w:ilvl w:val="0"/>
          <w:numId w:val="3"/>
        </w:numPr>
        <w:tabs>
          <w:tab w:val="left" w:pos="0" w:leader="none"/>
        </w:tabs>
        <w:spacing w:before="0" w:after="0"/>
        <w:ind w:left="303" w:right="0" w:hanging="283"/>
        <w:rPr>
          <w:rFonts w:ascii="Arial" w:hAnsi="Arial"/>
        </w:rPr>
      </w:pPr>
      <w:r>
        <w:rPr>
          <w:rFonts w:ascii="Arial" w:hAnsi="Arial"/>
          <w:lang w:val="fr-FR"/>
        </w:rPr>
        <w:t>Gardner R. (2010)</w:t>
      </w:r>
      <w:r>
        <w:rPr>
          <w:rFonts w:ascii="Arial" w:hAnsi="Arial"/>
        </w:rPr>
        <w:t> </w:t>
      </w:r>
      <w:r>
        <w:rPr>
          <w:rFonts w:ascii="Arial" w:hAnsi="Arial"/>
          <w:lang w:val="fr-FR"/>
        </w:rPr>
        <w:t>Motivation and Second Language</w:t>
      </w:r>
      <w:r>
        <w:rPr>
          <w:rFonts w:ascii="Arial" w:hAnsi="Arial"/>
        </w:rPr>
        <w:t> </w:t>
      </w:r>
      <w:r>
        <w:rPr>
          <w:rFonts w:ascii="Arial" w:hAnsi="Arial"/>
          <w:lang w:val="fr-FR"/>
        </w:rPr>
        <w:t>Acquisition:</w:t>
      </w:r>
      <w:r>
        <w:rPr>
          <w:rFonts w:ascii="Arial" w:hAnsi="Arial"/>
        </w:rPr>
        <w:t> </w:t>
      </w:r>
      <w:r>
        <w:rPr>
          <w:rFonts w:ascii="Arial" w:hAnsi="Arial"/>
          <w:lang w:val="fr-FR"/>
        </w:rPr>
        <w:t>The Socio-educational</w:t>
      </w:r>
      <w:r>
        <w:rPr>
          <w:rFonts w:ascii="Arial" w:hAnsi="Arial"/>
        </w:rPr>
        <w:t> </w:t>
      </w:r>
      <w:r>
        <w:rPr>
          <w:rFonts w:ascii="Arial" w:hAnsi="Arial"/>
          <w:lang w:val="fr-FR"/>
        </w:rPr>
        <w:t>Model, Peter Lang</w:t>
      </w:r>
      <w:r>
        <w:rPr>
          <w:rFonts w:ascii="Arial" w:hAnsi="Arial"/>
        </w:rPr>
        <w:t> </w:t>
      </w:r>
    </w:p>
    <w:p>
      <w:pPr>
        <w:pStyle w:val="TextBody"/>
        <w:numPr>
          <w:ilvl w:val="0"/>
          <w:numId w:val="3"/>
        </w:numPr>
        <w:tabs>
          <w:tab w:val="left" w:pos="0" w:leader="none"/>
        </w:tabs>
        <w:spacing w:before="0" w:after="0"/>
        <w:ind w:left="303" w:right="0" w:hanging="283"/>
        <w:rPr>
          <w:rFonts w:ascii="Arial" w:hAnsi="Arial"/>
        </w:rPr>
      </w:pPr>
      <w:r>
        <w:rPr>
          <w:rFonts w:ascii="Arial" w:hAnsi="Arial"/>
          <w:lang w:val="en-GB"/>
        </w:rPr>
        <w:t>Muijs</w:t>
      </w:r>
      <w:r>
        <w:rPr>
          <w:rFonts w:ascii="Arial" w:hAnsi="Arial"/>
        </w:rPr>
        <w:t> </w:t>
      </w:r>
      <w:r>
        <w:rPr>
          <w:rFonts w:ascii="Arial" w:hAnsi="Arial"/>
          <w:lang w:val="en-GB"/>
        </w:rPr>
        <w:t>D. &amp; Reynolds D. (2010) Classroom Management in Effective Teaching: Evidence and Practice</w:t>
      </w:r>
      <w:r>
        <w:rPr>
          <w:rFonts w:ascii="Arial" w:hAnsi="Arial"/>
        </w:rPr>
        <w:t> </w:t>
      </w:r>
    </w:p>
    <w:p>
      <w:pPr>
        <w:pStyle w:val="TextBody"/>
        <w:numPr>
          <w:ilvl w:val="0"/>
          <w:numId w:val="3"/>
        </w:numPr>
        <w:tabs>
          <w:tab w:val="left" w:pos="0" w:leader="none"/>
        </w:tabs>
        <w:spacing w:before="0" w:after="0"/>
        <w:ind w:left="303" w:right="0" w:hanging="283"/>
        <w:rPr/>
      </w:pPr>
      <w:r>
        <w:rPr>
          <w:rFonts w:ascii="Arial" w:hAnsi="Arial"/>
          <w:lang w:val="en-GB"/>
        </w:rPr>
        <w:t>Mujis</w:t>
      </w:r>
      <w:r>
        <w:rPr>
          <w:rFonts w:ascii="Arial" w:hAnsi="Arial"/>
        </w:rPr>
        <w:t> </w:t>
      </w:r>
      <w:r>
        <w:rPr>
          <w:rFonts w:ascii="Arial" w:hAnsi="Arial"/>
          <w:lang w:val="en-GB"/>
        </w:rPr>
        <w:t>D. (2010) </w:t>
      </w:r>
      <w:hyperlink r:id="rId3">
        <w:r>
          <w:rPr>
            <w:rStyle w:val="InternetLink"/>
            <w:rFonts w:ascii="Arial" w:hAnsi="Arial"/>
            <w:lang w:val="en-GB"/>
          </w:rPr>
          <w:t>Theories of Learning and Intelligence</w:t>
        </w:r>
      </w:hyperlink>
      <w:r>
        <w:rPr>
          <w:rFonts w:ascii="Arial" w:hAnsi="Arial"/>
          <w:lang w:val="en-GB"/>
        </w:rPr>
        <w:t>, Prof. D Mujis, 2010</w:t>
      </w:r>
      <w:r>
        <w:rPr>
          <w:rFonts w:ascii="Arial" w:hAnsi="Arial"/>
        </w:rPr>
        <w:t> </w:t>
      </w:r>
    </w:p>
    <w:p>
      <w:pPr>
        <w:pStyle w:val="TextBody"/>
        <w:numPr>
          <w:ilvl w:val="0"/>
          <w:numId w:val="3"/>
        </w:numPr>
        <w:tabs>
          <w:tab w:val="left" w:pos="0" w:leader="none"/>
        </w:tabs>
        <w:spacing w:before="0" w:after="0"/>
        <w:ind w:left="303" w:right="0" w:hanging="283"/>
        <w:rPr>
          <w:rFonts w:ascii="Arial" w:hAnsi="Arial"/>
        </w:rPr>
      </w:pPr>
      <w:r>
        <w:rPr>
          <w:rFonts w:ascii="Arial" w:hAnsi="Arial"/>
          <w:lang w:val="en-GB"/>
        </w:rPr>
        <w:t>National Literacy and Numeracy Framework, (2013), Welsh Government, Cardiff </w:t>
      </w:r>
      <w:r>
        <w:rPr>
          <w:rFonts w:ascii="Arial" w:hAnsi="Arial"/>
        </w:rPr>
        <w:t> </w:t>
      </w:r>
    </w:p>
    <w:p>
      <w:pPr>
        <w:pStyle w:val="TextBody"/>
        <w:numPr>
          <w:ilvl w:val="0"/>
          <w:numId w:val="4"/>
        </w:numPr>
        <w:tabs>
          <w:tab w:val="left" w:pos="0" w:leader="none"/>
        </w:tabs>
        <w:spacing w:before="0" w:after="0"/>
        <w:ind w:left="303" w:right="0" w:hanging="283"/>
        <w:rPr>
          <w:rFonts w:ascii="Arial" w:hAnsi="Arial"/>
        </w:rPr>
      </w:pPr>
      <w:r>
        <w:rPr>
          <w:rFonts w:ascii="Arial" w:hAnsi="Arial"/>
          <w:lang w:val="en-GB"/>
        </w:rPr>
        <w:t>National Research Council. (2001). Classroom assessment and the National Science Education Standards. Washington, DC: National Academies Press Retrieved from http://www.nap.edu/catalog/9847/ classroom-assessment-and-the-national-scienceeducation-standards.</w:t>
      </w:r>
      <w:r>
        <w:rPr>
          <w:rFonts w:ascii="Arial" w:hAnsi="Arial"/>
        </w:rPr>
        <w:t> </w:t>
      </w:r>
    </w:p>
    <w:p>
      <w:pPr>
        <w:pStyle w:val="TextBody"/>
        <w:numPr>
          <w:ilvl w:val="0"/>
          <w:numId w:val="4"/>
        </w:numPr>
        <w:tabs>
          <w:tab w:val="left" w:pos="0" w:leader="none"/>
        </w:tabs>
        <w:spacing w:before="0" w:after="0"/>
        <w:ind w:left="303" w:right="0" w:hanging="283"/>
        <w:rPr>
          <w:rFonts w:ascii="Arial" w:hAnsi="Arial"/>
        </w:rPr>
      </w:pPr>
      <w:r>
        <w:rPr>
          <w:rFonts w:ascii="Arial" w:hAnsi="Arial"/>
          <w:lang w:val="en-GB"/>
        </w:rPr>
        <w:t>Watson, J. B. (2013). Behaviorism. Read Books Ltd.</w:t>
      </w:r>
      <w:r>
        <w:rPr>
          <w:rFonts w:ascii="Arial" w:hAnsi="Arial"/>
        </w:rPr>
        <w:t> </w:t>
      </w:r>
    </w:p>
    <w:p>
      <w:pPr>
        <w:pStyle w:val="TextBody"/>
        <w:numPr>
          <w:ilvl w:val="0"/>
          <w:numId w:val="4"/>
        </w:numPr>
        <w:tabs>
          <w:tab w:val="left" w:pos="0" w:leader="none"/>
        </w:tabs>
        <w:spacing w:before="0" w:after="0"/>
        <w:ind w:left="303" w:right="0" w:hanging="283"/>
        <w:rPr>
          <w:rFonts w:ascii="Arial" w:hAnsi="Arial"/>
        </w:rPr>
      </w:pPr>
      <w:r>
        <w:rPr>
          <w:rFonts w:ascii="Arial" w:hAnsi="Arial"/>
          <w:lang w:val="en-GB"/>
        </w:rPr>
        <w:t>Wiggins, G. (1998). Educative assessment :</w:t>
      </w:r>
      <w:r>
        <w:rPr>
          <w:rFonts w:ascii="Arial" w:hAnsi="Arial"/>
        </w:rPr>
        <w:t> </w:t>
      </w:r>
      <w:r>
        <w:rPr>
          <w:rFonts w:ascii="Arial" w:hAnsi="Arial"/>
          <w:lang w:val="en-GB"/>
        </w:rPr>
        <w:t>Designing assessments to inform and improve student performance. San Francisco, CA: Jossey-Bass.</w:t>
      </w:r>
      <w:r>
        <w:rPr>
          <w:rFonts w:ascii="Arial" w:hAnsi="Arial"/>
        </w:rPr>
        <w:t> </w:t>
      </w:r>
    </w:p>
    <w:p>
      <w:pPr>
        <w:pStyle w:val="Normal"/>
        <w:jc w:val="both"/>
        <w:rPr/>
      </w:pPr>
      <w:r>
        <w:rPr/>
      </w:r>
    </w:p>
    <w:p>
      <w:pPr>
        <w:pStyle w:val="Normal"/>
        <w:jc w:val="both"/>
        <w:rPr/>
      </w:pPr>
      <w:r>
        <w:rPr/>
        <w:t>Part B (ii)</w:t>
      </w:r>
    </w:p>
    <w:p>
      <w:pPr>
        <w:pStyle w:val="TextBody"/>
        <w:jc w:val="both"/>
        <w:rPr>
          <w:rFonts w:ascii="Arial" w:hAnsi="Arial"/>
        </w:rPr>
      </w:pPr>
      <w:r>
        <w:rPr>
          <w:rFonts w:ascii="Arial" w:hAnsi="Arial"/>
          <w:lang w:val="en-GB"/>
        </w:rPr>
        <w:tab/>
        <w:t>After a few weeks at my first placement, I am able to see my micro-teaching from a different point of view. The experience of the micro-teaching was very helpful especially for lesson planning, but for some other aspects of teaching, student teachers need a real experience in a school.</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During the two weeks of observation, I quickly understood what the big differences between the micro-teaching and the real teaching experience are: behaviour management and organisation of the classroom. The other students, our peers, don’t really act like pupils, for this reason, only a real experience in a school can help us to understand of the dimension the organisation of the classroom and how to act with pupils in different situations. What I didn’t understand with my micro-teaching was how important the way pupils enter and leave the classroom is. I am in a school where pupils don’t have enough space to line up outside the classroom. This means that they enter the classroom in a disrupted way. The first few minutes of the lesson are crucial, it is why if I can make an official start outside de classroom asking them to form a line in silence, when they come in, they will need an official start. For my first experience as a teacher, I let them enter the classroom without an official start outside. I decided to ask them to stand behind their chairs, wait for silence, say hello in the target language and asked them to sit down. I also did the same thing at the end of the lesson, I asked them to pack away, stand behind their chairs, say goodbye in the target language and then let them leave. There are many different strategies I could use when students exit the classroom, I could let them leave the classroom row after row. If I gave a certificate during the lesson, the one who has it could eave first. For one of my lessons I had to let the well behaved students leave first and keep he disruptive pupils behind.</w:t>
      </w:r>
    </w:p>
    <w:p>
      <w:pPr>
        <w:pStyle w:val="TextBody"/>
        <w:spacing w:before="0" w:after="0"/>
        <w:ind w:left="0" w:right="0" w:hanging="0"/>
        <w:jc w:val="both"/>
        <w:rPr>
          <w:rFonts w:ascii="Arial" w:hAnsi="Arial"/>
        </w:rPr>
      </w:pPr>
      <w:r>
        <w:rPr>
          <w:rFonts w:ascii="Arial" w:hAnsi="Arial"/>
          <w:lang w:val="en-GB"/>
        </w:rPr>
        <w:tab/>
        <w:t>The QTS Standards has a category “teaching class management”, and one of the excellent criteria is “confident and well-developed approach to class management/behaviour”. I think to succeed with this category, the entrance inside of the classroom and how pupils leave it is determinant and give the dynamic for the rest of the lesson.</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Starters and plenaries are important in a learning and teaching point of view. A starter can introduce a new topic or revise what the learners did the lesson before. A plenary is a good way of checking understanding. It can be used as a formative assessment or an opportunity to have feedback. Before my first placement, this was my opinion about starters and plenaries. I still agree with this affirmation, but I will also say now, they are also important in ensuring classroom management. I had the opportunity to observe different lessons with different teachers. Teachers who were using starters and plenaries had better control of their class, the learning process was more productive, and learners were more engaged during the lesson too. I found plenaries useful after a speaking activity, where learners do an independent work and the teacher need to have the attention of the class. I also think with a plenary, it is easier to prepare the moment they are going to leave the classroom, especially with plenaries like “Two starts and a wish” or asking them what they remember of the lesson. As the starter tell them they have to start focus and the lesson official starts, with the plenary, they know it’s how the lesson finish. Starters and plenaries are important to structure the lesson and because they should be a part of each lesson, they are rituals which surrounds the focus period for learners.</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With the experience of teaching, I understood the importance of the scheme of work and planning the lesson. When teachers make their lesson plans, they have to think about the context of the lesson. For example, the time of the lesson, in the morning or in the afternoon? At the beginning of the week or on Friday lesson 5? All these details matter and are important for the learning process. For the micro-teaching, the scheme of work wasn’t related to a timetable. The order I chose my lessons would maybe not be the same if I had a real timetable to match. We know that the level of focus is not the same in the morning and in the afternoon, or on Monday or Friday. After my first week of teaching, I believe the scheme of work and lesson plans should consider when is each lesson and choose activity according to the time of the day or the day of the week. I saw that with two classes of Year 7. In the school where I am, Year 7 classes are not abilities classes, they are mixed. I had to do the same lesson for two different classes, one was on a Wednesday, second lesson and the other one was on Friday last lesson. The first lesson went well, I did everything I planned. My class and behaviour management were not perfect but didn’t stop the progression of the lesson. Pupils were engaged and enjoy the different activities. I decided to do the same lesson with the class on Friday lesson 5 taking into consideration the feedbacks of the first class’ teacher (add modelling to my explanation of my activities). With this class, I didn’t do everything I wanted. Because of the behaviour of some pupils, some activities were not possible. They couldn’t concentrate, and they didn’t demonstrate independence, something they needed for the different activities of the lesson.</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Using the target language is an important part of the lesson. It gives the opportunity to establish a French atmosphere. I thought about the use of the French language for my micro-teaching, when I will use it, how much. I think it is a real challenge for a native speaker to use in an appropriate way the target language especially with Key stage 3. We don’t want to use it too much; the pupils will feel confused and won’t stay engaged. I also think sometimes, because we can be afraid to speak too much in the target language, we don’t speak enough. As I did for my micro-teaching, I think it is important to plan when to use the target language. After few lessons, I can start to establish rules. The beginning of the lesson should always be in the target language, it’s important that the first thing the teacher says is in the language he or she teaches. I also think praises should be in the target language too. It is important to associate something positive to the language.</w:t>
      </w:r>
    </w:p>
    <w:p>
      <w:pPr>
        <w:pStyle w:val="TextBody"/>
        <w:spacing w:before="0" w:after="0"/>
        <w:ind w:left="0" w:right="0" w:hanging="0"/>
        <w:jc w:val="both"/>
        <w:rPr>
          <w:rFonts w:ascii="Arial" w:hAnsi="Arial"/>
        </w:rPr>
      </w:pPr>
      <w:r>
        <w:rPr>
          <w:rFonts w:ascii="Arial" w:hAnsi="Arial"/>
          <w:lang w:val="en-GB"/>
        </w:rPr>
        <w:t xml:space="preserve">In the QTS Standards, there is a “oral and written communication” skill. One of them is </w:t>
      </w:r>
      <w:r>
        <w:rPr>
          <w:rFonts w:ascii="Arial" w:hAnsi="Arial"/>
        </w:rPr>
        <w:t>“</w:t>
      </w:r>
      <w:r>
        <w:rPr>
          <w:rFonts w:ascii="Arial" w:hAnsi="Arial"/>
          <w:lang w:val="en-GB"/>
        </w:rPr>
        <w:t>promotes and supports pupils’ use of appropriate language, through the use of appropriate strategies for language development”. I think using the target language to praise pupils is a good strategy to improve their speaking skill.</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Praising pupils is determining for their learning and for their engagement during lesson. I saw that during my micro-teaching, and I see this importance every day when I’m at school. I already talk about how it is important to do it in the target language. Praising pupils is a process and you have different ways to do it. Every time they answer a question, even if they don’t give the good answer, it is important to encourage them to participate again. It something I didn’t think about for my micro-teaching; a praise system can be motived. In the school where I’m working, there are different techniques to praise pupils. One of the  teachers is using medals. A pupil is designated to give the medals during the lesson. For every answer, pupils have a medal. In the end of the lesson, the one with the most medals has an award card. I really like award cards, they matter inside the school system (pupils win points with them). It is important to be constant with it, it is an objective for pupils during lesson, so the teacher should give one card every lesson. Must be careful to not give too many cards during the same lesson, if half of the class has an award card, it loses its value and pupils won’t work for it. Oral praises are essentials, something it is also important to give to pupils something they can bring home and show to their family. Give them an award card, it is also saying to their parents or their form tutor they did really well. I try to not give praise to everyone, be equal. As it is important to praise good pupils who are constant with their work, it is also important to praise a pupil who changed is behaviour and became more engaged during the lesson. It is also why, praising is a process. A pupil who can be disruptive during lesson, it is important to tell orally they did really well and I’m expecting the same engagement next lesson and if they keep going with their participation, they will have an award card, or anything more official.</w:t>
      </w:r>
    </w:p>
    <w:p>
      <w:pPr>
        <w:pStyle w:val="TextBody"/>
        <w:spacing w:before="0" w:after="0"/>
        <w:ind w:left="0" w:right="0" w:hanging="0"/>
        <w:jc w:val="both"/>
        <w:rPr>
          <w:rFonts w:ascii="Arial" w:hAnsi="Arial"/>
        </w:rPr>
      </w:pPr>
      <w:r>
        <w:rPr>
          <w:rFonts w:ascii="Arial" w:hAnsi="Arial"/>
          <w:lang w:val="en-GB"/>
        </w:rPr>
        <w:t>Praising pupils is part of “Professional values” of the QTS Standards. It is a way to talk and learn to know pupils, it also like this we can build a relationship with them.</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For my micro-teaching, I put a lot of thoughts in my resources. How I could organise my PowerPoint, which information I put inside. In my opinion, creativity is an important part of the teacher job. It can be powerful and effective for pupil’s engagement. My micro-teach was for a class of Year 9, first lesson of the topic about holidays. Drilling is not the most exciting part for pupils, but it is crucial for their pronunciation. What I tried to do is choose pictures about places they know. For example, I had to introduce how we say a castle, shops or stadium. For each of them I chose pictures of places in Cardiff. When pupils see that, it means something to them, it is less abstract and will be easier for them to learn and remember the new vocabulary. The QTS Standards say for the “Teaching, Planning, Expectations and Target”, teacher should “plan activities to secure pupil engagement and enjoyment”. Be aware of what pupils like, think about what a Year 7 likes is not the same thing than a Year 10. I think for an MFL teacher, being creative it is also being realistic and show how pupils can use the target language in a realistic situation. As teachers, we can make the choice to teach a language the way pupils will succeed their exam, or we can also try to show them learning a language is important every day. It is why being creating for the resources is useful. For example, I made an activity for Year 10 to work about comparatives and superlatives. After explaining the rules, I wanted something a bit different to practise these grammar rules. I chose to take a picture of a series I know some of them are watching it and asked them to describe it. I thought it will be more motivating to work on the grammar exercise with a learning aid which is a bit different.</w:t>
      </w:r>
    </w:p>
    <w:p>
      <w:pPr>
        <w:pStyle w:val="TextBody"/>
        <w:spacing w:before="0" w:after="0"/>
        <w:ind w:left="0" w:right="0" w:hanging="0"/>
        <w:jc w:val="both"/>
        <w:rPr>
          <w:rFonts w:ascii="Arial" w:hAnsi="Arial"/>
        </w:rPr>
      </w:pPr>
      <w:r>
        <w:rPr>
          <w:rFonts w:ascii="Arial" w:hAnsi="Arial"/>
        </w:rPr>
      </w:r>
    </w:p>
    <w:p>
      <w:pPr>
        <w:pStyle w:val="TextBody"/>
        <w:spacing w:before="0" w:after="0"/>
        <w:ind w:left="0" w:right="0" w:hanging="0"/>
        <w:jc w:val="both"/>
        <w:rPr>
          <w:rFonts w:ascii="Arial" w:hAnsi="Arial"/>
        </w:rPr>
      </w:pPr>
      <w:r>
        <w:rPr>
          <w:rFonts w:ascii="Arial" w:hAnsi="Arial"/>
          <w:lang w:val="en-GB"/>
        </w:rPr>
        <w:tab/>
        <w:t>To conclude, I think it is crucial to come back and think about the decision we take when we teach. Compare lessons and be able to change what need to be change. Feedback of mentors are colleagues can help and should be a part of the job. I will summarize my work with three things I think are decisive: be consistent with behaviour management, be creative and talk with pupils to know what they like and the last one, which is maybe the most important, the organisation. A good organisation will help with the other part of teaching.</w:t>
      </w:r>
    </w:p>
    <w:p>
      <w:pPr>
        <w:pStyle w:val="Normal"/>
        <w:jc w:val="both"/>
        <w:rPr>
          <w:rFonts w:ascii="Arial" w:hAnsi="Arial"/>
        </w:rPr>
      </w:pPr>
      <w:r>
        <w:rPr>
          <w:rFonts w:ascii="Arial" w:hAnsi="Arial"/>
        </w:rPr>
      </w:r>
    </w:p>
    <w:p>
      <w:pPr>
        <w:pStyle w:val="Normal"/>
        <w:jc w:val="both"/>
        <w:rPr>
          <w:rFonts w:ascii="Arial" w:hAnsi="Arial"/>
        </w:rPr>
      </w:pPr>
      <w:r>
        <w:rPr>
          <w:rFonts w:ascii="Arial" w:hAnsi="Arial"/>
        </w:rPr>
      </w:r>
    </w:p>
    <w:p>
      <w:pPr>
        <w:pStyle w:val="Normal"/>
        <w:jc w:val="both"/>
        <w:rPr>
          <w:rFonts w:ascii="Arial" w:hAnsi="Arial"/>
        </w:rPr>
      </w:pPr>
      <w:r>
        <w:rPr>
          <w:rFonts w:ascii="Arial" w:hAnsi="Arial"/>
        </w:rPr>
      </w:r>
    </w:p>
    <w:tbl>
      <w:tblPr>
        <w:tblW w:w="10623" w:type="dxa"/>
        <w:jc w:val="left"/>
        <w:tblInd w:w="0" w:type="dxa"/>
        <w:tblBorders/>
        <w:tblCellMar>
          <w:top w:w="0" w:type="dxa"/>
          <w:left w:w="0" w:type="dxa"/>
          <w:bottom w:w="0" w:type="dxa"/>
          <w:right w:w="0" w:type="dxa"/>
        </w:tblCellMar>
      </w:tblPr>
      <w:tblGrid>
        <w:gridCol w:w="1932"/>
        <w:gridCol w:w="1759"/>
        <w:gridCol w:w="307"/>
        <w:gridCol w:w="6323"/>
        <w:gridCol w:w="66"/>
        <w:gridCol w:w="66"/>
        <w:gridCol w:w="169"/>
      </w:tblGrid>
      <w:tr>
        <w:trPr/>
        <w:tc>
          <w:tcPr>
            <w:tcW w:w="1932" w:type="dxa"/>
            <w:tcBorders/>
            <w:shd w:fill="auto" w:val="clear"/>
            <w:vAlign w:val="center"/>
          </w:tcPr>
          <w:p>
            <w:pPr>
              <w:pStyle w:val="TableContents"/>
              <w:spacing w:before="0" w:after="0"/>
              <w:ind w:left="0" w:right="0" w:hanging="0"/>
              <w:rPr/>
            </w:pPr>
            <w:r>
              <w:rPr/>
            </w:r>
          </w:p>
        </w:tc>
        <w:tc>
          <w:tcPr>
            <w:tcW w:w="1759"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r>
          </w:p>
        </w:tc>
        <w:tc>
          <w:tcPr>
            <w:tcW w:w="6696" w:type="dxa"/>
            <w:gridSpan w:val="3"/>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ACTION PLAN - Objectives and programme for Term 1</w:t>
            </w:r>
          </w:p>
        </w:tc>
        <w:tc>
          <w:tcPr>
            <w:tcW w:w="235" w:type="dxa"/>
            <w:gridSpan w:val="2"/>
            <w:tcBorders/>
            <w:shd w:fill="auto" w:val="clear"/>
            <w:vAlign w:val="center"/>
          </w:tcPr>
          <w:p>
            <w:pPr>
              <w:pStyle w:val="TableContents"/>
              <w:spacing w:before="0" w:after="0"/>
              <w:ind w:left="0" w:right="0" w:hanging="0"/>
              <w:rPr/>
            </w:pPr>
            <w:r>
              <w:rPr/>
            </w:r>
          </w:p>
        </w:tc>
      </w:tr>
      <w:tr>
        <w:trPr/>
        <w:tc>
          <w:tcPr>
            <w:tcW w:w="3998" w:type="dxa"/>
            <w:gridSpan w:val="3"/>
            <w:tcBorders/>
            <w:shd w:fill="auto" w:val="clear"/>
            <w:vAlign w:val="center"/>
          </w:tcPr>
          <w:p>
            <w:pPr>
              <w:pStyle w:val="TableContents"/>
              <w:spacing w:before="0" w:after="0"/>
              <w:ind w:left="0" w:right="0" w:hanging="0"/>
              <w:rPr/>
            </w:pPr>
            <w:r>
              <w:rPr/>
            </w:r>
          </w:p>
          <w:p>
            <w:pPr>
              <w:pStyle w:val="TableContents"/>
              <w:spacing w:before="0" w:after="0"/>
              <w:ind w:left="0" w:right="0" w:hanging="0"/>
              <w:rPr/>
            </w:pPr>
            <w:bookmarkStart w:id="0" w:name="{a69e231a-dd3f-4908-8a01-df5b81cb9088}{30}"/>
            <w:bookmarkEnd w:id="0"/>
            <w:r>
              <w:rPr/>
              <w:drawing>
                <wp:inline distT="0" distB="0" distL="0" distR="0">
                  <wp:extent cx="2430145" cy="313055"/>
                  <wp:effectExtent l="0" t="0" r="0" b="0"/>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4"/>
                          <a:stretch>
                            <a:fillRect/>
                          </a:stretch>
                        </pic:blipFill>
                        <pic:spPr bwMode="auto">
                          <a:xfrm>
                            <a:off x="0" y="0"/>
                            <a:ext cx="2430145" cy="313055"/>
                          </a:xfrm>
                          <a:prstGeom prst="rect">
                            <a:avLst/>
                          </a:prstGeom>
                        </pic:spPr>
                      </pic:pic>
                    </a:graphicData>
                  </a:graphic>
                </wp:inline>
              </w:drawing>
            </w:r>
          </w:p>
        </w:tc>
        <w:tc>
          <w:tcPr>
            <w:tcW w:w="632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bookmarkStart w:id="1" w:name="{a69e231a-dd3f-4908-8a01-df5b81cb9088}{31}"/>
            <w:bookmarkEnd w:id="1"/>
            <w:r>
              <w:rPr/>
              <w:drawing>
                <wp:inline distT="0" distB="0" distL="0" distR="0">
                  <wp:extent cx="1564005" cy="313055"/>
                  <wp:effectExtent l="0" t="0" r="0" b="0"/>
                  <wp:docPr id="3"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
                          <pic:cNvPicPr>
                            <a:picLocks noChangeAspect="1" noChangeArrowheads="1"/>
                          </pic:cNvPicPr>
                        </pic:nvPicPr>
                        <pic:blipFill>
                          <a:blip r:embed="rId5"/>
                          <a:stretch>
                            <a:fillRect/>
                          </a:stretch>
                        </pic:blipFill>
                        <pic:spPr bwMode="auto">
                          <a:xfrm>
                            <a:off x="0" y="0"/>
                            <a:ext cx="1564005" cy="313055"/>
                          </a:xfrm>
                          <a:prstGeom prst="rect">
                            <a:avLst/>
                          </a:prstGeom>
                        </pic:spPr>
                      </pic:pic>
                    </a:graphicData>
                  </a:graphic>
                </wp:inline>
              </w:drawing>
            </w:r>
            <w:bookmarkStart w:id="2" w:name="{a69e231a-dd3f-4908-8a01-df5b81cb9088}{32}"/>
            <w:bookmarkEnd w:id="2"/>
            <w:r>
              <w:rPr/>
              <w:drawing>
                <wp:inline distT="0" distB="0" distL="0" distR="0">
                  <wp:extent cx="2334260" cy="313055"/>
                  <wp:effectExtent l="0" t="0" r="0" b="0"/>
                  <wp:docPr id="4"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descr=""/>
                          <pic:cNvPicPr>
                            <a:picLocks noChangeAspect="1" noChangeArrowheads="1"/>
                          </pic:cNvPicPr>
                        </pic:nvPicPr>
                        <pic:blipFill>
                          <a:blip r:embed="rId6"/>
                          <a:stretch>
                            <a:fillRect/>
                          </a:stretch>
                        </pic:blipFill>
                        <pic:spPr bwMode="auto">
                          <a:xfrm>
                            <a:off x="0" y="0"/>
                            <a:ext cx="2334260" cy="313055"/>
                          </a:xfrm>
                          <a:prstGeom prst="rect">
                            <a:avLst/>
                          </a:prstGeom>
                        </pic:spPr>
                      </pic:pic>
                    </a:graphicData>
                  </a:graphic>
                </wp:inline>
              </w:drawing>
            </w:r>
          </w:p>
          <w:p>
            <w:pPr>
              <w:pStyle w:val="TableContents"/>
              <w:spacing w:before="0" w:after="0"/>
              <w:ind w:left="0" w:right="0" w:hanging="0"/>
              <w:rPr/>
            </w:pPr>
            <w:r>
              <w:rPr/>
            </w:r>
          </w:p>
        </w:tc>
        <w:tc>
          <w:tcPr>
            <w:tcW w:w="132" w:type="dxa"/>
            <w:gridSpan w:val="2"/>
            <w:tcBorders/>
            <w:shd w:fill="auto" w:val="clear"/>
            <w:vAlign w:val="center"/>
          </w:tcPr>
          <w:p>
            <w:pPr>
              <w:pStyle w:val="TableContents"/>
              <w:spacing w:before="0" w:after="0"/>
              <w:ind w:left="0" w:right="0" w:hanging="0"/>
              <w:rPr/>
            </w:pPr>
            <w:r>
              <w:rPr/>
            </w:r>
          </w:p>
        </w:tc>
        <w:tc>
          <w:tcPr>
            <w:tcW w:w="169" w:type="dxa"/>
            <w:tcBorders/>
            <w:shd w:fill="auto" w:val="clear"/>
            <w:vAlign w:val="center"/>
          </w:tcPr>
          <w:p>
            <w:pPr>
              <w:pStyle w:val="TableContents"/>
              <w:spacing w:before="0" w:after="0"/>
              <w:ind w:left="0" w:right="0" w:hanging="0"/>
              <w:rPr/>
            </w:pPr>
            <w:r>
              <w:rPr/>
              <w:t> </w:t>
            </w:r>
          </w:p>
        </w:tc>
      </w:tr>
    </w:tbl>
    <w:p>
      <w:pPr>
        <w:pStyle w:val="TextBody"/>
        <w:spacing w:before="0" w:after="0"/>
        <w:ind w:left="0" w:right="0" w:hanging="0"/>
        <w:rPr/>
      </w:pPr>
      <w:r>
        <w:rPr/>
      </w:r>
    </w:p>
    <w:p>
      <w:pPr>
        <w:pStyle w:val="Normal"/>
        <w:rPr/>
      </w:pPr>
      <w:r>
        <w:rPr/>
      </w:r>
    </w:p>
    <w:p>
      <w:pPr>
        <w:sectPr>
          <w:type w:val="continuous"/>
          <w:pgSz w:w="11906" w:h="16838"/>
          <w:pgMar w:left="1440" w:right="1440" w:header="0" w:top="1440" w:footer="0" w:bottom="1440" w:gutter="0"/>
          <w:formProt w:val="false"/>
          <w:textDirection w:val="lrTb"/>
          <w:docGrid w:type="default" w:linePitch="360" w:charSpace="4294965247"/>
        </w:sectPr>
      </w:pPr>
    </w:p>
    <w:p>
      <w:pPr>
        <w:pStyle w:val="TextBody"/>
        <w:ind w:left="0" w:right="0" w:hanging="0"/>
        <w:rPr/>
      </w:pPr>
      <w:r>
        <w:rPr/>
      </w:r>
    </w:p>
    <w:p>
      <w:pPr>
        <w:sectPr>
          <w:type w:val="continuous"/>
          <w:pgSz w:w="11906" w:h="16838"/>
          <w:pgMar w:left="1440" w:right="1440" w:header="0" w:top="1440" w:footer="0" w:bottom="1440" w:gutter="0"/>
          <w:formProt w:val="false"/>
          <w:textDirection w:val="lrTb"/>
          <w:docGrid w:type="default" w:linePitch="360" w:charSpace="4294965247"/>
        </w:sectPr>
      </w:pPr>
    </w:p>
    <w:tbl>
      <w:tblPr>
        <w:tblW w:w="9026" w:type="dxa"/>
        <w:jc w:val="left"/>
        <w:tblInd w:w="0" w:type="dxa"/>
        <w:tblBorders/>
        <w:tblCellMar>
          <w:top w:w="0" w:type="dxa"/>
          <w:left w:w="0" w:type="dxa"/>
          <w:bottom w:w="0" w:type="dxa"/>
          <w:right w:w="0" w:type="dxa"/>
        </w:tblCellMar>
      </w:tblPr>
      <w:tblGrid>
        <w:gridCol w:w="2410"/>
        <w:gridCol w:w="2989"/>
        <w:gridCol w:w="2263"/>
        <w:gridCol w:w="1363"/>
      </w:tblGrid>
      <w:tr>
        <w:trPr/>
        <w:tc>
          <w:tcPr>
            <w:tcW w:w="2410"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OBJECTIVES</w:t>
            </w:r>
          </w:p>
          <w:p>
            <w:pPr>
              <w:pStyle w:val="TableContents"/>
              <w:spacing w:before="0" w:after="0"/>
              <w:ind w:left="0" w:right="0" w:hanging="0"/>
              <w:rPr/>
            </w:pPr>
            <w:r>
              <w:rPr>
                <w:lang w:val="en-GB"/>
              </w:rPr>
              <w:t>(relate to QTS Standards</w:t>
            </w:r>
          </w:p>
          <w:p>
            <w:pPr>
              <w:pStyle w:val="TableContents"/>
              <w:spacing w:before="0" w:after="0"/>
              <w:ind w:left="0" w:right="0" w:hanging="0"/>
              <w:rPr/>
            </w:pPr>
            <w:r>
              <w:rPr>
                <w:lang w:val="en-GB"/>
              </w:rPr>
              <w:t>where appropriate).</w:t>
            </w:r>
          </w:p>
        </w:tc>
        <w:tc>
          <w:tcPr>
            <w:tcW w:w="2989"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ACTIONS TO BE TAKEN</w:t>
            </w:r>
          </w:p>
        </w:tc>
        <w:tc>
          <w:tcPr>
            <w:tcW w:w="22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SUCCESS</w:t>
            </w:r>
          </w:p>
          <w:p>
            <w:pPr>
              <w:pStyle w:val="TableContents"/>
              <w:spacing w:before="0" w:after="0"/>
              <w:ind w:left="0" w:right="0" w:hanging="0"/>
              <w:rPr/>
            </w:pPr>
            <w:r>
              <w:rPr>
                <w:lang w:val="en-GB"/>
              </w:rPr>
              <w:t>CRITERIA</w:t>
            </w:r>
          </w:p>
        </w:tc>
        <w:tc>
          <w:tcPr>
            <w:tcW w:w="13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TARGET</w:t>
            </w:r>
          </w:p>
          <w:p>
            <w:pPr>
              <w:pStyle w:val="TableContents"/>
              <w:spacing w:before="0" w:after="0"/>
              <w:ind w:left="0" w:right="0" w:hanging="0"/>
              <w:rPr/>
            </w:pPr>
            <w:r>
              <w:rPr>
                <w:lang w:val="en-GB"/>
              </w:rPr>
              <w:t>DATE</w:t>
            </w:r>
          </w:p>
        </w:tc>
      </w:tr>
      <w:tr>
        <w:trPr/>
        <w:tc>
          <w:tcPr>
            <w:tcW w:w="2410"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 xml:space="preserve">- </w:t>
            </w:r>
            <w:r>
              <w:rPr>
                <w:lang w:val="en-US"/>
              </w:rPr>
              <w:t>clear ability to challenge pupils through highly effective, differentiated questions and activities. </w:t>
            </w:r>
            <w:r>
              <w:rPr/>
              <w:t> </w:t>
            </w:r>
          </w:p>
        </w:tc>
        <w:tc>
          <w:tcPr>
            <w:tcW w:w="2989" w:type="dxa"/>
            <w:tcBorders/>
            <w:shd w:fill="auto" w:val="clear"/>
            <w:vAlign w:val="center"/>
          </w:tcPr>
          <w:p>
            <w:pPr>
              <w:pStyle w:val="TableContents"/>
              <w:spacing w:before="0" w:after="0"/>
              <w:ind w:left="0" w:right="0" w:hanging="0"/>
              <w:rPr/>
            </w:pPr>
            <w:r>
              <w:rPr/>
            </w:r>
          </w:p>
          <w:p>
            <w:pPr>
              <w:pStyle w:val="TableContents"/>
              <w:numPr>
                <w:ilvl w:val="0"/>
                <w:numId w:val="5"/>
              </w:numPr>
              <w:tabs>
                <w:tab w:val="left" w:pos="0" w:leader="none"/>
              </w:tabs>
              <w:spacing w:before="0" w:after="0"/>
              <w:ind w:left="303" w:right="0" w:hanging="283"/>
              <w:rPr/>
            </w:pPr>
            <w:r>
              <w:rPr>
                <w:lang w:val="en-GB"/>
              </w:rPr>
              <w:t>Observe teacher with effective practice</w:t>
            </w:r>
          </w:p>
          <w:p>
            <w:pPr>
              <w:pStyle w:val="TableContents"/>
              <w:numPr>
                <w:ilvl w:val="0"/>
                <w:numId w:val="6"/>
              </w:numPr>
              <w:tabs>
                <w:tab w:val="left" w:pos="0" w:leader="none"/>
              </w:tabs>
              <w:spacing w:before="0" w:after="0"/>
              <w:ind w:left="303" w:right="0" w:hanging="283"/>
              <w:rPr/>
            </w:pPr>
            <w:r>
              <w:rPr>
                <w:lang w:val="en-GB"/>
              </w:rPr>
              <w:t>Created more activities</w:t>
            </w:r>
          </w:p>
          <w:p>
            <w:pPr>
              <w:pStyle w:val="TableContents"/>
              <w:numPr>
                <w:ilvl w:val="0"/>
                <w:numId w:val="7"/>
              </w:numPr>
              <w:tabs>
                <w:tab w:val="left" w:pos="0" w:leader="none"/>
              </w:tabs>
              <w:spacing w:before="0" w:after="0"/>
              <w:ind w:left="0" w:right="0" w:hanging="283"/>
              <w:rPr/>
            </w:pPr>
            <w:r>
              <w:rPr>
                <w:lang w:val="en-GB"/>
              </w:rPr>
              <w:t>Building my lesson thinking about differentiation (especially for MAT learners).</w:t>
            </w:r>
          </w:p>
        </w:tc>
        <w:tc>
          <w:tcPr>
            <w:tcW w:w="2263" w:type="dxa"/>
            <w:tcBorders/>
            <w:shd w:fill="auto" w:val="clear"/>
            <w:vAlign w:val="center"/>
          </w:tcPr>
          <w:p>
            <w:pPr>
              <w:pStyle w:val="TableContents"/>
              <w:spacing w:before="0" w:after="0"/>
              <w:ind w:left="0" w:right="0" w:hanging="0"/>
              <w:rPr/>
            </w:pPr>
            <w:r>
              <w:rPr/>
            </w:r>
          </w:p>
          <w:p>
            <w:pPr>
              <w:pStyle w:val="TableContents"/>
              <w:numPr>
                <w:ilvl w:val="0"/>
                <w:numId w:val="8"/>
              </w:numPr>
              <w:tabs>
                <w:tab w:val="left" w:pos="0" w:leader="none"/>
              </w:tabs>
              <w:spacing w:before="0" w:after="0"/>
              <w:ind w:left="303" w:right="0" w:hanging="283"/>
              <w:rPr/>
            </w:pPr>
            <w:r>
              <w:rPr>
                <w:lang w:val="en-GB"/>
              </w:rPr>
              <w:t>Develop relationship with pupils to know them better.</w:t>
            </w:r>
          </w:p>
          <w:p>
            <w:pPr>
              <w:pStyle w:val="TableContents"/>
              <w:numPr>
                <w:ilvl w:val="0"/>
                <w:numId w:val="9"/>
              </w:numPr>
              <w:tabs>
                <w:tab w:val="left" w:pos="0" w:leader="none"/>
              </w:tabs>
              <w:spacing w:before="0" w:after="0"/>
              <w:ind w:left="303" w:right="0" w:hanging="283"/>
              <w:rPr/>
            </w:pPr>
            <w:r>
              <w:rPr>
                <w:lang w:val="en-GB"/>
              </w:rPr>
              <w:t>More pupils will be engaged</w:t>
            </w:r>
          </w:p>
          <w:p>
            <w:pPr>
              <w:pStyle w:val="TableContents"/>
              <w:numPr>
                <w:ilvl w:val="0"/>
                <w:numId w:val="10"/>
              </w:numPr>
              <w:tabs>
                <w:tab w:val="left" w:pos="0" w:leader="none"/>
              </w:tabs>
              <w:spacing w:before="0" w:after="0"/>
              <w:ind w:left="0" w:right="0" w:hanging="283"/>
              <w:rPr/>
            </w:pPr>
            <w:r>
              <w:rPr>
                <w:lang w:val="en-GB"/>
              </w:rPr>
              <w:t>Better results</w:t>
            </w:r>
          </w:p>
        </w:tc>
        <w:tc>
          <w:tcPr>
            <w:tcW w:w="13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End of the first placement.</w:t>
            </w:r>
          </w:p>
          <w:p>
            <w:pPr>
              <w:pStyle w:val="TableContents"/>
              <w:spacing w:before="0" w:after="0"/>
              <w:ind w:left="0" w:right="0" w:hanging="0"/>
              <w:rPr/>
            </w:pPr>
            <w:r>
              <w:rPr/>
            </w:r>
          </w:p>
        </w:tc>
      </w:tr>
      <w:tr>
        <w:trPr/>
        <w:tc>
          <w:tcPr>
            <w:tcW w:w="2410"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 xml:space="preserve">- </w:t>
            </w:r>
            <w:r>
              <w:rPr>
                <w:lang w:val="en-US"/>
              </w:rPr>
              <w:t>confident and well-developed approach to class management / behavior.</w:t>
            </w:r>
          </w:p>
        </w:tc>
        <w:tc>
          <w:tcPr>
            <w:tcW w:w="2989" w:type="dxa"/>
            <w:tcBorders/>
            <w:shd w:fill="auto" w:val="clear"/>
            <w:vAlign w:val="center"/>
          </w:tcPr>
          <w:p>
            <w:pPr>
              <w:pStyle w:val="TableContents"/>
              <w:spacing w:before="0" w:after="0"/>
              <w:ind w:left="0" w:right="0" w:hanging="0"/>
              <w:rPr/>
            </w:pPr>
            <w:r>
              <w:rPr/>
            </w:r>
          </w:p>
          <w:p>
            <w:pPr>
              <w:pStyle w:val="TableContents"/>
              <w:numPr>
                <w:ilvl w:val="0"/>
                <w:numId w:val="11"/>
              </w:numPr>
              <w:tabs>
                <w:tab w:val="left" w:pos="0" w:leader="none"/>
              </w:tabs>
              <w:spacing w:before="0" w:after="0"/>
              <w:ind w:left="303" w:right="0" w:hanging="283"/>
              <w:rPr/>
            </w:pPr>
            <w:r>
              <w:rPr>
                <w:lang w:val="en-GB"/>
              </w:rPr>
              <w:t>Created my own routine for organisation.</w:t>
            </w:r>
          </w:p>
          <w:p>
            <w:pPr>
              <w:pStyle w:val="TableContents"/>
              <w:numPr>
                <w:ilvl w:val="0"/>
                <w:numId w:val="12"/>
              </w:numPr>
              <w:tabs>
                <w:tab w:val="left" w:pos="0" w:leader="none"/>
              </w:tabs>
              <w:spacing w:before="0" w:after="0"/>
              <w:ind w:left="303" w:right="0" w:hanging="283"/>
              <w:rPr/>
            </w:pPr>
            <w:r>
              <w:rPr>
                <w:lang w:val="en-GB"/>
              </w:rPr>
              <w:t>Be able to use the school policy about behaviour.</w:t>
            </w:r>
          </w:p>
          <w:p>
            <w:pPr>
              <w:pStyle w:val="TableContents"/>
              <w:numPr>
                <w:ilvl w:val="0"/>
                <w:numId w:val="13"/>
              </w:numPr>
              <w:tabs>
                <w:tab w:val="left" w:pos="0" w:leader="none"/>
              </w:tabs>
              <w:spacing w:before="0" w:after="0"/>
              <w:ind w:left="0" w:right="0" w:hanging="283"/>
              <w:rPr/>
            </w:pPr>
            <w:r>
              <w:rPr>
                <w:lang w:val="en-GB"/>
              </w:rPr>
              <w:t>Be more approachable and positive during the lessons using praises.</w:t>
            </w:r>
          </w:p>
        </w:tc>
        <w:tc>
          <w:tcPr>
            <w:tcW w:w="22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 xml:space="preserve"> </w:t>
            </w:r>
            <w:r>
              <w:rPr>
                <w:lang w:val="en-GB"/>
              </w:rPr>
              <w:t>(i) Most of the pupils will behave.</w:t>
            </w:r>
          </w:p>
          <w:p>
            <w:pPr>
              <w:pStyle w:val="TableContents"/>
              <w:spacing w:before="0" w:after="0"/>
              <w:ind w:left="0" w:right="0" w:hanging="0"/>
              <w:rPr/>
            </w:pPr>
            <w:r>
              <w:rPr>
                <w:lang w:val="en-GB"/>
              </w:rPr>
              <w:t xml:space="preserve"> </w:t>
            </w:r>
            <w:r>
              <w:rPr>
                <w:lang w:val="en-GB"/>
              </w:rPr>
              <w:t>(ii) Pupils will be more engaged</w:t>
            </w:r>
          </w:p>
          <w:p>
            <w:pPr>
              <w:pStyle w:val="TableContents"/>
              <w:spacing w:before="0" w:after="0"/>
              <w:ind w:left="0" w:right="0" w:hanging="0"/>
              <w:rPr/>
            </w:pPr>
            <w:r>
              <w:rPr/>
              <w:t xml:space="preserve">  </w:t>
            </w:r>
            <w:r>
              <w:rPr>
                <w:lang w:val="en-GB"/>
              </w:rPr>
              <w:t>(iii) I will feel more confident and I will have a better relationship with pupils.</w:t>
            </w:r>
          </w:p>
          <w:p>
            <w:pPr>
              <w:pStyle w:val="TableContents"/>
              <w:spacing w:before="0" w:after="0"/>
              <w:ind w:left="0" w:right="0" w:hanging="0"/>
              <w:rPr/>
            </w:pPr>
            <w:r>
              <w:rPr/>
            </w:r>
          </w:p>
        </w:tc>
        <w:tc>
          <w:tcPr>
            <w:tcW w:w="13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End of the first placement</w:t>
            </w:r>
          </w:p>
        </w:tc>
      </w:tr>
      <w:tr>
        <w:trPr/>
        <w:tc>
          <w:tcPr>
            <w:tcW w:w="2410"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 be more creative in my lessons.</w:t>
            </w:r>
          </w:p>
          <w:p>
            <w:pPr>
              <w:pStyle w:val="TableContents"/>
              <w:spacing w:before="0" w:after="0"/>
              <w:ind w:left="0" w:right="0" w:hanging="0"/>
              <w:rPr/>
            </w:pPr>
            <w:r>
              <w:rPr/>
            </w:r>
          </w:p>
        </w:tc>
        <w:tc>
          <w:tcPr>
            <w:tcW w:w="2989"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(i) Find the good balance between a classic lesson and a lesson more creative.</w:t>
            </w:r>
          </w:p>
          <w:p>
            <w:pPr>
              <w:pStyle w:val="TableContents"/>
              <w:spacing w:before="0" w:after="0"/>
              <w:ind w:left="0" w:right="0" w:hanging="0"/>
              <w:rPr/>
            </w:pPr>
            <w:r>
              <w:rPr>
                <w:lang w:val="en-GB"/>
              </w:rPr>
              <w:t>(ii) Be creative in the differentiation.</w:t>
            </w:r>
          </w:p>
          <w:p>
            <w:pPr>
              <w:pStyle w:val="TableContents"/>
              <w:spacing w:before="0" w:after="0"/>
              <w:ind w:left="0" w:right="0" w:hanging="0"/>
              <w:rPr/>
            </w:pPr>
            <w:r>
              <w:rPr>
                <w:lang w:val="en-GB"/>
              </w:rPr>
              <w:t>(iii) Spend more time for my lesson plans.</w:t>
            </w:r>
          </w:p>
        </w:tc>
        <w:tc>
          <w:tcPr>
            <w:tcW w:w="22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(i) My lessons will be more dynamic.</w:t>
            </w:r>
          </w:p>
          <w:p>
            <w:pPr>
              <w:pStyle w:val="TableContents"/>
              <w:spacing w:before="0" w:after="0"/>
              <w:ind w:left="0" w:right="0" w:hanging="0"/>
              <w:rPr/>
            </w:pPr>
            <w:r>
              <w:rPr>
                <w:lang w:val="en-GB"/>
              </w:rPr>
              <w:t>(ii) I will be more engaged and positive with the pupils.</w:t>
            </w:r>
          </w:p>
          <w:p>
            <w:pPr>
              <w:pStyle w:val="TableContents"/>
              <w:spacing w:before="0" w:after="0"/>
              <w:ind w:left="0" w:right="0" w:hanging="0"/>
              <w:rPr/>
            </w:pPr>
            <w:r>
              <w:rPr>
                <w:lang w:val="en-GB"/>
              </w:rPr>
              <w:t>(iii) Pupils will have different opportunities to learn and improve their abilities.</w:t>
            </w:r>
          </w:p>
        </w:tc>
        <w:tc>
          <w:tcPr>
            <w:tcW w:w="1363" w:type="dxa"/>
            <w:tcBorders/>
            <w:shd w:fill="auto" w:val="clear"/>
            <w:vAlign w:val="center"/>
          </w:tcPr>
          <w:p>
            <w:pPr>
              <w:pStyle w:val="TableContents"/>
              <w:spacing w:before="0" w:after="0"/>
              <w:ind w:left="0" w:right="0" w:hanging="0"/>
              <w:rPr/>
            </w:pPr>
            <w:r>
              <w:rPr/>
            </w:r>
          </w:p>
          <w:p>
            <w:pPr>
              <w:pStyle w:val="TableContents"/>
              <w:spacing w:before="0" w:after="0"/>
              <w:ind w:left="0" w:right="0" w:hanging="0"/>
              <w:rPr/>
            </w:pPr>
            <w:r>
              <w:rPr>
                <w:lang w:val="en-GB"/>
              </w:rPr>
              <w:t>End of the first placement.</w:t>
            </w:r>
          </w:p>
        </w:tc>
      </w:tr>
    </w:tbl>
    <w:p>
      <w:pPr>
        <w:pStyle w:val="Normal"/>
        <w:spacing w:before="0" w:after="160"/>
        <w:jc w:val="both"/>
        <w:rPr/>
      </w:pPr>
      <w:r>
        <w:rPr/>
      </w:r>
    </w:p>
    <w:p>
      <w:pPr>
        <w:sectPr>
          <w:type w:val="continuous"/>
          <w:pgSz w:w="11906" w:h="16838"/>
          <w:pgMar w:left="1440" w:right="1440" w:header="0" w:top="1440" w:footer="0" w:bottom="1440" w:gutter="0"/>
          <w:formProt w:val="false"/>
          <w:textDirection w:val="lrTb"/>
          <w:docGrid w:type="default" w:linePitch="360" w:charSpace="4294965247"/>
        </w:sectPr>
      </w:pPr>
    </w:p>
    <w:sectPr>
      <w:type w:val="continuous"/>
      <w:pgSz w:w="11906" w:h="16838"/>
      <w:pgMar w:left="1440" w:right="1440" w:header="0" w:top="1440" w:footer="0"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OpenSymbol">
    <w:altName w:val="Arial Unicode MS"/>
    <w:charset w:val="01"/>
    <w:family w:val="roman"/>
    <w:pitch w:val="variable"/>
  </w:font>
  <w:font w:name="Arial">
    <w:charset w:val="01"/>
    <w:family w:val="roman"/>
    <w:pitch w:val="variable"/>
  </w:font>
  <w:font w:name="Liberation Sans">
    <w:altName w:val="Arial"/>
    <w:charset w:val="01"/>
    <w:family w:val="roman"/>
    <w:pitch w:val="variable"/>
  </w:font>
  <w:font w:name="Times New Roman">
    <w:charset w:val="01"/>
    <w:family w:val="roman"/>
    <w:pitch w:val="variable"/>
  </w:font>
  <w:font w:name="Symbol">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2">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3">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4">
    <w:lvl w:ilvl="0">
      <w:start w:val="1"/>
      <w:numFmt w:val="bullet"/>
      <w:lvlText w:val=""/>
      <w:lvlJc w:val="left"/>
      <w:pPr>
        <w:ind w:left="0"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5">
    <w:lvl w:ilvl="0">
      <w:start w:val="1"/>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6">
    <w:lvl w:ilvl="0">
      <w:start w:val="2"/>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7">
    <w:lvl w:ilvl="0">
      <w:start w:val="3"/>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8">
    <w:lvl w:ilvl="0">
      <w:start w:val="1"/>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9">
    <w:lvl w:ilvl="0">
      <w:start w:val="2"/>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0">
    <w:lvl w:ilvl="0">
      <w:start w:val="3"/>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1">
    <w:lvl w:ilvl="0">
      <w:start w:val="1"/>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2">
    <w:lvl w:ilvl="0">
      <w:start w:val="2"/>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3">
    <w:lvl w:ilvl="0">
      <w:start w:val="3"/>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4">
    <w:lvl w:ilvl="0">
      <w:start w:val="1"/>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5">
    <w:lvl w:ilvl="0">
      <w:start w:val="2"/>
      <w:numFmt w:val="decimal"/>
      <w:lvlText w:val="%1."/>
      <w:lvlJc w:val="left"/>
      <w:pPr>
        <w:ind w:left="0"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00000A"/>
      <w:sz w:val="22"/>
      <w:szCs w:val="22"/>
      <w:lang w:val="en-GB" w:eastAsia="en-US" w:bidi="ar-SA"/>
    </w:rPr>
  </w:style>
  <w:style w:type="character" w:styleId="DefaultParagraphFont" w:default="1">
    <w:name w:val="Default Paragraph Font"/>
    <w:uiPriority w:val="1"/>
    <w:semiHidden/>
    <w:unhideWhenUsed/>
    <w:qFormat/>
    <w:rPr/>
  </w:style>
  <w:style w:type="character" w:styleId="Pg1fc1" w:customStyle="1">
    <w:name w:val="pg-1fc1"/>
    <w:basedOn w:val="DefaultParagraphFont"/>
    <w:qFormat/>
    <w:rsid w:val="00663dc2"/>
    <w:rPr/>
  </w:style>
  <w:style w:type="character" w:styleId="Style14" w:customStyle="1">
    <w:name w:val="_"/>
    <w:basedOn w:val="DefaultParagraphFont"/>
    <w:qFormat/>
    <w:rsid w:val="00663dc2"/>
    <w:rPr/>
  </w:style>
  <w:style w:type="character" w:styleId="Pg1fs1" w:customStyle="1">
    <w:name w:val="pg-1fs1"/>
    <w:basedOn w:val="DefaultParagraphFont"/>
    <w:qFormat/>
    <w:rsid w:val="00663dc2"/>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Bullets">
    <w:name w:val="Bullets"/>
    <w:qFormat/>
    <w:rPr>
      <w:rFonts w:ascii="OpenSymbol" w:hAnsi="OpenSymbol" w:eastAsia="OpenSymbol" w:cs="OpenSymbol"/>
    </w:rPr>
  </w:style>
  <w:style w:type="character" w:styleId="InternetLink">
    <w:name w:val="Internet Link"/>
    <w:rPr>
      <w:color w:val="000080"/>
      <w:u w:val="single"/>
      <w:lang w:val="zxx" w:eastAsia="zxx" w:bidi="zxx"/>
    </w:rPr>
  </w:style>
  <w:style w:type="character" w:styleId="NumberingSymbols">
    <w:name w:val="Numbering Symbols"/>
    <w:qFormat/>
    <w:rPr/>
  </w:style>
  <w:style w:type="character" w:styleId="ListLabel10">
    <w:name w:val="ListLabel 10"/>
    <w:qFormat/>
    <w:rPr>
      <w:rFonts w:ascii="Arial" w:hAnsi="Arial" w:cs="OpenSymbol"/>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ascii="Arial" w:hAnsi="Arial" w:cs="OpenSymbol"/>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cs="OpenSymbol"/>
    </w:rPr>
  </w:style>
  <w:style w:type="character" w:styleId="ListLabel26">
    <w:name w:val="ListLabel 26"/>
    <w:qFormat/>
    <w:rPr>
      <w:rFonts w:cs="OpenSymbol"/>
    </w:rPr>
  </w:style>
  <w:style w:type="character" w:styleId="ListLabel27">
    <w:name w:val="ListLabel 27"/>
    <w:qFormat/>
    <w:rPr>
      <w:rFonts w:cs="OpenSymbol"/>
    </w:rPr>
  </w:style>
  <w:style w:type="character" w:styleId="ListLabel28">
    <w:name w:val="ListLabel 28"/>
    <w:qFormat/>
    <w:rPr>
      <w:rFonts w:ascii="Arial" w:hAnsi="Arial" w:cs="OpenSymbol"/>
    </w:rPr>
  </w:style>
  <w:style w:type="character" w:styleId="ListLabel29">
    <w:name w:val="ListLabel 29"/>
    <w:qFormat/>
    <w:rPr>
      <w:rFonts w:cs="OpenSymbol"/>
    </w:rPr>
  </w:style>
  <w:style w:type="character" w:styleId="ListLabel30">
    <w:name w:val="ListLabel 30"/>
    <w:qFormat/>
    <w:rPr>
      <w:rFonts w:cs="OpenSymbol"/>
    </w:rPr>
  </w:style>
  <w:style w:type="character" w:styleId="ListLabel31">
    <w:name w:val="ListLabel 31"/>
    <w:qFormat/>
    <w:rPr>
      <w:rFonts w:cs="OpenSymbol"/>
    </w:rPr>
  </w:style>
  <w:style w:type="character" w:styleId="ListLabel32">
    <w:name w:val="ListLabel 32"/>
    <w:qFormat/>
    <w:rPr>
      <w:rFonts w:cs="OpenSymbol"/>
    </w:rPr>
  </w:style>
  <w:style w:type="character" w:styleId="ListLabel33">
    <w:name w:val="ListLabel 33"/>
    <w:qFormat/>
    <w:rPr>
      <w:rFonts w:cs="OpenSymbol"/>
    </w:rPr>
  </w:style>
  <w:style w:type="character" w:styleId="ListLabel34">
    <w:name w:val="ListLabel 34"/>
    <w:qFormat/>
    <w:rPr>
      <w:rFonts w:cs="OpenSymbol"/>
    </w:rPr>
  </w:style>
  <w:style w:type="character" w:styleId="ListLabel35">
    <w:name w:val="ListLabel 35"/>
    <w:qFormat/>
    <w:rPr>
      <w:rFonts w:cs="OpenSymbol"/>
    </w:rPr>
  </w:style>
  <w:style w:type="character" w:styleId="ListLabel36">
    <w:name w:val="ListLabel 36"/>
    <w:qFormat/>
    <w:rPr>
      <w:rFonts w:cs="OpenSymbol"/>
    </w:rPr>
  </w:style>
  <w:style w:type="character" w:styleId="ListLabel37">
    <w:name w:val="ListLabel 37"/>
    <w:qFormat/>
    <w:rPr>
      <w:rFonts w:ascii="Arial" w:hAnsi="Arial" w:cs="OpenSymbol"/>
    </w:rPr>
  </w:style>
  <w:style w:type="character" w:styleId="ListLabel38">
    <w:name w:val="ListLabel 38"/>
    <w:qFormat/>
    <w:rPr>
      <w:rFonts w:cs="OpenSymbol"/>
    </w:rPr>
  </w:style>
  <w:style w:type="character" w:styleId="ListLabel39">
    <w:name w:val="ListLabel 39"/>
    <w:qFormat/>
    <w:rPr>
      <w:rFonts w:cs="OpenSymbol"/>
    </w:rPr>
  </w:style>
  <w:style w:type="character" w:styleId="ListLabel40">
    <w:name w:val="ListLabel 40"/>
    <w:qFormat/>
    <w:rPr>
      <w:rFonts w:cs="OpenSymbol"/>
    </w:rPr>
  </w:style>
  <w:style w:type="character" w:styleId="ListLabel41">
    <w:name w:val="ListLabel 41"/>
    <w:qFormat/>
    <w:rPr>
      <w:rFonts w:cs="OpenSymbol"/>
    </w:rPr>
  </w:style>
  <w:style w:type="character" w:styleId="ListLabel42">
    <w:name w:val="ListLabel 42"/>
    <w:qFormat/>
    <w:rPr>
      <w:rFonts w:cs="OpenSymbol"/>
    </w:rPr>
  </w:style>
  <w:style w:type="character" w:styleId="ListLabel43">
    <w:name w:val="ListLabel 43"/>
    <w:qFormat/>
    <w:rPr>
      <w:rFonts w:cs="OpenSymbol"/>
    </w:rPr>
  </w:style>
  <w:style w:type="character" w:styleId="ListLabel44">
    <w:name w:val="ListLabel 44"/>
    <w:qFormat/>
    <w:rPr>
      <w:rFonts w:cs="OpenSymbol"/>
    </w:rPr>
  </w:style>
  <w:style w:type="character" w:styleId="ListLabel45">
    <w:name w:val="ListLabel 45"/>
    <w:qFormat/>
    <w:rPr>
      <w:rFonts w:cs="OpenSymbol"/>
    </w:rPr>
  </w:style>
  <w:style w:type="paragraph" w:styleId="Heading">
    <w:name w:val="Heading"/>
    <w:basedOn w:val="Normal"/>
    <w:next w:val="TextBody"/>
    <w:qFormat/>
    <w:pPr>
      <w:keepNext w:val="true"/>
      <w:spacing w:before="240" w:after="120"/>
    </w:pPr>
    <w:rPr>
      <w:rFonts w:ascii="Liberation Sans" w:hAnsi="Liberation Sans" w:eastAsia="Arial Unicode MS" w:cs="Arial Unicode MS"/>
      <w:sz w:val="28"/>
      <w:szCs w:val="28"/>
    </w:rPr>
  </w:style>
  <w:style w:type="paragraph" w:styleId="TextBody">
    <w:name w:val="Body Text"/>
    <w:basedOn w:val="Normal"/>
    <w:pPr>
      <w:spacing w:lineRule="auto" w:line="288" w:before="0" w:after="140"/>
    </w:pPr>
    <w:rPr/>
  </w:style>
  <w:style w:type="paragraph" w:styleId="List">
    <w:name w:val="List"/>
    <w:basedOn w:val="TextBody"/>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Msonormal" w:customStyle="1">
    <w:name w:val="msonormal"/>
    <w:basedOn w:val="Normal"/>
    <w:qFormat/>
    <w:rsid w:val="00663dc2"/>
    <w:pPr>
      <w:spacing w:lineRule="auto" w:line="240" w:beforeAutospacing="1" w:afterAutospacing="1"/>
    </w:pPr>
    <w:rPr>
      <w:rFonts w:ascii="Times New Roman" w:hAnsi="Times New Roman" w:eastAsia="Times New Roman" w:cs="Times New Roman"/>
      <w:sz w:val="24"/>
      <w:szCs w:val="24"/>
      <w:lang w:eastAsia="en-GB"/>
    </w:rPr>
  </w:style>
  <w:style w:type="paragraph" w:styleId="Pa" w:customStyle="1">
    <w:name w:val="p_a"/>
    <w:basedOn w:val="Normal"/>
    <w:qFormat/>
    <w:rsid w:val="00663dc2"/>
    <w:pPr>
      <w:spacing w:lineRule="auto" w:line="240" w:beforeAutospacing="1" w:afterAutospacing="1"/>
    </w:pPr>
    <w:rPr>
      <w:rFonts w:ascii="Times New Roman" w:hAnsi="Times New Roman" w:eastAsia="Times New Roman" w:cs="Times New Roman"/>
      <w:sz w:val="24"/>
      <w:szCs w:val="24"/>
      <w:lang w:eastAsia="en-GB"/>
    </w:rPr>
  </w:style>
  <w:style w:type="paragraph" w:styleId="TableContents">
    <w:name w:val="Table Contents"/>
    <w:basedOn w:val="Normal"/>
    <w:qFormat/>
    <w:pPr/>
    <w:rPr/>
  </w:style>
  <w:style w:type="paragraph" w:styleId="TableHeading">
    <w:name w:val="Table Heading"/>
    <w:basedOn w:val="TableContents"/>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moodle.uwtsd.ac.uk/pluginfile.php/185257/mod_book/chapter/4209/theories of learning and intelligence Muijs.pdf" TargetMode="External"/><Relationship Id="rId4" Type="http://schemas.openxmlformats.org/officeDocument/2006/relationships/image" Target="media/image2.png"/><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Application>LibreOffice/5.3.7.2$MacOSX_X86_64 LibreOffice_project/6b8ed514a9f8b44d37a1b96673cbbdd077e24059</Application>
  <Pages>9</Pages>
  <Words>4209</Words>
  <Characters>20568</Characters>
  <CharactersWithSpaces>24829</CharactersWithSpaces>
  <Paragraphs>112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2018-11-26T16:46:00Z</dcterms:created>
  <dc:creator>Jamie</dc:creator>
  <dc:description/>
  <dc:language>en-GB</dc:language>
  <cp:lastModifiedBy/>
  <dcterms:modified xsi:type="dcterms:W3CDTF">2018-11-26T18:45:32Z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