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0A74F8" wp14:paraId="32CB316B" wp14:textId="4F4952EB">
      <w:pPr>
        <w:spacing w:before="0" w:beforeAutospacing="off" w:after="160" w:afterAutospacing="off" w:line="360" w:lineRule="auto"/>
        <w:jc w:val="both"/>
      </w:pPr>
    </w:p>
    <w:p xmlns:wp14="http://schemas.microsoft.com/office/word/2010/wordml" w:rsidP="5B0A74F8" wp14:paraId="01AC1181" wp14:textId="38BC14BD">
      <w:pPr>
        <w:spacing w:before="0" w:beforeAutospacing="off" w:after="160" w:afterAutospacing="off" w:line="360" w:lineRule="auto"/>
        <w:jc w:val="both"/>
      </w:pPr>
      <w:r w:rsidR="6ED9EB62">
        <w:drawing>
          <wp:inline xmlns:wp14="http://schemas.microsoft.com/office/word/2010/wordprocessingDrawing" wp14:editId="090A6720" wp14:anchorId="07DB4BCA">
            <wp:extent cx="4286250" cy="1905000"/>
            <wp:effectExtent l="0" t="0" r="0" b="0"/>
            <wp:docPr id="446158663" name="drawing" title="Immagi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6158663" name="Picture 446158663"/>
                    <pic:cNvPicPr/>
                  </pic:nvPicPr>
                  <pic:blipFill>
                    <a:blip xmlns:r="http://schemas.openxmlformats.org/officeDocument/2006/relationships" r:embed="rId150857546">
                      <a:extLst>
                        <a:ext uri="{28A0092B-C50C-407E-A947-70E740481C1C}">
                          <a14:useLocalDpi xmlns:a14="http://schemas.microsoft.com/office/drawing/2010/main"/>
                        </a:ext>
                      </a:extLst>
                    </a:blip>
                    <a:stretch>
                      <a:fillRect/>
                    </a:stretch>
                  </pic:blipFill>
                  <pic:spPr>
                    <a:xfrm>
                      <a:off x="0" y="0"/>
                      <a:ext cx="4286250" cy="1905000"/>
                    </a:xfrm>
                    <a:prstGeom prst="rect">
                      <a:avLst/>
                    </a:prstGeom>
                  </pic:spPr>
                </pic:pic>
              </a:graphicData>
            </a:graphic>
          </wp:inline>
        </w:drawing>
      </w:r>
      <w:r w:rsidRPr="5B0A74F8" w:rsidR="6ED9EB62">
        <w:rPr>
          <w:rFonts w:ascii="Arial" w:hAnsi="Arial" w:eastAsia="Arial" w:cs="Arial"/>
          <w:noProof w:val="0"/>
          <w:sz w:val="22"/>
          <w:szCs w:val="22"/>
          <w:lang w:val="en-GB"/>
        </w:rPr>
        <w:t xml:space="preserve"> </w:t>
      </w:r>
    </w:p>
    <w:p xmlns:wp14="http://schemas.microsoft.com/office/word/2010/wordml" w:rsidP="5B0A74F8" wp14:paraId="576FD3FD" wp14:textId="59070A0A">
      <w:pPr>
        <w:spacing w:before="0" w:beforeAutospacing="off" w:after="160" w:afterAutospacing="off" w:line="360" w:lineRule="auto"/>
        <w:jc w:val="both"/>
      </w:pPr>
      <w:r w:rsidRPr="5B0A74F8" w:rsidR="6ED9EB62">
        <w:rPr>
          <w:rFonts w:ascii="Arial" w:hAnsi="Arial" w:eastAsia="Arial" w:cs="Arial"/>
          <w:noProof w:val="0"/>
          <w:sz w:val="22"/>
          <w:szCs w:val="22"/>
          <w:lang w:val="en-GB"/>
        </w:rPr>
        <w:t xml:space="preserve"> </w:t>
      </w:r>
    </w:p>
    <w:p xmlns:wp14="http://schemas.microsoft.com/office/word/2010/wordml" w:rsidP="5B0A74F8" wp14:paraId="5770CBC5" wp14:textId="67DD0A1A">
      <w:pPr>
        <w:spacing w:before="0" w:beforeAutospacing="off" w:after="160" w:afterAutospacing="off" w:line="360" w:lineRule="auto"/>
        <w:jc w:val="both"/>
      </w:pPr>
      <w:r w:rsidRPr="5B0A74F8" w:rsidR="6ED9EB62">
        <w:rPr>
          <w:rFonts w:ascii="Arial" w:hAnsi="Arial" w:eastAsia="Arial" w:cs="Arial"/>
          <w:noProof w:val="0"/>
          <w:sz w:val="22"/>
          <w:szCs w:val="22"/>
          <w:lang w:val="en-GB"/>
        </w:rPr>
        <w:t xml:space="preserve"> </w:t>
      </w:r>
    </w:p>
    <w:p xmlns:wp14="http://schemas.microsoft.com/office/word/2010/wordml" w:rsidP="5B0A74F8" wp14:paraId="5967E5D2" wp14:textId="6952842B">
      <w:pPr>
        <w:spacing w:before="0" w:beforeAutospacing="off" w:after="160" w:afterAutospacing="off" w:line="360" w:lineRule="auto"/>
        <w:jc w:val="both"/>
      </w:pPr>
      <w:r w:rsidRPr="5B0A74F8" w:rsidR="6ED9EB62">
        <w:rPr>
          <w:rFonts w:ascii="Arial" w:hAnsi="Arial" w:eastAsia="Arial" w:cs="Arial"/>
          <w:noProof w:val="0"/>
          <w:sz w:val="22"/>
          <w:szCs w:val="22"/>
          <w:lang w:val="en-GB"/>
        </w:rPr>
        <w:t xml:space="preserve"> </w:t>
      </w:r>
    </w:p>
    <w:p xmlns:wp14="http://schemas.microsoft.com/office/word/2010/wordml" w:rsidP="5B0A74F8" wp14:paraId="4A9EE12D" wp14:textId="252D77E6">
      <w:pPr>
        <w:spacing w:before="0" w:beforeAutospacing="off" w:after="160" w:afterAutospacing="off" w:line="360" w:lineRule="auto"/>
        <w:jc w:val="both"/>
      </w:pPr>
      <w:r w:rsidRPr="5B0A74F8" w:rsidR="6ED9EB62">
        <w:rPr>
          <w:rFonts w:ascii="Arial" w:hAnsi="Arial" w:eastAsia="Arial" w:cs="Arial"/>
          <w:b w:val="1"/>
          <w:bCs w:val="1"/>
          <w:noProof w:val="0"/>
          <w:sz w:val="28"/>
          <w:szCs w:val="28"/>
          <w:lang w:val="en-GB"/>
        </w:rPr>
        <w:t xml:space="preserve"> </w:t>
      </w:r>
    </w:p>
    <w:p xmlns:wp14="http://schemas.microsoft.com/office/word/2010/wordml" w:rsidP="5B0A74F8" wp14:paraId="7E6110D1" wp14:textId="0B9A62EF">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sz w:val="40"/>
          <w:szCs w:val="40"/>
          <w:lang w:val="en-GB"/>
        </w:rPr>
      </w:pPr>
      <w:r w:rsidRPr="5B0A74F8" w:rsidR="6ED9EB62">
        <w:rPr>
          <w:rFonts w:ascii="Arial" w:hAnsi="Arial" w:eastAsia="Arial" w:cs="Arial"/>
          <w:b w:val="1"/>
          <w:bCs w:val="1"/>
          <w:noProof w:val="0"/>
          <w:sz w:val="40"/>
          <w:szCs w:val="40"/>
          <w:lang w:val="en-GB"/>
        </w:rPr>
        <w:t xml:space="preserve">Strategic Management and Sustainability: A Case Study of Aston Martin </w:t>
      </w:r>
    </w:p>
    <w:p xmlns:wp14="http://schemas.microsoft.com/office/word/2010/wordml" w:rsidP="5B0A74F8" wp14:paraId="56D777BC" wp14:textId="2D1F775E">
      <w:pPr>
        <w:spacing w:before="0" w:beforeAutospacing="off" w:after="160" w:afterAutospacing="off" w:line="360" w:lineRule="auto"/>
        <w:jc w:val="both"/>
      </w:pPr>
      <w:r w:rsidRPr="5B0A74F8" w:rsidR="6ED9EB62">
        <w:rPr>
          <w:rFonts w:ascii="Arial" w:hAnsi="Arial" w:eastAsia="Arial" w:cs="Arial"/>
          <w:b w:val="1"/>
          <w:bCs w:val="1"/>
          <w:noProof w:val="0"/>
          <w:sz w:val="28"/>
          <w:szCs w:val="28"/>
          <w:lang w:val="en-GB"/>
        </w:rPr>
        <w:t xml:space="preserve"> </w:t>
      </w:r>
    </w:p>
    <w:p xmlns:wp14="http://schemas.microsoft.com/office/word/2010/wordml" w:rsidP="5B0A74F8" wp14:paraId="4CD3336F" wp14:textId="63B921E7">
      <w:pPr>
        <w:spacing w:before="0" w:beforeAutospacing="off" w:after="160" w:afterAutospacing="off" w:line="360" w:lineRule="auto"/>
        <w:jc w:val="both"/>
      </w:pPr>
      <w:r w:rsidRPr="5B0A74F8" w:rsidR="6ED9EB62">
        <w:rPr>
          <w:rFonts w:ascii="Arial" w:hAnsi="Arial" w:eastAsia="Arial" w:cs="Arial"/>
          <w:b w:val="1"/>
          <w:bCs w:val="1"/>
          <w:noProof w:val="0"/>
          <w:sz w:val="28"/>
          <w:szCs w:val="28"/>
          <w:lang w:val="en-GB"/>
        </w:rPr>
        <w:t xml:space="preserve"> </w:t>
      </w:r>
    </w:p>
    <w:p xmlns:wp14="http://schemas.microsoft.com/office/word/2010/wordml" w:rsidP="5B0A74F8" wp14:paraId="5332734C" wp14:textId="1B98661F">
      <w:pPr>
        <w:spacing w:before="0" w:beforeAutospacing="off" w:after="160" w:afterAutospacing="off" w:line="360" w:lineRule="auto"/>
        <w:jc w:val="both"/>
      </w:pPr>
      <w:r w:rsidRPr="5B0A74F8" w:rsidR="6ED9EB62">
        <w:rPr>
          <w:rFonts w:ascii="Arial" w:hAnsi="Arial" w:eastAsia="Arial" w:cs="Arial"/>
          <w:b w:val="1"/>
          <w:bCs w:val="1"/>
          <w:noProof w:val="0"/>
          <w:sz w:val="28"/>
          <w:szCs w:val="28"/>
          <w:lang w:val="en-GB"/>
        </w:rPr>
        <w:t xml:space="preserve"> </w:t>
      </w:r>
    </w:p>
    <w:p xmlns:wp14="http://schemas.microsoft.com/office/word/2010/wordml" w:rsidP="5B0A74F8" wp14:paraId="4E7B76CD" wp14:textId="71238F03">
      <w:pPr>
        <w:spacing w:before="0" w:beforeAutospacing="off" w:after="160" w:afterAutospacing="off" w:line="360" w:lineRule="auto"/>
        <w:jc w:val="both"/>
      </w:pPr>
      <w:r w:rsidRPr="5B0A74F8" w:rsidR="6ED9EB62">
        <w:rPr>
          <w:rFonts w:ascii="Arial" w:hAnsi="Arial" w:eastAsia="Arial" w:cs="Arial"/>
          <w:b w:val="1"/>
          <w:bCs w:val="1"/>
          <w:noProof w:val="0"/>
          <w:sz w:val="28"/>
          <w:szCs w:val="28"/>
          <w:lang w:val="en-GB"/>
        </w:rPr>
        <w:t xml:space="preserve"> </w:t>
      </w:r>
    </w:p>
    <w:p xmlns:wp14="http://schemas.microsoft.com/office/word/2010/wordml" w:rsidP="5B0A74F8" wp14:paraId="7A5A6017" wp14:textId="5F9D9E11">
      <w:pPr>
        <w:spacing w:before="0" w:beforeAutospacing="off" w:after="160" w:afterAutospacing="off" w:line="360" w:lineRule="auto"/>
        <w:jc w:val="both"/>
      </w:pPr>
      <w:r w:rsidRPr="5B0A74F8" w:rsidR="6ED9EB62">
        <w:rPr>
          <w:rFonts w:ascii="Times New Roman" w:hAnsi="Times New Roman" w:eastAsia="Times New Roman" w:cs="Times New Roman"/>
          <w:b w:val="1"/>
          <w:bCs w:val="1"/>
          <w:noProof w:val="0"/>
          <w:sz w:val="28"/>
          <w:szCs w:val="28"/>
          <w:lang w:val="en-GB"/>
        </w:rPr>
        <w:t xml:space="preserve"> </w:t>
      </w:r>
    </w:p>
    <w:p xmlns:wp14="http://schemas.microsoft.com/office/word/2010/wordml" w:rsidP="5B0A74F8" wp14:paraId="34EF52C6" wp14:textId="1FFD96E5">
      <w:pPr>
        <w:spacing w:before="0" w:beforeAutospacing="off" w:after="160" w:afterAutospacing="off" w:line="360" w:lineRule="auto"/>
        <w:jc w:val="both"/>
        <w:rPr>
          <w:rFonts w:ascii="Times New Roman" w:hAnsi="Times New Roman" w:eastAsia="Times New Roman" w:cs="Times New Roman"/>
          <w:b w:val="1"/>
          <w:bCs w:val="1"/>
          <w:noProof w:val="0"/>
          <w:sz w:val="28"/>
          <w:szCs w:val="28"/>
          <w:lang w:val="en-GB"/>
        </w:rPr>
      </w:pPr>
      <w:r w:rsidRPr="5B0A74F8" w:rsidR="6ED9EB62">
        <w:rPr>
          <w:rFonts w:ascii="Times New Roman" w:hAnsi="Times New Roman" w:eastAsia="Times New Roman" w:cs="Times New Roman"/>
          <w:b w:val="1"/>
          <w:bCs w:val="1"/>
          <w:noProof w:val="0"/>
          <w:sz w:val="28"/>
          <w:szCs w:val="28"/>
          <w:lang w:val="en-GB"/>
        </w:rPr>
        <w:t xml:space="preserve">Name &amp; Student ID:  </w:t>
      </w:r>
      <w:r w:rsidRPr="5B0A74F8" w:rsidR="6ED9EB62">
        <w:rPr>
          <w:rFonts w:ascii="Times New Roman" w:hAnsi="Times New Roman" w:eastAsia="Times New Roman" w:cs="Times New Roman"/>
          <w:noProof w:val="0"/>
          <w:sz w:val="28"/>
          <w:szCs w:val="28"/>
          <w:lang w:val="en-GB"/>
        </w:rPr>
        <w:t>Dana Pellegrini Babcinschii (2317100)</w:t>
      </w:r>
      <w:r w:rsidRPr="5B0A74F8" w:rsidR="6ED9EB62">
        <w:rPr>
          <w:rFonts w:ascii="Times New Roman" w:hAnsi="Times New Roman" w:eastAsia="Times New Roman" w:cs="Times New Roman"/>
          <w:b w:val="1"/>
          <w:bCs w:val="1"/>
          <w:noProof w:val="0"/>
          <w:sz w:val="28"/>
          <w:szCs w:val="28"/>
          <w:lang w:val="en-GB"/>
        </w:rPr>
        <w:t xml:space="preserve"> </w:t>
      </w:r>
    </w:p>
    <w:p xmlns:wp14="http://schemas.microsoft.com/office/word/2010/wordml" w:rsidP="5B0A74F8" wp14:paraId="745BC643" wp14:textId="749D6627">
      <w:pPr>
        <w:spacing w:before="0" w:beforeAutospacing="off" w:after="160" w:afterAutospacing="off" w:line="360" w:lineRule="auto"/>
        <w:jc w:val="both"/>
        <w:rPr>
          <w:rFonts w:ascii="Times New Roman" w:hAnsi="Times New Roman" w:eastAsia="Times New Roman" w:cs="Times New Roman"/>
          <w:noProof w:val="0"/>
          <w:sz w:val="28"/>
          <w:szCs w:val="28"/>
          <w:lang w:val="en-GB"/>
        </w:rPr>
      </w:pPr>
      <w:r w:rsidRPr="5B0A74F8" w:rsidR="6ED9EB62">
        <w:rPr>
          <w:rFonts w:ascii="Times New Roman" w:hAnsi="Times New Roman" w:eastAsia="Times New Roman" w:cs="Times New Roman"/>
          <w:b w:val="1"/>
          <w:bCs w:val="1"/>
          <w:noProof w:val="0"/>
          <w:sz w:val="28"/>
          <w:szCs w:val="28"/>
          <w:lang w:val="en-GB"/>
        </w:rPr>
        <w:t xml:space="preserve">Module: </w:t>
      </w:r>
      <w:r w:rsidRPr="5B0A74F8" w:rsidR="6ED9EB62">
        <w:rPr>
          <w:rFonts w:ascii="Times New Roman" w:hAnsi="Times New Roman" w:eastAsia="Times New Roman" w:cs="Times New Roman"/>
          <w:noProof w:val="0"/>
          <w:sz w:val="28"/>
          <w:szCs w:val="28"/>
          <w:lang w:val="en-GB"/>
        </w:rPr>
        <w:t>Strategic Management and Sustainability</w:t>
      </w:r>
    </w:p>
    <w:p xmlns:wp14="http://schemas.microsoft.com/office/word/2010/wordml" w:rsidP="5B0A74F8" wp14:paraId="1F867E31" wp14:textId="60B33CEB">
      <w:pPr>
        <w:spacing w:before="0" w:beforeAutospacing="off" w:after="160" w:afterAutospacing="off" w:line="360" w:lineRule="auto"/>
        <w:jc w:val="both"/>
        <w:rPr>
          <w:rFonts w:ascii="Times New Roman" w:hAnsi="Times New Roman" w:eastAsia="Times New Roman" w:cs="Times New Roman"/>
          <w:noProof w:val="0"/>
          <w:sz w:val="28"/>
          <w:szCs w:val="28"/>
          <w:lang w:val="en-GB"/>
        </w:rPr>
      </w:pPr>
      <w:r w:rsidRPr="5B0A74F8" w:rsidR="6ED9EB62">
        <w:rPr>
          <w:rFonts w:ascii="Times New Roman" w:hAnsi="Times New Roman" w:eastAsia="Times New Roman" w:cs="Times New Roman"/>
          <w:b w:val="1"/>
          <w:bCs w:val="1"/>
          <w:noProof w:val="0"/>
          <w:sz w:val="28"/>
          <w:szCs w:val="28"/>
          <w:lang w:val="en-GB"/>
        </w:rPr>
        <w:t xml:space="preserve">Module Code: </w:t>
      </w:r>
      <w:r w:rsidRPr="5B0A74F8" w:rsidR="6ED9EB62">
        <w:rPr>
          <w:rFonts w:ascii="Times New Roman" w:hAnsi="Times New Roman" w:eastAsia="Times New Roman" w:cs="Times New Roman"/>
          <w:noProof w:val="0"/>
          <w:sz w:val="28"/>
          <w:szCs w:val="28"/>
          <w:lang w:val="en-GB"/>
        </w:rPr>
        <w:t>LCBB6016</w:t>
      </w:r>
    </w:p>
    <w:p xmlns:wp14="http://schemas.microsoft.com/office/word/2010/wordml" w:rsidP="5B0A74F8" wp14:paraId="5A938E15" wp14:textId="69C9096D">
      <w:pPr>
        <w:spacing w:before="0" w:beforeAutospacing="off" w:after="160" w:afterAutospacing="off" w:line="360" w:lineRule="auto"/>
        <w:jc w:val="both"/>
        <w:rPr>
          <w:rFonts w:ascii="Times New Roman" w:hAnsi="Times New Roman" w:eastAsia="Times New Roman" w:cs="Times New Roman"/>
          <w:noProof w:val="0"/>
          <w:sz w:val="28"/>
          <w:szCs w:val="28"/>
          <w:lang w:val="en-GB"/>
        </w:rPr>
      </w:pPr>
      <w:r w:rsidRPr="5B0A74F8" w:rsidR="6ED9EB62">
        <w:rPr>
          <w:rFonts w:ascii="Times New Roman" w:hAnsi="Times New Roman" w:eastAsia="Times New Roman" w:cs="Times New Roman"/>
          <w:b w:val="1"/>
          <w:bCs w:val="1"/>
          <w:noProof w:val="0"/>
          <w:sz w:val="28"/>
          <w:szCs w:val="28"/>
          <w:lang w:val="en-GB"/>
        </w:rPr>
        <w:t xml:space="preserve">Lecturer: </w:t>
      </w:r>
      <w:r w:rsidRPr="5B0A74F8" w:rsidR="6ED9EB62">
        <w:rPr>
          <w:rFonts w:ascii="Times New Roman" w:hAnsi="Times New Roman" w:eastAsia="Times New Roman" w:cs="Times New Roman"/>
          <w:noProof w:val="0"/>
          <w:sz w:val="28"/>
          <w:szCs w:val="28"/>
          <w:lang w:val="en-GB"/>
        </w:rPr>
        <w:t>Nadeem Mirza</w:t>
      </w:r>
    </w:p>
    <w:p xmlns:wp14="http://schemas.microsoft.com/office/word/2010/wordml" w:rsidP="5B0A74F8" wp14:paraId="5BDD7CF3" wp14:textId="294CCBEB">
      <w:pPr>
        <w:pStyle w:val="Heading1"/>
      </w:pPr>
      <w:bookmarkStart w:name="_Toc2128905663" w:id="2012582659"/>
      <w:r w:rsidR="42F3CF2B">
        <w:rPr/>
        <w:t>Executive Summary</w:t>
      </w:r>
      <w:bookmarkEnd w:id="2012582659"/>
    </w:p>
    <w:p xmlns:wp14="http://schemas.microsoft.com/office/word/2010/wordml" w:rsidP="5B0A74F8" wp14:paraId="5B12AB0C" wp14:textId="47F16A26">
      <w:pPr>
        <w:pStyle w:val="Normal"/>
      </w:pPr>
      <w:r w:rsidR="42F3CF2B">
        <w:rPr/>
        <w:t xml:space="preserve">This report critically evaluates Aston Martin’s strategic management approach </w:t>
      </w:r>
      <w:r w:rsidR="42F3CF2B">
        <w:rPr/>
        <w:t>in order to</w:t>
      </w:r>
      <w:r w:rsidR="42F3CF2B">
        <w:rPr/>
        <w:t xml:space="preserve"> assess whether it </w:t>
      </w:r>
      <w:r w:rsidR="42F3CF2B">
        <w:rPr/>
        <w:t>can support</w:t>
      </w:r>
      <w:r w:rsidR="42F3CF2B">
        <w:rPr/>
        <w:t xml:space="preserve"> long-term competitiveness and sustainable performance within the ultra-luxury automotive sector. The analysis finds that Aston Martin </w:t>
      </w:r>
      <w:r w:rsidR="42F3CF2B">
        <w:rPr/>
        <w:t>benefits</w:t>
      </w:r>
      <w:r w:rsidR="42F3CF2B">
        <w:rPr/>
        <w:t xml:space="preserve"> from significant strategic strengths, including its iconic brand heritage, premium market positioning, bespoke </w:t>
      </w:r>
      <w:r w:rsidR="42F3CF2B">
        <w:rPr/>
        <w:t>capability</w:t>
      </w:r>
      <w:r w:rsidR="42F3CF2B">
        <w:rPr/>
        <w:t xml:space="preserve"> and differentiated customer experience. These strengths provide a solid basis for competitive advantage in a segment where exclusivity, reputation and product desirability are commercially decisive.</w:t>
      </w:r>
    </w:p>
    <w:p xmlns:wp14="http://schemas.microsoft.com/office/word/2010/wordml" w:rsidP="5B0A74F8" wp14:paraId="2EA867B2" wp14:textId="406F29A3">
      <w:pPr>
        <w:pStyle w:val="Normal"/>
      </w:pPr>
      <w:r w:rsidR="42F3CF2B">
        <w:rPr/>
        <w:t xml:space="preserve">However, the report also </w:t>
      </w:r>
      <w:r w:rsidR="42F3CF2B">
        <w:rPr/>
        <w:t>identifies</w:t>
      </w:r>
      <w:r w:rsidR="42F3CF2B">
        <w:rPr/>
        <w:t xml:space="preserve"> substantial strategic challenges. External analysis shows that Aston Martin </w:t>
      </w:r>
      <w:r w:rsidR="42F3CF2B">
        <w:rPr/>
        <w:t>operates</w:t>
      </w:r>
      <w:r w:rsidR="42F3CF2B">
        <w:rPr/>
        <w:t xml:space="preserve"> in a difficult environment shaped by regulatory pressure, technological transition, macroeconomic uncertainty, supply-chain </w:t>
      </w:r>
      <w:r w:rsidR="42F3CF2B">
        <w:rPr/>
        <w:t>disruption</w:t>
      </w:r>
      <w:r w:rsidR="42F3CF2B">
        <w:rPr/>
        <w:t xml:space="preserve"> and intense rivalry. Internal analysis further suggests that although the company </w:t>
      </w:r>
      <w:r w:rsidR="42F3CF2B">
        <w:rPr/>
        <w:t>possesses</w:t>
      </w:r>
      <w:r w:rsidR="42F3CF2B">
        <w:rPr/>
        <w:t xml:space="preserve"> valuable and rare resources, its ability to fully exploit them is constrained by weaknesses in operational discipline, launch execution and organisational resilience.</w:t>
      </w:r>
    </w:p>
    <w:p xmlns:wp14="http://schemas.microsoft.com/office/word/2010/wordml" w:rsidP="5B0A74F8" wp14:paraId="12CD2A88" wp14:textId="6AABC1D3">
      <w:pPr>
        <w:pStyle w:val="Normal"/>
      </w:pPr>
      <w:r w:rsidR="42F3CF2B">
        <w:rPr/>
        <w:t>The report concludes that Aston Martin should pursue a focused ultra-luxury differentiation strategy centred on exclusivity, disciplined execution and selective electrification. It recommends expanding high-margin bespoke offerings, implementing a structured electrification roadmap, and strengthening operational processes and supply-chain resilience. Overall, Aston Martin’s future success will depend on its ability to convert brand desirability into consistent execution and sustainable profitability.</w:t>
      </w:r>
    </w:p>
    <w:p xmlns:wp14="http://schemas.microsoft.com/office/word/2010/wordml" wp14:paraId="6E4DF573" wp14:textId="27CF3871">
      <w:r>
        <w:br w:type="page"/>
      </w:r>
    </w:p>
    <w:p xmlns:wp14="http://schemas.microsoft.com/office/word/2010/wordml" w:rsidP="5B0A74F8" wp14:paraId="52754B58" wp14:textId="7B4DC1CE">
      <w:pPr>
        <w:pStyle w:val="Normal"/>
      </w:pPr>
    </w:p>
    <w:sdt>
      <w:sdtPr>
        <w:id w:val="230312537"/>
        <w:docPartObj>
          <w:docPartGallery w:val="Table of Contents"/>
          <w:docPartUnique/>
        </w:docPartObj>
      </w:sdtPr>
      <w:sdtContent>
        <w:p xmlns:wp14="http://schemas.microsoft.com/office/word/2010/wordml" w:rsidP="5B0A74F8" wp14:paraId="19CF4D21" wp14:textId="6DB8BFC2">
          <w:pPr>
            <w:pStyle w:val="TOC1"/>
            <w:tabs>
              <w:tab w:val="right" w:leader="dot" w:pos="9360"/>
            </w:tabs>
            <w:bidi w:val="0"/>
            <w:rPr>
              <w:rStyle w:val="Hyperlink"/>
            </w:rPr>
          </w:pPr>
          <w:r>
            <w:fldChar w:fldCharType="begin"/>
          </w:r>
          <w:r>
            <w:instrText xml:space="preserve">TOC \o "1-9" \z \u \h</w:instrText>
          </w:r>
          <w:r>
            <w:fldChar w:fldCharType="separate"/>
          </w:r>
          <w:hyperlink w:anchor="_Toc2128905663">
            <w:r w:rsidRPr="5B0A74F8" w:rsidR="5B0A74F8">
              <w:rPr>
                <w:rStyle w:val="Hyperlink"/>
              </w:rPr>
              <w:t>Executive Summary</w:t>
            </w:r>
            <w:r>
              <w:tab/>
            </w:r>
            <w:r>
              <w:fldChar w:fldCharType="begin"/>
            </w:r>
            <w:r>
              <w:instrText xml:space="preserve">PAGEREF _Toc2128905663 \h</w:instrText>
            </w:r>
            <w:r>
              <w:fldChar w:fldCharType="separate"/>
            </w:r>
            <w:r w:rsidRPr="5B0A74F8" w:rsidR="5B0A74F8">
              <w:rPr>
                <w:rStyle w:val="Hyperlink"/>
              </w:rPr>
              <w:t>1</w:t>
            </w:r>
            <w:r>
              <w:fldChar w:fldCharType="end"/>
            </w:r>
          </w:hyperlink>
        </w:p>
        <w:p xmlns:wp14="http://schemas.microsoft.com/office/word/2010/wordml" w:rsidP="5B0A74F8" wp14:paraId="477A1C35" wp14:textId="1E298429">
          <w:pPr>
            <w:pStyle w:val="TOC1"/>
            <w:tabs>
              <w:tab w:val="right" w:leader="dot" w:pos="9360"/>
            </w:tabs>
            <w:bidi w:val="0"/>
            <w:rPr>
              <w:rStyle w:val="Hyperlink"/>
            </w:rPr>
          </w:pPr>
          <w:hyperlink w:anchor="_Toc1613797202">
            <w:r w:rsidRPr="5B0A74F8" w:rsidR="5B0A74F8">
              <w:rPr>
                <w:rStyle w:val="Hyperlink"/>
              </w:rPr>
              <w:t>Introduction</w:t>
            </w:r>
            <w:r>
              <w:tab/>
            </w:r>
            <w:r>
              <w:fldChar w:fldCharType="begin"/>
            </w:r>
            <w:r>
              <w:instrText xml:space="preserve">PAGEREF _Toc1613797202 \h</w:instrText>
            </w:r>
            <w:r>
              <w:fldChar w:fldCharType="separate"/>
            </w:r>
            <w:r w:rsidRPr="5B0A74F8" w:rsidR="5B0A74F8">
              <w:rPr>
                <w:rStyle w:val="Hyperlink"/>
              </w:rPr>
              <w:t>3</w:t>
            </w:r>
            <w:r>
              <w:fldChar w:fldCharType="end"/>
            </w:r>
          </w:hyperlink>
        </w:p>
        <w:p xmlns:wp14="http://schemas.microsoft.com/office/word/2010/wordml" w:rsidP="5B0A74F8" wp14:paraId="4E13A9E4" wp14:textId="61B1D372">
          <w:pPr>
            <w:pStyle w:val="TOC1"/>
            <w:tabs>
              <w:tab w:val="right" w:leader="dot" w:pos="9360"/>
            </w:tabs>
            <w:bidi w:val="0"/>
            <w:rPr>
              <w:rStyle w:val="Hyperlink"/>
            </w:rPr>
          </w:pPr>
          <w:hyperlink w:anchor="_Toc1202680911">
            <w:r w:rsidRPr="5B0A74F8" w:rsidR="5B0A74F8">
              <w:rPr>
                <w:rStyle w:val="Hyperlink"/>
              </w:rPr>
              <w:t>Strategy Analysis</w:t>
            </w:r>
            <w:r>
              <w:tab/>
            </w:r>
            <w:r>
              <w:fldChar w:fldCharType="begin"/>
            </w:r>
            <w:r>
              <w:instrText xml:space="preserve">PAGEREF _Toc1202680911 \h</w:instrText>
            </w:r>
            <w:r>
              <w:fldChar w:fldCharType="separate"/>
            </w:r>
            <w:r w:rsidRPr="5B0A74F8" w:rsidR="5B0A74F8">
              <w:rPr>
                <w:rStyle w:val="Hyperlink"/>
              </w:rPr>
              <w:t>4</w:t>
            </w:r>
            <w:r>
              <w:fldChar w:fldCharType="end"/>
            </w:r>
          </w:hyperlink>
        </w:p>
        <w:p xmlns:wp14="http://schemas.microsoft.com/office/word/2010/wordml" w:rsidP="5B0A74F8" wp14:paraId="04524203" wp14:textId="517EB98C">
          <w:pPr>
            <w:pStyle w:val="TOC2"/>
            <w:tabs>
              <w:tab w:val="right" w:leader="dot" w:pos="9360"/>
            </w:tabs>
            <w:bidi w:val="0"/>
            <w:rPr>
              <w:rStyle w:val="Hyperlink"/>
            </w:rPr>
          </w:pPr>
          <w:hyperlink w:anchor="_Toc1016797120">
            <w:r w:rsidRPr="5B0A74F8" w:rsidR="5B0A74F8">
              <w:rPr>
                <w:rStyle w:val="Hyperlink"/>
              </w:rPr>
              <w:t>External Environment Audit</w:t>
            </w:r>
            <w:r>
              <w:tab/>
            </w:r>
            <w:r>
              <w:fldChar w:fldCharType="begin"/>
            </w:r>
            <w:r>
              <w:instrText xml:space="preserve">PAGEREF _Toc1016797120 \h</w:instrText>
            </w:r>
            <w:r>
              <w:fldChar w:fldCharType="separate"/>
            </w:r>
            <w:r w:rsidRPr="5B0A74F8" w:rsidR="5B0A74F8">
              <w:rPr>
                <w:rStyle w:val="Hyperlink"/>
              </w:rPr>
              <w:t>5</w:t>
            </w:r>
            <w:r>
              <w:fldChar w:fldCharType="end"/>
            </w:r>
          </w:hyperlink>
        </w:p>
        <w:p xmlns:wp14="http://schemas.microsoft.com/office/word/2010/wordml" w:rsidP="5B0A74F8" wp14:paraId="4ABCDFBC" wp14:textId="445E7238">
          <w:pPr>
            <w:pStyle w:val="TOC2"/>
            <w:tabs>
              <w:tab w:val="right" w:leader="dot" w:pos="9360"/>
            </w:tabs>
            <w:bidi w:val="0"/>
            <w:rPr>
              <w:rStyle w:val="Hyperlink"/>
            </w:rPr>
          </w:pPr>
          <w:hyperlink w:anchor="_Toc289276540">
            <w:r w:rsidRPr="5B0A74F8" w:rsidR="5B0A74F8">
              <w:rPr>
                <w:rStyle w:val="Hyperlink"/>
              </w:rPr>
              <w:t>Internal Environment Audit</w:t>
            </w:r>
            <w:r>
              <w:tab/>
            </w:r>
            <w:r>
              <w:fldChar w:fldCharType="begin"/>
            </w:r>
            <w:r>
              <w:instrText xml:space="preserve">PAGEREF _Toc289276540 \h</w:instrText>
            </w:r>
            <w:r>
              <w:fldChar w:fldCharType="separate"/>
            </w:r>
            <w:r w:rsidRPr="5B0A74F8" w:rsidR="5B0A74F8">
              <w:rPr>
                <w:rStyle w:val="Hyperlink"/>
              </w:rPr>
              <w:t>5</w:t>
            </w:r>
            <w:r>
              <w:fldChar w:fldCharType="end"/>
            </w:r>
          </w:hyperlink>
        </w:p>
        <w:p xmlns:wp14="http://schemas.microsoft.com/office/word/2010/wordml" w:rsidP="5B0A74F8" wp14:paraId="37F93AEA" wp14:textId="44C9C8B0">
          <w:pPr>
            <w:pStyle w:val="TOC2"/>
            <w:tabs>
              <w:tab w:val="right" w:leader="dot" w:pos="9360"/>
            </w:tabs>
            <w:bidi w:val="0"/>
            <w:rPr>
              <w:rStyle w:val="Hyperlink"/>
            </w:rPr>
          </w:pPr>
          <w:hyperlink w:anchor="_Toc500966273">
            <w:r w:rsidRPr="5B0A74F8" w:rsidR="5B0A74F8">
              <w:rPr>
                <w:rStyle w:val="Hyperlink"/>
              </w:rPr>
              <w:t>SWOT Analysis</w:t>
            </w:r>
            <w:r>
              <w:tab/>
            </w:r>
            <w:r>
              <w:fldChar w:fldCharType="begin"/>
            </w:r>
            <w:r>
              <w:instrText xml:space="preserve">PAGEREF _Toc500966273 \h</w:instrText>
            </w:r>
            <w:r>
              <w:fldChar w:fldCharType="separate"/>
            </w:r>
            <w:r w:rsidRPr="5B0A74F8" w:rsidR="5B0A74F8">
              <w:rPr>
                <w:rStyle w:val="Hyperlink"/>
              </w:rPr>
              <w:t>6</w:t>
            </w:r>
            <w:r>
              <w:fldChar w:fldCharType="end"/>
            </w:r>
          </w:hyperlink>
        </w:p>
        <w:p xmlns:wp14="http://schemas.microsoft.com/office/word/2010/wordml" w:rsidP="5B0A74F8" wp14:paraId="332688C9" wp14:textId="2B70EAA4">
          <w:pPr>
            <w:pStyle w:val="TOC1"/>
            <w:tabs>
              <w:tab w:val="right" w:leader="dot" w:pos="9360"/>
            </w:tabs>
            <w:bidi w:val="0"/>
            <w:rPr>
              <w:rStyle w:val="Hyperlink"/>
            </w:rPr>
          </w:pPr>
          <w:hyperlink w:anchor="_Toc1536092773">
            <w:r w:rsidRPr="5B0A74F8" w:rsidR="5B0A74F8">
              <w:rPr>
                <w:rStyle w:val="Hyperlink"/>
              </w:rPr>
              <w:t>Strategy Formulation</w:t>
            </w:r>
            <w:r>
              <w:tab/>
            </w:r>
            <w:r>
              <w:fldChar w:fldCharType="begin"/>
            </w:r>
            <w:r>
              <w:instrText xml:space="preserve">PAGEREF _Toc1536092773 \h</w:instrText>
            </w:r>
            <w:r>
              <w:fldChar w:fldCharType="separate"/>
            </w:r>
            <w:r w:rsidRPr="5B0A74F8" w:rsidR="5B0A74F8">
              <w:rPr>
                <w:rStyle w:val="Hyperlink"/>
              </w:rPr>
              <w:t>7</w:t>
            </w:r>
            <w:r>
              <w:fldChar w:fldCharType="end"/>
            </w:r>
          </w:hyperlink>
        </w:p>
        <w:p xmlns:wp14="http://schemas.microsoft.com/office/word/2010/wordml" w:rsidP="5B0A74F8" wp14:paraId="24111E84" wp14:textId="378E1AC9">
          <w:pPr>
            <w:pStyle w:val="TOC1"/>
            <w:tabs>
              <w:tab w:val="right" w:leader="dot" w:pos="9360"/>
            </w:tabs>
            <w:bidi w:val="0"/>
            <w:rPr>
              <w:rStyle w:val="Hyperlink"/>
            </w:rPr>
          </w:pPr>
          <w:hyperlink w:anchor="_Toc317830282">
            <w:r w:rsidRPr="5B0A74F8" w:rsidR="5B0A74F8">
              <w:rPr>
                <w:rStyle w:val="Hyperlink"/>
              </w:rPr>
              <w:t>Conclusion and Recommendations</w:t>
            </w:r>
            <w:r>
              <w:tab/>
            </w:r>
            <w:r>
              <w:fldChar w:fldCharType="begin"/>
            </w:r>
            <w:r>
              <w:instrText xml:space="preserve">PAGEREF _Toc317830282 \h</w:instrText>
            </w:r>
            <w:r>
              <w:fldChar w:fldCharType="separate"/>
            </w:r>
            <w:r w:rsidRPr="5B0A74F8" w:rsidR="5B0A74F8">
              <w:rPr>
                <w:rStyle w:val="Hyperlink"/>
              </w:rPr>
              <w:t>9</w:t>
            </w:r>
            <w:r>
              <w:fldChar w:fldCharType="end"/>
            </w:r>
          </w:hyperlink>
        </w:p>
        <w:p xmlns:wp14="http://schemas.microsoft.com/office/word/2010/wordml" w:rsidP="5B0A74F8" wp14:paraId="2BD7AD6E" wp14:textId="53B3313B">
          <w:pPr>
            <w:pStyle w:val="TOC1"/>
            <w:tabs>
              <w:tab w:val="right" w:leader="dot" w:pos="9360"/>
            </w:tabs>
            <w:bidi w:val="0"/>
            <w:rPr>
              <w:rStyle w:val="Hyperlink"/>
            </w:rPr>
          </w:pPr>
          <w:hyperlink w:anchor="_Toc2096289900">
            <w:r w:rsidRPr="5B0A74F8" w:rsidR="5B0A74F8">
              <w:rPr>
                <w:rStyle w:val="Hyperlink"/>
              </w:rPr>
              <w:t>Reference List</w:t>
            </w:r>
            <w:r>
              <w:tab/>
            </w:r>
            <w:r>
              <w:fldChar w:fldCharType="begin"/>
            </w:r>
            <w:r>
              <w:instrText xml:space="preserve">PAGEREF _Toc2096289900 \h</w:instrText>
            </w:r>
            <w:r>
              <w:fldChar w:fldCharType="separate"/>
            </w:r>
            <w:r w:rsidRPr="5B0A74F8" w:rsidR="5B0A74F8">
              <w:rPr>
                <w:rStyle w:val="Hyperlink"/>
              </w:rPr>
              <w:t>10</w:t>
            </w:r>
            <w:r>
              <w:fldChar w:fldCharType="end"/>
            </w:r>
          </w:hyperlink>
          <w:r>
            <w:fldChar w:fldCharType="end"/>
          </w:r>
        </w:p>
      </w:sdtContent>
    </w:sdt>
    <w:p xmlns:wp14="http://schemas.microsoft.com/office/word/2010/wordml" w:rsidP="5B0A74F8" wp14:paraId="76C4B181" wp14:textId="584B6E5F">
      <w:pPr>
        <w:pStyle w:val="Heading1"/>
      </w:pPr>
    </w:p>
    <w:p xmlns:wp14="http://schemas.microsoft.com/office/word/2010/wordml" wp14:paraId="570B8F75" wp14:textId="094740E9">
      <w:r>
        <w:br w:type="page"/>
      </w:r>
    </w:p>
    <w:p xmlns:wp14="http://schemas.microsoft.com/office/word/2010/wordml" w:rsidP="5B0A74F8" wp14:paraId="56763808" wp14:textId="51F615C3">
      <w:pPr>
        <w:pStyle w:val="Heading1"/>
        <w:rPr>
          <w:rFonts w:ascii="Times New Roman" w:hAnsi="Times New Roman" w:eastAsia="Times New Roman" w:cs="Times New Roman"/>
          <w:b w:val="1"/>
          <w:bCs w:val="1"/>
          <w:color w:val="auto"/>
          <w:sz w:val="28"/>
          <w:szCs w:val="28"/>
        </w:rPr>
      </w:pPr>
      <w:bookmarkStart w:name="_Toc1613797202" w:id="1329921970"/>
      <w:r w:rsidR="2AF752E6">
        <w:rPr/>
        <w:t>Introduction</w:t>
      </w:r>
      <w:bookmarkEnd w:id="1329921970"/>
    </w:p>
    <w:p xmlns:wp14="http://schemas.microsoft.com/office/word/2010/wordml" w:rsidP="5B0A74F8" wp14:paraId="642DB934" wp14:textId="6093C619">
      <w:pPr>
        <w:pStyle w:val="Normal"/>
        <w:rPr>
          <w:rFonts w:ascii="Times New Roman" w:hAnsi="Times New Roman" w:eastAsia="Times New Roman" w:cs="Times New Roman"/>
          <w:sz w:val="24"/>
          <w:szCs w:val="24"/>
        </w:rPr>
      </w:pPr>
      <w:r w:rsidR="2AF752E6">
        <w:rPr/>
        <w:t xml:space="preserve">Strategic management is a continuous process through which </w:t>
      </w:r>
      <w:r w:rsidR="2AF752E6">
        <w:rPr/>
        <w:t>organisations</w:t>
      </w:r>
      <w:r w:rsidR="2AF752E6">
        <w:rPr/>
        <w:t xml:space="preserve"> develop, implement, evaluate, and control strategy to gain long-term competitive advantage (Duhaime, Hitt and Lyles, 2021; Berisha </w:t>
      </w:r>
      <w:r w:rsidR="2AF752E6">
        <w:rPr/>
        <w:t>Qehaja</w:t>
      </w:r>
      <w:r w:rsidR="2AF752E6">
        <w:rPr/>
        <w:t xml:space="preserve"> and </w:t>
      </w:r>
      <w:r w:rsidR="2AF752E6">
        <w:rPr/>
        <w:t>Kutllovci</w:t>
      </w:r>
      <w:r w:rsidR="2AF752E6">
        <w:rPr/>
        <w:t xml:space="preserve">, 2025). </w:t>
      </w:r>
      <w:r w:rsidR="784B3453">
        <w:rPr/>
        <w:t xml:space="preserve">In contrast, strategic planning primarily involves the formulation of strategy, </w:t>
      </w:r>
      <w:r w:rsidR="784B3453">
        <w:rPr/>
        <w:t>whereas</w:t>
      </w:r>
      <w:r w:rsidR="784B3453">
        <w:rPr/>
        <w:t xml:space="preserve"> strategic management encompasses the entire process, from planning through to evaluation. This distinction highlights why strategic management is more relevant to understanding how firms create and sustain value.</w:t>
      </w:r>
      <w:r w:rsidR="2AF752E6">
        <w:rPr/>
        <w:t xml:space="preserve"> (Berisha </w:t>
      </w:r>
      <w:r w:rsidR="2AF752E6">
        <w:rPr/>
        <w:t>Qehaja</w:t>
      </w:r>
      <w:r w:rsidR="2AF752E6">
        <w:rPr/>
        <w:t xml:space="preserve"> and </w:t>
      </w:r>
      <w:r w:rsidR="2AF752E6">
        <w:rPr/>
        <w:t>Kutllovci</w:t>
      </w:r>
      <w:r w:rsidR="2AF752E6">
        <w:rPr/>
        <w:t>, 2025).</w:t>
      </w:r>
    </w:p>
    <w:p xmlns:wp14="http://schemas.microsoft.com/office/word/2010/wordml" w:rsidP="5B0A74F8" wp14:paraId="0F789537" wp14:textId="73C0F7D7">
      <w:pPr>
        <w:pStyle w:val="Normal"/>
        <w:rPr>
          <w:rFonts w:ascii="Times New Roman" w:hAnsi="Times New Roman" w:eastAsia="Times New Roman" w:cs="Times New Roman"/>
          <w:sz w:val="24"/>
          <w:szCs w:val="24"/>
        </w:rPr>
      </w:pPr>
      <w:r w:rsidR="2AF752E6">
        <w:rPr/>
        <w:t xml:space="preserve">According to Berisha </w:t>
      </w:r>
      <w:r w:rsidR="2AF752E6">
        <w:rPr/>
        <w:t>Qehaja</w:t>
      </w:r>
      <w:r w:rsidR="2AF752E6">
        <w:rPr/>
        <w:t xml:space="preserve"> and </w:t>
      </w:r>
      <w:r w:rsidR="2AF752E6">
        <w:rPr/>
        <w:t>Kutllovci</w:t>
      </w:r>
      <w:r w:rsidR="2AF752E6">
        <w:rPr/>
        <w:t xml:space="preserve"> (2025), strategic capa</w:t>
      </w:r>
      <w:r w:rsidR="5DFC92E2">
        <w:rPr/>
        <w:t xml:space="preserve">city </w:t>
      </w:r>
      <w:r w:rsidR="2AF752E6">
        <w:rPr/>
        <w:t xml:space="preserve">comes from </w:t>
      </w:r>
      <w:r w:rsidR="5940C1C1">
        <w:rPr/>
        <w:t xml:space="preserve">implementing </w:t>
      </w:r>
      <w:r w:rsidR="2AF752E6">
        <w:rPr/>
        <w:t>strategy into practice, not just from having written plans. This distinction is important in dynamic industries</w:t>
      </w:r>
      <w:r w:rsidR="38B07D62">
        <w:rPr/>
        <w:t xml:space="preserve">, as they </w:t>
      </w:r>
      <w:r w:rsidR="2AF752E6">
        <w:rPr/>
        <w:t xml:space="preserve">must respond rapidly to technological change, competitive pressures, macroeconomic </w:t>
      </w:r>
      <w:r w:rsidR="2AF752E6">
        <w:rPr/>
        <w:t>uncertainty</w:t>
      </w:r>
      <w:r w:rsidR="2AF752E6">
        <w:rPr/>
        <w:t xml:space="preserve"> and sustainability demands while protecting long-term performance (Duhaime, </w:t>
      </w:r>
      <w:r w:rsidR="2AF752E6">
        <w:rPr/>
        <w:t>Hitt</w:t>
      </w:r>
      <w:r w:rsidR="2AF752E6">
        <w:rPr/>
        <w:t xml:space="preserve"> and Lyles, 2021).</w:t>
      </w:r>
    </w:p>
    <w:p xmlns:wp14="http://schemas.microsoft.com/office/word/2010/wordml" w:rsidP="5B0A74F8" wp14:paraId="1847FC0D" wp14:textId="269DE900">
      <w:pPr>
        <w:pStyle w:val="Normal"/>
        <w:rPr>
          <w:rFonts w:ascii="Times New Roman" w:hAnsi="Times New Roman" w:eastAsia="Times New Roman" w:cs="Times New Roman"/>
          <w:sz w:val="24"/>
          <w:szCs w:val="24"/>
        </w:rPr>
      </w:pPr>
      <w:r w:rsidR="2AF752E6">
        <w:rPr/>
        <w:t xml:space="preserve">These pressures are especially </w:t>
      </w:r>
      <w:r w:rsidR="2AF752E6">
        <w:rPr/>
        <w:t>evident</w:t>
      </w:r>
      <w:r w:rsidR="2AF752E6">
        <w:rPr/>
        <w:t xml:space="preserve"> in the global automotive industry, particularly in the ultra-luxury performance segment, where firms compete not only through innovation and engineering excellence but also through heritage, exclusivity, and customer experience (Aston Martin Lagonda, 2024; Tomalin, 2024). Aston Martin provides a compelling case for strategic analysis because it combines an iconic British luxury identity with the commercial challenges of transformation, profitability, and operational discipline (Tomalin, 2024; Aston Martin Lagonda, 2024). </w:t>
      </w:r>
    </w:p>
    <w:p xmlns:wp14="http://schemas.microsoft.com/office/word/2010/wordml" w:rsidP="5B0A74F8" wp14:paraId="6BB93728" wp14:textId="49BEC7A4">
      <w:pPr>
        <w:pStyle w:val="Normal"/>
        <w:rPr>
          <w:rFonts w:ascii="Times New Roman" w:hAnsi="Times New Roman" w:eastAsia="Times New Roman" w:cs="Times New Roman"/>
          <w:sz w:val="24"/>
          <w:szCs w:val="24"/>
        </w:rPr>
      </w:pPr>
      <w:r w:rsidR="2AF752E6">
        <w:rPr/>
        <w:t xml:space="preserve">While its ambition to become “the world’s most desirable, ultra-luxury British performance brand” and its intention to embed sustainability more deeply within the business model reflect a clear strategic direction (Aston Martin Lagonda, 2024), there </w:t>
      </w:r>
      <w:r w:rsidR="2AF752E6">
        <w:rPr/>
        <w:t>remains</w:t>
      </w:r>
      <w:r w:rsidR="2AF752E6">
        <w:rPr/>
        <w:t xml:space="preserve"> a critical disjunction between aspiration and execution. A deeper evaluation reveals that Aston Martin’s 2024 Annual Report highlights not only significant challenges, including supply chain disruption and macroeconomic weakness in China, but also the underlying vulnerabilities they pose to future competitiveness. If these operational and external risks are not systematically addressed, the gap between the stated vision and actual performance could undermine the firm’s credibility and strategic ambitions. Thus, the effectiveness of Aston Martin’s strategy will </w:t>
      </w:r>
      <w:r w:rsidR="2AF752E6">
        <w:rPr/>
        <w:t>ultimately depend</w:t>
      </w:r>
      <w:r w:rsidR="2AF752E6">
        <w:rPr/>
        <w:t xml:space="preserve"> on its ability to align its ambitious </w:t>
      </w:r>
      <w:r w:rsidR="2AF752E6">
        <w:rPr/>
        <w:t>objectives</w:t>
      </w:r>
      <w:r w:rsidR="2AF752E6">
        <w:rPr/>
        <w:t xml:space="preserve"> with tangible improvements in operational resilience and market responsiveness (Aston Martin Lagonda, 2024).</w:t>
      </w:r>
    </w:p>
    <w:p xmlns:wp14="http://schemas.microsoft.com/office/word/2010/wordml" w:rsidP="5B0A74F8" wp14:paraId="1CB30AD3" wp14:textId="73CCBBDF">
      <w:pPr>
        <w:pStyle w:val="Normal"/>
      </w:pPr>
      <w:r w:rsidR="2AF752E6">
        <w:rPr/>
        <w:t>This report</w:t>
      </w:r>
      <w:r w:rsidR="3C29EB35">
        <w:rPr/>
        <w:t xml:space="preserve"> will critically evaluate</w:t>
      </w:r>
      <w:r w:rsidR="2AF752E6">
        <w:rPr/>
        <w:t xml:space="preserve"> Aston Martin’s current strategic management approach</w:t>
      </w:r>
      <w:r w:rsidR="644B2CB0">
        <w:rPr/>
        <w:t xml:space="preserve"> </w:t>
      </w:r>
      <w:r w:rsidR="644B2CB0">
        <w:rPr/>
        <w:t>in order to</w:t>
      </w:r>
      <w:r w:rsidR="2AF752E6">
        <w:rPr/>
        <w:t xml:space="preserve"> </w:t>
      </w:r>
      <w:r w:rsidR="2AF752E6">
        <w:rPr/>
        <w:t>determine</w:t>
      </w:r>
      <w:r w:rsidR="2AF752E6">
        <w:rPr/>
        <w:t xml:space="preserve"> its ability to </w:t>
      </w:r>
      <w:r w:rsidR="278031C8">
        <w:rPr/>
        <w:t>maintain</w:t>
      </w:r>
      <w:r w:rsidR="278031C8">
        <w:rPr/>
        <w:t xml:space="preserve"> </w:t>
      </w:r>
      <w:r w:rsidR="2AF752E6">
        <w:rPr/>
        <w:t xml:space="preserve">long-term competitiveness and performance. </w:t>
      </w:r>
      <w:r w:rsidR="4B30E57A">
        <w:rPr/>
        <w:t>T</w:t>
      </w:r>
      <w:r w:rsidR="2AF752E6">
        <w:rPr/>
        <w:t xml:space="preserve">he </w:t>
      </w:r>
      <w:r w:rsidR="2AF752E6">
        <w:rPr/>
        <w:t>report</w:t>
      </w:r>
      <w:r w:rsidR="2AF752E6">
        <w:rPr/>
        <w:t xml:space="preserve"> will first </w:t>
      </w:r>
      <w:r w:rsidR="2AF752E6">
        <w:rPr/>
        <w:t>analyse</w:t>
      </w:r>
      <w:r w:rsidR="2AF752E6">
        <w:rPr/>
        <w:t xml:space="preserve"> external and competitive forces affecting Aston Martin’s strategic position, then examine its internal capabilities and weaknesses, and finally consider if its chosen strategic direction is likely to lead to lasting success.</w:t>
      </w:r>
    </w:p>
    <w:p xmlns:wp14="http://schemas.microsoft.com/office/word/2010/wordml" w:rsidP="5B0A74F8" wp14:paraId="730F6B9A" wp14:textId="4623AF71">
      <w:pPr>
        <w:pStyle w:val="Heading1"/>
      </w:pPr>
      <w:bookmarkStart w:name="_Toc1202680911" w:id="605587911"/>
      <w:r w:rsidR="2AF752E6">
        <w:rPr/>
        <w:t>Strategy Analysis</w:t>
      </w:r>
      <w:bookmarkEnd w:id="605587911"/>
    </w:p>
    <w:p xmlns:wp14="http://schemas.microsoft.com/office/word/2010/wordml" w:rsidP="5B0A74F8" wp14:paraId="254F27FA" wp14:textId="00D59BA3">
      <w:pPr>
        <w:pStyle w:val="Heading2"/>
        <w:rPr>
          <w:rFonts w:ascii="Times New Roman" w:hAnsi="Times New Roman" w:eastAsia="Times New Roman" w:cs="Times New Roman"/>
          <w:b w:val="1"/>
          <w:bCs w:val="1"/>
          <w:color w:val="auto"/>
          <w:sz w:val="24"/>
          <w:szCs w:val="24"/>
        </w:rPr>
      </w:pPr>
      <w:bookmarkStart w:name="_Toc1016797120" w:id="141366368"/>
      <w:r w:rsidR="2AF752E6">
        <w:rPr/>
        <w:t>External Environment Audit</w:t>
      </w:r>
      <w:bookmarkEnd w:id="141366368"/>
    </w:p>
    <w:p xmlns:wp14="http://schemas.microsoft.com/office/word/2010/wordml" w:rsidP="5B0A74F8" wp14:paraId="345F8758" wp14:textId="28791076">
      <w:pPr>
        <w:pStyle w:val="Normal"/>
      </w:pPr>
      <w:r w:rsidR="2AF752E6">
        <w:rPr/>
        <w:t xml:space="preserve">The external environment audit </w:t>
      </w:r>
      <w:r w:rsidR="2AF752E6">
        <w:rPr/>
        <w:t>identifies</w:t>
      </w:r>
      <w:r w:rsidR="2AF752E6">
        <w:rPr/>
        <w:t xml:space="preserve"> the main macro-environmental and industry forces that influence Aston Martin’s strategy</w:t>
      </w:r>
      <w:r w:rsidR="72AD52E4">
        <w:rPr/>
        <w:t>, using tools like</w:t>
      </w:r>
      <w:r w:rsidR="2AF752E6">
        <w:rPr/>
        <w:t xml:space="preserve"> PESTLE and Porter’s Five Forces </w:t>
      </w:r>
      <w:r w:rsidR="2AF752E6">
        <w:rPr/>
        <w:t xml:space="preserve">(Whittington et al., 2023; Grant, 2021). PESTLE highlights broad external pressures, while </w:t>
      </w:r>
      <w:r w:rsidR="6B807B62">
        <w:rPr/>
        <w:t xml:space="preserve">Porter’s </w:t>
      </w:r>
      <w:r w:rsidR="2AF752E6">
        <w:rPr/>
        <w:t xml:space="preserve">Five Forces shows how industry competition and profitability pressures shape strategic choices (Pangarkar and </w:t>
      </w:r>
      <w:r w:rsidR="2AF752E6">
        <w:rPr/>
        <w:t>Prabhudesai</w:t>
      </w:r>
      <w:r w:rsidR="2AF752E6">
        <w:rPr/>
        <w:t>, 2024).</w:t>
      </w:r>
    </w:p>
    <w:p xmlns:wp14="http://schemas.microsoft.com/office/word/2010/wordml" w:rsidP="5B0A74F8" wp14:paraId="31D71C33" wp14:textId="765D675A">
      <w:pPr>
        <w:pStyle w:val="Normal"/>
      </w:pPr>
      <w:r w:rsidR="2AF752E6">
        <w:rPr/>
        <w:t xml:space="preserve">From a PESTLE perspective, Aston Martin is primarily influenced by political/legal factors, as well as economic, technological, and environmental factors. The automotive industry faces strict regulations on vehicle safety, emissions, compliance, and sourcing. Aston Martin’s reporting reflects this context by focusing on governance, procurement standards, ethics, and regulatory obligations (Aston Martin Lagonda, 2024a). Market conditions </w:t>
      </w:r>
      <w:r w:rsidR="2AF752E6">
        <w:rPr/>
        <w:t>remain</w:t>
      </w:r>
      <w:r w:rsidR="2AF752E6">
        <w:rPr/>
        <w:t xml:space="preserve"> uneven; ACEA reports 74.6 million global car sales in 2024, but only 0.8% growth in EU sales, </w:t>
      </w:r>
      <w:r w:rsidR="2AF752E6">
        <w:rPr/>
        <w:t>indicating</w:t>
      </w:r>
      <w:r w:rsidR="2AF752E6">
        <w:rPr/>
        <w:t xml:space="preserve"> a fragile recovery (European Automobile Manufacturers’ Association, 2025). For Aston Martin, weaker macroeconomic trends in China and industry-wide supply chain issues affected 2024 results (Aston Martin Lagonda, 2024a). Technological and environmental pressures are increasingly strategic. The shift to electrification, sustainability reporting, and low-emission technology reshapes competition. Aston Martin’s reporting shows ongoing investment in electrification and a broad transition to hybrid and electric vehicles, backed by partnerships and long-term product planning (Aston Martin Lagonda, 2024a; Aston Martin Lagonda, 2024b).</w:t>
      </w:r>
    </w:p>
    <w:p xmlns:wp14="http://schemas.microsoft.com/office/word/2010/wordml" w:rsidP="5B0A74F8" wp14:paraId="633F3483" wp14:textId="2297EA0D">
      <w:pPr>
        <w:pStyle w:val="Normal"/>
      </w:pPr>
      <w:r w:rsidR="2AF752E6">
        <w:rPr/>
        <w:t xml:space="preserve">Porter’s Five Forces shows that competitive rivalry is high in the ultra-luxury performance market. Brands compete through innovation, exclusivity, engineering </w:t>
      </w:r>
      <w:r w:rsidR="2AF752E6">
        <w:rPr/>
        <w:t>quality</w:t>
      </w:r>
      <w:r w:rsidR="2AF752E6">
        <w:rPr/>
        <w:t xml:space="preserve"> and customer experience (Pangarkar and </w:t>
      </w:r>
      <w:r w:rsidR="2AF752E6">
        <w:rPr/>
        <w:t>Prabhudesai</w:t>
      </w:r>
      <w:r w:rsidR="2AF752E6">
        <w:rPr/>
        <w:t xml:space="preserve">, 2024). Supplier power is significant because Aston Martin relies on specialist technology and supply partners, especially during the shift to electrified vehicles (Aston Martin Lagonda, 2024a). The threat of new entrants is low due to high capital requirements, technological complexity, and strong brand barriers. Buyer power is moderate since customer numbers are limited but highly demanding. However, Porter’s Five Forces framework can be limited in dynamic, </w:t>
      </w:r>
      <w:r w:rsidR="2AF752E6">
        <w:rPr/>
        <w:t>specialised</w:t>
      </w:r>
      <w:r w:rsidR="2AF752E6">
        <w:rPr/>
        <w:t xml:space="preserve"> markets like ultra-luxury automotive. The model offers only a static snapshot and may not fully capture changing technology, consumer preferences, and non-market forces such as regulation or sustainability priorities. </w:t>
      </w:r>
      <w:r w:rsidR="718C32A0">
        <w:rPr/>
        <w:t>W</w:t>
      </w:r>
      <w:r w:rsidR="2AF752E6">
        <w:rPr/>
        <w:t xml:space="preserve">hile the framework highlights important </w:t>
      </w:r>
      <w:r w:rsidR="2AF752E6">
        <w:rPr/>
        <w:t>p</w:t>
      </w:r>
      <w:r w:rsidR="2AF752E6">
        <w:rPr/>
        <w:t>ressures,</w:t>
      </w:r>
      <w:r w:rsidR="2AF752E6">
        <w:rPr/>
        <w:t xml:space="preserve"> </w:t>
      </w:r>
      <w:r w:rsidR="2AF752E6">
        <w:rPr/>
        <w:t xml:space="preserve">it has constraints in explaining Aston Martin’s environment. Overall, Aston Martin </w:t>
      </w:r>
      <w:r w:rsidR="2AF752E6">
        <w:rPr/>
        <w:t>o</w:t>
      </w:r>
      <w:r w:rsidR="2AF752E6">
        <w:rPr/>
        <w:t>perates</w:t>
      </w:r>
      <w:r w:rsidR="2AF752E6">
        <w:rPr/>
        <w:t xml:space="preserve"> </w:t>
      </w:r>
      <w:r w:rsidR="2AF752E6">
        <w:rPr/>
        <w:t xml:space="preserve">in a setting shaped by regulatory pressure, technological transition, economic </w:t>
      </w:r>
      <w:r w:rsidR="2AF752E6">
        <w:rPr/>
        <w:t>u</w:t>
      </w:r>
      <w:r w:rsidR="2AF752E6">
        <w:rPr/>
        <w:t>ncertainty</w:t>
      </w:r>
      <w:r w:rsidR="2AF752E6">
        <w:rPr/>
        <w:t xml:space="preserve"> </w:t>
      </w:r>
      <w:r w:rsidR="2AF752E6">
        <w:rPr/>
        <w:t>and strong rivalry. Brand heritage is not enough without solid strategic execution.</w:t>
      </w:r>
    </w:p>
    <w:p xmlns:wp14="http://schemas.microsoft.com/office/word/2010/wordml" w:rsidP="5B0A74F8" wp14:paraId="6F9C9D43" wp14:textId="74AB5388">
      <w:pPr>
        <w:pStyle w:val="Heading2"/>
      </w:pPr>
      <w:bookmarkStart w:name="_Toc289276540" w:id="1866459441"/>
      <w:r w:rsidR="2AF752E6">
        <w:rPr/>
        <w:t>Internal Environment Audit</w:t>
      </w:r>
      <w:bookmarkEnd w:id="1866459441"/>
    </w:p>
    <w:p xmlns:wp14="http://schemas.microsoft.com/office/word/2010/wordml" w:rsidP="5B0A74F8" wp14:paraId="776C8436" wp14:textId="5C6B34D5">
      <w:pPr>
        <w:pStyle w:val="Normal"/>
      </w:pPr>
      <w:r w:rsidR="2AF752E6">
        <w:rPr/>
        <w:t xml:space="preserve">The internal environment audit assesses whether Aston Martin’s resources and capabilities are sufficient to sustain a competitive advantage. The main argument is that recent research affirms the importance of internal analysis, since enduring firm performance depends on how well </w:t>
      </w:r>
      <w:r w:rsidR="2AF752E6">
        <w:rPr/>
        <w:t>organisations</w:t>
      </w:r>
      <w:r w:rsidR="2AF752E6">
        <w:rPr/>
        <w:t xml:space="preserve"> develop, evolve, and deploy resources (Grant, 2021; </w:t>
      </w:r>
      <w:r w:rsidR="2AF752E6">
        <w:rPr/>
        <w:t>Helfat</w:t>
      </w:r>
      <w:r w:rsidR="2AF752E6">
        <w:rPr/>
        <w:t xml:space="preserve"> et al., 2023). The Value Chain, Resource-Based View (RBV), and VRIO frameworks are all used here to </w:t>
      </w:r>
      <w:r w:rsidR="2AF752E6">
        <w:rPr/>
        <w:t>analyse</w:t>
      </w:r>
      <w:r w:rsidR="2AF752E6">
        <w:rPr/>
        <w:t xml:space="preserve"> Aston Martin’s inner strategic position.</w:t>
      </w:r>
    </w:p>
    <w:p xmlns:wp14="http://schemas.microsoft.com/office/word/2010/wordml" w:rsidP="5B0A74F8" wp14:paraId="569BDB4B" wp14:textId="4E3CC370">
      <w:pPr>
        <w:pStyle w:val="Normal"/>
      </w:pPr>
      <w:r w:rsidR="2AF752E6">
        <w:rPr/>
        <w:t xml:space="preserve">From a Value Chain Analysis view, Aston Martin creates value </w:t>
      </w:r>
      <w:r w:rsidR="2AF752E6">
        <w:rPr/>
        <w:t>mainly through</w:t>
      </w:r>
      <w:r w:rsidR="2AF752E6">
        <w:rPr/>
        <w:t xml:space="preserve"> differentiation. Specifically, the company </w:t>
      </w:r>
      <w:r w:rsidR="2AF752E6">
        <w:rPr/>
        <w:t>emphasises</w:t>
      </w:r>
      <w:r w:rsidR="2AF752E6">
        <w:rPr/>
        <w:t xml:space="preserve"> product design, </w:t>
      </w:r>
      <w:r w:rsidR="2AF752E6">
        <w:rPr/>
        <w:t>craftsmanship</w:t>
      </w:r>
      <w:r w:rsidR="2AF752E6">
        <w:rPr/>
        <w:t xml:space="preserve">, bespoke </w:t>
      </w:r>
      <w:r w:rsidR="2AF752E6">
        <w:rPr/>
        <w:t>personalisation</w:t>
      </w:r>
      <w:r w:rsidR="2AF752E6">
        <w:rPr/>
        <w:t xml:space="preserve">, luxury retail development, dealer capability, and customer relationship management. These areas </w:t>
      </w:r>
      <w:r w:rsidR="2AF752E6">
        <w:rPr/>
        <w:t>demonstrate</w:t>
      </w:r>
      <w:r w:rsidR="2AF752E6">
        <w:rPr/>
        <w:t xml:space="preserve"> that value is generated across several activities, not merely from manufacturing (Aston Martin Lagonda, 2024a). Recent literature suggests that competitive advantage now relies on how firms integrate innovation, coordination, and customer activities throughout the value chain (Marín et al., 2023). </w:t>
      </w:r>
      <w:r w:rsidR="44104DF1">
        <w:rPr/>
        <w:t>F</w:t>
      </w:r>
      <w:r w:rsidR="2AF752E6">
        <w:rPr/>
        <w:t xml:space="preserve">or Aston Martin, the value chain enables premium brand positioning by </w:t>
      </w:r>
      <w:r w:rsidR="2AF752E6">
        <w:rPr/>
        <w:t>emphasising</w:t>
      </w:r>
      <w:r w:rsidR="2AF752E6">
        <w:rPr/>
        <w:t xml:space="preserve"> exclusivity, brand experience, and desirability rather than low-cost production (Aston Martin Lagonda, 2024a; Grant, 2021).</w:t>
      </w:r>
    </w:p>
    <w:p xmlns:wp14="http://schemas.microsoft.com/office/word/2010/wordml" w:rsidP="5B0A74F8" wp14:paraId="645066B5" wp14:textId="08F6336E">
      <w:pPr>
        <w:pStyle w:val="Normal"/>
      </w:pPr>
      <w:r w:rsidR="2AF752E6">
        <w:rPr/>
        <w:t xml:space="preserve">From the RBV perspective, Aston Martin’s main advantages come from its brand heritage, specialist engineering and design, Formula One links, bespoke products, and strategic tech partnerships (Aston Martin Lagonda, 2024a). </w:t>
      </w:r>
      <w:r w:rsidR="2C93E5BE">
        <w:rPr/>
        <w:t>T</w:t>
      </w:r>
      <w:r w:rsidR="2AF752E6">
        <w:rPr/>
        <w:t xml:space="preserve">hese resources boost market position and product </w:t>
      </w:r>
      <w:r w:rsidR="5235CDF5">
        <w:rPr/>
        <w:t>appeal and</w:t>
      </w:r>
      <w:r w:rsidR="2AF752E6">
        <w:rPr/>
        <w:t xml:space="preserve"> give access to </w:t>
      </w:r>
      <w:r w:rsidR="2AF752E6">
        <w:rPr/>
        <w:t>ne</w:t>
      </w:r>
      <w:r w:rsidR="2AF752E6">
        <w:rPr/>
        <w:t>w technology</w:t>
      </w:r>
      <w:r w:rsidR="2AF752E6">
        <w:rPr/>
        <w:t xml:space="preserve"> d</w:t>
      </w:r>
      <w:r w:rsidR="2AF752E6">
        <w:rPr/>
        <w:t>uring the shift to electrification (Aston Martin Lagonda, 2024a; Aston Martin Lagonda, 2024b). The latest RBV research stresses that a firm’s ability to renew and combine resources is crucial in dynamic contexts, a point directly relevant to Aston Martin's efforts to balance heritage with the pressures of future mobility and sustainability (</w:t>
      </w:r>
      <w:r w:rsidR="2AF752E6">
        <w:rPr/>
        <w:t>Helfat</w:t>
      </w:r>
      <w:r w:rsidR="2AF752E6">
        <w:rPr/>
        <w:t xml:space="preserve"> et al., 2023).</w:t>
      </w:r>
    </w:p>
    <w:p xmlns:wp14="http://schemas.microsoft.com/office/word/2010/wordml" w:rsidP="5B0A74F8" wp14:paraId="1F84663F" wp14:textId="4B0FD8BF">
      <w:pPr>
        <w:pStyle w:val="Normal"/>
      </w:pPr>
      <w:r w:rsidR="2AF752E6">
        <w:rPr/>
        <w:t xml:space="preserve">However, VRIO analysis suggests that </w:t>
      </w:r>
      <w:r w:rsidR="2AF752E6">
        <w:rPr/>
        <w:t>possessing</w:t>
      </w:r>
      <w:r w:rsidR="2AF752E6">
        <w:rPr/>
        <w:t xml:space="preserve"> strong resources is not sufficient on its own. Recent work on VRIO places particular emphasis on the </w:t>
      </w:r>
      <w:r w:rsidR="2AF752E6">
        <w:rPr/>
        <w:t>organisational</w:t>
      </w:r>
      <w:r w:rsidR="2AF752E6">
        <w:rPr/>
        <w:t xml:space="preserve"> dimension, arguing that sustained advantage depends on whether valuable and rare resources are supported by effective structures, </w:t>
      </w:r>
      <w:r w:rsidR="2AF752E6">
        <w:rPr/>
        <w:t>workflows</w:t>
      </w:r>
      <w:r w:rsidR="2AF752E6">
        <w:rPr/>
        <w:t xml:space="preserve"> and managerial coordination (Kim and </w:t>
      </w:r>
      <w:r w:rsidR="2AF752E6">
        <w:rPr/>
        <w:t>Makadok</w:t>
      </w:r>
      <w:r w:rsidR="2AF752E6">
        <w:rPr/>
        <w:t>, 2023)</w:t>
      </w:r>
      <w:r w:rsidR="07B7609F">
        <w:rPr/>
        <w:t>.</w:t>
      </w:r>
      <w:r w:rsidR="2AF752E6">
        <w:rPr/>
        <w:t xml:space="preserve"> For </w:t>
      </w:r>
      <w:r w:rsidR="750C3AAD">
        <w:rPr/>
        <w:t xml:space="preserve">instance, Aston Martin’s </w:t>
      </w:r>
      <w:r w:rsidR="2AF752E6">
        <w:rPr/>
        <w:t xml:space="preserve">2024 Annual Report notes delays and complications in recent product launches, including the DB12 and DBX models, due to operational setbacks that affected on-time delivery and customer satisfaction (Aston Martin Lagonda, 2024a). Engineering efficiency is also illustrated by the need to improve production processes to address rework rates in the manufacturing plant, while supply-chain resilience is challenged by disruptions such as shortages of specialist parts for electrified vehicles (Aston Martin Lagonda, 2024a). These examples </w:t>
      </w:r>
      <w:r w:rsidR="2AF752E6">
        <w:rPr/>
        <w:t>indicate</w:t>
      </w:r>
      <w:r w:rsidR="2AF752E6">
        <w:rPr/>
        <w:t xml:space="preserve"> that </w:t>
      </w:r>
      <w:r w:rsidR="2AF752E6">
        <w:rPr/>
        <w:t>organisational</w:t>
      </w:r>
      <w:r w:rsidR="2AF752E6">
        <w:rPr/>
        <w:t xml:space="preserve"> execution </w:t>
      </w:r>
      <w:r w:rsidR="2AF752E6">
        <w:rPr/>
        <w:t>remains</w:t>
      </w:r>
      <w:r w:rsidR="2AF752E6">
        <w:rPr/>
        <w:t xml:space="preserve"> a constraint on fully exploiting Aston Martin's strengths. Overall, Aston Martin </w:t>
      </w:r>
      <w:r w:rsidR="2AF752E6">
        <w:rPr/>
        <w:t>possesses</w:t>
      </w:r>
      <w:r w:rsidR="2AF752E6">
        <w:rPr/>
        <w:t xml:space="preserve"> strategically important resources, but their long-term value depends on stronger </w:t>
      </w:r>
      <w:r w:rsidR="2AF752E6">
        <w:rPr/>
        <w:t>organisational</w:t>
      </w:r>
      <w:r w:rsidR="2AF752E6">
        <w:rPr/>
        <w:t xml:space="preserve"> discipline and more consistent operational execution, as </w:t>
      </w:r>
      <w:r w:rsidR="2AF752E6">
        <w:rPr/>
        <w:t>evidenced</w:t>
      </w:r>
      <w:r w:rsidR="2AF752E6">
        <w:rPr/>
        <w:t xml:space="preserve"> by these practical challenges (Kim and </w:t>
      </w:r>
      <w:r w:rsidR="2AF752E6">
        <w:rPr/>
        <w:t>Makadok</w:t>
      </w:r>
      <w:r w:rsidR="2AF752E6">
        <w:rPr/>
        <w:t>, 2023; Aston Martin Lagonda, 2024a).</w:t>
      </w:r>
    </w:p>
    <w:p xmlns:wp14="http://schemas.microsoft.com/office/word/2010/wordml" w:rsidP="5B0A74F8" wp14:paraId="538599DB" wp14:textId="4BA041EB">
      <w:pPr>
        <w:pStyle w:val="Heading2"/>
      </w:pPr>
      <w:bookmarkStart w:name="_Toc500966273" w:id="1286746188"/>
      <w:r w:rsidR="2AF752E6">
        <w:rPr/>
        <w:t>SWOT Analysis</w:t>
      </w:r>
      <w:bookmarkEnd w:id="1286746188"/>
    </w:p>
    <w:p xmlns:wp14="http://schemas.microsoft.com/office/word/2010/wordml" w:rsidP="5B0A74F8" wp14:paraId="40B0D419" wp14:textId="58BA2440">
      <w:pPr>
        <w:pStyle w:val="Normal"/>
      </w:pPr>
      <w:r w:rsidR="2AF752E6">
        <w:rPr/>
        <w:t xml:space="preserve">SWOT analysis </w:t>
      </w:r>
      <w:r w:rsidR="2AF752E6">
        <w:rPr/>
        <w:t>synthesises</w:t>
      </w:r>
      <w:r w:rsidR="2AF752E6">
        <w:rPr/>
        <w:t xml:space="preserve"> internal and external findings into a focused assessment of the factors most likely to shape future strategic performance (Grant, 2021; Whittington et al., 2023). In Aston Martin’s case, its major strengths are its globally </w:t>
      </w:r>
      <w:r w:rsidR="2AF752E6">
        <w:rPr/>
        <w:t>recognised</w:t>
      </w:r>
      <w:r w:rsidR="2AF752E6">
        <w:rPr/>
        <w:t xml:space="preserve"> ultra-luxury brand, strong heritage, differentiated product </w:t>
      </w:r>
      <w:r w:rsidR="2AF752E6">
        <w:rPr/>
        <w:t>positioning</w:t>
      </w:r>
      <w:r w:rsidR="2AF752E6">
        <w:rPr/>
        <w:t xml:space="preserve"> and high-value customer experience. The company’s 2024 annual and sustainability reporting </w:t>
      </w:r>
      <w:r w:rsidR="2AF752E6">
        <w:rPr/>
        <w:t>emphasise</w:t>
      </w:r>
      <w:r w:rsidR="2AF752E6">
        <w:rPr/>
        <w:t xml:space="preserve"> brand desirability, bespoke </w:t>
      </w:r>
      <w:r w:rsidR="2AF752E6">
        <w:rPr/>
        <w:t>personalisation</w:t>
      </w:r>
      <w:r w:rsidR="2AF752E6">
        <w:rPr/>
        <w:t xml:space="preserve">, product </w:t>
      </w:r>
      <w:r w:rsidR="2AF752E6">
        <w:rPr/>
        <w:t>innovation</w:t>
      </w:r>
      <w:r w:rsidR="2AF752E6">
        <w:rPr/>
        <w:t xml:space="preserve"> and premium customer engagement, all of which support differentiation in a segment where exclusivity and reputation remain commercially important (Aston Martin Lagonda, 2024a; Aston Martin Lagonda, 2024b). </w:t>
      </w:r>
    </w:p>
    <w:p xmlns:wp14="http://schemas.microsoft.com/office/word/2010/wordml" w:rsidP="5B0A74F8" wp14:paraId="666F979F" wp14:textId="512B4392">
      <w:pPr>
        <w:pStyle w:val="Normal"/>
      </w:pPr>
      <w:r w:rsidR="2AF752E6">
        <w:rPr/>
        <w:t xml:space="preserve">However, Aston Martin also faces important weaknesses. Its own reporting </w:t>
      </w:r>
      <w:r w:rsidR="2AF752E6">
        <w:rPr/>
        <w:t>indicates</w:t>
      </w:r>
      <w:r w:rsidR="2AF752E6">
        <w:rPr/>
        <w:t xml:space="preserve"> that operational discipline, launch execution and supply-chain resilience still require improvement, suggesting that </w:t>
      </w:r>
      <w:r w:rsidR="2AF752E6">
        <w:rPr/>
        <w:t>organisational</w:t>
      </w:r>
      <w:r w:rsidR="2AF752E6">
        <w:rPr/>
        <w:t xml:space="preserve"> performance does not yet fully match the strength of the brand (Aston Martin Lagonda, 2024a). Nevertheless, this raises critical questions </w:t>
      </w:r>
      <w:r w:rsidR="2AF752E6">
        <w:rPr/>
        <w:t>regarding</w:t>
      </w:r>
      <w:r w:rsidR="2AF752E6">
        <w:rPr/>
        <w:t xml:space="preserve"> internal assumptions about the sufficiency of brand heritage and exclusivity as sources of sustained advantage. If Aston Martin continues to rely primarily on its premium identity without implementing corresponding improvements in operational discipline and coordination, it risks overestimating the strategic value of its resources (Grant, 2021). </w:t>
      </w:r>
      <w:r w:rsidR="23035A9C">
        <w:rPr/>
        <w:t>T</w:t>
      </w:r>
      <w:r w:rsidR="2AF752E6">
        <w:rPr/>
        <w:t>he company must challenge the assumption that brand desirability alone is sufficient, and place greater emphasis on addressing operational weaknesses that constrain consistency and long-term profitability.</w:t>
      </w:r>
    </w:p>
    <w:p xmlns:wp14="http://schemas.microsoft.com/office/word/2010/wordml" w:rsidP="5B0A74F8" wp14:paraId="765A3F09" wp14:textId="5525B9EE">
      <w:pPr>
        <w:pStyle w:val="Normal"/>
      </w:pPr>
      <w:r w:rsidR="2AF752E6">
        <w:rPr/>
        <w:t xml:space="preserve">The most important opportunities arise from electrification, sustainability transition, product </w:t>
      </w:r>
      <w:r w:rsidR="2AF752E6">
        <w:rPr/>
        <w:t>innovation</w:t>
      </w:r>
      <w:r w:rsidR="2AF752E6">
        <w:rPr/>
        <w:t xml:space="preserve"> and growth in premium </w:t>
      </w:r>
      <w:r w:rsidR="2AF752E6">
        <w:rPr/>
        <w:t>personalisation</w:t>
      </w:r>
      <w:r w:rsidR="2AF752E6">
        <w:rPr/>
        <w:t xml:space="preserve">. Aston Martin’s sustainability and corporate reporting </w:t>
      </w:r>
      <w:r w:rsidR="2AF752E6">
        <w:rPr/>
        <w:t>indicate</w:t>
      </w:r>
      <w:r w:rsidR="2AF752E6">
        <w:rPr/>
        <w:t xml:space="preserve"> continued movement towards hybrid and battery electric technologies, while bespoke services </w:t>
      </w:r>
      <w:r w:rsidR="2AF752E6">
        <w:rPr/>
        <w:t>remain</w:t>
      </w:r>
      <w:r w:rsidR="2AF752E6">
        <w:rPr/>
        <w:t xml:space="preserve"> an important source of customer value (Aston Martin Lagonda, 2024a; Aston Martin Lagonda, 2024b). At the industry level, ACEA reports that global car sales reached 74.6 million units in 2024 and EU sales reached 10.6 million units, while SMMT’s UK insights and registration data underline the continued importance of adapting to changing market demand and policy pressures in the automotive sector. Together, these trends suggest that firms able to combine strong brand positioning with successful technology </w:t>
      </w:r>
      <w:r w:rsidR="2AF752E6">
        <w:rPr/>
        <w:t>transition</w:t>
      </w:r>
      <w:r w:rsidR="2AF752E6">
        <w:rPr/>
        <w:t xml:space="preserve"> may secure a competitive advantage.</w:t>
      </w:r>
    </w:p>
    <w:p xmlns:wp14="http://schemas.microsoft.com/office/word/2010/wordml" w:rsidP="5B0A74F8" wp14:paraId="0A99A9E6" wp14:textId="43F4E438">
      <w:pPr>
        <w:pStyle w:val="Normal"/>
      </w:pPr>
      <w:r w:rsidR="2AF752E6">
        <w:rPr/>
        <w:t>At the same time, Aston Martin faces serious threats from macroeconomic uncertainty, particularly in China, continued supply-chain pressure, regulatory and climate-transition demands, and intense rivalry within the luxury automotive segment (Aston Martin Lagonda, 2024a; European Automobile Manufacturers’ Association, 2025). ACEA’s 2025 market reporting points to only modest EU growth, while SMMT’s industry material highlights the challenging policy and market environment facing UK automotive firms. Therefore, Aston Martin’s overall strategic position can be described as attractive but fragile: the company possesses strong strengths and credible opportunities, but its long-term success depends on whether it can translate brand desirability into more disciplined, resilient and financially sustainable execution (Grant, 2021; Aston Martin Lagonda, 2024a).</w:t>
      </w:r>
    </w:p>
    <w:p xmlns:wp14="http://schemas.microsoft.com/office/word/2010/wordml" w:rsidP="5B0A74F8" wp14:paraId="19EA12D1" wp14:textId="0E83BD57">
      <w:pPr>
        <w:pStyle w:val="Heading1"/>
      </w:pPr>
      <w:bookmarkStart w:name="_Toc1536092773" w:id="684663101"/>
      <w:r w:rsidR="2AF752E6">
        <w:rPr/>
        <w:t>Strategy Formulation</w:t>
      </w:r>
      <w:bookmarkEnd w:id="684663101"/>
    </w:p>
    <w:p xmlns:wp14="http://schemas.microsoft.com/office/word/2010/wordml" w:rsidP="5B0A74F8" wp14:paraId="40D521FA" wp14:textId="376806D0">
      <w:pPr>
        <w:pStyle w:val="Normal"/>
      </w:pPr>
      <w:r w:rsidR="2AF752E6">
        <w:rPr/>
        <w:t xml:space="preserve">Aston Martin should pursue a focused ultra-luxury differentiation strategy built on exclusivity, disciplined </w:t>
      </w:r>
      <w:r w:rsidR="2AF752E6">
        <w:rPr/>
        <w:t>execution</w:t>
      </w:r>
      <w:r w:rsidR="2AF752E6">
        <w:rPr/>
        <w:t xml:space="preserve"> and selective electrification, rather than </w:t>
      </w:r>
      <w:r w:rsidR="2AF752E6">
        <w:rPr/>
        <w:t>attempting</w:t>
      </w:r>
      <w:r w:rsidR="2AF752E6">
        <w:rPr/>
        <w:t xml:space="preserve"> broad expansion across too many strategic fronts at once (Grant, 2021; Whittington et al., 2023). This recommendation is consistent with Aston Martin’s official vision to be the world’s most desirable, ultra-luxury British performance brand, but it also challenges the company to </w:t>
      </w:r>
      <w:r w:rsidR="2AF752E6">
        <w:rPr/>
        <w:t>prioritise</w:t>
      </w:r>
      <w:r w:rsidR="2AF752E6">
        <w:rPr/>
        <w:t xml:space="preserve"> execution over ambition alone. Aston Martin’s own strategy </w:t>
      </w:r>
      <w:r w:rsidR="2AF752E6">
        <w:rPr/>
        <w:t>emphasises</w:t>
      </w:r>
      <w:r w:rsidR="2AF752E6">
        <w:rPr/>
        <w:t xml:space="preserve"> desirability, product innovation and sustainably profitable growth, yet its 2024 reporting also highlights supply-chain disruption, operational inefficiencies and macroeconomic weakness in China, indicating that the central strategic issue is not defining vision, but delivering it consistently (Aston Martin Lagonda, 2024a; Aston Martin, 2026).</w:t>
      </w:r>
    </w:p>
    <w:p xmlns:wp14="http://schemas.microsoft.com/office/word/2010/wordml" w:rsidP="5B0A74F8" wp14:paraId="46C2708E" wp14:textId="62BF41D1">
      <w:pPr>
        <w:pStyle w:val="Normal"/>
      </w:pPr>
      <w:r w:rsidR="2AF752E6">
        <w:rPr/>
        <w:t xml:space="preserve">A useful comparison can be made with McLaren Automotive, which </w:t>
      </w:r>
      <w:r w:rsidR="2AF752E6">
        <w:rPr/>
        <w:t>operates</w:t>
      </w:r>
      <w:r w:rsidR="2AF752E6">
        <w:rPr/>
        <w:t xml:space="preserve"> in the wider British luxury high-performance segment but follows a more tightly focused supercar-led strategy. McLaren’s reporting describes the business as an award-winning luxury brand </w:t>
      </w:r>
      <w:r w:rsidR="2AF752E6">
        <w:rPr/>
        <w:t>centred</w:t>
      </w:r>
      <w:r w:rsidR="2AF752E6">
        <w:rPr/>
        <w:t xml:space="preserve"> on the design, engineering, </w:t>
      </w:r>
      <w:r w:rsidR="2AF752E6">
        <w:rPr/>
        <w:t>production</w:t>
      </w:r>
      <w:r w:rsidR="2AF752E6">
        <w:rPr/>
        <w:t xml:space="preserve"> and sale of luxury supercars, with product families focused on GT, Supercar, Ultimate and Motorsport (McLaren Holdings Limited, 2024a). Its 2024 results also </w:t>
      </w:r>
      <w:r w:rsidR="2AF752E6">
        <w:rPr/>
        <w:t>emphasise</w:t>
      </w:r>
      <w:r w:rsidR="2AF752E6">
        <w:rPr/>
        <w:t xml:space="preserve"> stable production delivery, broader model-mix improvement, and ongoing investment in future products, suggesting a strategy built around performance engineering and a narrower product architecture than Aston Martin’s (McLaren Holdings Limited, 2024b).</w:t>
      </w:r>
    </w:p>
    <w:p xmlns:wp14="http://schemas.microsoft.com/office/word/2010/wordml" w:rsidP="5B0A74F8" wp14:paraId="54D0544E" wp14:textId="599F6613">
      <w:pPr>
        <w:pStyle w:val="Normal"/>
      </w:pPr>
      <w:r w:rsidR="2AF752E6">
        <w:rPr/>
        <w:t xml:space="preserve">Compared with McLaren, Aston Martin </w:t>
      </w:r>
      <w:r w:rsidR="2AF752E6">
        <w:rPr/>
        <w:t>appears to follow</w:t>
      </w:r>
      <w:r w:rsidR="2AF752E6">
        <w:rPr/>
        <w:t xml:space="preserve"> a broader luxury-performance strategy that combines sports-car performance with lifestyle luxury, bespoke </w:t>
      </w:r>
      <w:r w:rsidR="2AF752E6">
        <w:rPr/>
        <w:t>personalisation</w:t>
      </w:r>
      <w:r w:rsidR="2AF752E6">
        <w:rPr/>
        <w:t xml:space="preserve"> and a wider product ecosystem, including GT models and the DBX SUV (Aston Martin Lagonda, 2024a). This broader positioning may create more opportunities for customer lifetime value and premium </w:t>
      </w:r>
      <w:r w:rsidR="2AF752E6">
        <w:rPr/>
        <w:t>customisation</w:t>
      </w:r>
      <w:r w:rsidR="2AF752E6">
        <w:rPr/>
        <w:t xml:space="preserve">, but it also increases execution complexity. In other words, Aston Martin’s strategy potentially offers greater revenue diversity than McLaren’s, but it also demands stronger operational control to avoid strategic overstretch (Grant, 2021). A well-founded strategic alternative is therefore not to imitate McLaren’s narrower performance-led model, but to sharpen </w:t>
      </w:r>
      <w:r w:rsidR="4E40C917">
        <w:rPr/>
        <w:t xml:space="preserve"> </w:t>
      </w:r>
      <w:r w:rsidR="2AF752E6">
        <w:rPr/>
        <w:t>Aston Martin’s own positioning by protecting scarcity, expanding high-margin bespoke</w:t>
      </w:r>
      <w:r w:rsidR="2AF752E6">
        <w:rPr/>
        <w:t xml:space="preserve"> offerings, and sequencing electrification carefully so that brand theatre, design</w:t>
      </w:r>
      <w:r w:rsidR="5DA622BA">
        <w:rPr/>
        <w:t xml:space="preserve"> </w:t>
      </w:r>
      <w:r w:rsidR="2AF752E6">
        <w:rPr/>
        <w:t>distinction and exclusivity are not diluted (Aston Martin Lagonda, 2024a; Aston Martin Lagonda, 2024b).</w:t>
      </w:r>
    </w:p>
    <w:p xmlns:wp14="http://schemas.microsoft.com/office/word/2010/wordml" w:rsidP="5B0A74F8" wp14:paraId="78FAD03D" wp14:textId="55A979DE">
      <w:pPr>
        <w:pStyle w:val="Normal"/>
      </w:pPr>
      <w:r w:rsidR="2AF752E6">
        <w:rPr/>
        <w:t xml:space="preserve">Overall, Aston Martin’s most </w:t>
      </w:r>
      <w:r w:rsidR="2AF752E6">
        <w:rPr/>
        <w:t>appropriate strategy</w:t>
      </w:r>
      <w:r w:rsidR="2AF752E6">
        <w:rPr/>
        <w:t xml:space="preserve"> is a disciplined premium-differentiation model: one that preserves ultra-luxury identity, </w:t>
      </w:r>
      <w:r w:rsidR="2AF752E6">
        <w:rPr/>
        <w:t>monetises</w:t>
      </w:r>
      <w:r w:rsidR="2AF752E6">
        <w:rPr/>
        <w:t xml:space="preserve"> exclusivity more effectively, and improves operational execution before pursuing more aggressive growth. While proponents of a broader expansion strategy might contend that diversifying more rapidly could capture new markets or revenue streams, such an approach risks diluting the brand and overstretching resources if not carefully managed. Therefore, a disciplined differentiation strategy is more likely to enhance market position and support sustainable growth, as it aligns more closely with the company’s distinctive capabilities while directly addressing the weaknesses </w:t>
      </w:r>
      <w:r w:rsidR="2AF752E6">
        <w:rPr/>
        <w:t>identified</w:t>
      </w:r>
      <w:r w:rsidR="2AF752E6">
        <w:rPr/>
        <w:t xml:space="preserve"> in the earlier analysis (Whittington et al., 2023; Aston Martin Lagonda, 2024a).</w:t>
      </w:r>
    </w:p>
    <w:p xmlns:wp14="http://schemas.microsoft.com/office/word/2010/wordml" w:rsidP="5B0A74F8" wp14:paraId="3F695089" wp14:textId="56003941">
      <w:pPr>
        <w:pStyle w:val="Heading1"/>
      </w:pPr>
      <w:bookmarkStart w:name="_Toc317830282" w:id="1503638621"/>
      <w:r w:rsidR="2AF752E6">
        <w:rPr/>
        <w:t>Conclusion and Recommendations</w:t>
      </w:r>
      <w:bookmarkEnd w:id="1503638621"/>
    </w:p>
    <w:p xmlns:wp14="http://schemas.microsoft.com/office/word/2010/wordml" w:rsidP="5B0A74F8" wp14:paraId="638B849A" wp14:textId="2698DE94">
      <w:pPr>
        <w:pStyle w:val="Normal"/>
      </w:pPr>
      <w:r w:rsidR="2AF752E6">
        <w:rPr/>
        <w:t xml:space="preserve">This report concludes that Aston Martin occupies a strategically attractive but vulnerable position within the ultra-luxury performance automotive sector. Its strongest competitive advantages </w:t>
      </w:r>
      <w:r w:rsidR="2AF752E6">
        <w:rPr/>
        <w:t>remain</w:t>
      </w:r>
      <w:r w:rsidR="2AF752E6">
        <w:rPr/>
        <w:t xml:space="preserve"> its iconic brand heritage, premium positioning, bespoke </w:t>
      </w:r>
      <w:r w:rsidR="2AF752E6">
        <w:rPr/>
        <w:t>capability</w:t>
      </w:r>
      <w:r w:rsidR="2AF752E6">
        <w:rPr/>
        <w:t xml:space="preserve"> and differentiated customer experience, all of which continue to support desirability in a market where exclusivity and reputation are commercially decisive (Aston Martin Lagonda, 2024a; Aston Martin Lagonda, 2024b). However, the analysis also shows that these strengths do not automatically create sustained </w:t>
      </w:r>
      <w:r w:rsidR="2AF752E6">
        <w:rPr/>
        <w:t>advantage</w:t>
      </w:r>
      <w:r w:rsidR="2AF752E6">
        <w:rPr/>
        <w:t xml:space="preserve">. Aston Martin faces an external environment shaped by regulatory pressure, technological transition, modest market growth in Europe and persistent industry uncertainty, while internally it still faces challenges in launch execution, operational </w:t>
      </w:r>
      <w:r w:rsidR="2AF752E6">
        <w:rPr/>
        <w:t>discipline</w:t>
      </w:r>
      <w:r w:rsidR="2AF752E6">
        <w:rPr/>
        <w:t xml:space="preserve"> and resilience (European Automobile Manufacturers’ Association, 2025; Aston Martin Lagonda, 2024a). In other words, the company’s core problem is not a lack of strategic ambition, but the difficulty of consistently converting ambition into financially sustainable performance.</w:t>
      </w:r>
    </w:p>
    <w:p xmlns:wp14="http://schemas.microsoft.com/office/word/2010/wordml" w:rsidP="5B0A74F8" wp14:paraId="72C3BC21" wp14:textId="333B3222">
      <w:pPr>
        <w:pStyle w:val="Normal"/>
      </w:pPr>
      <w:r w:rsidR="2AF752E6">
        <w:rPr/>
        <w:t>The comparison with McLaren reinforces this conclusion. While Aston Martin follows a broader ultra-luxury performance strategy, McLaren’s narrower supercar-led model suggests that strategic clarity and tighter execution can be powerful advantages in the premium segment (McLaren Holdings Limited, 2024a; McLaren Holdings Limited, 2024b). Aston Martin should therefore avoid pursuing growth across too many fronts simultaneously and instead strengthen the parts of its strategy that most clearly align with its distinctive capabilities.</w:t>
      </w:r>
    </w:p>
    <w:p xmlns:wp14="http://schemas.microsoft.com/office/word/2010/wordml" w:rsidP="5B0A74F8" wp14:paraId="20485465" wp14:textId="23DA1F86">
      <w:pPr>
        <w:pStyle w:val="Normal"/>
      </w:pPr>
      <w:r w:rsidR="2AF752E6">
        <w:rPr/>
        <w:t xml:space="preserve">Three recommendations </w:t>
      </w:r>
      <w:r w:rsidR="2AF752E6">
        <w:rPr/>
        <w:t>follow from</w:t>
      </w:r>
      <w:r w:rsidR="2AF752E6">
        <w:rPr/>
        <w:t xml:space="preserve"> this analysis. First, Aston Martin should deepen high-margin exclusivity by implementing specific </w:t>
      </w:r>
      <w:r w:rsidR="2AF752E6">
        <w:rPr/>
        <w:t>programmes</w:t>
      </w:r>
      <w:r w:rsidR="2AF752E6">
        <w:rPr/>
        <w:t xml:space="preserve"> to expand bespoke </w:t>
      </w:r>
      <w:r w:rsidR="2AF752E6">
        <w:rPr/>
        <w:t>personalization</w:t>
      </w:r>
      <w:r w:rsidR="2AF752E6">
        <w:rPr/>
        <w:t xml:space="preserve"> services, introduce more limited-edition models, and create tailored premium customer experience initiatives, as these actions directly enhance both scarcity and profitability (Aston Martin Lagonda, 2024a). Second, the company should </w:t>
      </w:r>
      <w:r w:rsidR="2AF752E6">
        <w:rPr/>
        <w:t>establish</w:t>
      </w:r>
      <w:r w:rsidR="2AF752E6">
        <w:rPr/>
        <w:t xml:space="preserve"> a structured roadmap for electrification, including defined milestones for hybrid and battery-electric model launches, and conduct regular brand impact assessments to ensure that technology development continues to reinforce the brand’s performance identity and luxury positioning (Aston Martin Lagonda, 2024b). Third, and most importantly, Aston Martin should strengthen operational discipline through targeted actions such as instituting enhanced launch management protocols, investing in engineering process </w:t>
      </w:r>
      <w:r w:rsidR="2AF752E6">
        <w:rPr/>
        <w:t>optimization</w:t>
      </w:r>
      <w:r w:rsidR="2AF752E6">
        <w:rPr/>
        <w:t xml:space="preserve">, and developing contingency plans to boost supply-chain resilience. Focusing on these specific improvements in launch planning, engineering efficiency, and supply management is critical for delivering sustainable growth in a challenging market environment (Aston Martin Lagonda, 2024a; Society of Motor Manufacturers and Traders, 2026). </w:t>
      </w:r>
      <w:r w:rsidR="2AF752E6">
        <w:rPr/>
        <w:t>Ultimately, Aston</w:t>
      </w:r>
      <w:r w:rsidR="2AF752E6">
        <w:rPr/>
        <w:t xml:space="preserve"> Martin’s long-term success will depend on its capacity to translate strategic vision into disciplined, actionable steps that convert desirability into resilience and exclusivity into profitability (Grant, 2021; Whittington et al., 2023).</w:t>
      </w:r>
    </w:p>
    <w:p xmlns:wp14="http://schemas.microsoft.com/office/word/2010/wordml" w:rsidP="5B0A74F8" wp14:paraId="74FD1023" wp14:textId="6E347F94">
      <w:pPr>
        <w:pStyle w:val="Normal"/>
      </w:pPr>
    </w:p>
    <w:p xmlns:wp14="http://schemas.microsoft.com/office/word/2010/wordml" wp14:paraId="4ECC4BBE" wp14:textId="6405FCC2">
      <w:r>
        <w:br w:type="page"/>
      </w:r>
    </w:p>
    <w:p xmlns:wp14="http://schemas.microsoft.com/office/word/2010/wordml" w:rsidP="5B0A74F8" wp14:paraId="3A409F13" wp14:textId="318ACC2B">
      <w:pPr>
        <w:pStyle w:val="Heading1"/>
      </w:pPr>
      <w:bookmarkStart w:name="_Toc2096289900" w:id="861042656"/>
      <w:r w:rsidR="2C63A83D">
        <w:rPr/>
        <w:t>Reference List</w:t>
      </w:r>
      <w:bookmarkEnd w:id="861042656"/>
      <w:r w:rsidR="2C63A83D">
        <w:rPr/>
        <w:t xml:space="preserve"> </w:t>
      </w:r>
    </w:p>
    <w:p xmlns:wp14="http://schemas.microsoft.com/office/word/2010/wordml" w:rsidP="5B0A74F8" wp14:paraId="68084F26" wp14:textId="09B6F28A">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5B0A74F8" w:rsidR="254EDADC">
        <w:rPr>
          <w:rFonts w:ascii="Times New Roman" w:hAnsi="Times New Roman" w:eastAsia="Times New Roman" w:cs="Times New Roman"/>
          <w:noProof w:val="0"/>
          <w:sz w:val="24"/>
          <w:szCs w:val="24"/>
          <w:lang w:val="en-GB"/>
        </w:rPr>
        <w:t xml:space="preserve">Aston Martin (2026) </w:t>
      </w:r>
      <w:r w:rsidRPr="5B0A74F8" w:rsidR="254EDADC">
        <w:rPr>
          <w:rFonts w:ascii="Times New Roman" w:hAnsi="Times New Roman" w:eastAsia="Times New Roman" w:cs="Times New Roman"/>
          <w:i w:val="1"/>
          <w:iCs w:val="1"/>
          <w:noProof w:val="0"/>
          <w:sz w:val="24"/>
          <w:szCs w:val="24"/>
          <w:lang w:val="en-GB"/>
        </w:rPr>
        <w:t>Strategy</w:t>
      </w:r>
      <w:r w:rsidRPr="5B0A74F8" w:rsidR="254EDADC">
        <w:rPr>
          <w:rFonts w:ascii="Times New Roman" w:hAnsi="Times New Roman" w:eastAsia="Times New Roman" w:cs="Times New Roman"/>
          <w:noProof w:val="0"/>
          <w:sz w:val="24"/>
          <w:szCs w:val="24"/>
          <w:lang w:val="en-GB"/>
        </w:rPr>
        <w:t xml:space="preserve">. Available at: </w:t>
      </w:r>
      <w:hyperlink r:id="Rb2374a25387a4d67">
        <w:r w:rsidRPr="5B0A74F8" w:rsidR="254EDADC">
          <w:rPr>
            <w:rStyle w:val="Hyperlink"/>
            <w:rFonts w:ascii="Times New Roman" w:hAnsi="Times New Roman" w:eastAsia="Times New Roman" w:cs="Times New Roman"/>
            <w:noProof w:val="0"/>
            <w:sz w:val="24"/>
            <w:szCs w:val="24"/>
            <w:lang w:val="en-GB"/>
          </w:rPr>
          <w:t>https://www.astonmartin.com/en/corporate/about-us/strategy</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6F2FDE3B" wp14:textId="5FB1F3DC">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5B0A74F8" w:rsidR="254EDADC">
        <w:rPr>
          <w:rFonts w:ascii="Times New Roman" w:hAnsi="Times New Roman" w:eastAsia="Times New Roman" w:cs="Times New Roman"/>
          <w:noProof w:val="0"/>
          <w:sz w:val="24"/>
          <w:szCs w:val="24"/>
          <w:lang w:val="en-GB"/>
        </w:rPr>
        <w:t xml:space="preserve">Aston Martin Lagonda (2024a) </w:t>
      </w:r>
      <w:r w:rsidRPr="5B0A74F8" w:rsidR="254EDADC">
        <w:rPr>
          <w:rFonts w:ascii="Times New Roman" w:hAnsi="Times New Roman" w:eastAsia="Times New Roman" w:cs="Times New Roman"/>
          <w:i w:val="1"/>
          <w:iCs w:val="1"/>
          <w:noProof w:val="0"/>
          <w:sz w:val="24"/>
          <w:szCs w:val="24"/>
          <w:lang w:val="en-GB"/>
        </w:rPr>
        <w:t>Annual report 2024</w:t>
      </w:r>
      <w:r w:rsidRPr="5B0A74F8" w:rsidR="254EDADC">
        <w:rPr>
          <w:rFonts w:ascii="Times New Roman" w:hAnsi="Times New Roman" w:eastAsia="Times New Roman" w:cs="Times New Roman"/>
          <w:noProof w:val="0"/>
          <w:sz w:val="24"/>
          <w:szCs w:val="24"/>
          <w:lang w:val="en-GB"/>
        </w:rPr>
        <w:t xml:space="preserve">. Gaydon: Aston Martin Lagonda. Available at: </w:t>
      </w:r>
      <w:hyperlink r:id="Rdf5935a2d3844089">
        <w:r w:rsidRPr="5B0A74F8" w:rsidR="254EDADC">
          <w:rPr>
            <w:rStyle w:val="Hyperlink"/>
            <w:rFonts w:ascii="Times New Roman" w:hAnsi="Times New Roman" w:eastAsia="Times New Roman" w:cs="Times New Roman"/>
            <w:noProof w:val="0"/>
            <w:sz w:val="24"/>
            <w:szCs w:val="24"/>
            <w:lang w:val="en-GB"/>
          </w:rPr>
          <w:t>https://www.astonmartin.com/en/corporate/investors/annual-report</w:t>
        </w:r>
      </w:hyperlink>
      <w:r w:rsidRPr="5B0A74F8" w:rsidR="254EDADC">
        <w:rPr>
          <w:rFonts w:ascii="Times New Roman" w:hAnsi="Times New Roman" w:eastAsia="Times New Roman" w:cs="Times New Roman"/>
          <w:noProof w:val="0"/>
          <w:sz w:val="24"/>
          <w:szCs w:val="24"/>
          <w:lang w:val="en-GB"/>
        </w:rPr>
        <w:t xml:space="preserve"> (Accessed: 9 March 2026).</w:t>
      </w:r>
    </w:p>
    <w:p xmlns:wp14="http://schemas.microsoft.com/office/word/2010/wordml" w:rsidP="5B0A74F8" wp14:paraId="65612210" wp14:textId="7E134DAF">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Aston Martin Lagonda (2024b) </w:t>
      </w:r>
      <w:r w:rsidRPr="5B0A74F8" w:rsidR="254EDADC">
        <w:rPr>
          <w:rFonts w:ascii="Times New Roman" w:hAnsi="Times New Roman" w:eastAsia="Times New Roman" w:cs="Times New Roman"/>
          <w:i w:val="1"/>
          <w:iCs w:val="1"/>
          <w:noProof w:val="0"/>
          <w:sz w:val="24"/>
          <w:szCs w:val="24"/>
          <w:lang w:val="en-GB"/>
        </w:rPr>
        <w:t>Sustainability report 2024</w:t>
      </w:r>
      <w:r w:rsidRPr="5B0A74F8" w:rsidR="254EDADC">
        <w:rPr>
          <w:rFonts w:ascii="Times New Roman" w:hAnsi="Times New Roman" w:eastAsia="Times New Roman" w:cs="Times New Roman"/>
          <w:noProof w:val="0"/>
          <w:sz w:val="24"/>
          <w:szCs w:val="24"/>
          <w:lang w:val="en-GB"/>
        </w:rPr>
        <w:t xml:space="preserve">. Gaydon: Aston Martin Lagonda. Available at: </w:t>
      </w:r>
      <w:hyperlink r:id="R56e3564872924bb3">
        <w:r w:rsidRPr="5B0A74F8" w:rsidR="254EDADC">
          <w:rPr>
            <w:rStyle w:val="Hyperlink"/>
            <w:rFonts w:ascii="Times New Roman" w:hAnsi="Times New Roman" w:eastAsia="Times New Roman" w:cs="Times New Roman"/>
            <w:noProof w:val="0"/>
            <w:sz w:val="24"/>
            <w:szCs w:val="24"/>
            <w:lang w:val="en-GB"/>
          </w:rPr>
          <w:t>https://www.astonmartin.com/en/corporate/sustainability/sustainability-reports</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7FF92FAB" wp14:textId="2F6FC601">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Berisha Qehaja, A. and Kutllovci, E. (2025) ‘Strategic management practices and strategic tools: evidence from enterprises in Kosova’, </w:t>
      </w:r>
      <w:r w:rsidRPr="5B0A74F8" w:rsidR="254EDADC">
        <w:rPr>
          <w:rFonts w:ascii="Times New Roman" w:hAnsi="Times New Roman" w:eastAsia="Times New Roman" w:cs="Times New Roman"/>
          <w:i w:val="1"/>
          <w:iCs w:val="1"/>
          <w:noProof w:val="0"/>
          <w:sz w:val="24"/>
          <w:szCs w:val="24"/>
          <w:lang w:val="en-GB"/>
        </w:rPr>
        <w:t>Zbornik radova Ekonomskog fakulteta u Rijeci</w:t>
      </w:r>
      <w:r w:rsidRPr="5B0A74F8" w:rsidR="254EDADC">
        <w:rPr>
          <w:rFonts w:ascii="Times New Roman" w:hAnsi="Times New Roman" w:eastAsia="Times New Roman" w:cs="Times New Roman"/>
          <w:noProof w:val="0"/>
          <w:sz w:val="24"/>
          <w:szCs w:val="24"/>
          <w:lang w:val="en-GB"/>
        </w:rPr>
        <w:t xml:space="preserve">, 43(2), pp. 313–338. Available at: </w:t>
      </w:r>
      <w:hyperlink r:id="R9ae3fec63bbe4046">
        <w:r w:rsidRPr="5B0A74F8" w:rsidR="254EDADC">
          <w:rPr>
            <w:rStyle w:val="Hyperlink"/>
            <w:rFonts w:ascii="Times New Roman" w:hAnsi="Times New Roman" w:eastAsia="Times New Roman" w:cs="Times New Roman"/>
            <w:noProof w:val="0"/>
            <w:sz w:val="24"/>
            <w:szCs w:val="24"/>
            <w:lang w:val="en-GB"/>
          </w:rPr>
          <w:t>https://doi.org/10.18045/zbefri.2025.2.8</w:t>
        </w:r>
      </w:hyperlink>
      <w:r w:rsidRPr="5B0A74F8" w:rsidR="254EDADC">
        <w:rPr>
          <w:rFonts w:ascii="Times New Roman" w:hAnsi="Times New Roman" w:eastAsia="Times New Roman" w:cs="Times New Roman"/>
          <w:noProof w:val="0"/>
          <w:sz w:val="24"/>
          <w:szCs w:val="24"/>
          <w:lang w:val="en-GB"/>
        </w:rPr>
        <w:t xml:space="preserve"> (Accessed: 9 March 2026).</w:t>
      </w:r>
    </w:p>
    <w:p xmlns:wp14="http://schemas.microsoft.com/office/word/2010/wordml" w:rsidP="5B0A74F8" wp14:paraId="0C40D974" wp14:textId="0406136F">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Duhaime, I.M., Hitt, M.A. and Lyles, M.A. (eds.) (2021) </w:t>
      </w:r>
      <w:r w:rsidRPr="5B0A74F8" w:rsidR="254EDADC">
        <w:rPr>
          <w:rFonts w:ascii="Times New Roman" w:hAnsi="Times New Roman" w:eastAsia="Times New Roman" w:cs="Times New Roman"/>
          <w:i w:val="1"/>
          <w:iCs w:val="1"/>
          <w:noProof w:val="0"/>
          <w:sz w:val="24"/>
          <w:szCs w:val="24"/>
          <w:lang w:val="en-GB"/>
        </w:rPr>
        <w:t>Strategic management: State of the field and its future</w:t>
      </w:r>
      <w:r w:rsidRPr="5B0A74F8" w:rsidR="254EDADC">
        <w:rPr>
          <w:rFonts w:ascii="Times New Roman" w:hAnsi="Times New Roman" w:eastAsia="Times New Roman" w:cs="Times New Roman"/>
          <w:noProof w:val="0"/>
          <w:sz w:val="24"/>
          <w:szCs w:val="24"/>
          <w:lang w:val="en-GB"/>
        </w:rPr>
        <w:t xml:space="preserve">. New York: Oxford University Press. Available at: </w:t>
      </w:r>
      <w:hyperlink r:id="R36e24942ad8d4f37">
        <w:r w:rsidRPr="5B0A74F8" w:rsidR="254EDADC">
          <w:rPr>
            <w:rStyle w:val="Hyperlink"/>
            <w:rFonts w:ascii="Times New Roman" w:hAnsi="Times New Roman" w:eastAsia="Times New Roman" w:cs="Times New Roman"/>
            <w:noProof w:val="0"/>
            <w:sz w:val="24"/>
            <w:szCs w:val="24"/>
            <w:lang w:val="en-GB"/>
          </w:rPr>
          <w:t>https://doi.org/10.1093/oso/9780190090883.001.0001</w:t>
        </w:r>
      </w:hyperlink>
      <w:r w:rsidRPr="5B0A74F8" w:rsidR="254EDADC">
        <w:rPr>
          <w:rFonts w:ascii="Times New Roman" w:hAnsi="Times New Roman" w:eastAsia="Times New Roman" w:cs="Times New Roman"/>
          <w:noProof w:val="0"/>
          <w:sz w:val="24"/>
          <w:szCs w:val="24"/>
          <w:lang w:val="en-GB"/>
        </w:rPr>
        <w:t xml:space="preserve"> (Accessed: 9 March 2026).</w:t>
      </w:r>
    </w:p>
    <w:p xmlns:wp14="http://schemas.microsoft.com/office/word/2010/wordml" w:rsidP="5B0A74F8" wp14:paraId="3B430C63" wp14:textId="73ADFD02">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European Automobile Manufacturers’ Association (2025) </w:t>
      </w:r>
      <w:r w:rsidRPr="5B0A74F8" w:rsidR="254EDADC">
        <w:rPr>
          <w:rFonts w:ascii="Times New Roman" w:hAnsi="Times New Roman" w:eastAsia="Times New Roman" w:cs="Times New Roman"/>
          <w:i w:val="1"/>
          <w:iCs w:val="1"/>
          <w:noProof w:val="0"/>
          <w:sz w:val="24"/>
          <w:szCs w:val="24"/>
          <w:lang w:val="en-GB"/>
        </w:rPr>
        <w:t>Economic and market report: Global and EU auto industry full year 2024</w:t>
      </w:r>
      <w:r w:rsidRPr="5B0A74F8" w:rsidR="254EDADC">
        <w:rPr>
          <w:rFonts w:ascii="Times New Roman" w:hAnsi="Times New Roman" w:eastAsia="Times New Roman" w:cs="Times New Roman"/>
          <w:noProof w:val="0"/>
          <w:sz w:val="24"/>
          <w:szCs w:val="24"/>
          <w:lang w:val="en-GB"/>
        </w:rPr>
        <w:t xml:space="preserve">. Available at: </w:t>
      </w:r>
      <w:hyperlink r:id="R79607de06c1e4006">
        <w:r w:rsidRPr="5B0A74F8" w:rsidR="254EDADC">
          <w:rPr>
            <w:rStyle w:val="Hyperlink"/>
            <w:rFonts w:ascii="Times New Roman" w:hAnsi="Times New Roman" w:eastAsia="Times New Roman" w:cs="Times New Roman"/>
            <w:noProof w:val="0"/>
            <w:sz w:val="24"/>
            <w:szCs w:val="24"/>
            <w:lang w:val="en-GB"/>
          </w:rPr>
          <w:t>https://www.acea.auto/publication/economic-and-market-report-global-and-eu-auto-industry-full-year-2024/</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13CA58BD" wp14:textId="3B2F7F93">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Grant, R.M. (2021) </w:t>
      </w:r>
      <w:r w:rsidRPr="5B0A74F8" w:rsidR="254EDADC">
        <w:rPr>
          <w:rFonts w:ascii="Times New Roman" w:hAnsi="Times New Roman" w:eastAsia="Times New Roman" w:cs="Times New Roman"/>
          <w:i w:val="1"/>
          <w:iCs w:val="1"/>
          <w:noProof w:val="0"/>
          <w:sz w:val="24"/>
          <w:szCs w:val="24"/>
          <w:lang w:val="en-GB"/>
        </w:rPr>
        <w:t>Contemporary strategy analysis</w:t>
      </w:r>
      <w:r w:rsidRPr="5B0A74F8" w:rsidR="254EDADC">
        <w:rPr>
          <w:rFonts w:ascii="Times New Roman" w:hAnsi="Times New Roman" w:eastAsia="Times New Roman" w:cs="Times New Roman"/>
          <w:noProof w:val="0"/>
          <w:sz w:val="24"/>
          <w:szCs w:val="24"/>
          <w:lang w:val="en-GB"/>
        </w:rPr>
        <w:t>. 11th edn. Hoboken, NJ: John Wiley &amp; Sons.</w:t>
      </w:r>
    </w:p>
    <w:p xmlns:wp14="http://schemas.microsoft.com/office/word/2010/wordml" w:rsidP="5B0A74F8" wp14:paraId="0860D226" wp14:textId="27A467D8">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Helfat, C.E., Kaul, A., Ketchen, D.J., Barney, J.B., Chatain, O. and Singh, H. (2023) ‘Renewing the resource-based view: New contexts, new concepts, and new methods’, </w:t>
      </w:r>
      <w:r w:rsidRPr="5B0A74F8" w:rsidR="254EDADC">
        <w:rPr>
          <w:rFonts w:ascii="Times New Roman" w:hAnsi="Times New Roman" w:eastAsia="Times New Roman" w:cs="Times New Roman"/>
          <w:i w:val="1"/>
          <w:iCs w:val="1"/>
          <w:noProof w:val="0"/>
          <w:sz w:val="24"/>
          <w:szCs w:val="24"/>
          <w:lang w:val="en-GB"/>
        </w:rPr>
        <w:t>Strategic Management Journal</w:t>
      </w:r>
      <w:r w:rsidRPr="5B0A74F8" w:rsidR="254EDADC">
        <w:rPr>
          <w:rFonts w:ascii="Times New Roman" w:hAnsi="Times New Roman" w:eastAsia="Times New Roman" w:cs="Times New Roman"/>
          <w:noProof w:val="0"/>
          <w:sz w:val="24"/>
          <w:szCs w:val="24"/>
          <w:lang w:val="en-GB"/>
        </w:rPr>
        <w:t xml:space="preserve">, 44(6), pp. 1357–1390. Available at: </w:t>
      </w:r>
      <w:hyperlink r:id="Rcb97075d97d24401">
        <w:r w:rsidRPr="5B0A74F8" w:rsidR="254EDADC">
          <w:rPr>
            <w:rStyle w:val="Hyperlink"/>
            <w:rFonts w:ascii="Times New Roman" w:hAnsi="Times New Roman" w:eastAsia="Times New Roman" w:cs="Times New Roman"/>
            <w:noProof w:val="0"/>
            <w:sz w:val="24"/>
            <w:szCs w:val="24"/>
            <w:lang w:val="en-GB"/>
          </w:rPr>
          <w:t>https://doi.org/10.1002/smj.3500</w:t>
        </w:r>
      </w:hyperlink>
      <w:r w:rsidRPr="5B0A74F8" w:rsidR="254EDADC">
        <w:rPr>
          <w:rFonts w:ascii="Times New Roman" w:hAnsi="Times New Roman" w:eastAsia="Times New Roman" w:cs="Times New Roman"/>
          <w:noProof w:val="0"/>
          <w:sz w:val="24"/>
          <w:szCs w:val="24"/>
          <w:lang w:val="en-GB"/>
        </w:rPr>
        <w:t xml:space="preserve"> (Accessed: 10 March 2026).</w:t>
      </w:r>
    </w:p>
    <w:p xmlns:wp14="http://schemas.microsoft.com/office/word/2010/wordml" w:rsidP="5B0A74F8" wp14:paraId="13A96A19" wp14:textId="4FED7F97">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Kim, J. and Makadok, R. (2023) ‘Unpacking the “O” in VRIO: The role of workflow interdependence in the loss and replacement of strategic human capital’, </w:t>
      </w:r>
      <w:r w:rsidRPr="5B0A74F8" w:rsidR="254EDADC">
        <w:rPr>
          <w:rFonts w:ascii="Times New Roman" w:hAnsi="Times New Roman" w:eastAsia="Times New Roman" w:cs="Times New Roman"/>
          <w:i w:val="1"/>
          <w:iCs w:val="1"/>
          <w:noProof w:val="0"/>
          <w:sz w:val="24"/>
          <w:szCs w:val="24"/>
          <w:lang w:val="en-GB"/>
        </w:rPr>
        <w:t>Strategic Management Journal</w:t>
      </w:r>
      <w:r w:rsidRPr="5B0A74F8" w:rsidR="254EDADC">
        <w:rPr>
          <w:rFonts w:ascii="Times New Roman" w:hAnsi="Times New Roman" w:eastAsia="Times New Roman" w:cs="Times New Roman"/>
          <w:noProof w:val="0"/>
          <w:sz w:val="24"/>
          <w:szCs w:val="24"/>
          <w:lang w:val="en-GB"/>
        </w:rPr>
        <w:t xml:space="preserve">, 44(6), pp. 1453–1487. Available at: </w:t>
      </w:r>
      <w:hyperlink r:id="R71d2b2950f264281">
        <w:r w:rsidRPr="5B0A74F8" w:rsidR="254EDADC">
          <w:rPr>
            <w:rStyle w:val="Hyperlink"/>
            <w:rFonts w:ascii="Times New Roman" w:hAnsi="Times New Roman" w:eastAsia="Times New Roman" w:cs="Times New Roman"/>
            <w:noProof w:val="0"/>
            <w:sz w:val="24"/>
            <w:szCs w:val="24"/>
            <w:lang w:val="en-GB"/>
          </w:rPr>
          <w:t>https://doi.org/10.1002/smj.3358</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2D4AF460" wp14:textId="64D3FCC0">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Marín, R., Santos-Arteaga, F.J., Tavana, M. and Di Caprio, D. (2023) ‘Value chain digitalization and technological development as innovation catalysts in small and medium-sized enterprises’, </w:t>
      </w:r>
      <w:r w:rsidRPr="5B0A74F8" w:rsidR="254EDADC">
        <w:rPr>
          <w:rFonts w:ascii="Times New Roman" w:hAnsi="Times New Roman" w:eastAsia="Times New Roman" w:cs="Times New Roman"/>
          <w:i w:val="1"/>
          <w:iCs w:val="1"/>
          <w:noProof w:val="0"/>
          <w:sz w:val="24"/>
          <w:szCs w:val="24"/>
          <w:lang w:val="en-GB"/>
        </w:rPr>
        <w:t>Journal of Innovation and Knowledge</w:t>
      </w:r>
      <w:r w:rsidRPr="5B0A74F8" w:rsidR="254EDADC">
        <w:rPr>
          <w:rFonts w:ascii="Times New Roman" w:hAnsi="Times New Roman" w:eastAsia="Times New Roman" w:cs="Times New Roman"/>
          <w:noProof w:val="0"/>
          <w:sz w:val="24"/>
          <w:szCs w:val="24"/>
          <w:lang w:val="en-GB"/>
        </w:rPr>
        <w:t xml:space="preserve">, 8(4), article 100454. Available at: </w:t>
      </w:r>
      <w:hyperlink r:id="Rfd23237adfc34f3d">
        <w:r w:rsidRPr="5B0A74F8" w:rsidR="254EDADC">
          <w:rPr>
            <w:rStyle w:val="Hyperlink"/>
            <w:rFonts w:ascii="Times New Roman" w:hAnsi="Times New Roman" w:eastAsia="Times New Roman" w:cs="Times New Roman"/>
            <w:noProof w:val="0"/>
            <w:sz w:val="24"/>
            <w:szCs w:val="24"/>
            <w:lang w:val="en-GB"/>
          </w:rPr>
          <w:t>https://doi.org/10.1016/j.jik.2023.100454</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3202F0CF" wp14:textId="28E26878">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McLaren Holdings Limited (2024a) </w:t>
      </w:r>
      <w:r w:rsidRPr="5B0A74F8" w:rsidR="254EDADC">
        <w:rPr>
          <w:rFonts w:ascii="Times New Roman" w:hAnsi="Times New Roman" w:eastAsia="Times New Roman" w:cs="Times New Roman"/>
          <w:i w:val="1"/>
          <w:iCs w:val="1"/>
          <w:noProof w:val="0"/>
          <w:sz w:val="24"/>
          <w:szCs w:val="24"/>
          <w:lang w:val="en-GB"/>
        </w:rPr>
        <w:t>2023 McLaren Holdings Limited annual report</w:t>
      </w:r>
      <w:r w:rsidRPr="5B0A74F8" w:rsidR="254EDADC">
        <w:rPr>
          <w:rFonts w:ascii="Times New Roman" w:hAnsi="Times New Roman" w:eastAsia="Times New Roman" w:cs="Times New Roman"/>
          <w:noProof w:val="0"/>
          <w:sz w:val="24"/>
          <w:szCs w:val="24"/>
          <w:lang w:val="en-GB"/>
        </w:rPr>
        <w:t xml:space="preserve">. Available at: </w:t>
      </w:r>
      <w:hyperlink r:id="Rc07410b298154eed">
        <w:r w:rsidRPr="5B0A74F8" w:rsidR="254EDADC">
          <w:rPr>
            <w:rStyle w:val="Hyperlink"/>
            <w:rFonts w:ascii="Times New Roman" w:hAnsi="Times New Roman" w:eastAsia="Times New Roman" w:cs="Times New Roman"/>
            <w:noProof w:val="0"/>
            <w:sz w:val="24"/>
            <w:szCs w:val="24"/>
            <w:lang w:val="en-GB"/>
          </w:rPr>
          <w:t>https://investors.mclaren.com/~/media/Files/M/McLaren-Services/results-centre/2024/2023-mclaren-holdings-limited-annual-report.pdf</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623F8399" wp14:textId="5B71E604">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McLaren Holdings Limited (2024b) </w:t>
      </w:r>
      <w:r w:rsidRPr="5B0A74F8" w:rsidR="254EDADC">
        <w:rPr>
          <w:rFonts w:ascii="Times New Roman" w:hAnsi="Times New Roman" w:eastAsia="Times New Roman" w:cs="Times New Roman"/>
          <w:i w:val="1"/>
          <w:iCs w:val="1"/>
          <w:noProof w:val="0"/>
          <w:sz w:val="24"/>
          <w:szCs w:val="24"/>
          <w:lang w:val="en-GB"/>
        </w:rPr>
        <w:t>Q3 (YTD) 2024 results presentation</w:t>
      </w:r>
      <w:r w:rsidRPr="5B0A74F8" w:rsidR="254EDADC">
        <w:rPr>
          <w:rFonts w:ascii="Times New Roman" w:hAnsi="Times New Roman" w:eastAsia="Times New Roman" w:cs="Times New Roman"/>
          <w:noProof w:val="0"/>
          <w:sz w:val="24"/>
          <w:szCs w:val="24"/>
          <w:lang w:val="en-GB"/>
        </w:rPr>
        <w:t xml:space="preserve">. Available at: </w:t>
      </w:r>
      <w:hyperlink r:id="Raa6b8bfa01b94cb0">
        <w:r w:rsidRPr="5B0A74F8" w:rsidR="254EDADC">
          <w:rPr>
            <w:rStyle w:val="Hyperlink"/>
            <w:rFonts w:ascii="Times New Roman" w:hAnsi="Times New Roman" w:eastAsia="Times New Roman" w:cs="Times New Roman"/>
            <w:noProof w:val="0"/>
            <w:sz w:val="24"/>
            <w:szCs w:val="24"/>
            <w:lang w:val="en-GB"/>
          </w:rPr>
          <w:t>https://investors.mclaren.com/~/media/Files/M/McLaren-Services/results-centre/2024/q3-ytd-2024-results-presentations-v1.pdf</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37D0CEAA" wp14:textId="26BF6054">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Pangarkar, N. and Prabhudesai, R. (2024) ‘Using Porter’s Five Forces analysis to drive strategy’, </w:t>
      </w:r>
      <w:r w:rsidRPr="5B0A74F8" w:rsidR="254EDADC">
        <w:rPr>
          <w:rFonts w:ascii="Times New Roman" w:hAnsi="Times New Roman" w:eastAsia="Times New Roman" w:cs="Times New Roman"/>
          <w:i w:val="1"/>
          <w:iCs w:val="1"/>
          <w:noProof w:val="0"/>
          <w:sz w:val="24"/>
          <w:szCs w:val="24"/>
          <w:lang w:val="en-GB"/>
        </w:rPr>
        <w:t>Journal of Organizational Effectiveness: People and Performance</w:t>
      </w:r>
      <w:r w:rsidRPr="5B0A74F8" w:rsidR="254EDADC">
        <w:rPr>
          <w:rFonts w:ascii="Times New Roman" w:hAnsi="Times New Roman" w:eastAsia="Times New Roman" w:cs="Times New Roman"/>
          <w:noProof w:val="0"/>
          <w:sz w:val="24"/>
          <w:szCs w:val="24"/>
          <w:lang w:val="en-GB"/>
        </w:rPr>
        <w:t xml:space="preserve">. Available at: </w:t>
      </w:r>
      <w:hyperlink r:id="Re393be11ff2947b8">
        <w:r w:rsidRPr="5B0A74F8" w:rsidR="254EDADC">
          <w:rPr>
            <w:rStyle w:val="Hyperlink"/>
            <w:rFonts w:ascii="Times New Roman" w:hAnsi="Times New Roman" w:eastAsia="Times New Roman" w:cs="Times New Roman"/>
            <w:noProof w:val="0"/>
            <w:sz w:val="24"/>
            <w:szCs w:val="24"/>
            <w:lang w:val="en-GB"/>
          </w:rPr>
          <w:t>https://doi.org/10.1002/joe.22250</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5DF1AA94" wp14:textId="44C4A481">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Society of Motor Manufacturers and Traders (2026) </w:t>
      </w:r>
      <w:r w:rsidRPr="5B0A74F8" w:rsidR="254EDADC">
        <w:rPr>
          <w:rFonts w:ascii="Times New Roman" w:hAnsi="Times New Roman" w:eastAsia="Times New Roman" w:cs="Times New Roman"/>
          <w:i w:val="1"/>
          <w:iCs w:val="1"/>
          <w:noProof w:val="0"/>
          <w:sz w:val="24"/>
          <w:szCs w:val="24"/>
          <w:lang w:val="en-GB"/>
        </w:rPr>
        <w:t>Automotive insights</w:t>
      </w:r>
      <w:r w:rsidRPr="5B0A74F8" w:rsidR="254EDADC">
        <w:rPr>
          <w:rFonts w:ascii="Times New Roman" w:hAnsi="Times New Roman" w:eastAsia="Times New Roman" w:cs="Times New Roman"/>
          <w:noProof w:val="0"/>
          <w:sz w:val="24"/>
          <w:szCs w:val="24"/>
          <w:lang w:val="en-GB"/>
        </w:rPr>
        <w:t xml:space="preserve">. Available at: </w:t>
      </w:r>
      <w:hyperlink r:id="Rde8e1ff665dd42d8">
        <w:r w:rsidRPr="5B0A74F8" w:rsidR="254EDADC">
          <w:rPr>
            <w:rStyle w:val="Hyperlink"/>
            <w:rFonts w:ascii="Times New Roman" w:hAnsi="Times New Roman" w:eastAsia="Times New Roman" w:cs="Times New Roman"/>
            <w:noProof w:val="0"/>
            <w:sz w:val="24"/>
            <w:szCs w:val="24"/>
            <w:lang w:val="en-GB"/>
          </w:rPr>
          <w:t>https://www.smmt.co.uk/automotive-insights/</w:t>
        </w:r>
      </w:hyperlink>
      <w:r w:rsidRPr="5B0A74F8" w:rsidR="254EDADC">
        <w:rPr>
          <w:rFonts w:ascii="Times New Roman" w:hAnsi="Times New Roman" w:eastAsia="Times New Roman" w:cs="Times New Roman"/>
          <w:noProof w:val="0"/>
          <w:sz w:val="24"/>
          <w:szCs w:val="24"/>
          <w:lang w:val="en-GB"/>
        </w:rPr>
        <w:t xml:space="preserve"> (Accessed: 14 March 2026).</w:t>
      </w:r>
    </w:p>
    <w:p xmlns:wp14="http://schemas.microsoft.com/office/word/2010/wordml" w:rsidP="5B0A74F8" wp14:paraId="7F59B321" wp14:textId="24282F52">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Tomalin, P. (2024) </w:t>
      </w:r>
      <w:r w:rsidRPr="5B0A74F8" w:rsidR="254EDADC">
        <w:rPr>
          <w:rFonts w:ascii="Times New Roman" w:hAnsi="Times New Roman" w:eastAsia="Times New Roman" w:cs="Times New Roman"/>
          <w:i w:val="1"/>
          <w:iCs w:val="1"/>
          <w:noProof w:val="0"/>
          <w:sz w:val="24"/>
          <w:szCs w:val="24"/>
          <w:lang w:val="en-GB"/>
        </w:rPr>
        <w:t>The story of Aston Martin: A tribute to automotive excellence</w:t>
      </w:r>
      <w:r w:rsidRPr="5B0A74F8" w:rsidR="254EDADC">
        <w:rPr>
          <w:rFonts w:ascii="Times New Roman" w:hAnsi="Times New Roman" w:eastAsia="Times New Roman" w:cs="Times New Roman"/>
          <w:noProof w:val="0"/>
          <w:sz w:val="24"/>
          <w:szCs w:val="24"/>
          <w:lang w:val="en-GB"/>
        </w:rPr>
        <w:t>. London: Hachette UK.</w:t>
      </w:r>
    </w:p>
    <w:p xmlns:wp14="http://schemas.microsoft.com/office/word/2010/wordml" w:rsidP="5B0A74F8" wp14:paraId="418DA900" wp14:textId="34EC807D">
      <w:pPr>
        <w:spacing w:before="240" w:beforeAutospacing="off" w:after="240" w:afterAutospacing="off"/>
      </w:pPr>
      <w:r w:rsidRPr="5B0A74F8" w:rsidR="254EDADC">
        <w:rPr>
          <w:rFonts w:ascii="Times New Roman" w:hAnsi="Times New Roman" w:eastAsia="Times New Roman" w:cs="Times New Roman"/>
          <w:noProof w:val="0"/>
          <w:sz w:val="24"/>
          <w:szCs w:val="24"/>
          <w:lang w:val="en-GB"/>
        </w:rPr>
        <w:t xml:space="preserve">Whittington, R., Angwin, D., </w:t>
      </w:r>
      <w:bookmarkStart w:name="_Int_6vq7R2xp" w:id="175888330"/>
      <w:r w:rsidRPr="5B0A74F8" w:rsidR="254EDADC">
        <w:rPr>
          <w:rFonts w:ascii="Times New Roman" w:hAnsi="Times New Roman" w:eastAsia="Times New Roman" w:cs="Times New Roman"/>
          <w:noProof w:val="0"/>
          <w:sz w:val="24"/>
          <w:szCs w:val="24"/>
          <w:lang w:val="en-GB"/>
        </w:rPr>
        <w:t>Regnér</w:t>
      </w:r>
      <w:bookmarkEnd w:id="175888330"/>
      <w:r w:rsidRPr="5B0A74F8" w:rsidR="254EDADC">
        <w:rPr>
          <w:rFonts w:ascii="Times New Roman" w:hAnsi="Times New Roman" w:eastAsia="Times New Roman" w:cs="Times New Roman"/>
          <w:noProof w:val="0"/>
          <w:sz w:val="24"/>
          <w:szCs w:val="24"/>
          <w:lang w:val="en-GB"/>
        </w:rPr>
        <w:t xml:space="preserve">, P., Johnson, </w:t>
      </w:r>
      <w:r w:rsidRPr="5B0A74F8" w:rsidR="254EDADC">
        <w:rPr>
          <w:rFonts w:ascii="Times New Roman" w:hAnsi="Times New Roman" w:eastAsia="Times New Roman" w:cs="Times New Roman"/>
          <w:noProof w:val="0"/>
          <w:sz w:val="24"/>
          <w:szCs w:val="24"/>
          <w:lang w:val="en-GB"/>
        </w:rPr>
        <w:t>G.</w:t>
      </w:r>
      <w:r w:rsidRPr="5B0A74F8" w:rsidR="254EDADC">
        <w:rPr>
          <w:rFonts w:ascii="Times New Roman" w:hAnsi="Times New Roman" w:eastAsia="Times New Roman" w:cs="Times New Roman"/>
          <w:noProof w:val="0"/>
          <w:sz w:val="24"/>
          <w:szCs w:val="24"/>
          <w:lang w:val="en-GB"/>
        </w:rPr>
        <w:t xml:space="preserve"> and Scholes, K. (2023) </w:t>
      </w:r>
      <w:r w:rsidRPr="5B0A74F8" w:rsidR="254EDADC">
        <w:rPr>
          <w:rFonts w:ascii="Times New Roman" w:hAnsi="Times New Roman" w:eastAsia="Times New Roman" w:cs="Times New Roman"/>
          <w:i w:val="1"/>
          <w:iCs w:val="1"/>
          <w:noProof w:val="0"/>
          <w:sz w:val="24"/>
          <w:szCs w:val="24"/>
          <w:lang w:val="en-GB"/>
        </w:rPr>
        <w:t>Exploring strategy</w:t>
      </w:r>
      <w:r w:rsidRPr="5B0A74F8" w:rsidR="254EDADC">
        <w:rPr>
          <w:rFonts w:ascii="Times New Roman" w:hAnsi="Times New Roman" w:eastAsia="Times New Roman" w:cs="Times New Roman"/>
          <w:noProof w:val="0"/>
          <w:sz w:val="24"/>
          <w:szCs w:val="24"/>
          <w:lang w:val="en-GB"/>
        </w:rPr>
        <w:t>. 13th (</w:t>
      </w:r>
      <w:r w:rsidRPr="5B0A74F8" w:rsidR="254EDADC">
        <w:rPr>
          <w:rFonts w:ascii="Times New Roman" w:hAnsi="Times New Roman" w:eastAsia="Times New Roman" w:cs="Times New Roman"/>
          <w:noProof w:val="0"/>
          <w:sz w:val="24"/>
          <w:szCs w:val="24"/>
          <w:lang w:val="en-GB"/>
        </w:rPr>
        <w:t>edn</w:t>
      </w:r>
      <w:r w:rsidRPr="5B0A74F8" w:rsidR="254EDADC">
        <w:rPr>
          <w:rFonts w:ascii="Times New Roman" w:hAnsi="Times New Roman" w:eastAsia="Times New Roman" w:cs="Times New Roman"/>
          <w:noProof w:val="0"/>
          <w:sz w:val="24"/>
          <w:szCs w:val="24"/>
          <w:lang w:val="en-GB"/>
        </w:rPr>
        <w:t>.) Harlow: Pearson.</w:t>
      </w:r>
    </w:p>
    <w:p xmlns:wp14="http://schemas.microsoft.com/office/word/2010/wordml" w:rsidP="5B0A74F8" wp14:paraId="6BE999E0" wp14:textId="41A30FF9">
      <w:pPr>
        <w:pStyle w:val="Normal"/>
      </w:pPr>
    </w:p>
    <w:p xmlns:wp14="http://schemas.microsoft.com/office/word/2010/wordml" w:rsidP="5B0A74F8" wp14:paraId="52497877" wp14:textId="7B3B3647">
      <w:pPr>
        <w:spacing w:before="120" w:beforeAutospacing="off" w:after="120" w:afterAutospacing="off"/>
        <w:jc w:val="left"/>
      </w:pPr>
    </w:p>
    <w:p xmlns:wp14="http://schemas.microsoft.com/office/word/2010/wordml" wp14:paraId="2C078E63" wp14:textId="20CE2AC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ngLv6nIg">
      <int2:state int2:type="spell" int2:value="Rejected"/>
    </int2:textHash>
    <int2:bookmark int2:bookmarkName="_Int_6vq7R2xp" int2:invalidationBookmarkName="" int2:hashCode="xmYcmVoY+MwYVe" int2:id="hgZpSXf0">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8797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9FC190"/>
    <w:rsid w:val="009DB3EB"/>
    <w:rsid w:val="016828D8"/>
    <w:rsid w:val="05810213"/>
    <w:rsid w:val="07B7609F"/>
    <w:rsid w:val="0866ABBD"/>
    <w:rsid w:val="0BE56E83"/>
    <w:rsid w:val="0DF1E235"/>
    <w:rsid w:val="0EAD061A"/>
    <w:rsid w:val="0EC46284"/>
    <w:rsid w:val="118174E7"/>
    <w:rsid w:val="136FB2D6"/>
    <w:rsid w:val="13DCBAD7"/>
    <w:rsid w:val="16F00058"/>
    <w:rsid w:val="183F6FBF"/>
    <w:rsid w:val="191978F4"/>
    <w:rsid w:val="1DFAB134"/>
    <w:rsid w:val="20D207CF"/>
    <w:rsid w:val="23035A9C"/>
    <w:rsid w:val="254EDADC"/>
    <w:rsid w:val="256EAF77"/>
    <w:rsid w:val="278031C8"/>
    <w:rsid w:val="2A21DC18"/>
    <w:rsid w:val="2AA060C3"/>
    <w:rsid w:val="2AF752E6"/>
    <w:rsid w:val="2C63A83D"/>
    <w:rsid w:val="2C93E5BE"/>
    <w:rsid w:val="2D16F842"/>
    <w:rsid w:val="2D16F842"/>
    <w:rsid w:val="2E604105"/>
    <w:rsid w:val="3039ECE0"/>
    <w:rsid w:val="3563BB0D"/>
    <w:rsid w:val="38B07D62"/>
    <w:rsid w:val="392B6ACD"/>
    <w:rsid w:val="3C29EB35"/>
    <w:rsid w:val="3C9FC190"/>
    <w:rsid w:val="3DBA2ED2"/>
    <w:rsid w:val="418039C6"/>
    <w:rsid w:val="42F3CF2B"/>
    <w:rsid w:val="439CADD1"/>
    <w:rsid w:val="44104DF1"/>
    <w:rsid w:val="457726CC"/>
    <w:rsid w:val="4B30E57A"/>
    <w:rsid w:val="4BBF691D"/>
    <w:rsid w:val="4E40C917"/>
    <w:rsid w:val="4E777F29"/>
    <w:rsid w:val="5235CDF5"/>
    <w:rsid w:val="55738CFB"/>
    <w:rsid w:val="574092CC"/>
    <w:rsid w:val="5766C924"/>
    <w:rsid w:val="5940C1C1"/>
    <w:rsid w:val="5B0A74F8"/>
    <w:rsid w:val="5D2A4169"/>
    <w:rsid w:val="5DA622BA"/>
    <w:rsid w:val="5DFC92E2"/>
    <w:rsid w:val="5FD27984"/>
    <w:rsid w:val="605792FD"/>
    <w:rsid w:val="60DCDCA4"/>
    <w:rsid w:val="644B2CB0"/>
    <w:rsid w:val="6689EF4C"/>
    <w:rsid w:val="6B807B62"/>
    <w:rsid w:val="6CC7BE98"/>
    <w:rsid w:val="6ED9EB62"/>
    <w:rsid w:val="716B9CDC"/>
    <w:rsid w:val="718C32A0"/>
    <w:rsid w:val="720B1597"/>
    <w:rsid w:val="72AD52E4"/>
    <w:rsid w:val="750C3AAD"/>
    <w:rsid w:val="76551167"/>
    <w:rsid w:val="784B3453"/>
    <w:rsid w:val="7C61C418"/>
    <w:rsid w:val="7FF7E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6B932"/>
  <w15:chartTrackingRefBased/>
  <w15:docId w15:val="{F774F0C5-FCC7-4AE1-A31C-E2D4878559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B0A74F8"/>
    <w:rPr>
      <w:rFonts w:ascii="Times New Roman" w:hAnsi="Times New Roman" w:eastAsia="Times New Roman" w:cs="Times New Roman"/>
      <w:noProof w:val="0"/>
      <w:lang w:val="en-GB"/>
    </w:rPr>
    <w:pPr>
      <w:spacing w:before="120" w:beforeAutospacing="off" w:after="120" w:afterAutospacing="off"/>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B0A74F8"/>
    <w:rPr>
      <w:b w:val="1"/>
      <w:bCs w:val="1"/>
      <w:color w:val="auto"/>
      <w:sz w:val="28"/>
      <w:szCs w:val="28"/>
    </w:rPr>
    <w:pPr>
      <w:keepNext w:val="1"/>
      <w:keepLines w:val="1"/>
      <w:spacing w:before="240" w:after="240"/>
      <w:jc w:val="left"/>
      <w:outlineLvl w:val="0"/>
    </w:pPr>
  </w:style>
  <w:style w:type="paragraph" w:styleId="Heading2">
    <w:uiPriority w:val="9"/>
    <w:name w:val="heading 2"/>
    <w:basedOn w:val="Normal"/>
    <w:next w:val="Normal"/>
    <w:unhideWhenUsed/>
    <w:qFormat/>
    <w:rsid w:val="5B0A74F8"/>
    <w:rPr>
      <w:b w:val="1"/>
      <w:bCs w:val="1"/>
      <w:color w:val="auto"/>
    </w:rPr>
    <w:pPr>
      <w:keepNext w:val="1"/>
      <w:keepLines w:val="1"/>
      <w:spacing w:before="180" w:after="180"/>
      <w:jc w:val="left"/>
      <w:outlineLvl w:val="1"/>
    </w:pPr>
  </w:style>
  <w:style w:type="character" w:styleId="Hyperlink">
    <w:uiPriority w:val="99"/>
    <w:name w:val="Hyperlink"/>
    <w:basedOn w:val="DefaultParagraphFont"/>
    <w:unhideWhenUsed/>
    <w:rsid w:val="5B0A74F8"/>
    <w:rPr>
      <w:color w:val="467886"/>
      <w:u w:val="single"/>
    </w:rPr>
  </w:style>
  <w:style w:type="paragraph" w:styleId="TOC1">
    <w:uiPriority w:val="39"/>
    <w:name w:val="toc 1"/>
    <w:basedOn w:val="Normal"/>
    <w:next w:val="Normal"/>
    <w:unhideWhenUsed/>
    <w:rsid w:val="5B0A74F8"/>
    <w:pPr>
      <w:spacing w:after="100"/>
    </w:pPr>
  </w:style>
  <w:style w:type="paragraph" w:styleId="TOC2">
    <w:uiPriority w:val="39"/>
    <w:name w:val="toc 2"/>
    <w:basedOn w:val="Normal"/>
    <w:next w:val="Normal"/>
    <w:unhideWhenUsed/>
    <w:rsid w:val="5B0A74F8"/>
    <w:pPr>
      <w:spacing w:after="100"/>
      <w:ind w:left="220"/>
    </w:pPr>
  </w:style>
  <w:style w:type="paragraph" w:styleId="ListParagraph">
    <w:uiPriority w:val="34"/>
    <w:name w:val="List Paragraph"/>
    <w:basedOn w:val="Normal"/>
    <w:qFormat/>
    <w:rsid w:val="5B0A74F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0857546" /><Relationship Type="http://schemas.openxmlformats.org/officeDocument/2006/relationships/hyperlink" Target="https://www.astonmartin.com/en/corporate/about-us/strategy?utm_source=chatgpt.com" TargetMode="External" Id="Rb2374a25387a4d67" /><Relationship Type="http://schemas.openxmlformats.org/officeDocument/2006/relationships/hyperlink" Target="https://www.astonmartin.com/en/corporate/investors/annual-report?utm_source=chatgpt.com" TargetMode="External" Id="Rdf5935a2d3844089" /><Relationship Type="http://schemas.openxmlformats.org/officeDocument/2006/relationships/hyperlink" Target="https://www.astonmartin.com/en/corporate/sustainability/sustainability-reports?utm_source=chatgpt.com" TargetMode="External" Id="R56e3564872924bb3" /><Relationship Type="http://schemas.openxmlformats.org/officeDocument/2006/relationships/hyperlink" Target="https://doi.org/10.18045/zbefri.2025.2.8" TargetMode="External" Id="R9ae3fec63bbe4046" /><Relationship Type="http://schemas.openxmlformats.org/officeDocument/2006/relationships/hyperlink" Target="https://doi.org/10.1093/oso/9780190090883.001.0001" TargetMode="External" Id="R36e24942ad8d4f37" /><Relationship Type="http://schemas.openxmlformats.org/officeDocument/2006/relationships/hyperlink" Target="https://www.acea.auto/publication/economic-and-market-report-global-and-eu-auto-industry-full-year-2024/" TargetMode="External" Id="R79607de06c1e4006" /><Relationship Type="http://schemas.openxmlformats.org/officeDocument/2006/relationships/hyperlink" Target="https://doi.org/10.1002/smj.3500" TargetMode="External" Id="Rcb97075d97d24401" /><Relationship Type="http://schemas.openxmlformats.org/officeDocument/2006/relationships/hyperlink" Target="https://doi.org/10.1002/smj.3358" TargetMode="External" Id="R71d2b2950f264281" /><Relationship Type="http://schemas.openxmlformats.org/officeDocument/2006/relationships/hyperlink" Target="https://doi.org/10.1016/j.jik.2023.100454" TargetMode="External" Id="Rfd23237adfc34f3d" /><Relationship Type="http://schemas.openxmlformats.org/officeDocument/2006/relationships/hyperlink" Target="https://investors.mclaren.com/~/media/Files/M/McLaren-Services/results-centre/2024/2023-mclaren-holdings-limited-annual-report.pdf" TargetMode="External" Id="Rc07410b298154eed" /><Relationship Type="http://schemas.openxmlformats.org/officeDocument/2006/relationships/hyperlink" Target="https://investors.mclaren.com/~/media/Files/M/McLaren-Services/results-centre/2024/q3-ytd-2024-results-presentations-v1.pdf" TargetMode="External" Id="Raa6b8bfa01b94cb0" /><Relationship Type="http://schemas.openxmlformats.org/officeDocument/2006/relationships/hyperlink" Target="https://doi.org/10.1002/joe.22250" TargetMode="External" Id="Re393be11ff2947b8" /><Relationship Type="http://schemas.openxmlformats.org/officeDocument/2006/relationships/hyperlink" Target="https://www.smmt.co.uk/automotive-insights/?utm_source=chatgpt.com" TargetMode="External" Id="Rde8e1ff665dd42d8" /><Relationship Type="http://schemas.microsoft.com/office/2020/10/relationships/intelligence" Target="intelligence2.xml" Id="R9bf644750cbe4b44" /><Relationship Type="http://schemas.openxmlformats.org/officeDocument/2006/relationships/numbering" Target="numbering.xml" Id="R115a462bb58149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2026-03-19T19:49:51.1663579Z</dcterms:created>
  <dcterms:modified xsi:type="dcterms:W3CDTF">2026-03-21T12:08:45.1351657Z</dcterms:modified>
  <dc:creator>Dana Pellegrini Babcinschii (2317100)</dc:creator>
  <lastModifiedBy>Dana Pellegrini Babcinschii (2317100)</lastModifiedBy>
</coreProperties>
</file>