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623EF" w14:textId="77777777" w:rsidR="006C4C80" w:rsidRPr="00B22A3F" w:rsidRDefault="006C4C80" w:rsidP="006C4C80">
      <w:pPr>
        <w:spacing w:line="360" w:lineRule="auto"/>
        <w:jc w:val="both"/>
        <w:rPr>
          <w:rFonts w:cs="Arial"/>
          <w:b/>
          <w:bCs/>
          <w:szCs w:val="24"/>
          <w:u w:val="single"/>
        </w:rPr>
      </w:pPr>
      <w:r w:rsidRPr="00B22A3F">
        <w:rPr>
          <w:rFonts w:cs="Arial"/>
          <w:b/>
          <w:bCs/>
          <w:szCs w:val="24"/>
          <w:u w:val="single"/>
        </w:rPr>
        <w:t>Safeguarding in an area which is not your main area of work</w:t>
      </w:r>
    </w:p>
    <w:p w14:paraId="293D5826" w14:textId="77777777" w:rsidR="006C4C80" w:rsidRDefault="006C4C80" w:rsidP="006C4C80">
      <w:pPr>
        <w:spacing w:line="360" w:lineRule="auto"/>
        <w:jc w:val="both"/>
        <w:rPr>
          <w:rFonts w:cs="Arial"/>
          <w:szCs w:val="24"/>
        </w:rPr>
      </w:pPr>
      <w:r w:rsidRPr="00B22A3F">
        <w:rPr>
          <w:rFonts w:cs="Arial"/>
          <w:b/>
          <w:bCs/>
          <w:szCs w:val="24"/>
          <w:u w:val="single"/>
        </w:rPr>
        <w:t xml:space="preserve">Question </w:t>
      </w:r>
      <w:r>
        <w:rPr>
          <w:rFonts w:cs="Arial"/>
          <w:b/>
          <w:bCs/>
          <w:szCs w:val="24"/>
          <w:u w:val="single"/>
        </w:rPr>
        <w:t>A</w:t>
      </w:r>
      <w:r w:rsidRPr="00B22A3F">
        <w:rPr>
          <w:rFonts w:cs="Arial"/>
          <w:szCs w:val="24"/>
        </w:rPr>
        <w:t>:</w:t>
      </w:r>
    </w:p>
    <w:p w14:paraId="316B78DB" w14:textId="77777777" w:rsidR="006C4C80" w:rsidRPr="00B22A3F" w:rsidRDefault="006C4C80" w:rsidP="006C4C80">
      <w:pPr>
        <w:spacing w:line="360" w:lineRule="auto"/>
        <w:jc w:val="both"/>
        <w:rPr>
          <w:rFonts w:cs="Arial"/>
          <w:szCs w:val="24"/>
        </w:rPr>
      </w:pPr>
    </w:p>
    <w:p w14:paraId="0308353D" w14:textId="77777777" w:rsidR="006C4C80" w:rsidRDefault="006C4C80" w:rsidP="006C4C80">
      <w:pPr>
        <w:spacing w:line="360" w:lineRule="auto"/>
        <w:jc w:val="both"/>
        <w:rPr>
          <w:rFonts w:cs="Arial"/>
          <w:szCs w:val="24"/>
        </w:rPr>
      </w:pPr>
      <w:r w:rsidRPr="00B22A3F">
        <w:rPr>
          <w:rFonts w:cs="Arial"/>
          <w:szCs w:val="24"/>
        </w:rPr>
        <w:t xml:space="preserve">In my role as supervising social worker, I work with both children and adults safeguarding, although I am social worker for the foster carers. In the previous assignment, I provided a case study example of safeguarding a child during a mum and baby parenting assessment. In this task, I will be demonstrating my knowledge and awareness of adult safeguarding. </w:t>
      </w:r>
    </w:p>
    <w:p w14:paraId="6CEF2A2B" w14:textId="77777777" w:rsidR="006C4C80" w:rsidRPr="00B22A3F" w:rsidRDefault="006C4C80" w:rsidP="006C4C80">
      <w:pPr>
        <w:spacing w:line="360" w:lineRule="auto"/>
        <w:jc w:val="both"/>
        <w:rPr>
          <w:rFonts w:cs="Arial"/>
          <w:szCs w:val="24"/>
        </w:rPr>
      </w:pPr>
    </w:p>
    <w:p w14:paraId="2E3198A1" w14:textId="77777777" w:rsidR="006C4C80" w:rsidRDefault="006C4C80" w:rsidP="006C4C80">
      <w:pPr>
        <w:spacing w:line="360" w:lineRule="auto"/>
        <w:jc w:val="both"/>
        <w:rPr>
          <w:rFonts w:cs="Arial"/>
          <w:szCs w:val="24"/>
        </w:rPr>
      </w:pPr>
      <w:r w:rsidRPr="00B22A3F">
        <w:rPr>
          <w:rFonts w:cs="Arial"/>
          <w:szCs w:val="24"/>
        </w:rPr>
        <w:t>If I was safeguarding at adult at risk, I would follow the Wales Safeguarding Procedures for adults</w:t>
      </w:r>
      <w:r>
        <w:rPr>
          <w:rFonts w:cs="Arial"/>
          <w:szCs w:val="24"/>
        </w:rPr>
        <w:t xml:space="preserve">, </w:t>
      </w:r>
      <w:r w:rsidRPr="00B22A3F">
        <w:rPr>
          <w:rFonts w:cs="Arial"/>
          <w:szCs w:val="24"/>
        </w:rPr>
        <w:t xml:space="preserve">Welsh Government </w:t>
      </w:r>
      <w:r>
        <w:rPr>
          <w:rFonts w:cs="Arial"/>
          <w:szCs w:val="24"/>
        </w:rPr>
        <w:t>(</w:t>
      </w:r>
      <w:r w:rsidRPr="00B22A3F">
        <w:rPr>
          <w:rFonts w:cs="Arial"/>
          <w:szCs w:val="24"/>
        </w:rPr>
        <w:t>2020), section 1-5, providing guidance for practice on responding to a</w:t>
      </w:r>
      <w:r>
        <w:rPr>
          <w:rFonts w:cs="Arial"/>
          <w:szCs w:val="24"/>
        </w:rPr>
        <w:t xml:space="preserve">n </w:t>
      </w:r>
      <w:r w:rsidRPr="00B22A3F">
        <w:rPr>
          <w:rFonts w:cs="Arial"/>
          <w:szCs w:val="24"/>
        </w:rPr>
        <w:t xml:space="preserve">adult at risk and </w:t>
      </w:r>
      <w:r>
        <w:rPr>
          <w:rFonts w:cs="Arial"/>
          <w:szCs w:val="24"/>
        </w:rPr>
        <w:t>intervention</w:t>
      </w:r>
      <w:r w:rsidRPr="00B22A3F">
        <w:rPr>
          <w:rFonts w:cs="Arial"/>
          <w:szCs w:val="24"/>
        </w:rPr>
        <w:t xml:space="preserve"> for support/assessment. This also includes specific guidance on </w:t>
      </w:r>
      <w:r>
        <w:rPr>
          <w:rFonts w:cs="Arial"/>
          <w:szCs w:val="24"/>
        </w:rPr>
        <w:t xml:space="preserve">safeguarding concerns/allegations for </w:t>
      </w:r>
      <w:r w:rsidRPr="00B22A3F">
        <w:rPr>
          <w:rFonts w:cs="Arial"/>
          <w:szCs w:val="24"/>
        </w:rPr>
        <w:t>adults in a position of trust, for example, social workers, teachers and those in a caring role or working with children. I have experienced this in my role, when a foster carer received an allegation from a young person, and this resulted in an investigation by the local authority.</w:t>
      </w:r>
    </w:p>
    <w:p w14:paraId="3FB91D59" w14:textId="77777777" w:rsidR="006C4C80" w:rsidRPr="00B22A3F" w:rsidRDefault="006C4C80" w:rsidP="006C4C80">
      <w:pPr>
        <w:spacing w:line="360" w:lineRule="auto"/>
        <w:jc w:val="both"/>
        <w:rPr>
          <w:rFonts w:cs="Arial"/>
          <w:szCs w:val="24"/>
        </w:rPr>
      </w:pPr>
    </w:p>
    <w:p w14:paraId="3BA7B666" w14:textId="77777777" w:rsidR="006C4C80" w:rsidRDefault="006C4C80" w:rsidP="006C4C80">
      <w:pPr>
        <w:spacing w:line="360" w:lineRule="auto"/>
        <w:jc w:val="both"/>
        <w:rPr>
          <w:rFonts w:cs="Arial"/>
          <w:szCs w:val="24"/>
        </w:rPr>
      </w:pPr>
      <w:r w:rsidRPr="00B22A3F">
        <w:rPr>
          <w:rFonts w:cs="Arial"/>
          <w:szCs w:val="24"/>
        </w:rPr>
        <w:t xml:space="preserve">Social Services and Well-being Wales Act 2014 provides a foundation for social workers to promote a person-centred approach to working with individuals and in co-production. </w:t>
      </w:r>
      <w:r>
        <w:rPr>
          <w:rFonts w:cs="Arial"/>
          <w:szCs w:val="24"/>
        </w:rPr>
        <w:t xml:space="preserve">Part 7 refers to safeguarding and provides guidance for practice. </w:t>
      </w:r>
      <w:r w:rsidRPr="00B22A3F">
        <w:rPr>
          <w:rFonts w:cs="Arial"/>
          <w:szCs w:val="24"/>
        </w:rPr>
        <w:t xml:space="preserve">These principles are also </w:t>
      </w:r>
      <w:r>
        <w:rPr>
          <w:rFonts w:cs="Arial"/>
          <w:szCs w:val="24"/>
        </w:rPr>
        <w:t>embed</w:t>
      </w:r>
      <w:r w:rsidRPr="00B22A3F">
        <w:rPr>
          <w:rFonts w:cs="Arial"/>
          <w:szCs w:val="24"/>
        </w:rPr>
        <w:t>d</w:t>
      </w:r>
      <w:r>
        <w:rPr>
          <w:rFonts w:cs="Arial"/>
          <w:szCs w:val="24"/>
        </w:rPr>
        <w:t>ed</w:t>
      </w:r>
      <w:r w:rsidRPr="00B22A3F">
        <w:rPr>
          <w:rFonts w:cs="Arial"/>
          <w:szCs w:val="24"/>
        </w:rPr>
        <w:t xml:space="preserve"> in the Codes of Professional Practice. When working with adults, we often say they are an expert in their own experience Parker</w:t>
      </w:r>
      <w:r>
        <w:rPr>
          <w:rFonts w:cs="Arial"/>
          <w:szCs w:val="24"/>
        </w:rPr>
        <w:t xml:space="preserve"> (</w:t>
      </w:r>
      <w:r w:rsidRPr="00B22A3F">
        <w:rPr>
          <w:rFonts w:cs="Arial"/>
          <w:szCs w:val="24"/>
        </w:rPr>
        <w:t xml:space="preserve">2020), with this positively </w:t>
      </w:r>
      <w:r>
        <w:rPr>
          <w:rFonts w:cs="Arial"/>
          <w:szCs w:val="24"/>
        </w:rPr>
        <w:t>encouraging</w:t>
      </w:r>
      <w:r w:rsidRPr="00B22A3F">
        <w:rPr>
          <w:rFonts w:cs="Arial"/>
          <w:szCs w:val="24"/>
        </w:rPr>
        <w:t xml:space="preserve"> partnership working and an exchange model in assessment (Fook, 2016). I would endeavour to use this approach to ensure I am delivering strengths-based practice Saleeby </w:t>
      </w:r>
      <w:r>
        <w:rPr>
          <w:rFonts w:cs="Arial"/>
          <w:szCs w:val="24"/>
        </w:rPr>
        <w:t>(</w:t>
      </w:r>
      <w:r w:rsidRPr="00B22A3F">
        <w:rPr>
          <w:rFonts w:cs="Arial"/>
          <w:szCs w:val="24"/>
        </w:rPr>
        <w:t xml:space="preserve">1996), alongside individuals needs and safety being paramount importance. This legislation also gives guidance on well-being outcomes and a duty to assess adults </w:t>
      </w:r>
      <w:r>
        <w:rPr>
          <w:rFonts w:cs="Arial"/>
          <w:szCs w:val="24"/>
        </w:rPr>
        <w:t>in need of</w:t>
      </w:r>
      <w:r w:rsidRPr="00B22A3F">
        <w:rPr>
          <w:rFonts w:cs="Arial"/>
          <w:szCs w:val="24"/>
        </w:rPr>
        <w:t xml:space="preserve"> care and support (part 2: general functions and part 3: assessing the needs of individuals). </w:t>
      </w:r>
    </w:p>
    <w:p w14:paraId="2C0D4371" w14:textId="77777777" w:rsidR="006C4C80" w:rsidRPr="00B22A3F" w:rsidRDefault="006C4C80" w:rsidP="006C4C80">
      <w:pPr>
        <w:spacing w:line="360" w:lineRule="auto"/>
        <w:jc w:val="both"/>
        <w:rPr>
          <w:rFonts w:cs="Arial"/>
          <w:szCs w:val="24"/>
        </w:rPr>
      </w:pPr>
    </w:p>
    <w:p w14:paraId="13E11E78" w14:textId="77777777" w:rsidR="006C4C80" w:rsidRDefault="006C4C80" w:rsidP="006C4C80">
      <w:pPr>
        <w:spacing w:line="360" w:lineRule="auto"/>
        <w:jc w:val="both"/>
        <w:rPr>
          <w:rFonts w:cs="Arial"/>
          <w:szCs w:val="24"/>
        </w:rPr>
      </w:pPr>
      <w:r w:rsidRPr="00B22A3F">
        <w:rPr>
          <w:rFonts w:cs="Arial"/>
          <w:szCs w:val="24"/>
        </w:rPr>
        <w:t xml:space="preserve">I would consider the locality I was working with the individual and the local authority’s policies and procedures on adults safeguarding. Although we have national and UK law/legislation, each county has their own way of working and employees have a duty to adhere to this. Furthermore, I would ensure the active offer was considered as </w:t>
      </w:r>
      <w:r w:rsidRPr="00B22A3F">
        <w:rPr>
          <w:rFonts w:cs="Arial"/>
          <w:szCs w:val="24"/>
        </w:rPr>
        <w:lastRenderedPageBreak/>
        <w:t xml:space="preserve">required by the Welsh Language </w:t>
      </w:r>
      <w:r>
        <w:rPr>
          <w:rFonts w:cs="Arial"/>
          <w:szCs w:val="24"/>
        </w:rPr>
        <w:t xml:space="preserve">(Wales) </w:t>
      </w:r>
      <w:r w:rsidRPr="00B22A3F">
        <w:rPr>
          <w:rFonts w:cs="Arial"/>
          <w:szCs w:val="24"/>
        </w:rPr>
        <w:t>Measure 2011. This would support individuals receiving the services needed</w:t>
      </w:r>
      <w:r>
        <w:rPr>
          <w:rFonts w:cs="Arial"/>
          <w:szCs w:val="24"/>
        </w:rPr>
        <w:t xml:space="preserve"> and making adaptations, </w:t>
      </w:r>
      <w:r w:rsidRPr="00B22A3F">
        <w:rPr>
          <w:rFonts w:cs="Arial"/>
          <w:szCs w:val="24"/>
        </w:rPr>
        <w:t>such as Welsh speaking professionals or a translator.</w:t>
      </w:r>
    </w:p>
    <w:p w14:paraId="3E5AA1F5" w14:textId="77777777" w:rsidR="006C4C80" w:rsidRPr="00B22A3F" w:rsidRDefault="006C4C80" w:rsidP="006C4C80">
      <w:pPr>
        <w:spacing w:line="360" w:lineRule="auto"/>
        <w:jc w:val="both"/>
        <w:rPr>
          <w:rFonts w:cs="Arial"/>
          <w:szCs w:val="24"/>
        </w:rPr>
      </w:pPr>
    </w:p>
    <w:p w14:paraId="36040EF8" w14:textId="77777777" w:rsidR="006C4C80" w:rsidRDefault="006C4C80" w:rsidP="006C4C80">
      <w:pPr>
        <w:spacing w:line="360" w:lineRule="auto"/>
        <w:jc w:val="both"/>
        <w:rPr>
          <w:rFonts w:cs="Arial"/>
          <w:szCs w:val="24"/>
        </w:rPr>
      </w:pPr>
      <w:r w:rsidRPr="00B22A3F">
        <w:rPr>
          <w:rFonts w:cs="Arial"/>
          <w:szCs w:val="24"/>
        </w:rPr>
        <w:t>Law and legislation have introduced local and national safeguarding boards, in Wales and the UK, including the North Wales Safeguarding Board</w:t>
      </w:r>
      <w:r>
        <w:rPr>
          <w:rFonts w:cs="Arial"/>
          <w:szCs w:val="24"/>
        </w:rPr>
        <w:t xml:space="preserve">. </w:t>
      </w:r>
      <w:r w:rsidRPr="00B22A3F">
        <w:rPr>
          <w:rFonts w:cs="Arial"/>
          <w:szCs w:val="24"/>
        </w:rPr>
        <w:t>Safeguarding adults can be complex. For children and young people under 18, this intervention is decided within their best interests by social services. An adult has freedom of choice,</w:t>
      </w:r>
      <w:r>
        <w:rPr>
          <w:rFonts w:cs="Arial"/>
          <w:szCs w:val="24"/>
        </w:rPr>
        <w:t xml:space="preserve"> even if an unwise decision.</w:t>
      </w:r>
      <w:r w:rsidRPr="00B22A3F">
        <w:rPr>
          <w:rFonts w:cs="Arial"/>
          <w:szCs w:val="24"/>
        </w:rPr>
        <w:t xml:space="preserve"> if they have </w:t>
      </w:r>
      <w:r>
        <w:rPr>
          <w:rFonts w:cs="Arial"/>
          <w:szCs w:val="24"/>
        </w:rPr>
        <w:t xml:space="preserve">mental </w:t>
      </w:r>
      <w:r w:rsidRPr="00B22A3F">
        <w:rPr>
          <w:rFonts w:cs="Arial"/>
          <w:szCs w:val="24"/>
        </w:rPr>
        <w:t>capacity, they may decide to remain in a vulnerable situation. However, the dynamic of this would differ if there were concerns for an adult who was a caregiver to a child(ren</w:t>
      </w:r>
      <w:r>
        <w:rPr>
          <w:rFonts w:cs="Arial"/>
          <w:szCs w:val="24"/>
        </w:rPr>
        <w:t xml:space="preserve">), as </w:t>
      </w:r>
      <w:r w:rsidRPr="00B22A3F">
        <w:rPr>
          <w:rFonts w:cs="Arial"/>
          <w:szCs w:val="24"/>
        </w:rPr>
        <w:t>safeguarding</w:t>
      </w:r>
      <w:r>
        <w:rPr>
          <w:rFonts w:cs="Arial"/>
          <w:szCs w:val="24"/>
        </w:rPr>
        <w:t xml:space="preserve"> intervention may be required</w:t>
      </w:r>
      <w:r w:rsidRPr="00B22A3F">
        <w:rPr>
          <w:rFonts w:cs="Arial"/>
          <w:szCs w:val="24"/>
        </w:rPr>
        <w:t xml:space="preserve">. For example, </w:t>
      </w:r>
      <w:r>
        <w:rPr>
          <w:rFonts w:cs="Arial"/>
          <w:szCs w:val="24"/>
        </w:rPr>
        <w:t xml:space="preserve">if there are </w:t>
      </w:r>
      <w:r w:rsidRPr="00B22A3F">
        <w:rPr>
          <w:rFonts w:cs="Arial"/>
          <w:szCs w:val="24"/>
        </w:rPr>
        <w:t xml:space="preserve">mental health concerns for a parent/primary care giver, the local authority would have a duty of care to intervene and ensure the child was protected from risk or harm. </w:t>
      </w:r>
    </w:p>
    <w:p w14:paraId="54BF0733" w14:textId="77777777" w:rsidR="006C4C80" w:rsidRPr="00B22A3F" w:rsidRDefault="006C4C80" w:rsidP="006C4C80">
      <w:pPr>
        <w:spacing w:line="360" w:lineRule="auto"/>
        <w:jc w:val="both"/>
        <w:rPr>
          <w:rFonts w:cs="Arial"/>
          <w:szCs w:val="24"/>
        </w:rPr>
      </w:pPr>
    </w:p>
    <w:p w14:paraId="3F8417D4" w14:textId="77777777" w:rsidR="006C4C80" w:rsidRPr="00B22A3F" w:rsidRDefault="006C4C80" w:rsidP="006C4C80">
      <w:pPr>
        <w:spacing w:line="360" w:lineRule="auto"/>
        <w:jc w:val="both"/>
        <w:rPr>
          <w:rFonts w:cs="Arial"/>
          <w:szCs w:val="24"/>
        </w:rPr>
      </w:pPr>
      <w:r w:rsidRPr="00B22A3F">
        <w:rPr>
          <w:rFonts w:cs="Arial"/>
          <w:szCs w:val="24"/>
        </w:rPr>
        <w:t>Word count: 5</w:t>
      </w:r>
      <w:r>
        <w:rPr>
          <w:rFonts w:cs="Arial"/>
          <w:szCs w:val="24"/>
        </w:rPr>
        <w:t>13</w:t>
      </w:r>
    </w:p>
    <w:p w14:paraId="4992F3DC" w14:textId="77777777" w:rsidR="006C4C80" w:rsidRDefault="006C4C80" w:rsidP="006C4C80">
      <w:pPr>
        <w:suppressAutoHyphens w:val="0"/>
        <w:spacing w:after="160" w:line="278" w:lineRule="auto"/>
        <w:rPr>
          <w:rFonts w:cs="Arial"/>
          <w:szCs w:val="24"/>
        </w:rPr>
      </w:pPr>
      <w:r>
        <w:rPr>
          <w:rFonts w:cs="Arial"/>
          <w:szCs w:val="24"/>
        </w:rPr>
        <w:br w:type="page"/>
      </w:r>
    </w:p>
    <w:p w14:paraId="25A22294" w14:textId="77777777" w:rsidR="006C4C80" w:rsidRPr="00B22A3F" w:rsidRDefault="006C4C80" w:rsidP="006C4C80">
      <w:pPr>
        <w:spacing w:line="360" w:lineRule="auto"/>
        <w:jc w:val="both"/>
        <w:rPr>
          <w:rFonts w:cs="Arial"/>
          <w:szCs w:val="24"/>
        </w:rPr>
      </w:pPr>
    </w:p>
    <w:p w14:paraId="58155192" w14:textId="77777777" w:rsidR="006C4C80" w:rsidRDefault="006C4C80" w:rsidP="006C4C80">
      <w:pPr>
        <w:spacing w:line="360" w:lineRule="auto"/>
        <w:jc w:val="both"/>
        <w:rPr>
          <w:rFonts w:cs="Arial"/>
          <w:szCs w:val="24"/>
        </w:rPr>
      </w:pPr>
      <w:r w:rsidRPr="00B22A3F">
        <w:rPr>
          <w:rFonts w:cs="Arial"/>
          <w:b/>
          <w:bCs/>
          <w:szCs w:val="24"/>
          <w:u w:val="single"/>
        </w:rPr>
        <w:t>Question B</w:t>
      </w:r>
      <w:r w:rsidRPr="00B22A3F">
        <w:rPr>
          <w:rFonts w:cs="Arial"/>
          <w:szCs w:val="24"/>
        </w:rPr>
        <w:t>:</w:t>
      </w:r>
    </w:p>
    <w:p w14:paraId="44E724A8" w14:textId="77777777" w:rsidR="006C4C80" w:rsidRPr="00B22A3F" w:rsidRDefault="006C4C80" w:rsidP="006C4C80">
      <w:pPr>
        <w:spacing w:line="360" w:lineRule="auto"/>
        <w:jc w:val="both"/>
        <w:rPr>
          <w:rFonts w:cs="Arial"/>
          <w:szCs w:val="24"/>
        </w:rPr>
      </w:pPr>
    </w:p>
    <w:p w14:paraId="727619F8" w14:textId="77777777" w:rsidR="006C4C80" w:rsidRDefault="006C4C80" w:rsidP="006C4C80">
      <w:pPr>
        <w:spacing w:line="360" w:lineRule="auto"/>
        <w:jc w:val="both"/>
        <w:rPr>
          <w:rFonts w:cs="Arial"/>
          <w:szCs w:val="24"/>
        </w:rPr>
      </w:pPr>
      <w:r w:rsidRPr="00B22A3F">
        <w:rPr>
          <w:rFonts w:cs="Arial"/>
          <w:i/>
          <w:iCs/>
          <w:szCs w:val="24"/>
        </w:rPr>
        <w:t>An “adult at risk” is an adult who; is experiencing or is at risk of abuse or neglect,</w:t>
      </w:r>
      <w:r w:rsidRPr="00B22A3F">
        <w:rPr>
          <w:rFonts w:cs="Arial"/>
          <w:i/>
          <w:iCs/>
          <w:szCs w:val="24"/>
        </w:rPr>
        <w:br/>
        <w:t>has needs for care and support (</w:t>
      </w:r>
      <w:proofErr w:type="gramStart"/>
      <w:r w:rsidRPr="00B22A3F">
        <w:rPr>
          <w:rFonts w:cs="Arial"/>
          <w:i/>
          <w:iCs/>
          <w:szCs w:val="24"/>
        </w:rPr>
        <w:t>whether or not</w:t>
      </w:r>
      <w:proofErr w:type="gramEnd"/>
      <w:r w:rsidRPr="00B22A3F">
        <w:rPr>
          <w:rFonts w:cs="Arial"/>
          <w:i/>
          <w:iCs/>
          <w:szCs w:val="24"/>
        </w:rPr>
        <w:t xml:space="preserve"> the authority is meeting any of those needs). As a result of those needs is unable to protect himself or herself against the abuse or neglect or the risk of it.’</w:t>
      </w:r>
      <w:r w:rsidRPr="00B22A3F">
        <w:rPr>
          <w:rFonts w:cs="Arial"/>
          <w:szCs w:val="24"/>
        </w:rPr>
        <w:t xml:space="preserve"> – North Wales Safeguarding Board </w:t>
      </w:r>
    </w:p>
    <w:p w14:paraId="37CF303C" w14:textId="77777777" w:rsidR="006C4C80" w:rsidRPr="00B22A3F" w:rsidRDefault="006C4C80" w:rsidP="006C4C80">
      <w:pPr>
        <w:spacing w:line="360" w:lineRule="auto"/>
        <w:jc w:val="both"/>
        <w:rPr>
          <w:rFonts w:cs="Arial"/>
          <w:szCs w:val="24"/>
        </w:rPr>
      </w:pPr>
    </w:p>
    <w:p w14:paraId="227A526D" w14:textId="77777777" w:rsidR="006C4C80" w:rsidRDefault="006C4C80" w:rsidP="006C4C80">
      <w:pPr>
        <w:spacing w:line="360" w:lineRule="auto"/>
        <w:jc w:val="both"/>
        <w:rPr>
          <w:rFonts w:cs="Arial"/>
          <w:szCs w:val="24"/>
        </w:rPr>
      </w:pPr>
      <w:r w:rsidRPr="00B22A3F">
        <w:rPr>
          <w:rFonts w:cs="Arial"/>
          <w:szCs w:val="24"/>
        </w:rPr>
        <w:t xml:space="preserve">One main difference between adults and children’s safeguarding, is adults with mental capacity, can make their own decisions whether to engage with support. In this case, </w:t>
      </w:r>
      <w:r>
        <w:rPr>
          <w:rFonts w:cs="Arial"/>
          <w:szCs w:val="24"/>
        </w:rPr>
        <w:t>adult 1</w:t>
      </w:r>
      <w:r w:rsidRPr="00B22A3F">
        <w:rPr>
          <w:rFonts w:cs="Arial"/>
          <w:szCs w:val="24"/>
        </w:rPr>
        <w:t xml:space="preserve"> can make these judgements for herself, and it would be her choice whether she follows up with professionals/services and completes the referral for well-being support. This is a focus in all adults safeguarding and therefore, protecting adults from harm can be complex. Adults have the freedom to make unwise decisions and engage in support. Only adults already receiving care and support will be eligible for social care involvement and intervention, as the local authority does not have the resources to offer this to all individuals. A critical reflection of this could be that some adults are therefore reaching crisis point by the time they receive support, as it may not meet the threshold prior to this. However, Wales Safeguarding Procedures</w:t>
      </w:r>
      <w:r>
        <w:rPr>
          <w:rFonts w:cs="Arial"/>
          <w:szCs w:val="24"/>
        </w:rPr>
        <w:t xml:space="preserve">, </w:t>
      </w:r>
      <w:r w:rsidRPr="00B22A3F">
        <w:rPr>
          <w:rFonts w:cs="Arial"/>
          <w:szCs w:val="24"/>
        </w:rPr>
        <w:t xml:space="preserve">Welsh Government </w:t>
      </w:r>
      <w:r>
        <w:rPr>
          <w:rFonts w:cs="Arial"/>
          <w:szCs w:val="24"/>
        </w:rPr>
        <w:t>(</w:t>
      </w:r>
      <w:r w:rsidRPr="00B22A3F">
        <w:rPr>
          <w:rFonts w:cs="Arial"/>
          <w:szCs w:val="24"/>
        </w:rPr>
        <w:t xml:space="preserve">2020) highlights the importance of early intervention to prevent risk and escalation of need/harm. </w:t>
      </w:r>
    </w:p>
    <w:p w14:paraId="49B8F743" w14:textId="77777777" w:rsidR="006C4C80" w:rsidRPr="00B22A3F" w:rsidRDefault="006C4C80" w:rsidP="006C4C80">
      <w:pPr>
        <w:spacing w:line="360" w:lineRule="auto"/>
        <w:jc w:val="both"/>
        <w:rPr>
          <w:rFonts w:cs="Arial"/>
          <w:szCs w:val="24"/>
        </w:rPr>
      </w:pPr>
    </w:p>
    <w:p w14:paraId="57F2B31C" w14:textId="77777777" w:rsidR="006C4C80" w:rsidRDefault="006C4C80" w:rsidP="006C4C80">
      <w:pPr>
        <w:spacing w:line="360" w:lineRule="auto"/>
        <w:jc w:val="both"/>
        <w:rPr>
          <w:rFonts w:cs="Arial"/>
          <w:szCs w:val="24"/>
        </w:rPr>
      </w:pPr>
      <w:r w:rsidRPr="00B22A3F">
        <w:rPr>
          <w:rFonts w:cs="Arial"/>
          <w:szCs w:val="24"/>
        </w:rPr>
        <w:t xml:space="preserve">Additionally, there are different </w:t>
      </w:r>
      <w:r>
        <w:rPr>
          <w:rFonts w:cs="Arial"/>
          <w:szCs w:val="24"/>
        </w:rPr>
        <w:t xml:space="preserve">identified risks </w:t>
      </w:r>
      <w:r w:rsidRPr="00B22A3F">
        <w:rPr>
          <w:rFonts w:cs="Arial"/>
          <w:szCs w:val="24"/>
        </w:rPr>
        <w:t xml:space="preserve">and categories of abuse for adults, that is not as prevalent in children. Including financial abuse and self-neglect. In 2023, a government report highlighted 16% of adults in the UK stated they had experienced economic abuse. This is </w:t>
      </w:r>
      <w:r>
        <w:rPr>
          <w:rFonts w:cs="Arial"/>
          <w:szCs w:val="24"/>
        </w:rPr>
        <w:t>i</w:t>
      </w:r>
      <w:r w:rsidRPr="00B22A3F">
        <w:rPr>
          <w:rFonts w:cs="Arial"/>
          <w:szCs w:val="24"/>
        </w:rPr>
        <w:t xml:space="preserve">ncluded as a category of abuse in the Domestic Abuse Act 2021. Financial Abuse is also </w:t>
      </w:r>
      <w:r>
        <w:rPr>
          <w:rFonts w:cs="Arial"/>
          <w:szCs w:val="24"/>
        </w:rPr>
        <w:t xml:space="preserve">stated </w:t>
      </w:r>
      <w:r w:rsidRPr="00B22A3F">
        <w:rPr>
          <w:rFonts w:cs="Arial"/>
          <w:szCs w:val="24"/>
        </w:rPr>
        <w:t>as a form of abuse in Section 42 (3) of the Care Act 2014.</w:t>
      </w:r>
      <w:r>
        <w:rPr>
          <w:rFonts w:cs="Arial"/>
          <w:szCs w:val="24"/>
        </w:rPr>
        <w:t xml:space="preserve"> </w:t>
      </w:r>
    </w:p>
    <w:p w14:paraId="14CE16FC" w14:textId="77777777" w:rsidR="006C4C80" w:rsidRDefault="006C4C80" w:rsidP="006C4C80">
      <w:pPr>
        <w:spacing w:line="360" w:lineRule="auto"/>
        <w:jc w:val="both"/>
        <w:rPr>
          <w:rFonts w:cs="Arial"/>
          <w:szCs w:val="24"/>
        </w:rPr>
      </w:pPr>
    </w:p>
    <w:p w14:paraId="415484E8" w14:textId="77777777" w:rsidR="006C4C80" w:rsidRDefault="006C4C80" w:rsidP="006C4C80">
      <w:pPr>
        <w:spacing w:line="360" w:lineRule="auto"/>
        <w:jc w:val="both"/>
        <w:rPr>
          <w:rFonts w:cs="Arial"/>
          <w:szCs w:val="24"/>
        </w:rPr>
      </w:pPr>
      <w:r w:rsidRPr="00B22A3F">
        <w:rPr>
          <w:rFonts w:cs="Arial"/>
          <w:szCs w:val="24"/>
        </w:rPr>
        <w:t xml:space="preserve">Although adults have </w:t>
      </w:r>
      <w:r>
        <w:rPr>
          <w:rFonts w:cs="Arial"/>
          <w:szCs w:val="24"/>
        </w:rPr>
        <w:t xml:space="preserve">the </w:t>
      </w:r>
      <w:r w:rsidRPr="00B22A3F">
        <w:rPr>
          <w:rFonts w:cs="Arial"/>
          <w:szCs w:val="24"/>
        </w:rPr>
        <w:t>right</w:t>
      </w:r>
      <w:r>
        <w:rPr>
          <w:rFonts w:cs="Arial"/>
          <w:szCs w:val="24"/>
        </w:rPr>
        <w:t xml:space="preserve"> </w:t>
      </w:r>
      <w:r w:rsidRPr="00B22A3F">
        <w:rPr>
          <w:rFonts w:cs="Arial"/>
          <w:szCs w:val="24"/>
        </w:rPr>
        <w:t xml:space="preserve">to live free from harm, it can be challenging to eliminate risk completely. The Human Rights Act 1898 and Equality Act 2010 stipulate the need for a fair and enabling society, underlining protected characteristics and without discrimination (Thompson, 2020). However, the Mental Health Act 2007 and Mental Capacity Act 2005, enable professionals to exert the right to make decisions on behalf </w:t>
      </w:r>
      <w:r w:rsidRPr="00B22A3F">
        <w:rPr>
          <w:rFonts w:cs="Arial"/>
          <w:szCs w:val="24"/>
        </w:rPr>
        <w:lastRenderedPageBreak/>
        <w:t xml:space="preserve">of an individual, if they are putting themselves at harm or without capacity to keep themselves safe. </w:t>
      </w:r>
    </w:p>
    <w:p w14:paraId="627B9D6F" w14:textId="77777777" w:rsidR="006C4C80" w:rsidRPr="00B22A3F" w:rsidRDefault="006C4C80" w:rsidP="006C4C80">
      <w:pPr>
        <w:spacing w:line="360" w:lineRule="auto"/>
        <w:jc w:val="both"/>
        <w:rPr>
          <w:rFonts w:cs="Arial"/>
          <w:szCs w:val="24"/>
        </w:rPr>
      </w:pPr>
    </w:p>
    <w:p w14:paraId="3B538D68" w14:textId="77777777" w:rsidR="006C4C80" w:rsidRPr="00B22A3F" w:rsidRDefault="006C4C80" w:rsidP="006C4C80">
      <w:pPr>
        <w:spacing w:line="360" w:lineRule="auto"/>
        <w:jc w:val="both"/>
        <w:rPr>
          <w:rFonts w:cs="Arial"/>
          <w:szCs w:val="24"/>
        </w:rPr>
      </w:pPr>
      <w:r w:rsidRPr="00B22A3F">
        <w:rPr>
          <w:rFonts w:cs="Arial"/>
          <w:szCs w:val="24"/>
        </w:rPr>
        <w:t>In children and adults safeguarding, I aim to deliver a trauma-informed approach based on the needs of the individual, MacFarlane (2023). I endeavour to balance this therapeutic way of working alongside theory/evidenced based practice</w:t>
      </w:r>
      <w:r>
        <w:rPr>
          <w:rFonts w:cs="Arial"/>
          <w:szCs w:val="24"/>
        </w:rPr>
        <w:t xml:space="preserve">, </w:t>
      </w:r>
      <w:r w:rsidRPr="00B22A3F">
        <w:rPr>
          <w:rFonts w:cs="Arial"/>
          <w:szCs w:val="24"/>
        </w:rPr>
        <w:t xml:space="preserve">Mclean </w:t>
      </w:r>
      <w:r>
        <w:rPr>
          <w:rFonts w:cs="Arial"/>
          <w:szCs w:val="24"/>
        </w:rPr>
        <w:t>(</w:t>
      </w:r>
      <w:r w:rsidRPr="00B22A3F">
        <w:rPr>
          <w:rFonts w:cs="Arial"/>
          <w:szCs w:val="24"/>
        </w:rPr>
        <w:t xml:space="preserve">2015) to create a holistic overview and an objective, reflective analysis. </w:t>
      </w:r>
    </w:p>
    <w:p w14:paraId="0F649FB5" w14:textId="77777777" w:rsidR="006C4C80" w:rsidRPr="00B22A3F" w:rsidRDefault="006C4C80" w:rsidP="006C4C80">
      <w:pPr>
        <w:spacing w:line="360" w:lineRule="auto"/>
        <w:jc w:val="both"/>
        <w:rPr>
          <w:rFonts w:cs="Arial"/>
          <w:szCs w:val="24"/>
        </w:rPr>
      </w:pPr>
    </w:p>
    <w:p w14:paraId="224F9CD3" w14:textId="77777777" w:rsidR="006C4C80" w:rsidRDefault="006C4C80" w:rsidP="006C4C80">
      <w:pPr>
        <w:spacing w:line="360" w:lineRule="auto"/>
        <w:jc w:val="both"/>
        <w:rPr>
          <w:rFonts w:cs="Arial"/>
          <w:szCs w:val="24"/>
        </w:rPr>
      </w:pPr>
      <w:r w:rsidRPr="00B22A3F">
        <w:rPr>
          <w:rFonts w:cs="Arial"/>
          <w:szCs w:val="24"/>
        </w:rPr>
        <w:t>Word count: 43</w:t>
      </w:r>
      <w:r>
        <w:rPr>
          <w:rFonts w:cs="Arial"/>
          <w:szCs w:val="24"/>
        </w:rPr>
        <w:t>2</w:t>
      </w:r>
    </w:p>
    <w:p w14:paraId="7EDDDE0B" w14:textId="77777777" w:rsidR="006C4C80" w:rsidRDefault="006C4C80"/>
    <w:sectPr w:rsidR="006C4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80"/>
    <w:rsid w:val="006C4C80"/>
    <w:rsid w:val="00792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0CE32"/>
  <w15:chartTrackingRefBased/>
  <w15:docId w15:val="{3B1BF798-4C09-48D3-98D6-F04CBAE09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80"/>
    <w:pPr>
      <w:suppressAutoHyphens/>
      <w:spacing w:after="0" w:line="240" w:lineRule="auto"/>
    </w:pPr>
    <w:rPr>
      <w:rFonts w:ascii="Arial" w:hAnsi="Arial"/>
      <w:kern w:val="0"/>
      <w:szCs w:val="22"/>
      <w14:ligatures w14:val="none"/>
    </w:rPr>
  </w:style>
  <w:style w:type="paragraph" w:styleId="Heading1">
    <w:name w:val="heading 1"/>
    <w:basedOn w:val="Normal"/>
    <w:next w:val="Normal"/>
    <w:link w:val="Heading1Char"/>
    <w:uiPriority w:val="9"/>
    <w:qFormat/>
    <w:rsid w:val="006C4C80"/>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C4C80"/>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C4C80"/>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C4C80"/>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6C4C80"/>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6C4C80"/>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6C4C80"/>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6C4C80"/>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6C4C80"/>
    <w:pPr>
      <w:keepNext/>
      <w:keepLines/>
      <w:suppressAutoHyphens w:val="0"/>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C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C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C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C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C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C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C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C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C80"/>
    <w:rPr>
      <w:rFonts w:eastAsiaTheme="majorEastAsia" w:cstheme="majorBidi"/>
      <w:color w:val="272727" w:themeColor="text1" w:themeTint="D8"/>
    </w:rPr>
  </w:style>
  <w:style w:type="paragraph" w:styleId="Title">
    <w:name w:val="Title"/>
    <w:basedOn w:val="Normal"/>
    <w:next w:val="Normal"/>
    <w:link w:val="TitleChar"/>
    <w:uiPriority w:val="10"/>
    <w:qFormat/>
    <w:rsid w:val="006C4C80"/>
    <w:pPr>
      <w:suppressAutoHyphens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C4C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C80"/>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C4C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C80"/>
    <w:pPr>
      <w:suppressAutoHyphens w:val="0"/>
      <w:spacing w:before="160" w:after="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6C4C80"/>
    <w:rPr>
      <w:i/>
      <w:iCs/>
      <w:color w:val="404040" w:themeColor="text1" w:themeTint="BF"/>
    </w:rPr>
  </w:style>
  <w:style w:type="paragraph" w:styleId="ListParagraph">
    <w:name w:val="List Paragraph"/>
    <w:basedOn w:val="Normal"/>
    <w:uiPriority w:val="34"/>
    <w:qFormat/>
    <w:rsid w:val="006C4C80"/>
    <w:pPr>
      <w:suppressAutoHyphens w:val="0"/>
      <w:spacing w:after="160"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6C4C80"/>
    <w:rPr>
      <w:i/>
      <w:iCs/>
      <w:color w:val="0F4761" w:themeColor="accent1" w:themeShade="BF"/>
    </w:rPr>
  </w:style>
  <w:style w:type="paragraph" w:styleId="IntenseQuote">
    <w:name w:val="Intense Quote"/>
    <w:basedOn w:val="Normal"/>
    <w:next w:val="Normal"/>
    <w:link w:val="IntenseQuoteChar"/>
    <w:uiPriority w:val="30"/>
    <w:qFormat/>
    <w:rsid w:val="006C4C80"/>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6C4C80"/>
    <w:rPr>
      <w:i/>
      <w:iCs/>
      <w:color w:val="0F4761" w:themeColor="accent1" w:themeShade="BF"/>
    </w:rPr>
  </w:style>
  <w:style w:type="character" w:styleId="IntenseReference">
    <w:name w:val="Intense Reference"/>
    <w:basedOn w:val="DefaultParagraphFont"/>
    <w:uiPriority w:val="32"/>
    <w:qFormat/>
    <w:rsid w:val="006C4C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891</Words>
  <Characters>5080</Characters>
  <Application>Microsoft Office Word</Application>
  <DocSecurity>0</DocSecurity>
  <Lines>42</Lines>
  <Paragraphs>11</Paragraphs>
  <ScaleCrop>false</ScaleCrop>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Blair</dc:creator>
  <cp:keywords/>
  <dc:description/>
  <cp:lastModifiedBy>Caroline Blair</cp:lastModifiedBy>
  <cp:revision>1</cp:revision>
  <dcterms:created xsi:type="dcterms:W3CDTF">2024-10-02T15:07:00Z</dcterms:created>
  <dcterms:modified xsi:type="dcterms:W3CDTF">2024-10-02T15:07:00Z</dcterms:modified>
</cp:coreProperties>
</file>