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0FBB08" w14:textId="77777777" w:rsidR="00230D96" w:rsidRDefault="00230D96">
      <w:pPr>
        <w:spacing w:before="200"/>
        <w:jc w:val="center"/>
        <w:rPr>
          <w:b/>
          <w:bCs/>
          <w:sz w:val="28"/>
          <w:szCs w:val="28"/>
        </w:rPr>
      </w:pPr>
    </w:p>
    <w:p w14:paraId="1F86E8A4" w14:textId="77777777" w:rsidR="00230D96" w:rsidRDefault="00230D96">
      <w:pPr>
        <w:spacing w:before="200"/>
        <w:jc w:val="center"/>
        <w:rPr>
          <w:b/>
          <w:bCs/>
          <w:sz w:val="28"/>
          <w:szCs w:val="28"/>
        </w:rPr>
      </w:pPr>
    </w:p>
    <w:p w14:paraId="1597A10A" w14:textId="753E9D2C" w:rsidR="00230D96" w:rsidRDefault="00E10B6B" w:rsidP="00E10B6B">
      <w:pPr>
        <w:spacing w:before="200"/>
        <w:rPr>
          <w:b/>
          <w:bCs/>
          <w:sz w:val="28"/>
          <w:szCs w:val="28"/>
        </w:rPr>
      </w:pPr>
      <w:r>
        <w:rPr>
          <w:b/>
          <w:bCs/>
          <w:sz w:val="28"/>
          <w:szCs w:val="28"/>
        </w:rPr>
        <w:t xml:space="preserve">                             </w:t>
      </w:r>
      <w:r w:rsidR="009B045E">
        <w:rPr>
          <w:b/>
          <w:bCs/>
          <w:sz w:val="28"/>
          <w:szCs w:val="28"/>
        </w:rPr>
        <w:t>2531730</w:t>
      </w:r>
    </w:p>
    <w:p w14:paraId="5BCFC6EB" w14:textId="700F5B38" w:rsidR="009B045E" w:rsidRDefault="009B045E" w:rsidP="009B045E">
      <w:pPr>
        <w:spacing w:before="200"/>
        <w:rPr>
          <w:b/>
          <w:bCs/>
          <w:sz w:val="28"/>
          <w:szCs w:val="28"/>
        </w:rPr>
      </w:pPr>
      <w:r>
        <w:rPr>
          <w:b/>
          <w:bCs/>
          <w:sz w:val="28"/>
          <w:szCs w:val="28"/>
        </w:rPr>
        <w:t xml:space="preserve">                   </w:t>
      </w:r>
      <w:r w:rsidR="00211AC4">
        <w:rPr>
          <w:b/>
          <w:bCs/>
          <w:sz w:val="28"/>
          <w:szCs w:val="28"/>
        </w:rPr>
        <w:t xml:space="preserve">KAUSHAL </w:t>
      </w:r>
      <w:r>
        <w:rPr>
          <w:b/>
          <w:bCs/>
          <w:sz w:val="28"/>
          <w:szCs w:val="28"/>
        </w:rPr>
        <w:t xml:space="preserve">PRAJAPATI </w:t>
      </w:r>
    </w:p>
    <w:p w14:paraId="51FB279D" w14:textId="77777777" w:rsidR="00230D96" w:rsidRDefault="0045087E">
      <w:pPr>
        <w:spacing w:before="200"/>
        <w:jc w:val="center"/>
        <w:rPr>
          <w:b/>
          <w:bCs/>
          <w:szCs w:val="24"/>
        </w:rPr>
      </w:pPr>
      <w:r>
        <w:rPr>
          <w:b/>
          <w:bCs/>
          <w:szCs w:val="24"/>
        </w:rPr>
        <w:t>Strategic Management (LCMB7003)</w:t>
      </w:r>
    </w:p>
    <w:p w14:paraId="2B2B838F" w14:textId="77777777" w:rsidR="00230D96" w:rsidRDefault="0045087E">
      <w:pPr>
        <w:spacing w:before="200"/>
        <w:jc w:val="center"/>
        <w:rPr>
          <w:b/>
          <w:bCs/>
          <w:sz w:val="28"/>
          <w:szCs w:val="28"/>
        </w:rPr>
      </w:pPr>
      <w:r>
        <w:rPr>
          <w:b/>
          <w:bCs/>
          <w:sz w:val="28"/>
          <w:szCs w:val="28"/>
        </w:rPr>
        <w:t>Analysis of Diageo PLC’s UK Business in No and Low Alcoholic Beverages</w:t>
      </w:r>
      <w:r>
        <w:br w:type="page"/>
      </w:r>
    </w:p>
    <w:sdt>
      <w:sdtPr>
        <w:rPr>
          <w:rFonts w:ascii="Arial" w:eastAsia="Arial" w:hAnsi="Arial" w:cs="Arial"/>
          <w:color w:val="000000" w:themeColor="text1"/>
          <w:sz w:val="24"/>
          <w:szCs w:val="24"/>
          <w:lang w:val="en-GB"/>
        </w:rPr>
        <w:id w:val="1525364334"/>
        <w:docPartObj>
          <w:docPartGallery w:val="Table of Contents"/>
          <w:docPartUnique/>
        </w:docPartObj>
      </w:sdtPr>
      <w:sdtEndPr>
        <w:rPr>
          <w:b/>
          <w:bCs/>
        </w:rPr>
      </w:sdtEndPr>
      <w:sdtContent>
        <w:p w14:paraId="7ACBEFB4" w14:textId="4726902C" w:rsidR="00E679E6" w:rsidRPr="00743270" w:rsidRDefault="00E679E6" w:rsidP="00743270">
          <w:pPr>
            <w:pStyle w:val="TOCHeading"/>
            <w:spacing w:line="360" w:lineRule="auto"/>
            <w:jc w:val="center"/>
            <w:rPr>
              <w:rFonts w:ascii="Arial" w:hAnsi="Arial" w:cs="Arial"/>
              <w:b/>
              <w:bCs/>
              <w:color w:val="000000" w:themeColor="text1"/>
              <w:sz w:val="28"/>
              <w:szCs w:val="28"/>
            </w:rPr>
          </w:pPr>
          <w:r w:rsidRPr="00743270">
            <w:rPr>
              <w:rFonts w:ascii="Arial" w:hAnsi="Arial" w:cs="Arial"/>
              <w:b/>
              <w:bCs/>
              <w:color w:val="000000" w:themeColor="text1"/>
              <w:sz w:val="28"/>
              <w:szCs w:val="28"/>
              <w:lang w:val="en-GB"/>
            </w:rPr>
            <w:t>Table of Contents</w:t>
          </w:r>
        </w:p>
        <w:p w14:paraId="08F203D5" w14:textId="7B48D586" w:rsidR="00187406" w:rsidRDefault="00E679E6">
          <w:pPr>
            <w:pStyle w:val="TOC1"/>
            <w:tabs>
              <w:tab w:val="right" w:leader="dot" w:pos="9019"/>
            </w:tabs>
            <w:rPr>
              <w:rFonts w:asciiTheme="minorHAnsi" w:eastAsiaTheme="minorEastAsia" w:hAnsiTheme="minorHAnsi" w:cstheme="minorBidi"/>
              <w:noProof/>
              <w:color w:val="auto"/>
              <w:kern w:val="2"/>
              <w:szCs w:val="24"/>
              <w:lang w:val="en-IN"/>
              <w14:ligatures w14:val="standardContextual"/>
            </w:rPr>
          </w:pPr>
          <w:r w:rsidRPr="00743270">
            <w:rPr>
              <w:szCs w:val="24"/>
            </w:rPr>
            <w:fldChar w:fldCharType="begin"/>
          </w:r>
          <w:r w:rsidRPr="00743270">
            <w:rPr>
              <w:szCs w:val="24"/>
            </w:rPr>
            <w:instrText xml:space="preserve"> TOC \o "1-3" \h \z \u </w:instrText>
          </w:r>
          <w:r w:rsidRPr="00743270">
            <w:rPr>
              <w:szCs w:val="24"/>
            </w:rPr>
            <w:fldChar w:fldCharType="separate"/>
          </w:r>
          <w:hyperlink w:anchor="_Toc236950513" w:history="1">
            <w:r w:rsidR="00187406" w:rsidRPr="00A94566">
              <w:rPr>
                <w:rStyle w:val="Hyperlink"/>
                <w:noProof/>
              </w:rPr>
              <w:t>Section 1: Business Report</w:t>
            </w:r>
            <w:r w:rsidR="00187406">
              <w:rPr>
                <w:noProof/>
                <w:webHidden/>
              </w:rPr>
              <w:tab/>
            </w:r>
            <w:r w:rsidR="00187406">
              <w:rPr>
                <w:noProof/>
                <w:webHidden/>
              </w:rPr>
              <w:fldChar w:fldCharType="begin"/>
            </w:r>
            <w:r w:rsidR="00187406">
              <w:rPr>
                <w:noProof/>
                <w:webHidden/>
              </w:rPr>
              <w:instrText xml:space="preserve"> PAGEREF _Toc236950513 \h </w:instrText>
            </w:r>
            <w:r w:rsidR="00187406">
              <w:rPr>
                <w:noProof/>
                <w:webHidden/>
              </w:rPr>
            </w:r>
            <w:r w:rsidR="00187406">
              <w:rPr>
                <w:noProof/>
                <w:webHidden/>
              </w:rPr>
              <w:fldChar w:fldCharType="separate"/>
            </w:r>
            <w:r w:rsidR="00187406">
              <w:rPr>
                <w:noProof/>
                <w:webHidden/>
              </w:rPr>
              <w:t>5</w:t>
            </w:r>
            <w:r w:rsidR="00187406">
              <w:rPr>
                <w:noProof/>
                <w:webHidden/>
              </w:rPr>
              <w:fldChar w:fldCharType="end"/>
            </w:r>
          </w:hyperlink>
        </w:p>
        <w:p w14:paraId="4789B8C7" w14:textId="59F1C3FD" w:rsidR="00187406" w:rsidRDefault="00187406">
          <w:pPr>
            <w:pStyle w:val="TOC2"/>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14" w:history="1">
            <w:r w:rsidRPr="00A94566">
              <w:rPr>
                <w:rStyle w:val="Hyperlink"/>
                <w:noProof/>
              </w:rPr>
              <w:t>1. Organisational context and overview</w:t>
            </w:r>
            <w:r>
              <w:rPr>
                <w:noProof/>
                <w:webHidden/>
              </w:rPr>
              <w:tab/>
            </w:r>
            <w:r>
              <w:rPr>
                <w:noProof/>
                <w:webHidden/>
              </w:rPr>
              <w:fldChar w:fldCharType="begin"/>
            </w:r>
            <w:r>
              <w:rPr>
                <w:noProof/>
                <w:webHidden/>
              </w:rPr>
              <w:instrText xml:space="preserve"> PAGEREF _Toc236950514 \h </w:instrText>
            </w:r>
            <w:r>
              <w:rPr>
                <w:noProof/>
                <w:webHidden/>
              </w:rPr>
            </w:r>
            <w:r>
              <w:rPr>
                <w:noProof/>
                <w:webHidden/>
              </w:rPr>
              <w:fldChar w:fldCharType="separate"/>
            </w:r>
            <w:r>
              <w:rPr>
                <w:noProof/>
                <w:webHidden/>
              </w:rPr>
              <w:t>5</w:t>
            </w:r>
            <w:r>
              <w:rPr>
                <w:noProof/>
                <w:webHidden/>
              </w:rPr>
              <w:fldChar w:fldCharType="end"/>
            </w:r>
          </w:hyperlink>
        </w:p>
        <w:p w14:paraId="09827F31" w14:textId="1EBA24E6" w:rsidR="00187406" w:rsidRDefault="00187406">
          <w:pPr>
            <w:pStyle w:val="TOC3"/>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15" w:history="1">
            <w:r w:rsidRPr="00A94566">
              <w:rPr>
                <w:rStyle w:val="Hyperlink"/>
                <w:noProof/>
              </w:rPr>
              <w:t>1.1 Introduction to Diageo PLC</w:t>
            </w:r>
            <w:r>
              <w:rPr>
                <w:noProof/>
                <w:webHidden/>
              </w:rPr>
              <w:tab/>
            </w:r>
            <w:r>
              <w:rPr>
                <w:noProof/>
                <w:webHidden/>
              </w:rPr>
              <w:fldChar w:fldCharType="begin"/>
            </w:r>
            <w:r>
              <w:rPr>
                <w:noProof/>
                <w:webHidden/>
              </w:rPr>
              <w:instrText xml:space="preserve"> PAGEREF _Toc236950515 \h </w:instrText>
            </w:r>
            <w:r>
              <w:rPr>
                <w:noProof/>
                <w:webHidden/>
              </w:rPr>
            </w:r>
            <w:r>
              <w:rPr>
                <w:noProof/>
                <w:webHidden/>
              </w:rPr>
              <w:fldChar w:fldCharType="separate"/>
            </w:r>
            <w:r>
              <w:rPr>
                <w:noProof/>
                <w:webHidden/>
              </w:rPr>
              <w:t>5</w:t>
            </w:r>
            <w:r>
              <w:rPr>
                <w:noProof/>
                <w:webHidden/>
              </w:rPr>
              <w:fldChar w:fldCharType="end"/>
            </w:r>
          </w:hyperlink>
        </w:p>
        <w:p w14:paraId="6E56268E" w14:textId="659D3872" w:rsidR="00187406" w:rsidRDefault="00187406">
          <w:pPr>
            <w:pStyle w:val="TOC3"/>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16" w:history="1">
            <w:r w:rsidRPr="00A94566">
              <w:rPr>
                <w:rStyle w:val="Hyperlink"/>
                <w:noProof/>
              </w:rPr>
              <w:t>1.2 Historical development and strategic evolution</w:t>
            </w:r>
            <w:r>
              <w:rPr>
                <w:noProof/>
                <w:webHidden/>
              </w:rPr>
              <w:tab/>
            </w:r>
            <w:r>
              <w:rPr>
                <w:noProof/>
                <w:webHidden/>
              </w:rPr>
              <w:fldChar w:fldCharType="begin"/>
            </w:r>
            <w:r>
              <w:rPr>
                <w:noProof/>
                <w:webHidden/>
              </w:rPr>
              <w:instrText xml:space="preserve"> PAGEREF _Toc236950516 \h </w:instrText>
            </w:r>
            <w:r>
              <w:rPr>
                <w:noProof/>
                <w:webHidden/>
              </w:rPr>
            </w:r>
            <w:r>
              <w:rPr>
                <w:noProof/>
                <w:webHidden/>
              </w:rPr>
              <w:fldChar w:fldCharType="separate"/>
            </w:r>
            <w:r>
              <w:rPr>
                <w:noProof/>
                <w:webHidden/>
              </w:rPr>
              <w:t>5</w:t>
            </w:r>
            <w:r>
              <w:rPr>
                <w:noProof/>
                <w:webHidden/>
              </w:rPr>
              <w:fldChar w:fldCharType="end"/>
            </w:r>
          </w:hyperlink>
        </w:p>
        <w:p w14:paraId="7A1218C8" w14:textId="0BA35E7C" w:rsidR="00187406" w:rsidRDefault="00187406">
          <w:pPr>
            <w:pStyle w:val="TOC3"/>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17" w:history="1">
            <w:r w:rsidRPr="00A94566">
              <w:rPr>
                <w:rStyle w:val="Hyperlink"/>
                <w:noProof/>
              </w:rPr>
              <w:t>1.3 Mission, vision, and business model</w:t>
            </w:r>
            <w:r>
              <w:rPr>
                <w:noProof/>
                <w:webHidden/>
              </w:rPr>
              <w:tab/>
            </w:r>
            <w:r>
              <w:rPr>
                <w:noProof/>
                <w:webHidden/>
              </w:rPr>
              <w:fldChar w:fldCharType="begin"/>
            </w:r>
            <w:r>
              <w:rPr>
                <w:noProof/>
                <w:webHidden/>
              </w:rPr>
              <w:instrText xml:space="preserve"> PAGEREF _Toc236950517 \h </w:instrText>
            </w:r>
            <w:r>
              <w:rPr>
                <w:noProof/>
                <w:webHidden/>
              </w:rPr>
            </w:r>
            <w:r>
              <w:rPr>
                <w:noProof/>
                <w:webHidden/>
              </w:rPr>
              <w:fldChar w:fldCharType="separate"/>
            </w:r>
            <w:r>
              <w:rPr>
                <w:noProof/>
                <w:webHidden/>
              </w:rPr>
              <w:t>6</w:t>
            </w:r>
            <w:r>
              <w:rPr>
                <w:noProof/>
                <w:webHidden/>
              </w:rPr>
              <w:fldChar w:fldCharType="end"/>
            </w:r>
          </w:hyperlink>
        </w:p>
        <w:p w14:paraId="234DB2F5" w14:textId="7B3AC376" w:rsidR="00187406" w:rsidRDefault="00187406">
          <w:pPr>
            <w:pStyle w:val="TOC3"/>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18" w:history="1">
            <w:r w:rsidRPr="00A94566">
              <w:rPr>
                <w:rStyle w:val="Hyperlink"/>
                <w:noProof/>
              </w:rPr>
              <w:t>1.4 Industry overview and competition position</w:t>
            </w:r>
            <w:r>
              <w:rPr>
                <w:noProof/>
                <w:webHidden/>
              </w:rPr>
              <w:tab/>
            </w:r>
            <w:r>
              <w:rPr>
                <w:noProof/>
                <w:webHidden/>
              </w:rPr>
              <w:fldChar w:fldCharType="begin"/>
            </w:r>
            <w:r>
              <w:rPr>
                <w:noProof/>
                <w:webHidden/>
              </w:rPr>
              <w:instrText xml:space="preserve"> PAGEREF _Toc236950518 \h </w:instrText>
            </w:r>
            <w:r>
              <w:rPr>
                <w:noProof/>
                <w:webHidden/>
              </w:rPr>
            </w:r>
            <w:r>
              <w:rPr>
                <w:noProof/>
                <w:webHidden/>
              </w:rPr>
              <w:fldChar w:fldCharType="separate"/>
            </w:r>
            <w:r>
              <w:rPr>
                <w:noProof/>
                <w:webHidden/>
              </w:rPr>
              <w:t>6</w:t>
            </w:r>
            <w:r>
              <w:rPr>
                <w:noProof/>
                <w:webHidden/>
              </w:rPr>
              <w:fldChar w:fldCharType="end"/>
            </w:r>
          </w:hyperlink>
        </w:p>
        <w:p w14:paraId="76D7360B" w14:textId="22B0D938" w:rsidR="00187406" w:rsidRDefault="00187406">
          <w:pPr>
            <w:pStyle w:val="TOC2"/>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19" w:history="1">
            <w:r w:rsidRPr="00A94566">
              <w:rPr>
                <w:rStyle w:val="Hyperlink"/>
                <w:noProof/>
              </w:rPr>
              <w:t>2. External and Internal Analysis</w:t>
            </w:r>
            <w:r>
              <w:rPr>
                <w:noProof/>
                <w:webHidden/>
              </w:rPr>
              <w:tab/>
            </w:r>
            <w:r>
              <w:rPr>
                <w:noProof/>
                <w:webHidden/>
              </w:rPr>
              <w:fldChar w:fldCharType="begin"/>
            </w:r>
            <w:r>
              <w:rPr>
                <w:noProof/>
                <w:webHidden/>
              </w:rPr>
              <w:instrText xml:space="preserve"> PAGEREF _Toc236950519 \h </w:instrText>
            </w:r>
            <w:r>
              <w:rPr>
                <w:noProof/>
                <w:webHidden/>
              </w:rPr>
            </w:r>
            <w:r>
              <w:rPr>
                <w:noProof/>
                <w:webHidden/>
              </w:rPr>
              <w:fldChar w:fldCharType="separate"/>
            </w:r>
            <w:r>
              <w:rPr>
                <w:noProof/>
                <w:webHidden/>
              </w:rPr>
              <w:t>6</w:t>
            </w:r>
            <w:r>
              <w:rPr>
                <w:noProof/>
                <w:webHidden/>
              </w:rPr>
              <w:fldChar w:fldCharType="end"/>
            </w:r>
          </w:hyperlink>
        </w:p>
        <w:p w14:paraId="39414A6B" w14:textId="479122FC" w:rsidR="00187406" w:rsidRDefault="00187406">
          <w:pPr>
            <w:pStyle w:val="TOC3"/>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20" w:history="1">
            <w:r w:rsidRPr="00A94566">
              <w:rPr>
                <w:rStyle w:val="Hyperlink"/>
                <w:noProof/>
              </w:rPr>
              <w:t>2.1 External Environmental Analysis</w:t>
            </w:r>
            <w:r>
              <w:rPr>
                <w:noProof/>
                <w:webHidden/>
              </w:rPr>
              <w:tab/>
            </w:r>
            <w:r>
              <w:rPr>
                <w:noProof/>
                <w:webHidden/>
              </w:rPr>
              <w:fldChar w:fldCharType="begin"/>
            </w:r>
            <w:r>
              <w:rPr>
                <w:noProof/>
                <w:webHidden/>
              </w:rPr>
              <w:instrText xml:space="preserve"> PAGEREF _Toc236950520 \h </w:instrText>
            </w:r>
            <w:r>
              <w:rPr>
                <w:noProof/>
                <w:webHidden/>
              </w:rPr>
            </w:r>
            <w:r>
              <w:rPr>
                <w:noProof/>
                <w:webHidden/>
              </w:rPr>
              <w:fldChar w:fldCharType="separate"/>
            </w:r>
            <w:r>
              <w:rPr>
                <w:noProof/>
                <w:webHidden/>
              </w:rPr>
              <w:t>6</w:t>
            </w:r>
            <w:r>
              <w:rPr>
                <w:noProof/>
                <w:webHidden/>
              </w:rPr>
              <w:fldChar w:fldCharType="end"/>
            </w:r>
          </w:hyperlink>
        </w:p>
        <w:p w14:paraId="18D0BF9E" w14:textId="37D7003D" w:rsidR="00187406" w:rsidRDefault="00187406">
          <w:pPr>
            <w:pStyle w:val="TOC3"/>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21" w:history="1">
            <w:r w:rsidRPr="00A94566">
              <w:rPr>
                <w:rStyle w:val="Hyperlink"/>
                <w:noProof/>
              </w:rPr>
              <w:t>2.2 Internal Environmental Analysis</w:t>
            </w:r>
            <w:r>
              <w:rPr>
                <w:noProof/>
                <w:webHidden/>
              </w:rPr>
              <w:tab/>
            </w:r>
            <w:r>
              <w:rPr>
                <w:noProof/>
                <w:webHidden/>
              </w:rPr>
              <w:fldChar w:fldCharType="begin"/>
            </w:r>
            <w:r>
              <w:rPr>
                <w:noProof/>
                <w:webHidden/>
              </w:rPr>
              <w:instrText xml:space="preserve"> PAGEREF _Toc236950521 \h </w:instrText>
            </w:r>
            <w:r>
              <w:rPr>
                <w:noProof/>
                <w:webHidden/>
              </w:rPr>
            </w:r>
            <w:r>
              <w:rPr>
                <w:noProof/>
                <w:webHidden/>
              </w:rPr>
              <w:fldChar w:fldCharType="separate"/>
            </w:r>
            <w:r>
              <w:rPr>
                <w:noProof/>
                <w:webHidden/>
              </w:rPr>
              <w:t>9</w:t>
            </w:r>
            <w:r>
              <w:rPr>
                <w:noProof/>
                <w:webHidden/>
              </w:rPr>
              <w:fldChar w:fldCharType="end"/>
            </w:r>
          </w:hyperlink>
        </w:p>
        <w:p w14:paraId="1B53D496" w14:textId="452EBE78" w:rsidR="00187406" w:rsidRDefault="00187406">
          <w:pPr>
            <w:pStyle w:val="TOC3"/>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22" w:history="1">
            <w:r w:rsidRPr="00A94566">
              <w:rPr>
                <w:rStyle w:val="Hyperlink"/>
                <w:noProof/>
              </w:rPr>
              <w:t>2.3 Identification of Key Strengths and Weaknesses</w:t>
            </w:r>
            <w:r>
              <w:rPr>
                <w:noProof/>
                <w:webHidden/>
              </w:rPr>
              <w:tab/>
            </w:r>
            <w:r>
              <w:rPr>
                <w:noProof/>
                <w:webHidden/>
              </w:rPr>
              <w:fldChar w:fldCharType="begin"/>
            </w:r>
            <w:r>
              <w:rPr>
                <w:noProof/>
                <w:webHidden/>
              </w:rPr>
              <w:instrText xml:space="preserve"> PAGEREF _Toc236950522 \h </w:instrText>
            </w:r>
            <w:r>
              <w:rPr>
                <w:noProof/>
                <w:webHidden/>
              </w:rPr>
            </w:r>
            <w:r>
              <w:rPr>
                <w:noProof/>
                <w:webHidden/>
              </w:rPr>
              <w:fldChar w:fldCharType="separate"/>
            </w:r>
            <w:r>
              <w:rPr>
                <w:noProof/>
                <w:webHidden/>
              </w:rPr>
              <w:t>11</w:t>
            </w:r>
            <w:r>
              <w:rPr>
                <w:noProof/>
                <w:webHidden/>
              </w:rPr>
              <w:fldChar w:fldCharType="end"/>
            </w:r>
          </w:hyperlink>
        </w:p>
        <w:p w14:paraId="7A0F3D34" w14:textId="202434C6" w:rsidR="00187406" w:rsidRDefault="00187406">
          <w:pPr>
            <w:pStyle w:val="TOC2"/>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23" w:history="1">
            <w:r w:rsidRPr="00A94566">
              <w:rPr>
                <w:rStyle w:val="Hyperlink"/>
                <w:noProof/>
              </w:rPr>
              <w:t>3. Comprehensive and holistic view of the organisation</w:t>
            </w:r>
            <w:r>
              <w:rPr>
                <w:noProof/>
                <w:webHidden/>
              </w:rPr>
              <w:tab/>
            </w:r>
            <w:r>
              <w:rPr>
                <w:noProof/>
                <w:webHidden/>
              </w:rPr>
              <w:fldChar w:fldCharType="begin"/>
            </w:r>
            <w:r>
              <w:rPr>
                <w:noProof/>
                <w:webHidden/>
              </w:rPr>
              <w:instrText xml:space="preserve"> PAGEREF _Toc236950523 \h </w:instrText>
            </w:r>
            <w:r>
              <w:rPr>
                <w:noProof/>
                <w:webHidden/>
              </w:rPr>
            </w:r>
            <w:r>
              <w:rPr>
                <w:noProof/>
                <w:webHidden/>
              </w:rPr>
              <w:fldChar w:fldCharType="separate"/>
            </w:r>
            <w:r>
              <w:rPr>
                <w:noProof/>
                <w:webHidden/>
              </w:rPr>
              <w:t>12</w:t>
            </w:r>
            <w:r>
              <w:rPr>
                <w:noProof/>
                <w:webHidden/>
              </w:rPr>
              <w:fldChar w:fldCharType="end"/>
            </w:r>
          </w:hyperlink>
        </w:p>
        <w:p w14:paraId="35ABF55E" w14:textId="0768B314" w:rsidR="00187406" w:rsidRDefault="00187406">
          <w:pPr>
            <w:pStyle w:val="TOC3"/>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24" w:history="1">
            <w:r w:rsidRPr="00A94566">
              <w:rPr>
                <w:rStyle w:val="Hyperlink"/>
                <w:noProof/>
              </w:rPr>
              <w:t>3.1 Current CSR Strategies and Business Alignment</w:t>
            </w:r>
            <w:r>
              <w:rPr>
                <w:noProof/>
                <w:webHidden/>
              </w:rPr>
              <w:tab/>
            </w:r>
            <w:r>
              <w:rPr>
                <w:noProof/>
                <w:webHidden/>
              </w:rPr>
              <w:fldChar w:fldCharType="begin"/>
            </w:r>
            <w:r>
              <w:rPr>
                <w:noProof/>
                <w:webHidden/>
              </w:rPr>
              <w:instrText xml:space="preserve"> PAGEREF _Toc236950524 \h </w:instrText>
            </w:r>
            <w:r>
              <w:rPr>
                <w:noProof/>
                <w:webHidden/>
              </w:rPr>
            </w:r>
            <w:r>
              <w:rPr>
                <w:noProof/>
                <w:webHidden/>
              </w:rPr>
              <w:fldChar w:fldCharType="separate"/>
            </w:r>
            <w:r>
              <w:rPr>
                <w:noProof/>
                <w:webHidden/>
              </w:rPr>
              <w:t>12</w:t>
            </w:r>
            <w:r>
              <w:rPr>
                <w:noProof/>
                <w:webHidden/>
              </w:rPr>
              <w:fldChar w:fldCharType="end"/>
            </w:r>
          </w:hyperlink>
        </w:p>
        <w:p w14:paraId="20F0EC32" w14:textId="6BF85E79" w:rsidR="00187406" w:rsidRDefault="00187406">
          <w:pPr>
            <w:pStyle w:val="TOC3"/>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25" w:history="1">
            <w:r w:rsidRPr="00A94566">
              <w:rPr>
                <w:rStyle w:val="Hyperlink"/>
                <w:noProof/>
              </w:rPr>
              <w:t>3.2 Application of Balanced Scorecard</w:t>
            </w:r>
            <w:r>
              <w:rPr>
                <w:noProof/>
                <w:webHidden/>
              </w:rPr>
              <w:tab/>
            </w:r>
            <w:r>
              <w:rPr>
                <w:noProof/>
                <w:webHidden/>
              </w:rPr>
              <w:fldChar w:fldCharType="begin"/>
            </w:r>
            <w:r>
              <w:rPr>
                <w:noProof/>
                <w:webHidden/>
              </w:rPr>
              <w:instrText xml:space="preserve"> PAGEREF _Toc236950525 \h </w:instrText>
            </w:r>
            <w:r>
              <w:rPr>
                <w:noProof/>
                <w:webHidden/>
              </w:rPr>
            </w:r>
            <w:r>
              <w:rPr>
                <w:noProof/>
                <w:webHidden/>
              </w:rPr>
              <w:fldChar w:fldCharType="separate"/>
            </w:r>
            <w:r>
              <w:rPr>
                <w:noProof/>
                <w:webHidden/>
              </w:rPr>
              <w:t>13</w:t>
            </w:r>
            <w:r>
              <w:rPr>
                <w:noProof/>
                <w:webHidden/>
              </w:rPr>
              <w:fldChar w:fldCharType="end"/>
            </w:r>
          </w:hyperlink>
        </w:p>
        <w:p w14:paraId="55A1F3DC" w14:textId="5746BC20" w:rsidR="00187406" w:rsidRDefault="00187406">
          <w:pPr>
            <w:pStyle w:val="TOC2"/>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26" w:history="1">
            <w:r w:rsidRPr="00A94566">
              <w:rPr>
                <w:rStyle w:val="Hyperlink"/>
                <w:noProof/>
              </w:rPr>
              <w:t>4. Strategic choices and implementations</w:t>
            </w:r>
            <w:r>
              <w:rPr>
                <w:noProof/>
                <w:webHidden/>
              </w:rPr>
              <w:tab/>
            </w:r>
            <w:r>
              <w:rPr>
                <w:noProof/>
                <w:webHidden/>
              </w:rPr>
              <w:fldChar w:fldCharType="begin"/>
            </w:r>
            <w:r>
              <w:rPr>
                <w:noProof/>
                <w:webHidden/>
              </w:rPr>
              <w:instrText xml:space="preserve"> PAGEREF _Toc236950526 \h </w:instrText>
            </w:r>
            <w:r>
              <w:rPr>
                <w:noProof/>
                <w:webHidden/>
              </w:rPr>
            </w:r>
            <w:r>
              <w:rPr>
                <w:noProof/>
                <w:webHidden/>
              </w:rPr>
              <w:fldChar w:fldCharType="separate"/>
            </w:r>
            <w:r>
              <w:rPr>
                <w:noProof/>
                <w:webHidden/>
              </w:rPr>
              <w:t>16</w:t>
            </w:r>
            <w:r>
              <w:rPr>
                <w:noProof/>
                <w:webHidden/>
              </w:rPr>
              <w:fldChar w:fldCharType="end"/>
            </w:r>
          </w:hyperlink>
        </w:p>
        <w:p w14:paraId="41151384" w14:textId="1629A810" w:rsidR="00187406" w:rsidRDefault="00187406">
          <w:pPr>
            <w:pStyle w:val="TOC3"/>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27" w:history="1">
            <w:r w:rsidRPr="00A94566">
              <w:rPr>
                <w:rStyle w:val="Hyperlink"/>
                <w:noProof/>
              </w:rPr>
              <w:t>4.1 Available strategic options</w:t>
            </w:r>
            <w:r>
              <w:rPr>
                <w:noProof/>
                <w:webHidden/>
              </w:rPr>
              <w:tab/>
            </w:r>
            <w:r>
              <w:rPr>
                <w:noProof/>
                <w:webHidden/>
              </w:rPr>
              <w:fldChar w:fldCharType="begin"/>
            </w:r>
            <w:r>
              <w:rPr>
                <w:noProof/>
                <w:webHidden/>
              </w:rPr>
              <w:instrText xml:space="preserve"> PAGEREF _Toc236950527 \h </w:instrText>
            </w:r>
            <w:r>
              <w:rPr>
                <w:noProof/>
                <w:webHidden/>
              </w:rPr>
            </w:r>
            <w:r>
              <w:rPr>
                <w:noProof/>
                <w:webHidden/>
              </w:rPr>
              <w:fldChar w:fldCharType="separate"/>
            </w:r>
            <w:r>
              <w:rPr>
                <w:noProof/>
                <w:webHidden/>
              </w:rPr>
              <w:t>16</w:t>
            </w:r>
            <w:r>
              <w:rPr>
                <w:noProof/>
                <w:webHidden/>
              </w:rPr>
              <w:fldChar w:fldCharType="end"/>
            </w:r>
          </w:hyperlink>
        </w:p>
        <w:p w14:paraId="609A8B90" w14:textId="30511FAA" w:rsidR="00187406" w:rsidRDefault="00187406">
          <w:pPr>
            <w:pStyle w:val="TOC3"/>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28" w:history="1">
            <w:r w:rsidRPr="00A94566">
              <w:rPr>
                <w:rStyle w:val="Hyperlink"/>
                <w:noProof/>
              </w:rPr>
              <w:t>4.2 Recommended strategy: Differentiation-led growth strategy</w:t>
            </w:r>
            <w:r>
              <w:rPr>
                <w:noProof/>
                <w:webHidden/>
              </w:rPr>
              <w:tab/>
            </w:r>
            <w:r>
              <w:rPr>
                <w:noProof/>
                <w:webHidden/>
              </w:rPr>
              <w:fldChar w:fldCharType="begin"/>
            </w:r>
            <w:r>
              <w:rPr>
                <w:noProof/>
                <w:webHidden/>
              </w:rPr>
              <w:instrText xml:space="preserve"> PAGEREF _Toc236950528 \h </w:instrText>
            </w:r>
            <w:r>
              <w:rPr>
                <w:noProof/>
                <w:webHidden/>
              </w:rPr>
            </w:r>
            <w:r>
              <w:rPr>
                <w:noProof/>
                <w:webHidden/>
              </w:rPr>
              <w:fldChar w:fldCharType="separate"/>
            </w:r>
            <w:r>
              <w:rPr>
                <w:noProof/>
                <w:webHidden/>
              </w:rPr>
              <w:t>18</w:t>
            </w:r>
            <w:r>
              <w:rPr>
                <w:noProof/>
                <w:webHidden/>
              </w:rPr>
              <w:fldChar w:fldCharType="end"/>
            </w:r>
          </w:hyperlink>
        </w:p>
        <w:p w14:paraId="23E900A3" w14:textId="1A2A7D75" w:rsidR="00187406" w:rsidRDefault="00187406">
          <w:pPr>
            <w:pStyle w:val="TOC3"/>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29" w:history="1">
            <w:r w:rsidRPr="00A94566">
              <w:rPr>
                <w:rStyle w:val="Hyperlink"/>
                <w:noProof/>
              </w:rPr>
              <w:t>4.3 Strategic validation frameworks</w:t>
            </w:r>
            <w:r>
              <w:rPr>
                <w:noProof/>
                <w:webHidden/>
              </w:rPr>
              <w:tab/>
            </w:r>
            <w:r>
              <w:rPr>
                <w:noProof/>
                <w:webHidden/>
              </w:rPr>
              <w:fldChar w:fldCharType="begin"/>
            </w:r>
            <w:r>
              <w:rPr>
                <w:noProof/>
                <w:webHidden/>
              </w:rPr>
              <w:instrText xml:space="preserve"> PAGEREF _Toc236950529 \h </w:instrText>
            </w:r>
            <w:r>
              <w:rPr>
                <w:noProof/>
                <w:webHidden/>
              </w:rPr>
            </w:r>
            <w:r>
              <w:rPr>
                <w:noProof/>
                <w:webHidden/>
              </w:rPr>
              <w:fldChar w:fldCharType="separate"/>
            </w:r>
            <w:r>
              <w:rPr>
                <w:noProof/>
                <w:webHidden/>
              </w:rPr>
              <w:t>19</w:t>
            </w:r>
            <w:r>
              <w:rPr>
                <w:noProof/>
                <w:webHidden/>
              </w:rPr>
              <w:fldChar w:fldCharType="end"/>
            </w:r>
          </w:hyperlink>
        </w:p>
        <w:p w14:paraId="3CCA2137" w14:textId="22D0B21A" w:rsidR="00187406" w:rsidRDefault="00187406">
          <w:pPr>
            <w:pStyle w:val="TOC3"/>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30" w:history="1">
            <w:r w:rsidRPr="00A94566">
              <w:rPr>
                <w:rStyle w:val="Hyperlink"/>
                <w:noProof/>
              </w:rPr>
              <w:t>4.3.2 Ansoff matrix</w:t>
            </w:r>
            <w:r>
              <w:rPr>
                <w:noProof/>
                <w:webHidden/>
              </w:rPr>
              <w:tab/>
            </w:r>
            <w:r>
              <w:rPr>
                <w:noProof/>
                <w:webHidden/>
              </w:rPr>
              <w:fldChar w:fldCharType="begin"/>
            </w:r>
            <w:r>
              <w:rPr>
                <w:noProof/>
                <w:webHidden/>
              </w:rPr>
              <w:instrText xml:space="preserve"> PAGEREF _Toc236950530 \h </w:instrText>
            </w:r>
            <w:r>
              <w:rPr>
                <w:noProof/>
                <w:webHidden/>
              </w:rPr>
            </w:r>
            <w:r>
              <w:rPr>
                <w:noProof/>
                <w:webHidden/>
              </w:rPr>
              <w:fldChar w:fldCharType="separate"/>
            </w:r>
            <w:r>
              <w:rPr>
                <w:noProof/>
                <w:webHidden/>
              </w:rPr>
              <w:t>20</w:t>
            </w:r>
            <w:r>
              <w:rPr>
                <w:noProof/>
                <w:webHidden/>
              </w:rPr>
              <w:fldChar w:fldCharType="end"/>
            </w:r>
          </w:hyperlink>
        </w:p>
        <w:p w14:paraId="31691712" w14:textId="20E188D1" w:rsidR="00187406" w:rsidRDefault="00187406">
          <w:pPr>
            <w:pStyle w:val="TOC3"/>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31" w:history="1">
            <w:r w:rsidRPr="00A94566">
              <w:rPr>
                <w:rStyle w:val="Hyperlink"/>
                <w:noProof/>
              </w:rPr>
              <w:t>4.4 Implementation plan</w:t>
            </w:r>
            <w:r>
              <w:rPr>
                <w:noProof/>
                <w:webHidden/>
              </w:rPr>
              <w:tab/>
            </w:r>
            <w:r>
              <w:rPr>
                <w:noProof/>
                <w:webHidden/>
              </w:rPr>
              <w:fldChar w:fldCharType="begin"/>
            </w:r>
            <w:r>
              <w:rPr>
                <w:noProof/>
                <w:webHidden/>
              </w:rPr>
              <w:instrText xml:space="preserve"> PAGEREF _Toc236950531 \h </w:instrText>
            </w:r>
            <w:r>
              <w:rPr>
                <w:noProof/>
                <w:webHidden/>
              </w:rPr>
            </w:r>
            <w:r>
              <w:rPr>
                <w:noProof/>
                <w:webHidden/>
              </w:rPr>
              <w:fldChar w:fldCharType="separate"/>
            </w:r>
            <w:r>
              <w:rPr>
                <w:noProof/>
                <w:webHidden/>
              </w:rPr>
              <w:t>20</w:t>
            </w:r>
            <w:r>
              <w:rPr>
                <w:noProof/>
                <w:webHidden/>
              </w:rPr>
              <w:fldChar w:fldCharType="end"/>
            </w:r>
          </w:hyperlink>
        </w:p>
        <w:p w14:paraId="27A6CA15" w14:textId="529ADD4E" w:rsidR="00187406" w:rsidRDefault="00187406">
          <w:pPr>
            <w:pStyle w:val="TOC3"/>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32" w:history="1">
            <w:r w:rsidRPr="00A94566">
              <w:rPr>
                <w:rStyle w:val="Hyperlink"/>
                <w:noProof/>
              </w:rPr>
              <w:t>4.5 Implementation challenges and solutions</w:t>
            </w:r>
            <w:r>
              <w:rPr>
                <w:noProof/>
                <w:webHidden/>
              </w:rPr>
              <w:tab/>
            </w:r>
            <w:r>
              <w:rPr>
                <w:noProof/>
                <w:webHidden/>
              </w:rPr>
              <w:fldChar w:fldCharType="begin"/>
            </w:r>
            <w:r>
              <w:rPr>
                <w:noProof/>
                <w:webHidden/>
              </w:rPr>
              <w:instrText xml:space="preserve"> PAGEREF _Toc236950532 \h </w:instrText>
            </w:r>
            <w:r>
              <w:rPr>
                <w:noProof/>
                <w:webHidden/>
              </w:rPr>
            </w:r>
            <w:r>
              <w:rPr>
                <w:noProof/>
                <w:webHidden/>
              </w:rPr>
              <w:fldChar w:fldCharType="separate"/>
            </w:r>
            <w:r>
              <w:rPr>
                <w:noProof/>
                <w:webHidden/>
              </w:rPr>
              <w:t>21</w:t>
            </w:r>
            <w:r>
              <w:rPr>
                <w:noProof/>
                <w:webHidden/>
              </w:rPr>
              <w:fldChar w:fldCharType="end"/>
            </w:r>
          </w:hyperlink>
        </w:p>
        <w:p w14:paraId="44A3587A" w14:textId="2E1A15EA" w:rsidR="00187406" w:rsidRDefault="00187406">
          <w:pPr>
            <w:pStyle w:val="TOC1"/>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33" w:history="1">
            <w:r w:rsidRPr="00A94566">
              <w:rPr>
                <w:rStyle w:val="Hyperlink"/>
                <w:noProof/>
              </w:rPr>
              <w:t>Section 2: Reflective Account</w:t>
            </w:r>
            <w:r>
              <w:rPr>
                <w:noProof/>
                <w:webHidden/>
              </w:rPr>
              <w:tab/>
            </w:r>
            <w:r>
              <w:rPr>
                <w:noProof/>
                <w:webHidden/>
              </w:rPr>
              <w:fldChar w:fldCharType="begin"/>
            </w:r>
            <w:r>
              <w:rPr>
                <w:noProof/>
                <w:webHidden/>
              </w:rPr>
              <w:instrText xml:space="preserve"> PAGEREF _Toc236950533 \h </w:instrText>
            </w:r>
            <w:r>
              <w:rPr>
                <w:noProof/>
                <w:webHidden/>
              </w:rPr>
            </w:r>
            <w:r>
              <w:rPr>
                <w:noProof/>
                <w:webHidden/>
              </w:rPr>
              <w:fldChar w:fldCharType="separate"/>
            </w:r>
            <w:r>
              <w:rPr>
                <w:noProof/>
                <w:webHidden/>
              </w:rPr>
              <w:t>22</w:t>
            </w:r>
            <w:r>
              <w:rPr>
                <w:noProof/>
                <w:webHidden/>
              </w:rPr>
              <w:fldChar w:fldCharType="end"/>
            </w:r>
          </w:hyperlink>
        </w:p>
        <w:p w14:paraId="498619C9" w14:textId="345BB763" w:rsidR="00187406" w:rsidRDefault="00187406">
          <w:pPr>
            <w:pStyle w:val="TOC1"/>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34" w:history="1">
            <w:r w:rsidRPr="00A94566">
              <w:rPr>
                <w:rStyle w:val="Hyperlink"/>
                <w:noProof/>
              </w:rPr>
              <w:t>Reference</w:t>
            </w:r>
            <w:r>
              <w:rPr>
                <w:noProof/>
                <w:webHidden/>
              </w:rPr>
              <w:tab/>
            </w:r>
            <w:r>
              <w:rPr>
                <w:noProof/>
                <w:webHidden/>
              </w:rPr>
              <w:fldChar w:fldCharType="begin"/>
            </w:r>
            <w:r>
              <w:rPr>
                <w:noProof/>
                <w:webHidden/>
              </w:rPr>
              <w:instrText xml:space="preserve"> PAGEREF _Toc236950534 \h </w:instrText>
            </w:r>
            <w:r>
              <w:rPr>
                <w:noProof/>
                <w:webHidden/>
              </w:rPr>
            </w:r>
            <w:r>
              <w:rPr>
                <w:noProof/>
                <w:webHidden/>
              </w:rPr>
              <w:fldChar w:fldCharType="separate"/>
            </w:r>
            <w:r>
              <w:rPr>
                <w:noProof/>
                <w:webHidden/>
              </w:rPr>
              <w:t>25</w:t>
            </w:r>
            <w:r>
              <w:rPr>
                <w:noProof/>
                <w:webHidden/>
              </w:rPr>
              <w:fldChar w:fldCharType="end"/>
            </w:r>
          </w:hyperlink>
        </w:p>
        <w:p w14:paraId="7CB7CD90" w14:textId="38980937" w:rsidR="00E679E6" w:rsidRPr="00743270" w:rsidRDefault="00E679E6" w:rsidP="00743270">
          <w:pPr>
            <w:rPr>
              <w:szCs w:val="24"/>
            </w:rPr>
          </w:pPr>
          <w:r w:rsidRPr="00743270">
            <w:rPr>
              <w:b/>
              <w:bCs/>
              <w:szCs w:val="24"/>
            </w:rPr>
            <w:fldChar w:fldCharType="end"/>
          </w:r>
        </w:p>
      </w:sdtContent>
    </w:sdt>
    <w:p w14:paraId="3760EA0C" w14:textId="3A6B12CC" w:rsidR="00E679E6" w:rsidRDefault="00E679E6">
      <w:r>
        <w:br w:type="page"/>
      </w:r>
    </w:p>
    <w:p w14:paraId="38BCF9EC" w14:textId="7AEE8E88" w:rsidR="00E679E6" w:rsidRDefault="00E679E6" w:rsidP="00E679E6">
      <w:pPr>
        <w:spacing w:before="240"/>
        <w:jc w:val="center"/>
        <w:rPr>
          <w:b/>
          <w:bCs/>
          <w:sz w:val="28"/>
          <w:szCs w:val="28"/>
        </w:rPr>
      </w:pPr>
      <w:r w:rsidRPr="00E679E6">
        <w:rPr>
          <w:b/>
          <w:bCs/>
          <w:sz w:val="28"/>
          <w:szCs w:val="28"/>
        </w:rPr>
        <w:t>List of Figures</w:t>
      </w:r>
    </w:p>
    <w:p w14:paraId="13801B8A" w14:textId="0E57382E" w:rsidR="00187406" w:rsidRDefault="00E679E6">
      <w:pPr>
        <w:pStyle w:val="TableofFigures"/>
        <w:tabs>
          <w:tab w:val="right" w:leader="dot" w:pos="9019"/>
        </w:tabs>
        <w:rPr>
          <w:rFonts w:asciiTheme="minorHAnsi" w:eastAsiaTheme="minorEastAsia" w:hAnsiTheme="minorHAnsi" w:cstheme="minorBidi"/>
          <w:noProof/>
          <w:color w:val="auto"/>
          <w:kern w:val="2"/>
          <w:szCs w:val="24"/>
          <w:lang w:val="en-IN"/>
          <w14:ligatures w14:val="standardContextual"/>
        </w:rPr>
      </w:pPr>
      <w:r w:rsidRPr="00E679E6">
        <w:rPr>
          <w:b/>
          <w:bCs/>
          <w:szCs w:val="24"/>
        </w:rPr>
        <w:fldChar w:fldCharType="begin"/>
      </w:r>
      <w:r w:rsidRPr="00E679E6">
        <w:rPr>
          <w:b/>
          <w:bCs/>
          <w:szCs w:val="24"/>
        </w:rPr>
        <w:instrText xml:space="preserve"> TOC \h \z \t "Heading 4" \c </w:instrText>
      </w:r>
      <w:r w:rsidRPr="00E679E6">
        <w:rPr>
          <w:b/>
          <w:bCs/>
          <w:szCs w:val="24"/>
        </w:rPr>
        <w:fldChar w:fldCharType="separate"/>
      </w:r>
      <w:hyperlink w:anchor="_Toc236950535" w:history="1">
        <w:r w:rsidR="00187406" w:rsidRPr="00766930">
          <w:rPr>
            <w:rStyle w:val="Hyperlink"/>
            <w:noProof/>
          </w:rPr>
          <w:t>Figure 1: Non-financial performance of Diageo</w:t>
        </w:r>
        <w:r w:rsidR="00187406">
          <w:rPr>
            <w:noProof/>
            <w:webHidden/>
          </w:rPr>
          <w:tab/>
        </w:r>
        <w:r w:rsidR="00187406">
          <w:rPr>
            <w:noProof/>
            <w:webHidden/>
          </w:rPr>
          <w:fldChar w:fldCharType="begin"/>
        </w:r>
        <w:r w:rsidR="00187406">
          <w:rPr>
            <w:noProof/>
            <w:webHidden/>
          </w:rPr>
          <w:instrText xml:space="preserve"> PAGEREF _Toc236950535 \h </w:instrText>
        </w:r>
        <w:r w:rsidR="00187406">
          <w:rPr>
            <w:noProof/>
            <w:webHidden/>
          </w:rPr>
        </w:r>
        <w:r w:rsidR="00187406">
          <w:rPr>
            <w:noProof/>
            <w:webHidden/>
          </w:rPr>
          <w:fldChar w:fldCharType="separate"/>
        </w:r>
        <w:r w:rsidR="00187406">
          <w:rPr>
            <w:noProof/>
            <w:webHidden/>
          </w:rPr>
          <w:t>5</w:t>
        </w:r>
        <w:r w:rsidR="00187406">
          <w:rPr>
            <w:noProof/>
            <w:webHidden/>
          </w:rPr>
          <w:fldChar w:fldCharType="end"/>
        </w:r>
      </w:hyperlink>
    </w:p>
    <w:p w14:paraId="34AD38B4" w14:textId="47A0DE1A" w:rsidR="00187406" w:rsidRDefault="00187406">
      <w:pPr>
        <w:pStyle w:val="TableofFigures"/>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36" w:history="1">
        <w:r w:rsidRPr="00766930">
          <w:rPr>
            <w:rStyle w:val="Hyperlink"/>
            <w:noProof/>
          </w:rPr>
          <w:t>Figure 2: Drinking Frequency in the UK (Annual Trend)</w:t>
        </w:r>
        <w:r>
          <w:rPr>
            <w:noProof/>
            <w:webHidden/>
          </w:rPr>
          <w:tab/>
        </w:r>
        <w:r>
          <w:rPr>
            <w:noProof/>
            <w:webHidden/>
          </w:rPr>
          <w:fldChar w:fldCharType="begin"/>
        </w:r>
        <w:r>
          <w:rPr>
            <w:noProof/>
            <w:webHidden/>
          </w:rPr>
          <w:instrText xml:space="preserve"> PAGEREF _Toc236950536 \h </w:instrText>
        </w:r>
        <w:r>
          <w:rPr>
            <w:noProof/>
            <w:webHidden/>
          </w:rPr>
        </w:r>
        <w:r>
          <w:rPr>
            <w:noProof/>
            <w:webHidden/>
          </w:rPr>
          <w:fldChar w:fldCharType="separate"/>
        </w:r>
        <w:r>
          <w:rPr>
            <w:noProof/>
            <w:webHidden/>
          </w:rPr>
          <w:t>8</w:t>
        </w:r>
        <w:r>
          <w:rPr>
            <w:noProof/>
            <w:webHidden/>
          </w:rPr>
          <w:fldChar w:fldCharType="end"/>
        </w:r>
      </w:hyperlink>
    </w:p>
    <w:p w14:paraId="74651460" w14:textId="106ACB4E" w:rsidR="00187406" w:rsidRDefault="00187406">
      <w:pPr>
        <w:pStyle w:val="TableofFigures"/>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37" w:history="1">
        <w:r w:rsidRPr="00766930">
          <w:rPr>
            <w:rStyle w:val="Hyperlink"/>
            <w:noProof/>
          </w:rPr>
          <w:t>Figure 3: Sustainability Performance</w:t>
        </w:r>
        <w:r>
          <w:rPr>
            <w:noProof/>
            <w:webHidden/>
          </w:rPr>
          <w:tab/>
        </w:r>
        <w:r>
          <w:rPr>
            <w:noProof/>
            <w:webHidden/>
          </w:rPr>
          <w:fldChar w:fldCharType="begin"/>
        </w:r>
        <w:r>
          <w:rPr>
            <w:noProof/>
            <w:webHidden/>
          </w:rPr>
          <w:instrText xml:space="preserve"> PAGEREF _Toc236950537 \h </w:instrText>
        </w:r>
        <w:r>
          <w:rPr>
            <w:noProof/>
            <w:webHidden/>
          </w:rPr>
        </w:r>
        <w:r>
          <w:rPr>
            <w:noProof/>
            <w:webHidden/>
          </w:rPr>
          <w:fldChar w:fldCharType="separate"/>
        </w:r>
        <w:r>
          <w:rPr>
            <w:noProof/>
            <w:webHidden/>
          </w:rPr>
          <w:t>13</w:t>
        </w:r>
        <w:r>
          <w:rPr>
            <w:noProof/>
            <w:webHidden/>
          </w:rPr>
          <w:fldChar w:fldCharType="end"/>
        </w:r>
      </w:hyperlink>
    </w:p>
    <w:p w14:paraId="64CB8F8C" w14:textId="44F365E5" w:rsidR="00187406" w:rsidRDefault="00187406">
      <w:pPr>
        <w:pStyle w:val="TableofFigures"/>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38" w:history="1">
        <w:r w:rsidRPr="00766930">
          <w:rPr>
            <w:rStyle w:val="Hyperlink"/>
            <w:noProof/>
          </w:rPr>
          <w:t>Figure 4: Sales and Profit Values</w:t>
        </w:r>
        <w:r>
          <w:rPr>
            <w:noProof/>
            <w:webHidden/>
          </w:rPr>
          <w:tab/>
        </w:r>
        <w:r>
          <w:rPr>
            <w:noProof/>
            <w:webHidden/>
          </w:rPr>
          <w:fldChar w:fldCharType="begin"/>
        </w:r>
        <w:r>
          <w:rPr>
            <w:noProof/>
            <w:webHidden/>
          </w:rPr>
          <w:instrText xml:space="preserve"> PAGEREF _Toc236950538 \h </w:instrText>
        </w:r>
        <w:r>
          <w:rPr>
            <w:noProof/>
            <w:webHidden/>
          </w:rPr>
        </w:r>
        <w:r>
          <w:rPr>
            <w:noProof/>
            <w:webHidden/>
          </w:rPr>
          <w:fldChar w:fldCharType="separate"/>
        </w:r>
        <w:r>
          <w:rPr>
            <w:noProof/>
            <w:webHidden/>
          </w:rPr>
          <w:t>14</w:t>
        </w:r>
        <w:r>
          <w:rPr>
            <w:noProof/>
            <w:webHidden/>
          </w:rPr>
          <w:fldChar w:fldCharType="end"/>
        </w:r>
      </w:hyperlink>
    </w:p>
    <w:p w14:paraId="704EE49E" w14:textId="2DA514E7" w:rsidR="00187406" w:rsidRDefault="00187406">
      <w:pPr>
        <w:pStyle w:val="TableofFigures"/>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39" w:history="1">
        <w:r w:rsidRPr="00766930">
          <w:rPr>
            <w:rStyle w:val="Hyperlink"/>
            <w:noProof/>
          </w:rPr>
          <w:t>Figure 5: Ansoff matrix</w:t>
        </w:r>
        <w:r>
          <w:rPr>
            <w:noProof/>
            <w:webHidden/>
          </w:rPr>
          <w:tab/>
        </w:r>
        <w:r>
          <w:rPr>
            <w:noProof/>
            <w:webHidden/>
          </w:rPr>
          <w:fldChar w:fldCharType="begin"/>
        </w:r>
        <w:r>
          <w:rPr>
            <w:noProof/>
            <w:webHidden/>
          </w:rPr>
          <w:instrText xml:space="preserve"> PAGEREF _Toc236950539 \h </w:instrText>
        </w:r>
        <w:r>
          <w:rPr>
            <w:noProof/>
            <w:webHidden/>
          </w:rPr>
        </w:r>
        <w:r>
          <w:rPr>
            <w:noProof/>
            <w:webHidden/>
          </w:rPr>
          <w:fldChar w:fldCharType="separate"/>
        </w:r>
        <w:r>
          <w:rPr>
            <w:noProof/>
            <w:webHidden/>
          </w:rPr>
          <w:t>20</w:t>
        </w:r>
        <w:r>
          <w:rPr>
            <w:noProof/>
            <w:webHidden/>
          </w:rPr>
          <w:fldChar w:fldCharType="end"/>
        </w:r>
      </w:hyperlink>
    </w:p>
    <w:p w14:paraId="2CDEF3B7" w14:textId="1DA57DC8" w:rsidR="00E679E6" w:rsidRPr="00E679E6" w:rsidRDefault="00E679E6" w:rsidP="00E679E6">
      <w:pPr>
        <w:spacing w:before="240"/>
        <w:rPr>
          <w:b/>
          <w:bCs/>
          <w:sz w:val="28"/>
          <w:szCs w:val="28"/>
        </w:rPr>
      </w:pPr>
      <w:r w:rsidRPr="00E679E6">
        <w:rPr>
          <w:b/>
          <w:bCs/>
          <w:szCs w:val="24"/>
        </w:rPr>
        <w:fldChar w:fldCharType="end"/>
      </w:r>
    </w:p>
    <w:p w14:paraId="76F622AA" w14:textId="77777777" w:rsidR="00E679E6" w:rsidRDefault="00E679E6">
      <w:r>
        <w:br w:type="page"/>
      </w:r>
    </w:p>
    <w:p w14:paraId="6D418A42" w14:textId="264EE6C7" w:rsidR="00E679E6" w:rsidRDefault="00E679E6" w:rsidP="00743270">
      <w:pPr>
        <w:spacing w:before="240"/>
        <w:jc w:val="center"/>
        <w:rPr>
          <w:b/>
          <w:bCs/>
          <w:sz w:val="28"/>
          <w:szCs w:val="28"/>
        </w:rPr>
      </w:pPr>
      <w:r w:rsidRPr="00743270">
        <w:rPr>
          <w:b/>
          <w:bCs/>
          <w:sz w:val="28"/>
          <w:szCs w:val="28"/>
        </w:rPr>
        <w:t>List of Tables</w:t>
      </w:r>
    </w:p>
    <w:p w14:paraId="1986CF49" w14:textId="55E4EA23" w:rsidR="00AC5FDB" w:rsidRDefault="00743270">
      <w:pPr>
        <w:pStyle w:val="TableofFigures"/>
        <w:tabs>
          <w:tab w:val="right" w:leader="dot" w:pos="9019"/>
        </w:tabs>
        <w:rPr>
          <w:rFonts w:asciiTheme="minorHAnsi" w:eastAsiaTheme="minorEastAsia" w:hAnsiTheme="minorHAnsi" w:cstheme="minorBidi"/>
          <w:noProof/>
          <w:color w:val="auto"/>
          <w:kern w:val="2"/>
          <w:szCs w:val="24"/>
          <w:lang w:val="en-IN"/>
          <w14:ligatures w14:val="standardContextual"/>
        </w:rPr>
      </w:pPr>
      <w:r w:rsidRPr="00743270">
        <w:rPr>
          <w:szCs w:val="24"/>
        </w:rPr>
        <w:fldChar w:fldCharType="begin"/>
      </w:r>
      <w:r w:rsidRPr="00743270">
        <w:rPr>
          <w:szCs w:val="24"/>
        </w:rPr>
        <w:instrText xml:space="preserve"> TOC \h \z \t "Heading 5" \c </w:instrText>
      </w:r>
      <w:r w:rsidRPr="00743270">
        <w:rPr>
          <w:szCs w:val="24"/>
        </w:rPr>
        <w:fldChar w:fldCharType="separate"/>
      </w:r>
      <w:hyperlink w:anchor="_Toc236950540" w:history="1">
        <w:r w:rsidR="00AC5FDB" w:rsidRPr="002B7301">
          <w:rPr>
            <w:rStyle w:val="Hyperlink"/>
            <w:noProof/>
          </w:rPr>
          <w:t>Table 1: VRIO Analysis of Diageo PLC</w:t>
        </w:r>
        <w:r w:rsidR="00AC5FDB">
          <w:rPr>
            <w:noProof/>
            <w:webHidden/>
          </w:rPr>
          <w:tab/>
        </w:r>
        <w:r w:rsidR="00AC5FDB">
          <w:rPr>
            <w:noProof/>
            <w:webHidden/>
          </w:rPr>
          <w:fldChar w:fldCharType="begin"/>
        </w:r>
        <w:r w:rsidR="00AC5FDB">
          <w:rPr>
            <w:noProof/>
            <w:webHidden/>
          </w:rPr>
          <w:instrText xml:space="preserve"> PAGEREF _Toc236950540 \h </w:instrText>
        </w:r>
        <w:r w:rsidR="00AC5FDB">
          <w:rPr>
            <w:noProof/>
            <w:webHidden/>
          </w:rPr>
        </w:r>
        <w:r w:rsidR="00AC5FDB">
          <w:rPr>
            <w:noProof/>
            <w:webHidden/>
          </w:rPr>
          <w:fldChar w:fldCharType="separate"/>
        </w:r>
        <w:r w:rsidR="00AC5FDB">
          <w:rPr>
            <w:noProof/>
            <w:webHidden/>
          </w:rPr>
          <w:t>10</w:t>
        </w:r>
        <w:r w:rsidR="00AC5FDB">
          <w:rPr>
            <w:noProof/>
            <w:webHidden/>
          </w:rPr>
          <w:fldChar w:fldCharType="end"/>
        </w:r>
      </w:hyperlink>
    </w:p>
    <w:p w14:paraId="63CAF14B" w14:textId="26BFD6E6" w:rsidR="00AC5FDB" w:rsidRDefault="00AC5FDB">
      <w:pPr>
        <w:pStyle w:val="TableofFigures"/>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41" w:history="1">
        <w:r w:rsidRPr="002B7301">
          <w:rPr>
            <w:rStyle w:val="Hyperlink"/>
            <w:noProof/>
          </w:rPr>
          <w:t>Table 2: SWOT Analysis of Diageo PLC</w:t>
        </w:r>
        <w:r>
          <w:rPr>
            <w:noProof/>
            <w:webHidden/>
          </w:rPr>
          <w:tab/>
        </w:r>
        <w:r>
          <w:rPr>
            <w:noProof/>
            <w:webHidden/>
          </w:rPr>
          <w:fldChar w:fldCharType="begin"/>
        </w:r>
        <w:r>
          <w:rPr>
            <w:noProof/>
            <w:webHidden/>
          </w:rPr>
          <w:instrText xml:space="preserve"> PAGEREF _Toc236950541 \h </w:instrText>
        </w:r>
        <w:r>
          <w:rPr>
            <w:noProof/>
            <w:webHidden/>
          </w:rPr>
        </w:r>
        <w:r>
          <w:rPr>
            <w:noProof/>
            <w:webHidden/>
          </w:rPr>
          <w:fldChar w:fldCharType="separate"/>
        </w:r>
        <w:r>
          <w:rPr>
            <w:noProof/>
            <w:webHidden/>
          </w:rPr>
          <w:t>12</w:t>
        </w:r>
        <w:r>
          <w:rPr>
            <w:noProof/>
            <w:webHidden/>
          </w:rPr>
          <w:fldChar w:fldCharType="end"/>
        </w:r>
      </w:hyperlink>
    </w:p>
    <w:p w14:paraId="7B97B8E9" w14:textId="36F57E20" w:rsidR="00AC5FDB" w:rsidRDefault="00AC5FDB">
      <w:pPr>
        <w:pStyle w:val="TableofFigures"/>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42" w:history="1">
        <w:r w:rsidRPr="002B7301">
          <w:rPr>
            <w:rStyle w:val="Hyperlink"/>
            <w:noProof/>
          </w:rPr>
          <w:t>Table 3: Evaluation of porter’s generic strategies for Diageo UK non-alcoholic beverages</w:t>
        </w:r>
        <w:r>
          <w:rPr>
            <w:noProof/>
            <w:webHidden/>
          </w:rPr>
          <w:tab/>
        </w:r>
        <w:r>
          <w:rPr>
            <w:noProof/>
            <w:webHidden/>
          </w:rPr>
          <w:fldChar w:fldCharType="begin"/>
        </w:r>
        <w:r>
          <w:rPr>
            <w:noProof/>
            <w:webHidden/>
          </w:rPr>
          <w:instrText xml:space="preserve"> PAGEREF _Toc236950542 \h </w:instrText>
        </w:r>
        <w:r>
          <w:rPr>
            <w:noProof/>
            <w:webHidden/>
          </w:rPr>
        </w:r>
        <w:r>
          <w:rPr>
            <w:noProof/>
            <w:webHidden/>
          </w:rPr>
          <w:fldChar w:fldCharType="separate"/>
        </w:r>
        <w:r>
          <w:rPr>
            <w:noProof/>
            <w:webHidden/>
          </w:rPr>
          <w:t>18</w:t>
        </w:r>
        <w:r>
          <w:rPr>
            <w:noProof/>
            <w:webHidden/>
          </w:rPr>
          <w:fldChar w:fldCharType="end"/>
        </w:r>
      </w:hyperlink>
    </w:p>
    <w:p w14:paraId="069DCDB7" w14:textId="75304CE2" w:rsidR="00AC5FDB" w:rsidRDefault="00AC5FDB">
      <w:pPr>
        <w:pStyle w:val="TableofFigures"/>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43" w:history="1">
        <w:r w:rsidRPr="002B7301">
          <w:rPr>
            <w:rStyle w:val="Hyperlink"/>
            <w:noProof/>
          </w:rPr>
          <w:t>Table 4: Porter’s five forces implications for Diageo UK non-alcoholic beverages</w:t>
        </w:r>
        <w:r>
          <w:rPr>
            <w:noProof/>
            <w:webHidden/>
          </w:rPr>
          <w:tab/>
        </w:r>
        <w:r>
          <w:rPr>
            <w:noProof/>
            <w:webHidden/>
          </w:rPr>
          <w:fldChar w:fldCharType="begin"/>
        </w:r>
        <w:r>
          <w:rPr>
            <w:noProof/>
            <w:webHidden/>
          </w:rPr>
          <w:instrText xml:space="preserve"> PAGEREF _Toc236950543 \h </w:instrText>
        </w:r>
        <w:r>
          <w:rPr>
            <w:noProof/>
            <w:webHidden/>
          </w:rPr>
        </w:r>
        <w:r>
          <w:rPr>
            <w:noProof/>
            <w:webHidden/>
          </w:rPr>
          <w:fldChar w:fldCharType="separate"/>
        </w:r>
        <w:r>
          <w:rPr>
            <w:noProof/>
            <w:webHidden/>
          </w:rPr>
          <w:t>20</w:t>
        </w:r>
        <w:r>
          <w:rPr>
            <w:noProof/>
            <w:webHidden/>
          </w:rPr>
          <w:fldChar w:fldCharType="end"/>
        </w:r>
      </w:hyperlink>
    </w:p>
    <w:p w14:paraId="6EE99DC0" w14:textId="4DE478FA" w:rsidR="00AC5FDB" w:rsidRDefault="00AC5FDB">
      <w:pPr>
        <w:pStyle w:val="TableofFigures"/>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44" w:history="1">
        <w:r w:rsidRPr="002B7301">
          <w:rPr>
            <w:rStyle w:val="Hyperlink"/>
            <w:noProof/>
          </w:rPr>
          <w:t>Table 5: Implementation plan</w:t>
        </w:r>
        <w:r>
          <w:rPr>
            <w:noProof/>
            <w:webHidden/>
          </w:rPr>
          <w:tab/>
        </w:r>
        <w:r>
          <w:rPr>
            <w:noProof/>
            <w:webHidden/>
          </w:rPr>
          <w:fldChar w:fldCharType="begin"/>
        </w:r>
        <w:r>
          <w:rPr>
            <w:noProof/>
            <w:webHidden/>
          </w:rPr>
          <w:instrText xml:space="preserve"> PAGEREF _Toc236950544 \h </w:instrText>
        </w:r>
        <w:r>
          <w:rPr>
            <w:noProof/>
            <w:webHidden/>
          </w:rPr>
        </w:r>
        <w:r>
          <w:rPr>
            <w:noProof/>
            <w:webHidden/>
          </w:rPr>
          <w:fldChar w:fldCharType="separate"/>
        </w:r>
        <w:r>
          <w:rPr>
            <w:noProof/>
            <w:webHidden/>
          </w:rPr>
          <w:t>21</w:t>
        </w:r>
        <w:r>
          <w:rPr>
            <w:noProof/>
            <w:webHidden/>
          </w:rPr>
          <w:fldChar w:fldCharType="end"/>
        </w:r>
      </w:hyperlink>
    </w:p>
    <w:p w14:paraId="1355B867" w14:textId="534FB5A8" w:rsidR="00AC5FDB" w:rsidRDefault="00AC5FDB">
      <w:pPr>
        <w:pStyle w:val="TableofFigures"/>
        <w:tabs>
          <w:tab w:val="right" w:leader="dot" w:pos="9019"/>
        </w:tabs>
        <w:rPr>
          <w:rFonts w:asciiTheme="minorHAnsi" w:eastAsiaTheme="minorEastAsia" w:hAnsiTheme="minorHAnsi" w:cstheme="minorBidi"/>
          <w:noProof/>
          <w:color w:val="auto"/>
          <w:kern w:val="2"/>
          <w:szCs w:val="24"/>
          <w:lang w:val="en-IN"/>
          <w14:ligatures w14:val="standardContextual"/>
        </w:rPr>
      </w:pPr>
      <w:hyperlink w:anchor="_Toc236950545" w:history="1">
        <w:r w:rsidRPr="002B7301">
          <w:rPr>
            <w:rStyle w:val="Hyperlink"/>
            <w:noProof/>
          </w:rPr>
          <w:t>Table 6: Implementation challenges and solutions</w:t>
        </w:r>
        <w:r>
          <w:rPr>
            <w:noProof/>
            <w:webHidden/>
          </w:rPr>
          <w:tab/>
        </w:r>
        <w:r>
          <w:rPr>
            <w:noProof/>
            <w:webHidden/>
          </w:rPr>
          <w:fldChar w:fldCharType="begin"/>
        </w:r>
        <w:r>
          <w:rPr>
            <w:noProof/>
            <w:webHidden/>
          </w:rPr>
          <w:instrText xml:space="preserve"> PAGEREF _Toc236950545 \h </w:instrText>
        </w:r>
        <w:r>
          <w:rPr>
            <w:noProof/>
            <w:webHidden/>
          </w:rPr>
        </w:r>
        <w:r>
          <w:rPr>
            <w:noProof/>
            <w:webHidden/>
          </w:rPr>
          <w:fldChar w:fldCharType="separate"/>
        </w:r>
        <w:r>
          <w:rPr>
            <w:noProof/>
            <w:webHidden/>
          </w:rPr>
          <w:t>21</w:t>
        </w:r>
        <w:r>
          <w:rPr>
            <w:noProof/>
            <w:webHidden/>
          </w:rPr>
          <w:fldChar w:fldCharType="end"/>
        </w:r>
      </w:hyperlink>
    </w:p>
    <w:p w14:paraId="3BF8277A" w14:textId="5A8FFF63" w:rsidR="00743270" w:rsidRPr="00743270" w:rsidRDefault="00743270" w:rsidP="00743270">
      <w:pPr>
        <w:spacing w:before="240"/>
        <w:rPr>
          <w:sz w:val="28"/>
          <w:szCs w:val="28"/>
        </w:rPr>
      </w:pPr>
      <w:r w:rsidRPr="00743270">
        <w:rPr>
          <w:szCs w:val="24"/>
        </w:rPr>
        <w:fldChar w:fldCharType="end"/>
      </w:r>
    </w:p>
    <w:p w14:paraId="1EBBF0AB" w14:textId="62336B0E" w:rsidR="00E679E6" w:rsidRPr="00743270" w:rsidRDefault="00E679E6" w:rsidP="00743270">
      <w:pPr>
        <w:spacing w:before="240"/>
        <w:jc w:val="center"/>
        <w:rPr>
          <w:b/>
          <w:bCs/>
          <w:sz w:val="28"/>
          <w:szCs w:val="28"/>
        </w:rPr>
      </w:pPr>
      <w:r w:rsidRPr="00743270">
        <w:rPr>
          <w:b/>
          <w:bCs/>
          <w:sz w:val="28"/>
          <w:szCs w:val="28"/>
        </w:rPr>
        <w:br w:type="page"/>
      </w:r>
    </w:p>
    <w:p w14:paraId="3F62D067" w14:textId="088026E6" w:rsidR="00230D96" w:rsidRDefault="0045087E" w:rsidP="00E679E6">
      <w:pPr>
        <w:pStyle w:val="Heading1"/>
        <w:rPr>
          <w:color w:val="FF0000"/>
        </w:rPr>
      </w:pPr>
      <w:bookmarkStart w:id="0" w:name="_Toc236950513"/>
      <w:r>
        <w:t>Section 1: Business Report</w:t>
      </w:r>
      <w:bookmarkEnd w:id="0"/>
    </w:p>
    <w:p w14:paraId="698505FB" w14:textId="159EB480" w:rsidR="0005406E" w:rsidRPr="001377C1" w:rsidRDefault="0005406E" w:rsidP="000A6CA4">
      <w:pPr>
        <w:pStyle w:val="Heading2"/>
      </w:pPr>
      <w:bookmarkStart w:id="1" w:name="_Toc236950514"/>
      <w:r w:rsidRPr="001377C1">
        <w:t xml:space="preserve">1. </w:t>
      </w:r>
      <w:r w:rsidR="001377C1" w:rsidRPr="001377C1">
        <w:t>Organisational context and overview</w:t>
      </w:r>
      <w:bookmarkEnd w:id="1"/>
      <w:r w:rsidR="001377C1" w:rsidRPr="001377C1">
        <w:t xml:space="preserve"> </w:t>
      </w:r>
    </w:p>
    <w:p w14:paraId="225E917A" w14:textId="62B8143B" w:rsidR="001377C1" w:rsidRDefault="001377C1" w:rsidP="00543285">
      <w:pPr>
        <w:pStyle w:val="Heading3"/>
      </w:pPr>
      <w:bookmarkStart w:id="2" w:name="_Toc236950515"/>
      <w:r>
        <w:t xml:space="preserve">1.1 Introduction to </w:t>
      </w:r>
      <w:r w:rsidRPr="001377C1">
        <w:t>Diageo PLC</w:t>
      </w:r>
      <w:bookmarkEnd w:id="2"/>
    </w:p>
    <w:p w14:paraId="538DB78C" w14:textId="15B6D500" w:rsidR="00093396" w:rsidRDefault="00093396" w:rsidP="000B4DD6">
      <w:r w:rsidRPr="00093396">
        <w:t>Diageo PLC is a multinational beverages corporation based out of United Kingdom. Founded in 1997 as a result of merger between Guinness and Grand Metropolitan, Diageo today operates in over 180 nations with an employee strength of 30,000 around the world</w:t>
      </w:r>
      <w:r w:rsidR="005A0008">
        <w:t xml:space="preserve"> (</w:t>
      </w:r>
      <w:r w:rsidR="005A0008">
        <w:rPr>
          <w:szCs w:val="24"/>
        </w:rPr>
        <w:t>Diageo, 2023</w:t>
      </w:r>
      <w:r w:rsidR="005A0008">
        <w:t>)</w:t>
      </w:r>
      <w:r w:rsidRPr="00093396">
        <w:t>. It offers a wide range of beverage products under its portfolio in terms of spirits, beer, ready-to-drinks, and non-alcoholic beverages. This report aims at discussing UK non-alcoholic beverage portfolio of Diageo which includes Guinness 0.0, Gordon’s 0.0, and Tanqueray 0.0. This division has been chosen because of rapid rise in mindful drinking, health consciousness, and stringent UK policies concerning alcohol consumption.</w:t>
      </w:r>
      <w:r w:rsidR="000B4DD6">
        <w:t xml:space="preserve"> </w:t>
      </w:r>
      <w:r w:rsidR="000B4DD6" w:rsidRPr="000B4DD6">
        <w:t>UK no</w:t>
      </w:r>
      <w:r w:rsidR="00AB73AA">
        <w:t>n</w:t>
      </w:r>
      <w:r w:rsidR="000B4DD6" w:rsidRPr="000B4DD6">
        <w:t>-Alcohol segment saw a considerable expansion. People are turning to healthier options without giving up on their fun and social drinking experiences</w:t>
      </w:r>
      <w:r w:rsidR="007E7E23">
        <w:t xml:space="preserve"> (</w:t>
      </w:r>
      <w:r w:rsidR="007E7E23" w:rsidRPr="00766838">
        <w:rPr>
          <w:szCs w:val="24"/>
        </w:rPr>
        <w:t>Nicholls</w:t>
      </w:r>
      <w:r w:rsidR="007E7E23">
        <w:rPr>
          <w:szCs w:val="24"/>
        </w:rPr>
        <w:t>,2023</w:t>
      </w:r>
      <w:r w:rsidR="007E7E23">
        <w:t>)</w:t>
      </w:r>
      <w:r w:rsidR="000B4DD6" w:rsidRPr="000B4DD6">
        <w:t>.</w:t>
      </w:r>
    </w:p>
    <w:p w14:paraId="2A23F6EB" w14:textId="73542F72" w:rsidR="00C93CA0" w:rsidRDefault="00C93CA0" w:rsidP="00C93CA0">
      <w:pPr>
        <w:jc w:val="center"/>
      </w:pPr>
      <w:r w:rsidRPr="00C93CA0">
        <w:rPr>
          <w:noProof/>
        </w:rPr>
        <w:drawing>
          <wp:inline distT="0" distB="0" distL="0" distR="0" wp14:anchorId="7FAD1C32" wp14:editId="22928EA3">
            <wp:extent cx="5733415" cy="2186940"/>
            <wp:effectExtent l="0" t="0" r="635" b="3810"/>
            <wp:docPr id="1904232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232948" name=""/>
                    <pic:cNvPicPr/>
                  </pic:nvPicPr>
                  <pic:blipFill>
                    <a:blip r:embed="rId8"/>
                    <a:stretch>
                      <a:fillRect/>
                    </a:stretch>
                  </pic:blipFill>
                  <pic:spPr>
                    <a:xfrm>
                      <a:off x="0" y="0"/>
                      <a:ext cx="5733415" cy="2186940"/>
                    </a:xfrm>
                    <a:prstGeom prst="rect">
                      <a:avLst/>
                    </a:prstGeom>
                  </pic:spPr>
                </pic:pic>
              </a:graphicData>
            </a:graphic>
          </wp:inline>
        </w:drawing>
      </w:r>
    </w:p>
    <w:p w14:paraId="4611A18A" w14:textId="35F22225" w:rsidR="00C93CA0" w:rsidRDefault="00C93CA0" w:rsidP="00480204">
      <w:pPr>
        <w:pStyle w:val="Heading4"/>
      </w:pPr>
      <w:bookmarkStart w:id="3" w:name="_Toc236950535"/>
      <w:r>
        <w:t>Figure 1: Non-financial performance of Diageo</w:t>
      </w:r>
      <w:bookmarkEnd w:id="3"/>
    </w:p>
    <w:p w14:paraId="278AE3E0" w14:textId="23E76419" w:rsidR="00C93CA0" w:rsidRPr="00C93CA0" w:rsidRDefault="00C93CA0" w:rsidP="00C93CA0">
      <w:pPr>
        <w:jc w:val="center"/>
      </w:pPr>
      <w:r>
        <w:t>(Source:</w:t>
      </w:r>
      <w:r w:rsidR="00605CE6">
        <w:t xml:space="preserve"> </w:t>
      </w:r>
      <w:r w:rsidR="00605CE6">
        <w:rPr>
          <w:szCs w:val="24"/>
        </w:rPr>
        <w:t>Diageo, 2023</w:t>
      </w:r>
      <w:r>
        <w:t>)</w:t>
      </w:r>
    </w:p>
    <w:p w14:paraId="420933BF" w14:textId="34C7E31D" w:rsidR="001377C1" w:rsidRDefault="001377C1" w:rsidP="00543285">
      <w:pPr>
        <w:pStyle w:val="Heading3"/>
      </w:pPr>
      <w:bookmarkStart w:id="4" w:name="_Toc236950516"/>
      <w:r>
        <w:t xml:space="preserve">1.2 </w:t>
      </w:r>
      <w:r w:rsidRPr="001377C1">
        <w:t xml:space="preserve">Historical </w:t>
      </w:r>
      <w:r w:rsidR="00093396" w:rsidRPr="001377C1">
        <w:t xml:space="preserve">development </w:t>
      </w:r>
      <w:r w:rsidRPr="001377C1">
        <w:t xml:space="preserve">and </w:t>
      </w:r>
      <w:r w:rsidR="00093396" w:rsidRPr="001377C1">
        <w:t>strategic evolution</w:t>
      </w:r>
      <w:bookmarkEnd w:id="4"/>
    </w:p>
    <w:p w14:paraId="4D4F598F" w14:textId="0C184CBA" w:rsidR="000B4DD6" w:rsidRPr="000B4DD6" w:rsidRDefault="00D0435A" w:rsidP="00D0435A">
      <w:r w:rsidRPr="00D0435A">
        <w:t xml:space="preserve">Diageo has been able to grow by making use of acquisitions, branding of their products globally and through </w:t>
      </w:r>
      <w:proofErr w:type="spellStart"/>
      <w:r w:rsidRPr="00D0435A">
        <w:t>premiumization</w:t>
      </w:r>
      <w:proofErr w:type="spellEnd"/>
      <w:r w:rsidRPr="00D0435A">
        <w:t xml:space="preserve"> strategies. By making investments in brands that were already known in market like Guinness, Johnnie Walker and Smirnoff, Diageo was able to enhance their competitiveness</w:t>
      </w:r>
      <w:r w:rsidR="0057214F">
        <w:t xml:space="preserve"> (</w:t>
      </w:r>
      <w:r w:rsidR="0057214F">
        <w:rPr>
          <w:szCs w:val="24"/>
        </w:rPr>
        <w:t>The Grocer, 2026</w:t>
      </w:r>
      <w:r w:rsidR="0057214F">
        <w:t>)</w:t>
      </w:r>
      <w:r w:rsidRPr="00D0435A">
        <w:t>. Nonetheless, changing consumption patterns have made it necessary for Diageo to venture into other types of drinks besides alcohol. Through alcohol free products, innovation and responsible drinking, Diageo has been able to meet new market demands by introducing products such as Guinness 0.0.</w:t>
      </w:r>
      <w:r>
        <w:t xml:space="preserve"> </w:t>
      </w:r>
      <w:r w:rsidR="00596312">
        <w:t>L</w:t>
      </w:r>
      <w:r w:rsidRPr="00D0435A">
        <w:t>aunch of products like Guinness 0.0 illustrates how the company is adjusting to a shifting market landscape and a rising trend in people's desire for high-quality non-alcoholic beverages</w:t>
      </w:r>
      <w:r w:rsidR="00B21312">
        <w:t xml:space="preserve"> (</w:t>
      </w:r>
      <w:r w:rsidR="00B21312">
        <w:rPr>
          <w:szCs w:val="24"/>
        </w:rPr>
        <w:t>Diageo, 2020</w:t>
      </w:r>
      <w:r w:rsidR="00B21312">
        <w:t>)</w:t>
      </w:r>
      <w:r w:rsidRPr="00D0435A">
        <w:t>.</w:t>
      </w:r>
    </w:p>
    <w:p w14:paraId="5AE4C0DC" w14:textId="52CC022F" w:rsidR="00093396" w:rsidRDefault="00093396" w:rsidP="00543285">
      <w:pPr>
        <w:pStyle w:val="Heading3"/>
      </w:pPr>
      <w:bookmarkStart w:id="5" w:name="_Toc236950517"/>
      <w:r>
        <w:t>1.3 Mission, vision, and business model</w:t>
      </w:r>
      <w:bookmarkEnd w:id="5"/>
      <w:r>
        <w:t xml:space="preserve"> </w:t>
      </w:r>
    </w:p>
    <w:p w14:paraId="508F02E1" w14:textId="3320BF07" w:rsidR="008120E6" w:rsidRPr="008120E6" w:rsidRDefault="00DA08F8" w:rsidP="00F05FD0">
      <w:r>
        <w:t>M</w:t>
      </w:r>
      <w:r w:rsidR="000B1963" w:rsidRPr="000B1963">
        <w:t xml:space="preserve">ission of Diageo is to build world-famous brands that unite people in responsible ways. </w:t>
      </w:r>
      <w:r w:rsidR="009A259E">
        <w:t>V</w:t>
      </w:r>
      <w:r w:rsidR="000B1963" w:rsidRPr="000B1963">
        <w:t>ision is about becoming world’s respected leader in beverages via sustainable growth</w:t>
      </w:r>
      <w:r w:rsidR="0094511F">
        <w:t xml:space="preserve"> (</w:t>
      </w:r>
      <w:r w:rsidR="0094511F">
        <w:rPr>
          <w:szCs w:val="24"/>
        </w:rPr>
        <w:t>Diageo, 2026</w:t>
      </w:r>
      <w:r w:rsidR="0094511F">
        <w:t>)</w:t>
      </w:r>
      <w:r w:rsidR="000B1963" w:rsidRPr="000B1963">
        <w:t xml:space="preserve">. Value creation happens due to high level of brand equity, innovation, and consumer understanding. Value is delivered by establishing relationships with retailers, hospitality businesses, and through digital channels. </w:t>
      </w:r>
      <w:r w:rsidR="00F05FD0" w:rsidRPr="00F05FD0">
        <w:t xml:space="preserve">Firms secure their worth </w:t>
      </w:r>
      <w:r w:rsidR="005456FC">
        <w:t>thr</w:t>
      </w:r>
      <w:r w:rsidR="00A66140">
        <w:t>ough</w:t>
      </w:r>
      <w:r w:rsidR="00F05FD0" w:rsidRPr="00F05FD0">
        <w:t xml:space="preserve"> charging high prices, winning loyal customers, and developing business in new beverage segments.</w:t>
      </w:r>
    </w:p>
    <w:p w14:paraId="023710B4" w14:textId="129A38D4" w:rsidR="00093396" w:rsidRDefault="00093396" w:rsidP="00543285">
      <w:pPr>
        <w:pStyle w:val="Heading3"/>
      </w:pPr>
      <w:bookmarkStart w:id="6" w:name="_Toc236950518"/>
      <w:r>
        <w:t>1.4 Industry overview and competition position</w:t>
      </w:r>
      <w:bookmarkEnd w:id="6"/>
      <w:r>
        <w:t xml:space="preserve"> </w:t>
      </w:r>
    </w:p>
    <w:p w14:paraId="0D7DFFEB" w14:textId="32A8BECE" w:rsidR="00E138B5" w:rsidRPr="00E138B5" w:rsidRDefault="004B7047" w:rsidP="00303406">
      <w:r>
        <w:t>G</w:t>
      </w:r>
      <w:r w:rsidR="00254BC3" w:rsidRPr="00254BC3">
        <w:t>rowth in UK non-alcoholic beverages industry can be attributed to changes in social norms, trend for wellness and increase in online purchases</w:t>
      </w:r>
      <w:r w:rsidR="00303406">
        <w:t xml:space="preserve"> (</w:t>
      </w:r>
      <w:r w:rsidR="00303406">
        <w:rPr>
          <w:szCs w:val="24"/>
        </w:rPr>
        <w:t>Mintel, 2024</w:t>
      </w:r>
      <w:r w:rsidR="00303406">
        <w:t>)</w:t>
      </w:r>
      <w:r w:rsidR="00254BC3" w:rsidRPr="00254BC3">
        <w:t xml:space="preserve">. </w:t>
      </w:r>
      <w:r w:rsidR="00596312">
        <w:t>C</w:t>
      </w:r>
      <w:r w:rsidR="00254BC3" w:rsidRPr="00254BC3">
        <w:t xml:space="preserve">ompetition in industry is from well-known brands like Heineken N.V. and Pernod Ricard. Both compete using their alcohol-free products such as Heineken 0.0 and others. There are specialist products that compete with Diageo by focusing on people who are concerned about their wellness. </w:t>
      </w:r>
      <w:r w:rsidR="00596312">
        <w:t>S</w:t>
      </w:r>
      <w:r w:rsidR="00F82CD1" w:rsidRPr="00F82CD1">
        <w:t>pecialists might come off more convincingly as real in wellness products business</w:t>
      </w:r>
      <w:r w:rsidR="00BD0265">
        <w:t>;</w:t>
      </w:r>
      <w:r w:rsidR="00F82CD1" w:rsidRPr="00F82CD1">
        <w:t xml:space="preserve"> since</w:t>
      </w:r>
      <w:r w:rsidR="00BD0265">
        <w:t>,</w:t>
      </w:r>
      <w:r w:rsidR="00F82CD1" w:rsidRPr="00F82CD1">
        <w:t xml:space="preserve"> their personal brands have been largely alcohol-free ones. As a result, Diageo should innovate continually, reiterate responsible drinking policy and get stronger on these issues to retain or build competitive advantage.</w:t>
      </w:r>
    </w:p>
    <w:p w14:paraId="4CE1D5E2" w14:textId="16417DD5" w:rsidR="00230D96" w:rsidRDefault="0045087E" w:rsidP="00E679E6">
      <w:pPr>
        <w:pStyle w:val="Heading2"/>
      </w:pPr>
      <w:bookmarkStart w:id="7" w:name="_Toc236950519"/>
      <w:r>
        <w:t xml:space="preserve">2. </w:t>
      </w:r>
      <w:r w:rsidRPr="00E679E6">
        <w:t>External</w:t>
      </w:r>
      <w:r>
        <w:t xml:space="preserve"> and Internal Analysis</w:t>
      </w:r>
      <w:bookmarkEnd w:id="7"/>
    </w:p>
    <w:p w14:paraId="0ED73079" w14:textId="77777777" w:rsidR="00230D96" w:rsidRDefault="0045087E" w:rsidP="00E679E6">
      <w:pPr>
        <w:pStyle w:val="Heading3"/>
      </w:pPr>
      <w:bookmarkStart w:id="8" w:name="_Toc236950520"/>
      <w:r>
        <w:t>2.1 External Environmental Analysis</w:t>
      </w:r>
      <w:bookmarkEnd w:id="8"/>
    </w:p>
    <w:p w14:paraId="706B3E9D" w14:textId="77777777" w:rsidR="00230D96" w:rsidRDefault="0045087E">
      <w:pPr>
        <w:spacing w:before="200"/>
        <w:rPr>
          <w:b/>
          <w:bCs/>
          <w:szCs w:val="24"/>
        </w:rPr>
      </w:pPr>
      <w:r>
        <w:rPr>
          <w:szCs w:val="24"/>
        </w:rPr>
        <w:t>In conducting the external environmental evaluation, both these social factors and the legal and political environmental factors were found to have the most important effect in Diageo PLC's non alcoholic beverage product ranges for the UK market.</w:t>
      </w:r>
    </w:p>
    <w:p w14:paraId="5D4DF0C3" w14:textId="77777777" w:rsidR="00230D96" w:rsidRDefault="0045087E">
      <w:pPr>
        <w:spacing w:before="200"/>
        <w:rPr>
          <w:szCs w:val="24"/>
        </w:rPr>
      </w:pPr>
      <w:r>
        <w:rPr>
          <w:b/>
          <w:bCs/>
          <w:i/>
          <w:iCs/>
          <w:szCs w:val="24"/>
          <w:u w:val="single"/>
        </w:rPr>
        <w:t>Political</w:t>
      </w:r>
      <w:r>
        <w:rPr>
          <w:b/>
          <w:bCs/>
          <w:i/>
          <w:iCs/>
          <w:szCs w:val="24"/>
        </w:rPr>
        <w:t xml:space="preserve"> </w:t>
      </w:r>
      <w:r>
        <w:rPr>
          <w:szCs w:val="24"/>
        </w:rPr>
        <w:t>(Strong Implication)</w:t>
      </w:r>
    </w:p>
    <w:p w14:paraId="121A600E" w14:textId="5934329A" w:rsidR="00230D96" w:rsidRDefault="0045087E">
      <w:pPr>
        <w:spacing w:before="200"/>
        <w:rPr>
          <w:szCs w:val="24"/>
        </w:rPr>
      </w:pPr>
      <w:r>
        <w:rPr>
          <w:szCs w:val="24"/>
        </w:rPr>
        <w:t>The political factor that has shaped the most significant advantage for Diageo PLC</w:t>
      </w:r>
      <w:r w:rsidR="00E679E6">
        <w:rPr>
          <w:szCs w:val="24"/>
        </w:rPr>
        <w:t>,</w:t>
      </w:r>
      <w:r>
        <w:rPr>
          <w:szCs w:val="24"/>
        </w:rPr>
        <w:t xml:space="preserve"> especially for its non-alcoholic beverage product ranges in the UK</w:t>
      </w:r>
      <w:r w:rsidR="00E679E6">
        <w:rPr>
          <w:szCs w:val="24"/>
        </w:rPr>
        <w:t>,</w:t>
      </w:r>
      <w:r>
        <w:rPr>
          <w:szCs w:val="24"/>
        </w:rPr>
        <w:t xml:space="preserve"> is the subsequent increase in tax rates and duty for alcohol products (Masala </w:t>
      </w:r>
      <w:r>
        <w:rPr>
          <w:i/>
          <w:iCs/>
          <w:szCs w:val="24"/>
        </w:rPr>
        <w:t>et al.</w:t>
      </w:r>
      <w:r>
        <w:rPr>
          <w:szCs w:val="24"/>
        </w:rPr>
        <w:t xml:space="preserve"> 2026). Since reported evidence has showcased a 4% decline </w:t>
      </w:r>
      <w:r w:rsidR="00E679E6">
        <w:rPr>
          <w:szCs w:val="24"/>
        </w:rPr>
        <w:t>in</w:t>
      </w:r>
      <w:r>
        <w:rPr>
          <w:szCs w:val="24"/>
        </w:rPr>
        <w:t xml:space="preserve"> annual tax revenue from alcohol products, it is clear that the targeted product range of Diageo PLC in the non alcoholic category is directly benefiting from tax breaks while also generating stronger revenue to offset added duties on its regular alcohol products (Bayley, 2026). Although it is important to note that existing policy </w:t>
      </w:r>
      <w:r w:rsidR="00E679E6">
        <w:rPr>
          <w:szCs w:val="24"/>
        </w:rPr>
        <w:t>pushes</w:t>
      </w:r>
      <w:r>
        <w:rPr>
          <w:szCs w:val="24"/>
        </w:rPr>
        <w:t xml:space="preserve"> for redefining low alcohol product ranges have moved the range from 0.05% to 0.5% ABV, the market opportunity that Diageo PLC currently possesses due to this political shift may also introduce newer alternatives that threaten potential market dominance for the brand (Beer Guild, 2025).</w:t>
      </w:r>
    </w:p>
    <w:p w14:paraId="18E3AC31" w14:textId="77777777" w:rsidR="00230D96" w:rsidRDefault="0045087E">
      <w:pPr>
        <w:spacing w:before="200"/>
        <w:rPr>
          <w:b/>
          <w:bCs/>
          <w:i/>
          <w:iCs/>
          <w:szCs w:val="24"/>
          <w:u w:val="single"/>
        </w:rPr>
      </w:pPr>
      <w:r>
        <w:rPr>
          <w:b/>
          <w:bCs/>
          <w:i/>
          <w:iCs/>
          <w:szCs w:val="24"/>
          <w:u w:val="single"/>
        </w:rPr>
        <w:t>Economic</w:t>
      </w:r>
    </w:p>
    <w:p w14:paraId="715182A1" w14:textId="77290393" w:rsidR="00230D96" w:rsidRDefault="0045087E">
      <w:pPr>
        <w:spacing w:before="200"/>
        <w:rPr>
          <w:szCs w:val="24"/>
        </w:rPr>
      </w:pPr>
      <w:r>
        <w:rPr>
          <w:szCs w:val="24"/>
        </w:rPr>
        <w:t xml:space="preserve">It is worth noting that </w:t>
      </w:r>
      <w:r w:rsidR="00E679E6">
        <w:rPr>
          <w:szCs w:val="24"/>
        </w:rPr>
        <w:t>the cost-of-living</w:t>
      </w:r>
      <w:r>
        <w:rPr>
          <w:szCs w:val="24"/>
        </w:rPr>
        <w:t xml:space="preserve"> crisis pressure within the UK has both exacerbated the risk of price sensitivity among consumers </w:t>
      </w:r>
      <w:r w:rsidR="00E679E6">
        <w:rPr>
          <w:szCs w:val="24"/>
        </w:rPr>
        <w:t>and</w:t>
      </w:r>
      <w:r>
        <w:rPr>
          <w:szCs w:val="24"/>
        </w:rPr>
        <w:t xml:space="preserve"> created opportunities for considering moderate consumption </w:t>
      </w:r>
      <w:r w:rsidR="00E679E6">
        <w:rPr>
          <w:szCs w:val="24"/>
        </w:rPr>
        <w:t>behaviour</w:t>
      </w:r>
      <w:r>
        <w:rPr>
          <w:szCs w:val="24"/>
        </w:rPr>
        <w:t xml:space="preserve"> shifts among UK customers (Inman, 2026). This may affect Diageo PLC's ability to convince customers to switch to non alcoholic beverages in case of </w:t>
      </w:r>
      <w:r w:rsidR="00E679E6">
        <w:rPr>
          <w:szCs w:val="24"/>
        </w:rPr>
        <w:t>price-related</w:t>
      </w:r>
      <w:r>
        <w:rPr>
          <w:szCs w:val="24"/>
        </w:rPr>
        <w:t xml:space="preserve"> constraints</w:t>
      </w:r>
      <w:r w:rsidR="00E679E6">
        <w:rPr>
          <w:szCs w:val="24"/>
        </w:rPr>
        <w:t>,</w:t>
      </w:r>
      <w:r>
        <w:rPr>
          <w:szCs w:val="24"/>
        </w:rPr>
        <w:t xml:space="preserve"> but also can help to bring more adoption due to behavioural </w:t>
      </w:r>
      <w:r w:rsidR="00E679E6">
        <w:rPr>
          <w:szCs w:val="24"/>
        </w:rPr>
        <w:t>shifts</w:t>
      </w:r>
      <w:r>
        <w:rPr>
          <w:szCs w:val="24"/>
        </w:rPr>
        <w:t xml:space="preserve"> from alcoholic drinks also affecting preference for </w:t>
      </w:r>
      <w:r w:rsidR="00E679E6">
        <w:rPr>
          <w:szCs w:val="24"/>
        </w:rPr>
        <w:t>no-</w:t>
      </w:r>
      <w:r>
        <w:rPr>
          <w:szCs w:val="24"/>
        </w:rPr>
        <w:t xml:space="preserve"> or low alcohol alternatives (Mintel, 2025). Considering that the comparison between the non-alcoholic (7.9%) and alcoholic beverage (8.4%) market showcases a </w:t>
      </w:r>
      <w:r w:rsidR="00E679E6">
        <w:rPr>
          <w:szCs w:val="24"/>
        </w:rPr>
        <w:t>minuscule</w:t>
      </w:r>
      <w:r>
        <w:rPr>
          <w:szCs w:val="24"/>
        </w:rPr>
        <w:t xml:space="preserve"> difference of 0.5% in expected market growth, Diageo PLC is well positioned to offset the immediate economic pressure of the UK market by catering to the non-alcoholic product sector (Grand View Research, 2026a; Grand View Research, 2026b).</w:t>
      </w:r>
    </w:p>
    <w:p w14:paraId="5F0D487B" w14:textId="77777777" w:rsidR="00230D96" w:rsidRDefault="0045087E">
      <w:pPr>
        <w:spacing w:before="200"/>
        <w:rPr>
          <w:szCs w:val="24"/>
        </w:rPr>
      </w:pPr>
      <w:r>
        <w:rPr>
          <w:b/>
          <w:bCs/>
          <w:i/>
          <w:iCs/>
          <w:szCs w:val="24"/>
          <w:u w:val="single"/>
        </w:rPr>
        <w:t>Social</w:t>
      </w:r>
      <w:r>
        <w:rPr>
          <w:b/>
          <w:bCs/>
          <w:i/>
          <w:iCs/>
          <w:szCs w:val="24"/>
        </w:rPr>
        <w:t xml:space="preserve"> </w:t>
      </w:r>
      <w:r>
        <w:rPr>
          <w:szCs w:val="24"/>
        </w:rPr>
        <w:t>(Strong Implication)</w:t>
      </w:r>
    </w:p>
    <w:p w14:paraId="1BA28967" w14:textId="7AF66524" w:rsidR="00230D96" w:rsidRDefault="0045087E">
      <w:pPr>
        <w:spacing w:before="200"/>
        <w:rPr>
          <w:szCs w:val="24"/>
        </w:rPr>
      </w:pPr>
      <w:r>
        <w:rPr>
          <w:szCs w:val="24"/>
        </w:rPr>
        <w:t xml:space="preserve">One of the most significant predictors for bringing social change that pushes for Diageo PLC's </w:t>
      </w:r>
      <w:r w:rsidR="00E679E6">
        <w:rPr>
          <w:szCs w:val="24"/>
        </w:rPr>
        <w:t>no-</w:t>
      </w:r>
      <w:r>
        <w:rPr>
          <w:szCs w:val="24"/>
        </w:rPr>
        <w:t xml:space="preserve"> and low alcohol beverages is the general consensus within the UK market towards traditional alcoholic beverages shifting, leading to no-low alternatives rising from 22% to 45% in 4 years (</w:t>
      </w:r>
      <w:proofErr w:type="spellStart"/>
      <w:r>
        <w:rPr>
          <w:szCs w:val="24"/>
        </w:rPr>
        <w:t>Drinkware</w:t>
      </w:r>
      <w:proofErr w:type="spellEnd"/>
      <w:r>
        <w:rPr>
          <w:szCs w:val="24"/>
        </w:rPr>
        <w:t xml:space="preserve">, 2025). 64% of customers have reported cutting back on alcoholic drinks for </w:t>
      </w:r>
      <w:r w:rsidR="00E679E6">
        <w:rPr>
          <w:szCs w:val="24"/>
        </w:rPr>
        <w:t>health-related</w:t>
      </w:r>
      <w:r>
        <w:rPr>
          <w:szCs w:val="24"/>
        </w:rPr>
        <w:t xml:space="preserve"> needs</w:t>
      </w:r>
      <w:r w:rsidR="00E679E6">
        <w:rPr>
          <w:szCs w:val="24"/>
        </w:rPr>
        <w:t>,</w:t>
      </w:r>
      <w:r>
        <w:rPr>
          <w:szCs w:val="24"/>
        </w:rPr>
        <w:t xml:space="preserve"> while 47% reported that they have learned about new health risk factors that influence their decision to cut back (</w:t>
      </w:r>
      <w:proofErr w:type="spellStart"/>
      <w:r>
        <w:rPr>
          <w:szCs w:val="24"/>
        </w:rPr>
        <w:t>Drinkware</w:t>
      </w:r>
      <w:proofErr w:type="spellEnd"/>
      <w:r>
        <w:rPr>
          <w:szCs w:val="24"/>
        </w:rPr>
        <w:t>, 2025). However</w:t>
      </w:r>
      <w:r w:rsidR="00E679E6">
        <w:rPr>
          <w:szCs w:val="24"/>
        </w:rPr>
        <w:t>,</w:t>
      </w:r>
      <w:r>
        <w:rPr>
          <w:szCs w:val="24"/>
        </w:rPr>
        <w:t xml:space="preserve"> it is also worth noting that 44% of the young consumers aged between 18 </w:t>
      </w:r>
      <w:r w:rsidR="00E679E6">
        <w:rPr>
          <w:szCs w:val="24"/>
        </w:rPr>
        <w:t>and</w:t>
      </w:r>
      <w:r>
        <w:rPr>
          <w:szCs w:val="24"/>
        </w:rPr>
        <w:t xml:space="preserve"> 34 are predominantly drinking in moderation due to financial stability (</w:t>
      </w:r>
      <w:proofErr w:type="spellStart"/>
      <w:r>
        <w:rPr>
          <w:szCs w:val="24"/>
        </w:rPr>
        <w:t>Drinkware</w:t>
      </w:r>
      <w:proofErr w:type="spellEnd"/>
      <w:r>
        <w:rPr>
          <w:szCs w:val="24"/>
        </w:rPr>
        <w:t>, 2025).</w:t>
      </w:r>
    </w:p>
    <w:p w14:paraId="457DEB6A" w14:textId="77777777" w:rsidR="00230D96" w:rsidRDefault="0045087E">
      <w:pPr>
        <w:spacing w:before="200"/>
        <w:jc w:val="center"/>
        <w:rPr>
          <w:szCs w:val="24"/>
        </w:rPr>
      </w:pPr>
      <w:r>
        <w:rPr>
          <w:noProof/>
          <w:szCs w:val="24"/>
        </w:rPr>
        <w:drawing>
          <wp:inline distT="114300" distB="114300" distL="114300" distR="114300" wp14:anchorId="636C0AC7" wp14:editId="42E65194">
            <wp:extent cx="4430550" cy="2831734"/>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430550" cy="2831734"/>
                    </a:xfrm>
                    <a:prstGeom prst="rect">
                      <a:avLst/>
                    </a:prstGeom>
                    <a:ln/>
                  </pic:spPr>
                </pic:pic>
              </a:graphicData>
            </a:graphic>
          </wp:inline>
        </w:drawing>
      </w:r>
    </w:p>
    <w:p w14:paraId="0ABD27CA" w14:textId="77777777" w:rsidR="00230D96" w:rsidRDefault="0045087E" w:rsidP="00E679E6">
      <w:pPr>
        <w:pStyle w:val="Heading4"/>
      </w:pPr>
      <w:bookmarkStart w:id="9" w:name="_Toc236950536"/>
      <w:r>
        <w:t>Figure 2: Drinking Frequency in the UK (Annual Trend)</w:t>
      </w:r>
      <w:bookmarkEnd w:id="9"/>
    </w:p>
    <w:p w14:paraId="15AC218A" w14:textId="77777777" w:rsidR="00230D96" w:rsidRDefault="0045087E">
      <w:pPr>
        <w:spacing w:before="200"/>
        <w:jc w:val="center"/>
        <w:rPr>
          <w:szCs w:val="24"/>
        </w:rPr>
      </w:pPr>
      <w:r>
        <w:rPr>
          <w:szCs w:val="24"/>
        </w:rPr>
        <w:t xml:space="preserve">(Source: </w:t>
      </w:r>
      <w:proofErr w:type="spellStart"/>
      <w:r>
        <w:rPr>
          <w:szCs w:val="24"/>
        </w:rPr>
        <w:t>Drinkware</w:t>
      </w:r>
      <w:proofErr w:type="spellEnd"/>
      <w:r>
        <w:rPr>
          <w:szCs w:val="24"/>
        </w:rPr>
        <w:t>, 2025)</w:t>
      </w:r>
    </w:p>
    <w:p w14:paraId="078F649B" w14:textId="0B8C04D3" w:rsidR="00230D96" w:rsidRDefault="0045087E">
      <w:pPr>
        <w:spacing w:before="200"/>
        <w:rPr>
          <w:szCs w:val="24"/>
        </w:rPr>
      </w:pPr>
      <w:r>
        <w:rPr>
          <w:szCs w:val="24"/>
        </w:rPr>
        <w:t>It is also important to note that the broader trend of drinking frequency among UK customers has declined rapidly</w:t>
      </w:r>
      <w:r w:rsidR="00E679E6">
        <w:rPr>
          <w:szCs w:val="24"/>
        </w:rPr>
        <w:t>,</w:t>
      </w:r>
      <w:r>
        <w:rPr>
          <w:szCs w:val="24"/>
        </w:rPr>
        <w:t xml:space="preserve"> which could indicate either customer preference for </w:t>
      </w:r>
      <w:r w:rsidR="00E679E6">
        <w:rPr>
          <w:szCs w:val="24"/>
        </w:rPr>
        <w:t>no-</w:t>
      </w:r>
      <w:r>
        <w:rPr>
          <w:szCs w:val="24"/>
        </w:rPr>
        <w:t xml:space="preserve"> and low alcoholic beverages (the 45% share reported before) or a net reduction of beverage drinking altogether which Diageo PLC needs to consider in its production direction and targeted audience of both Gen Z and millennial customers (</w:t>
      </w:r>
      <w:proofErr w:type="spellStart"/>
      <w:r>
        <w:rPr>
          <w:szCs w:val="24"/>
        </w:rPr>
        <w:t>Drinkware</w:t>
      </w:r>
      <w:proofErr w:type="spellEnd"/>
      <w:r>
        <w:rPr>
          <w:szCs w:val="24"/>
        </w:rPr>
        <w:t xml:space="preserve">, 2025). Given Diageo PLC has reported a 40% increase in its non alcoholic product segments, the strategic impact of the </w:t>
      </w:r>
      <w:proofErr w:type="spellStart"/>
      <w:r>
        <w:rPr>
          <w:szCs w:val="24"/>
        </w:rPr>
        <w:t>premiumisation</w:t>
      </w:r>
      <w:proofErr w:type="spellEnd"/>
      <w:r>
        <w:rPr>
          <w:szCs w:val="24"/>
        </w:rPr>
        <w:t xml:space="preserve"> has seemed to be minimal enough to not directly affect customer price sensitivity (Diageo, 2025a).</w:t>
      </w:r>
    </w:p>
    <w:p w14:paraId="23134E00" w14:textId="77777777" w:rsidR="00230D96" w:rsidRDefault="0045087E">
      <w:pPr>
        <w:spacing w:before="200"/>
        <w:rPr>
          <w:b/>
          <w:bCs/>
          <w:i/>
          <w:iCs/>
          <w:szCs w:val="24"/>
          <w:u w:val="single"/>
        </w:rPr>
      </w:pPr>
      <w:r>
        <w:rPr>
          <w:b/>
          <w:bCs/>
          <w:i/>
          <w:iCs/>
          <w:szCs w:val="24"/>
          <w:u w:val="single"/>
        </w:rPr>
        <w:t>Technological</w:t>
      </w:r>
    </w:p>
    <w:p w14:paraId="36A4189D" w14:textId="0F27C73E" w:rsidR="00230D96" w:rsidRDefault="0045087E">
      <w:pPr>
        <w:spacing w:before="200"/>
        <w:rPr>
          <w:szCs w:val="24"/>
        </w:rPr>
      </w:pPr>
      <w:r>
        <w:rPr>
          <w:szCs w:val="24"/>
        </w:rPr>
        <w:t xml:space="preserve">Due to the technical differences in </w:t>
      </w:r>
      <w:r w:rsidR="00E679E6">
        <w:rPr>
          <w:szCs w:val="24"/>
        </w:rPr>
        <w:t xml:space="preserve">the </w:t>
      </w:r>
      <w:r>
        <w:rPr>
          <w:szCs w:val="24"/>
        </w:rPr>
        <w:t xml:space="preserve">brewing process for non alcoholic beverages with either </w:t>
      </w:r>
      <w:r w:rsidR="00E679E6">
        <w:rPr>
          <w:szCs w:val="24"/>
        </w:rPr>
        <w:t xml:space="preserve">the </w:t>
      </w:r>
      <w:r>
        <w:rPr>
          <w:szCs w:val="24"/>
        </w:rPr>
        <w:t xml:space="preserve">vacuum distillation process or </w:t>
      </w:r>
      <w:r w:rsidR="00E679E6">
        <w:rPr>
          <w:szCs w:val="24"/>
        </w:rPr>
        <w:t xml:space="preserve">the </w:t>
      </w:r>
      <w:r>
        <w:rPr>
          <w:szCs w:val="24"/>
        </w:rPr>
        <w:t xml:space="preserve">complete brewing process with non-alcoholic alternatives, </w:t>
      </w:r>
      <w:r w:rsidR="00E679E6">
        <w:rPr>
          <w:szCs w:val="24"/>
        </w:rPr>
        <w:t>comparisons</w:t>
      </w:r>
      <w:r>
        <w:rPr>
          <w:szCs w:val="24"/>
        </w:rPr>
        <w:t xml:space="preserve"> of market rivals have showcased that taster texture </w:t>
      </w:r>
      <w:r w:rsidR="00E679E6">
        <w:rPr>
          <w:szCs w:val="24"/>
        </w:rPr>
        <w:t>remain</w:t>
      </w:r>
      <w:r>
        <w:rPr>
          <w:szCs w:val="24"/>
        </w:rPr>
        <w:t xml:space="preserve"> different in both techniques, affecting customer preference (</w:t>
      </w:r>
      <w:proofErr w:type="spellStart"/>
      <w:r>
        <w:rPr>
          <w:szCs w:val="24"/>
        </w:rPr>
        <w:t>Unhopped</w:t>
      </w:r>
      <w:proofErr w:type="spellEnd"/>
      <w:r>
        <w:rPr>
          <w:szCs w:val="24"/>
        </w:rPr>
        <w:t xml:space="preserve">, 2026; </w:t>
      </w:r>
      <w:proofErr w:type="spellStart"/>
      <w:r>
        <w:rPr>
          <w:szCs w:val="24"/>
        </w:rPr>
        <w:t>Rahr</w:t>
      </w:r>
      <w:proofErr w:type="spellEnd"/>
      <w:r>
        <w:rPr>
          <w:szCs w:val="24"/>
        </w:rPr>
        <w:t xml:space="preserve"> BSG, 2026). Especially considering that Diageo PLC has already reported the Guinness 0.0 variant outselling the original brew in retail platforms like </w:t>
      </w:r>
      <w:proofErr w:type="spellStart"/>
      <w:r>
        <w:rPr>
          <w:szCs w:val="24"/>
        </w:rPr>
        <w:t>Ocado</w:t>
      </w:r>
      <w:proofErr w:type="spellEnd"/>
      <w:r w:rsidR="00E679E6">
        <w:rPr>
          <w:szCs w:val="24"/>
        </w:rPr>
        <w:t>,</w:t>
      </w:r>
      <w:r>
        <w:rPr>
          <w:szCs w:val="24"/>
        </w:rPr>
        <w:t xml:space="preserve"> where 53% of all Guinness </w:t>
      </w:r>
      <w:r w:rsidR="00E679E6">
        <w:rPr>
          <w:szCs w:val="24"/>
        </w:rPr>
        <w:t>is</w:t>
      </w:r>
      <w:r>
        <w:rPr>
          <w:szCs w:val="24"/>
        </w:rPr>
        <w:t xml:space="preserve"> the 0.0 variant, it is clear that brewing technology did support the market opportunity for </w:t>
      </w:r>
      <w:r w:rsidR="00E679E6">
        <w:rPr>
          <w:szCs w:val="24"/>
        </w:rPr>
        <w:t>Diageo</w:t>
      </w:r>
      <w:r>
        <w:rPr>
          <w:szCs w:val="24"/>
        </w:rPr>
        <w:t xml:space="preserve"> (Inside, 2025).</w:t>
      </w:r>
    </w:p>
    <w:p w14:paraId="505104DE" w14:textId="77777777" w:rsidR="00230D96" w:rsidRDefault="0045087E">
      <w:pPr>
        <w:spacing w:before="200"/>
        <w:rPr>
          <w:szCs w:val="24"/>
        </w:rPr>
      </w:pPr>
      <w:r>
        <w:rPr>
          <w:b/>
          <w:bCs/>
          <w:i/>
          <w:iCs/>
          <w:szCs w:val="24"/>
          <w:u w:val="single"/>
        </w:rPr>
        <w:t>Legal</w:t>
      </w:r>
      <w:r>
        <w:rPr>
          <w:b/>
          <w:bCs/>
          <w:i/>
          <w:iCs/>
          <w:szCs w:val="24"/>
        </w:rPr>
        <w:t xml:space="preserve"> </w:t>
      </w:r>
      <w:r>
        <w:rPr>
          <w:szCs w:val="24"/>
        </w:rPr>
        <w:t>(Strong Implication)</w:t>
      </w:r>
    </w:p>
    <w:p w14:paraId="4F349D94" w14:textId="2B619349" w:rsidR="00230D96" w:rsidRDefault="0045087E">
      <w:pPr>
        <w:spacing w:before="200"/>
        <w:rPr>
          <w:szCs w:val="24"/>
        </w:rPr>
      </w:pPr>
      <w:r>
        <w:rPr>
          <w:szCs w:val="24"/>
        </w:rPr>
        <w:t xml:space="preserve">In continuation of the political factors shaping how non alcoholic beverages can be sold by Diageo PLC and its competitors, the legal definitions of currently sold non alcoholic beverages significantly affect the future marketing and </w:t>
      </w:r>
      <w:r w:rsidR="00E679E6">
        <w:rPr>
          <w:szCs w:val="24"/>
        </w:rPr>
        <w:t>capacity-building prospects</w:t>
      </w:r>
      <w:r>
        <w:rPr>
          <w:szCs w:val="24"/>
        </w:rPr>
        <w:t xml:space="preserve"> for the brand. As stated, the current definition identifies 1.2% ABV as the threshold for which alcohol duty needs to be applied (Masala </w:t>
      </w:r>
      <w:r>
        <w:rPr>
          <w:i/>
          <w:iCs/>
          <w:szCs w:val="24"/>
        </w:rPr>
        <w:t>et al.</w:t>
      </w:r>
      <w:r>
        <w:rPr>
          <w:szCs w:val="24"/>
        </w:rPr>
        <w:t xml:space="preserve"> 2026). However</w:t>
      </w:r>
      <w:r w:rsidR="00E679E6">
        <w:rPr>
          <w:szCs w:val="24"/>
        </w:rPr>
        <w:t>,</w:t>
      </w:r>
      <w:r>
        <w:rPr>
          <w:szCs w:val="24"/>
        </w:rPr>
        <w:t xml:space="preserve"> the push for the label of alcohol free to not be 0.05% ABV but instead 0.5% ABV also means that Diageo PLC's 0.0 variant is already well positioned to tackle future regulatory scenarios even if the 1.2% threshold is updated in new taxation rules (Beer Guild, 2025).</w:t>
      </w:r>
    </w:p>
    <w:p w14:paraId="308E03F1" w14:textId="77777777" w:rsidR="00230D96" w:rsidRDefault="0045087E">
      <w:pPr>
        <w:spacing w:before="200"/>
        <w:rPr>
          <w:b/>
          <w:bCs/>
          <w:i/>
          <w:iCs/>
          <w:szCs w:val="24"/>
          <w:u w:val="single"/>
        </w:rPr>
      </w:pPr>
      <w:r>
        <w:rPr>
          <w:b/>
          <w:bCs/>
          <w:i/>
          <w:iCs/>
          <w:szCs w:val="24"/>
          <w:u w:val="single"/>
        </w:rPr>
        <w:t>Environmental</w:t>
      </w:r>
    </w:p>
    <w:p w14:paraId="533A11D6" w14:textId="6989EC3A" w:rsidR="00230D96" w:rsidRDefault="0045087E">
      <w:pPr>
        <w:spacing w:before="200"/>
        <w:rPr>
          <w:szCs w:val="24"/>
        </w:rPr>
      </w:pPr>
      <w:r>
        <w:rPr>
          <w:szCs w:val="24"/>
        </w:rPr>
        <w:t xml:space="preserve">The Spirit of Progress ESG strategy adopted by Diageo PLC clearly showcases strong alignment with ongoing external environmental expectations arising out of the UK market (Diageo, 2025a). With predominant emphasis on water stewardship and regenerative agriculture, market potential for aligning environmental sustainability with </w:t>
      </w:r>
      <w:r w:rsidR="00E679E6">
        <w:rPr>
          <w:szCs w:val="24"/>
        </w:rPr>
        <w:t>product-specific</w:t>
      </w:r>
      <w:r>
        <w:rPr>
          <w:szCs w:val="24"/>
        </w:rPr>
        <w:t xml:space="preserve"> development areas is possible</w:t>
      </w:r>
      <w:r w:rsidR="00E679E6">
        <w:rPr>
          <w:szCs w:val="24"/>
        </w:rPr>
        <w:t>,</w:t>
      </w:r>
      <w:r>
        <w:rPr>
          <w:szCs w:val="24"/>
        </w:rPr>
        <w:t xml:space="preserve"> but the opportunity is threatened due to </w:t>
      </w:r>
      <w:r w:rsidR="00E679E6">
        <w:rPr>
          <w:szCs w:val="24"/>
        </w:rPr>
        <w:t xml:space="preserve">a </w:t>
      </w:r>
      <w:r>
        <w:rPr>
          <w:szCs w:val="24"/>
        </w:rPr>
        <w:t xml:space="preserve">lack of strategic </w:t>
      </w:r>
      <w:r w:rsidR="00E679E6">
        <w:rPr>
          <w:szCs w:val="24"/>
        </w:rPr>
        <w:t>product-specific</w:t>
      </w:r>
      <w:r>
        <w:rPr>
          <w:szCs w:val="24"/>
        </w:rPr>
        <w:t xml:space="preserve"> disaggregation</w:t>
      </w:r>
      <w:r w:rsidR="00E679E6">
        <w:rPr>
          <w:szCs w:val="24"/>
        </w:rPr>
        <w:t>,</w:t>
      </w:r>
      <w:r>
        <w:rPr>
          <w:szCs w:val="24"/>
        </w:rPr>
        <w:t xml:space="preserve"> especially for the non alcoholic or low alcoholic product line.</w:t>
      </w:r>
    </w:p>
    <w:p w14:paraId="75CB1E0C" w14:textId="38B8B4FB" w:rsidR="00230D96" w:rsidRDefault="0045087E">
      <w:pPr>
        <w:spacing w:before="200"/>
        <w:rPr>
          <w:szCs w:val="24"/>
        </w:rPr>
      </w:pPr>
      <w:r>
        <w:rPr>
          <w:szCs w:val="24"/>
        </w:rPr>
        <w:t xml:space="preserve">Based on this external environmental evaluation, it is clear that Diageo PLC's most important opportunities are the shifting regulatory conditions and political environment that </w:t>
      </w:r>
      <w:r w:rsidR="00E679E6">
        <w:rPr>
          <w:szCs w:val="24"/>
        </w:rPr>
        <w:t>are</w:t>
      </w:r>
      <w:r>
        <w:rPr>
          <w:szCs w:val="24"/>
        </w:rPr>
        <w:t xml:space="preserve"> pushing to redefine what no and low alcohol categories should mean and the social shift toward more customers preferring non alcoholic drinks. However, the </w:t>
      </w:r>
      <w:r w:rsidR="00E679E6">
        <w:rPr>
          <w:szCs w:val="24"/>
        </w:rPr>
        <w:t>underlying issues</w:t>
      </w:r>
      <w:r>
        <w:rPr>
          <w:szCs w:val="24"/>
        </w:rPr>
        <w:t xml:space="preserve"> from the external market review exist in how the technology itself for brewing is developing among competitors to build more </w:t>
      </w:r>
      <w:r w:rsidR="00E679E6">
        <w:rPr>
          <w:szCs w:val="24"/>
        </w:rPr>
        <w:t>taste-</w:t>
      </w:r>
      <w:r>
        <w:rPr>
          <w:szCs w:val="24"/>
        </w:rPr>
        <w:t xml:space="preserve"> and </w:t>
      </w:r>
      <w:r w:rsidR="00E679E6">
        <w:rPr>
          <w:szCs w:val="24"/>
        </w:rPr>
        <w:t>texture-related</w:t>
      </w:r>
      <w:r>
        <w:rPr>
          <w:szCs w:val="24"/>
        </w:rPr>
        <w:t xml:space="preserve"> appeal and the growing concern of the economic pressure that is currently able to offset performance but may change depending upon the economic headwinds in the market.</w:t>
      </w:r>
    </w:p>
    <w:p w14:paraId="0C4CB45D" w14:textId="77777777" w:rsidR="00230D96" w:rsidRDefault="0045087E" w:rsidP="00E679E6">
      <w:pPr>
        <w:pStyle w:val="Heading3"/>
      </w:pPr>
      <w:bookmarkStart w:id="10" w:name="_Toc236950521"/>
      <w:r>
        <w:t>2.2 Internal Environmental Analysis</w:t>
      </w:r>
      <w:bookmarkEnd w:id="10"/>
    </w:p>
    <w:p w14:paraId="75B00CF4" w14:textId="77777777" w:rsidR="00230D96" w:rsidRDefault="0045087E">
      <w:pPr>
        <w:spacing w:before="200"/>
        <w:rPr>
          <w:szCs w:val="24"/>
        </w:rPr>
      </w:pPr>
      <w:r>
        <w:rPr>
          <w:szCs w:val="24"/>
        </w:rPr>
        <w:t>Conducting a VRIO analysis has suggested that although direct competition with rival brands like Heineken introduces specific challenges in retaining rare internal capabilities, Diageo PLC is still positioned competitively in the UK market, as far as the non-alcoholic segment is considered (See Table 1).</w:t>
      </w:r>
    </w:p>
    <w:tbl>
      <w:tblPr>
        <w:tblStyle w:val="a"/>
        <w:tblW w:w="945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1425"/>
        <w:gridCol w:w="810"/>
        <w:gridCol w:w="1425"/>
        <w:gridCol w:w="1455"/>
        <w:gridCol w:w="1995"/>
      </w:tblGrid>
      <w:tr w:rsidR="00230D96" w14:paraId="1033263E" w14:textId="77777777">
        <w:trPr>
          <w:jc w:val="center"/>
        </w:trPr>
        <w:tc>
          <w:tcPr>
            <w:tcW w:w="2340" w:type="dxa"/>
            <w:tcMar>
              <w:top w:w="100" w:type="dxa"/>
              <w:left w:w="100" w:type="dxa"/>
              <w:bottom w:w="100" w:type="dxa"/>
              <w:right w:w="100" w:type="dxa"/>
            </w:tcMar>
          </w:tcPr>
          <w:p w14:paraId="7DEDDD2E" w14:textId="77777777" w:rsidR="00230D96" w:rsidRDefault="0045087E">
            <w:pPr>
              <w:widowControl w:val="0"/>
              <w:pBdr>
                <w:top w:val="nil"/>
                <w:left w:val="nil"/>
                <w:bottom w:val="nil"/>
                <w:right w:val="nil"/>
                <w:between w:val="nil"/>
              </w:pBdr>
              <w:spacing w:line="240" w:lineRule="auto"/>
              <w:jc w:val="center"/>
              <w:rPr>
                <w:b/>
                <w:bCs/>
                <w:i/>
                <w:iCs/>
                <w:szCs w:val="24"/>
              </w:rPr>
            </w:pPr>
            <w:r>
              <w:rPr>
                <w:b/>
                <w:bCs/>
                <w:i/>
                <w:iCs/>
                <w:szCs w:val="24"/>
              </w:rPr>
              <w:t>Resource/Capabilities</w:t>
            </w:r>
          </w:p>
        </w:tc>
        <w:tc>
          <w:tcPr>
            <w:tcW w:w="1425" w:type="dxa"/>
            <w:tcMar>
              <w:top w:w="100" w:type="dxa"/>
              <w:left w:w="100" w:type="dxa"/>
              <w:bottom w:w="100" w:type="dxa"/>
              <w:right w:w="100" w:type="dxa"/>
            </w:tcMar>
          </w:tcPr>
          <w:p w14:paraId="294B2752" w14:textId="77777777" w:rsidR="00230D96" w:rsidRDefault="0045087E">
            <w:pPr>
              <w:widowControl w:val="0"/>
              <w:pBdr>
                <w:top w:val="nil"/>
                <w:left w:val="nil"/>
                <w:bottom w:val="nil"/>
                <w:right w:val="nil"/>
                <w:between w:val="nil"/>
              </w:pBdr>
              <w:spacing w:line="240" w:lineRule="auto"/>
              <w:jc w:val="center"/>
              <w:rPr>
                <w:b/>
                <w:bCs/>
                <w:i/>
                <w:iCs/>
                <w:szCs w:val="24"/>
              </w:rPr>
            </w:pPr>
            <w:r>
              <w:rPr>
                <w:b/>
                <w:bCs/>
                <w:i/>
                <w:iCs/>
                <w:szCs w:val="24"/>
              </w:rPr>
              <w:t>Valuable</w:t>
            </w:r>
          </w:p>
        </w:tc>
        <w:tc>
          <w:tcPr>
            <w:tcW w:w="810" w:type="dxa"/>
            <w:tcMar>
              <w:top w:w="100" w:type="dxa"/>
              <w:left w:w="100" w:type="dxa"/>
              <w:bottom w:w="100" w:type="dxa"/>
              <w:right w:w="100" w:type="dxa"/>
            </w:tcMar>
          </w:tcPr>
          <w:p w14:paraId="43304723" w14:textId="77777777" w:rsidR="00230D96" w:rsidRDefault="0045087E">
            <w:pPr>
              <w:widowControl w:val="0"/>
              <w:pBdr>
                <w:top w:val="nil"/>
                <w:left w:val="nil"/>
                <w:bottom w:val="nil"/>
                <w:right w:val="nil"/>
                <w:between w:val="nil"/>
              </w:pBdr>
              <w:spacing w:line="240" w:lineRule="auto"/>
              <w:jc w:val="center"/>
              <w:rPr>
                <w:b/>
                <w:bCs/>
                <w:i/>
                <w:iCs/>
                <w:szCs w:val="24"/>
              </w:rPr>
            </w:pPr>
            <w:r>
              <w:rPr>
                <w:b/>
                <w:bCs/>
                <w:i/>
                <w:iCs/>
                <w:szCs w:val="24"/>
              </w:rPr>
              <w:t>Rare</w:t>
            </w:r>
          </w:p>
        </w:tc>
        <w:tc>
          <w:tcPr>
            <w:tcW w:w="1425" w:type="dxa"/>
            <w:tcMar>
              <w:top w:w="100" w:type="dxa"/>
              <w:left w:w="100" w:type="dxa"/>
              <w:bottom w:w="100" w:type="dxa"/>
              <w:right w:w="100" w:type="dxa"/>
            </w:tcMar>
          </w:tcPr>
          <w:p w14:paraId="2E25D518" w14:textId="13B3A24D" w:rsidR="00230D96" w:rsidRDefault="00E679E6">
            <w:pPr>
              <w:widowControl w:val="0"/>
              <w:pBdr>
                <w:top w:val="nil"/>
                <w:left w:val="nil"/>
                <w:bottom w:val="nil"/>
                <w:right w:val="nil"/>
                <w:between w:val="nil"/>
              </w:pBdr>
              <w:spacing w:line="240" w:lineRule="auto"/>
              <w:jc w:val="center"/>
              <w:rPr>
                <w:b/>
                <w:bCs/>
                <w:i/>
                <w:iCs/>
                <w:szCs w:val="24"/>
              </w:rPr>
            </w:pPr>
            <w:r>
              <w:rPr>
                <w:b/>
                <w:bCs/>
                <w:i/>
                <w:iCs/>
                <w:szCs w:val="24"/>
              </w:rPr>
              <w:t>Imitable</w:t>
            </w:r>
          </w:p>
        </w:tc>
        <w:tc>
          <w:tcPr>
            <w:tcW w:w="1455" w:type="dxa"/>
            <w:tcMar>
              <w:top w:w="100" w:type="dxa"/>
              <w:left w:w="100" w:type="dxa"/>
              <w:bottom w:w="100" w:type="dxa"/>
              <w:right w:w="100" w:type="dxa"/>
            </w:tcMar>
          </w:tcPr>
          <w:p w14:paraId="7C6CC937" w14:textId="77777777" w:rsidR="00230D96" w:rsidRDefault="0045087E">
            <w:pPr>
              <w:widowControl w:val="0"/>
              <w:pBdr>
                <w:top w:val="nil"/>
                <w:left w:val="nil"/>
                <w:bottom w:val="nil"/>
                <w:right w:val="nil"/>
                <w:between w:val="nil"/>
              </w:pBdr>
              <w:spacing w:line="240" w:lineRule="auto"/>
              <w:jc w:val="center"/>
              <w:rPr>
                <w:b/>
                <w:bCs/>
                <w:i/>
                <w:iCs/>
                <w:szCs w:val="24"/>
              </w:rPr>
            </w:pPr>
            <w:r>
              <w:rPr>
                <w:b/>
                <w:bCs/>
                <w:i/>
                <w:iCs/>
                <w:szCs w:val="24"/>
              </w:rPr>
              <w:t>Organised</w:t>
            </w:r>
          </w:p>
        </w:tc>
        <w:tc>
          <w:tcPr>
            <w:tcW w:w="1995" w:type="dxa"/>
            <w:tcMar>
              <w:top w:w="100" w:type="dxa"/>
              <w:left w:w="100" w:type="dxa"/>
              <w:bottom w:w="100" w:type="dxa"/>
              <w:right w:w="100" w:type="dxa"/>
            </w:tcMar>
          </w:tcPr>
          <w:p w14:paraId="74703877" w14:textId="77777777" w:rsidR="00230D96" w:rsidRDefault="0045087E">
            <w:pPr>
              <w:widowControl w:val="0"/>
              <w:pBdr>
                <w:top w:val="nil"/>
                <w:left w:val="nil"/>
                <w:bottom w:val="nil"/>
                <w:right w:val="nil"/>
                <w:between w:val="nil"/>
              </w:pBdr>
              <w:spacing w:line="240" w:lineRule="auto"/>
              <w:jc w:val="center"/>
              <w:rPr>
                <w:b/>
                <w:bCs/>
                <w:i/>
                <w:iCs/>
                <w:szCs w:val="24"/>
              </w:rPr>
            </w:pPr>
            <w:r>
              <w:rPr>
                <w:b/>
                <w:bCs/>
                <w:i/>
                <w:iCs/>
                <w:szCs w:val="24"/>
              </w:rPr>
              <w:t>Competitive Advantage</w:t>
            </w:r>
          </w:p>
        </w:tc>
      </w:tr>
      <w:tr w:rsidR="00230D96" w14:paraId="4CDC100C" w14:textId="77777777">
        <w:trPr>
          <w:jc w:val="center"/>
        </w:trPr>
        <w:tc>
          <w:tcPr>
            <w:tcW w:w="2340" w:type="dxa"/>
            <w:tcMar>
              <w:top w:w="100" w:type="dxa"/>
              <w:left w:w="100" w:type="dxa"/>
              <w:bottom w:w="100" w:type="dxa"/>
              <w:right w:w="100" w:type="dxa"/>
            </w:tcMar>
          </w:tcPr>
          <w:p w14:paraId="154ED97D" w14:textId="77777777" w:rsidR="00230D96" w:rsidRDefault="0045087E">
            <w:pPr>
              <w:widowControl w:val="0"/>
              <w:pBdr>
                <w:top w:val="nil"/>
                <w:left w:val="nil"/>
                <w:bottom w:val="nil"/>
                <w:right w:val="nil"/>
                <w:between w:val="nil"/>
              </w:pBdr>
              <w:spacing w:line="240" w:lineRule="auto"/>
              <w:rPr>
                <w:szCs w:val="24"/>
              </w:rPr>
            </w:pPr>
            <w:r>
              <w:rPr>
                <w:szCs w:val="24"/>
              </w:rPr>
              <w:t>Brand Popularity</w:t>
            </w:r>
          </w:p>
        </w:tc>
        <w:tc>
          <w:tcPr>
            <w:tcW w:w="1425" w:type="dxa"/>
            <w:tcMar>
              <w:top w:w="100" w:type="dxa"/>
              <w:left w:w="100" w:type="dxa"/>
              <w:bottom w:w="100" w:type="dxa"/>
              <w:right w:w="100" w:type="dxa"/>
            </w:tcMar>
          </w:tcPr>
          <w:p w14:paraId="0CFA5666" w14:textId="77777777" w:rsidR="00230D96" w:rsidRDefault="0045087E">
            <w:pPr>
              <w:widowControl w:val="0"/>
              <w:pBdr>
                <w:top w:val="nil"/>
                <w:left w:val="nil"/>
                <w:bottom w:val="nil"/>
                <w:right w:val="nil"/>
                <w:between w:val="nil"/>
              </w:pBdr>
              <w:spacing w:line="240" w:lineRule="auto"/>
              <w:jc w:val="center"/>
              <w:rPr>
                <w:szCs w:val="24"/>
              </w:rPr>
            </w:pPr>
            <w:r>
              <w:rPr>
                <w:szCs w:val="24"/>
              </w:rPr>
              <w:t>Yes</w:t>
            </w:r>
          </w:p>
        </w:tc>
        <w:tc>
          <w:tcPr>
            <w:tcW w:w="810" w:type="dxa"/>
            <w:tcMar>
              <w:top w:w="100" w:type="dxa"/>
              <w:left w:w="100" w:type="dxa"/>
              <w:bottom w:w="100" w:type="dxa"/>
              <w:right w:w="100" w:type="dxa"/>
            </w:tcMar>
          </w:tcPr>
          <w:p w14:paraId="7AD12D31" w14:textId="77777777" w:rsidR="00230D96" w:rsidRDefault="0045087E">
            <w:pPr>
              <w:widowControl w:val="0"/>
              <w:spacing w:line="240" w:lineRule="auto"/>
              <w:jc w:val="center"/>
              <w:rPr>
                <w:szCs w:val="24"/>
              </w:rPr>
            </w:pPr>
            <w:r>
              <w:rPr>
                <w:szCs w:val="24"/>
              </w:rPr>
              <w:t>Yes</w:t>
            </w:r>
          </w:p>
        </w:tc>
        <w:tc>
          <w:tcPr>
            <w:tcW w:w="1425" w:type="dxa"/>
            <w:tcMar>
              <w:top w:w="100" w:type="dxa"/>
              <w:left w:w="100" w:type="dxa"/>
              <w:bottom w:w="100" w:type="dxa"/>
              <w:right w:w="100" w:type="dxa"/>
            </w:tcMar>
          </w:tcPr>
          <w:p w14:paraId="45BF9C19" w14:textId="77777777" w:rsidR="00230D96" w:rsidRDefault="0045087E">
            <w:pPr>
              <w:widowControl w:val="0"/>
              <w:spacing w:line="240" w:lineRule="auto"/>
              <w:jc w:val="center"/>
              <w:rPr>
                <w:szCs w:val="24"/>
              </w:rPr>
            </w:pPr>
            <w:r>
              <w:rPr>
                <w:szCs w:val="24"/>
              </w:rPr>
              <w:t>Yes</w:t>
            </w:r>
          </w:p>
        </w:tc>
        <w:tc>
          <w:tcPr>
            <w:tcW w:w="1455" w:type="dxa"/>
            <w:tcMar>
              <w:top w:w="100" w:type="dxa"/>
              <w:left w:w="100" w:type="dxa"/>
              <w:bottom w:w="100" w:type="dxa"/>
              <w:right w:w="100" w:type="dxa"/>
            </w:tcMar>
          </w:tcPr>
          <w:p w14:paraId="62D4491E" w14:textId="77777777" w:rsidR="00230D96" w:rsidRDefault="0045087E">
            <w:pPr>
              <w:widowControl w:val="0"/>
              <w:spacing w:line="240" w:lineRule="auto"/>
              <w:jc w:val="center"/>
              <w:rPr>
                <w:szCs w:val="24"/>
              </w:rPr>
            </w:pPr>
            <w:r>
              <w:rPr>
                <w:szCs w:val="24"/>
              </w:rPr>
              <w:t>Yes</w:t>
            </w:r>
          </w:p>
        </w:tc>
        <w:tc>
          <w:tcPr>
            <w:tcW w:w="1995" w:type="dxa"/>
            <w:tcMar>
              <w:top w:w="100" w:type="dxa"/>
              <w:left w:w="100" w:type="dxa"/>
              <w:bottom w:w="100" w:type="dxa"/>
              <w:right w:w="100" w:type="dxa"/>
            </w:tcMar>
          </w:tcPr>
          <w:p w14:paraId="0505DC2B" w14:textId="77777777" w:rsidR="00230D96" w:rsidRDefault="0045087E">
            <w:pPr>
              <w:widowControl w:val="0"/>
              <w:pBdr>
                <w:top w:val="nil"/>
                <w:left w:val="nil"/>
                <w:bottom w:val="nil"/>
                <w:right w:val="nil"/>
                <w:between w:val="nil"/>
              </w:pBdr>
              <w:spacing w:line="240" w:lineRule="auto"/>
              <w:rPr>
                <w:szCs w:val="24"/>
              </w:rPr>
            </w:pPr>
            <w:r>
              <w:rPr>
                <w:szCs w:val="24"/>
              </w:rPr>
              <w:t>Sustained</w:t>
            </w:r>
          </w:p>
        </w:tc>
      </w:tr>
      <w:tr w:rsidR="00230D96" w14:paraId="03E8D68A" w14:textId="77777777">
        <w:trPr>
          <w:jc w:val="center"/>
        </w:trPr>
        <w:tc>
          <w:tcPr>
            <w:tcW w:w="2340" w:type="dxa"/>
            <w:tcMar>
              <w:top w:w="100" w:type="dxa"/>
              <w:left w:w="100" w:type="dxa"/>
              <w:bottom w:w="100" w:type="dxa"/>
              <w:right w:w="100" w:type="dxa"/>
            </w:tcMar>
          </w:tcPr>
          <w:p w14:paraId="31607F91" w14:textId="16EE74CF" w:rsidR="00230D96" w:rsidRDefault="00E679E6">
            <w:pPr>
              <w:widowControl w:val="0"/>
              <w:pBdr>
                <w:top w:val="nil"/>
                <w:left w:val="nil"/>
                <w:bottom w:val="nil"/>
                <w:right w:val="nil"/>
                <w:between w:val="nil"/>
              </w:pBdr>
              <w:spacing w:line="240" w:lineRule="auto"/>
              <w:rPr>
                <w:szCs w:val="24"/>
              </w:rPr>
            </w:pPr>
            <w:r>
              <w:rPr>
                <w:szCs w:val="24"/>
              </w:rPr>
              <w:t>Scalability</w:t>
            </w:r>
          </w:p>
        </w:tc>
        <w:tc>
          <w:tcPr>
            <w:tcW w:w="1425" w:type="dxa"/>
            <w:tcMar>
              <w:top w:w="100" w:type="dxa"/>
              <w:left w:w="100" w:type="dxa"/>
              <w:bottom w:w="100" w:type="dxa"/>
              <w:right w:w="100" w:type="dxa"/>
            </w:tcMar>
          </w:tcPr>
          <w:p w14:paraId="5E0AA408" w14:textId="77777777" w:rsidR="00230D96" w:rsidRDefault="0045087E">
            <w:pPr>
              <w:widowControl w:val="0"/>
              <w:spacing w:line="240" w:lineRule="auto"/>
              <w:jc w:val="center"/>
              <w:rPr>
                <w:szCs w:val="24"/>
              </w:rPr>
            </w:pPr>
            <w:r>
              <w:rPr>
                <w:szCs w:val="24"/>
              </w:rPr>
              <w:t>Yes</w:t>
            </w:r>
          </w:p>
        </w:tc>
        <w:tc>
          <w:tcPr>
            <w:tcW w:w="810" w:type="dxa"/>
            <w:tcMar>
              <w:top w:w="100" w:type="dxa"/>
              <w:left w:w="100" w:type="dxa"/>
              <w:bottom w:w="100" w:type="dxa"/>
              <w:right w:w="100" w:type="dxa"/>
            </w:tcMar>
          </w:tcPr>
          <w:p w14:paraId="5943B640" w14:textId="77777777" w:rsidR="00230D96" w:rsidRDefault="0045087E">
            <w:pPr>
              <w:widowControl w:val="0"/>
              <w:pBdr>
                <w:top w:val="nil"/>
                <w:left w:val="nil"/>
                <w:bottom w:val="nil"/>
                <w:right w:val="nil"/>
                <w:between w:val="nil"/>
              </w:pBdr>
              <w:spacing w:line="240" w:lineRule="auto"/>
              <w:jc w:val="center"/>
              <w:rPr>
                <w:szCs w:val="24"/>
              </w:rPr>
            </w:pPr>
            <w:r>
              <w:rPr>
                <w:szCs w:val="24"/>
              </w:rPr>
              <w:t>Yes</w:t>
            </w:r>
          </w:p>
        </w:tc>
        <w:tc>
          <w:tcPr>
            <w:tcW w:w="1425" w:type="dxa"/>
            <w:tcMar>
              <w:top w:w="100" w:type="dxa"/>
              <w:left w:w="100" w:type="dxa"/>
              <w:bottom w:w="100" w:type="dxa"/>
              <w:right w:w="100" w:type="dxa"/>
            </w:tcMar>
          </w:tcPr>
          <w:p w14:paraId="15B38BF2" w14:textId="77777777" w:rsidR="00230D96" w:rsidRDefault="0045087E">
            <w:pPr>
              <w:widowControl w:val="0"/>
              <w:pBdr>
                <w:top w:val="nil"/>
                <w:left w:val="nil"/>
                <w:bottom w:val="nil"/>
                <w:right w:val="nil"/>
                <w:between w:val="nil"/>
              </w:pBdr>
              <w:spacing w:line="240" w:lineRule="auto"/>
              <w:jc w:val="center"/>
              <w:rPr>
                <w:szCs w:val="24"/>
              </w:rPr>
            </w:pPr>
            <w:r>
              <w:rPr>
                <w:szCs w:val="24"/>
              </w:rPr>
              <w:t>No</w:t>
            </w:r>
          </w:p>
        </w:tc>
        <w:tc>
          <w:tcPr>
            <w:tcW w:w="1455" w:type="dxa"/>
            <w:tcMar>
              <w:top w:w="100" w:type="dxa"/>
              <w:left w:w="100" w:type="dxa"/>
              <w:bottom w:w="100" w:type="dxa"/>
              <w:right w:w="100" w:type="dxa"/>
            </w:tcMar>
          </w:tcPr>
          <w:p w14:paraId="240C7C76" w14:textId="77777777" w:rsidR="00230D96" w:rsidRDefault="0045087E">
            <w:pPr>
              <w:widowControl w:val="0"/>
              <w:spacing w:line="240" w:lineRule="auto"/>
              <w:jc w:val="center"/>
              <w:rPr>
                <w:szCs w:val="24"/>
              </w:rPr>
            </w:pPr>
            <w:r>
              <w:rPr>
                <w:szCs w:val="24"/>
              </w:rPr>
              <w:t>Yes</w:t>
            </w:r>
          </w:p>
        </w:tc>
        <w:tc>
          <w:tcPr>
            <w:tcW w:w="1995" w:type="dxa"/>
            <w:tcMar>
              <w:top w:w="100" w:type="dxa"/>
              <w:left w:w="100" w:type="dxa"/>
              <w:bottom w:w="100" w:type="dxa"/>
              <w:right w:w="100" w:type="dxa"/>
            </w:tcMar>
          </w:tcPr>
          <w:p w14:paraId="0E0F8187" w14:textId="77777777" w:rsidR="00230D96" w:rsidRDefault="0045087E">
            <w:pPr>
              <w:widowControl w:val="0"/>
              <w:pBdr>
                <w:top w:val="nil"/>
                <w:left w:val="nil"/>
                <w:bottom w:val="nil"/>
                <w:right w:val="nil"/>
                <w:between w:val="nil"/>
              </w:pBdr>
              <w:spacing w:line="240" w:lineRule="auto"/>
              <w:rPr>
                <w:szCs w:val="24"/>
              </w:rPr>
            </w:pPr>
            <w:r>
              <w:rPr>
                <w:szCs w:val="24"/>
              </w:rPr>
              <w:t>Temporary</w:t>
            </w:r>
          </w:p>
        </w:tc>
      </w:tr>
      <w:tr w:rsidR="00230D96" w14:paraId="2C5A15E2" w14:textId="77777777">
        <w:trPr>
          <w:jc w:val="center"/>
        </w:trPr>
        <w:tc>
          <w:tcPr>
            <w:tcW w:w="2340" w:type="dxa"/>
            <w:tcMar>
              <w:top w:w="100" w:type="dxa"/>
              <w:left w:w="100" w:type="dxa"/>
              <w:bottom w:w="100" w:type="dxa"/>
              <w:right w:w="100" w:type="dxa"/>
            </w:tcMar>
          </w:tcPr>
          <w:p w14:paraId="167B0BFB" w14:textId="27081235" w:rsidR="00230D96" w:rsidRDefault="00E679E6">
            <w:pPr>
              <w:widowControl w:val="0"/>
              <w:pBdr>
                <w:top w:val="nil"/>
                <w:left w:val="nil"/>
                <w:bottom w:val="nil"/>
                <w:right w:val="nil"/>
                <w:between w:val="nil"/>
              </w:pBdr>
              <w:spacing w:line="240" w:lineRule="auto"/>
              <w:rPr>
                <w:szCs w:val="24"/>
              </w:rPr>
            </w:pPr>
            <w:r>
              <w:rPr>
                <w:szCs w:val="24"/>
              </w:rPr>
              <w:t>Non-Alcoholic</w:t>
            </w:r>
            <w:r w:rsidR="0045087E">
              <w:rPr>
                <w:szCs w:val="24"/>
              </w:rPr>
              <w:t xml:space="preserve"> Brand</w:t>
            </w:r>
          </w:p>
        </w:tc>
        <w:tc>
          <w:tcPr>
            <w:tcW w:w="1425" w:type="dxa"/>
            <w:tcMar>
              <w:top w:w="100" w:type="dxa"/>
              <w:left w:w="100" w:type="dxa"/>
              <w:bottom w:w="100" w:type="dxa"/>
              <w:right w:w="100" w:type="dxa"/>
            </w:tcMar>
          </w:tcPr>
          <w:p w14:paraId="0987573B" w14:textId="77777777" w:rsidR="00230D96" w:rsidRDefault="0045087E">
            <w:pPr>
              <w:widowControl w:val="0"/>
              <w:spacing w:line="240" w:lineRule="auto"/>
              <w:jc w:val="center"/>
              <w:rPr>
                <w:szCs w:val="24"/>
              </w:rPr>
            </w:pPr>
            <w:r>
              <w:rPr>
                <w:szCs w:val="24"/>
              </w:rPr>
              <w:t>Yes</w:t>
            </w:r>
          </w:p>
        </w:tc>
        <w:tc>
          <w:tcPr>
            <w:tcW w:w="810" w:type="dxa"/>
            <w:tcMar>
              <w:top w:w="100" w:type="dxa"/>
              <w:left w:w="100" w:type="dxa"/>
              <w:bottom w:w="100" w:type="dxa"/>
              <w:right w:w="100" w:type="dxa"/>
            </w:tcMar>
          </w:tcPr>
          <w:p w14:paraId="282A2B02" w14:textId="77777777" w:rsidR="00230D96" w:rsidRDefault="0045087E">
            <w:pPr>
              <w:widowControl w:val="0"/>
              <w:spacing w:line="240" w:lineRule="auto"/>
              <w:jc w:val="center"/>
              <w:rPr>
                <w:szCs w:val="24"/>
              </w:rPr>
            </w:pPr>
            <w:r>
              <w:rPr>
                <w:szCs w:val="24"/>
              </w:rPr>
              <w:t>Yes</w:t>
            </w:r>
          </w:p>
        </w:tc>
        <w:tc>
          <w:tcPr>
            <w:tcW w:w="1425" w:type="dxa"/>
            <w:tcMar>
              <w:top w:w="100" w:type="dxa"/>
              <w:left w:w="100" w:type="dxa"/>
              <w:bottom w:w="100" w:type="dxa"/>
              <w:right w:w="100" w:type="dxa"/>
            </w:tcMar>
          </w:tcPr>
          <w:p w14:paraId="74C0A485" w14:textId="77777777" w:rsidR="00230D96" w:rsidRDefault="0045087E">
            <w:pPr>
              <w:widowControl w:val="0"/>
              <w:pBdr>
                <w:top w:val="nil"/>
                <w:left w:val="nil"/>
                <w:bottom w:val="nil"/>
                <w:right w:val="nil"/>
                <w:between w:val="nil"/>
              </w:pBdr>
              <w:spacing w:line="240" w:lineRule="auto"/>
              <w:jc w:val="center"/>
              <w:rPr>
                <w:szCs w:val="24"/>
              </w:rPr>
            </w:pPr>
            <w:r>
              <w:rPr>
                <w:szCs w:val="24"/>
              </w:rPr>
              <w:t>No</w:t>
            </w:r>
          </w:p>
        </w:tc>
        <w:tc>
          <w:tcPr>
            <w:tcW w:w="1455" w:type="dxa"/>
            <w:tcMar>
              <w:top w:w="100" w:type="dxa"/>
              <w:left w:w="100" w:type="dxa"/>
              <w:bottom w:w="100" w:type="dxa"/>
              <w:right w:w="100" w:type="dxa"/>
            </w:tcMar>
          </w:tcPr>
          <w:p w14:paraId="1D747662" w14:textId="77777777" w:rsidR="00230D96" w:rsidRDefault="0045087E">
            <w:pPr>
              <w:widowControl w:val="0"/>
              <w:spacing w:line="240" w:lineRule="auto"/>
              <w:jc w:val="center"/>
              <w:rPr>
                <w:szCs w:val="24"/>
              </w:rPr>
            </w:pPr>
            <w:r>
              <w:rPr>
                <w:szCs w:val="24"/>
              </w:rPr>
              <w:t>Yes</w:t>
            </w:r>
          </w:p>
        </w:tc>
        <w:tc>
          <w:tcPr>
            <w:tcW w:w="1995" w:type="dxa"/>
            <w:tcMar>
              <w:top w:w="100" w:type="dxa"/>
              <w:left w:w="100" w:type="dxa"/>
              <w:bottom w:w="100" w:type="dxa"/>
              <w:right w:w="100" w:type="dxa"/>
            </w:tcMar>
          </w:tcPr>
          <w:p w14:paraId="17EE4F04" w14:textId="77777777" w:rsidR="00230D96" w:rsidRDefault="0045087E">
            <w:pPr>
              <w:widowControl w:val="0"/>
              <w:pBdr>
                <w:top w:val="nil"/>
                <w:left w:val="nil"/>
                <w:bottom w:val="nil"/>
                <w:right w:val="nil"/>
                <w:between w:val="nil"/>
              </w:pBdr>
              <w:spacing w:line="240" w:lineRule="auto"/>
              <w:rPr>
                <w:szCs w:val="24"/>
              </w:rPr>
            </w:pPr>
            <w:r>
              <w:rPr>
                <w:szCs w:val="24"/>
              </w:rPr>
              <w:t>Temporary</w:t>
            </w:r>
          </w:p>
        </w:tc>
      </w:tr>
      <w:tr w:rsidR="00230D96" w14:paraId="413D8866" w14:textId="77777777">
        <w:trPr>
          <w:jc w:val="center"/>
        </w:trPr>
        <w:tc>
          <w:tcPr>
            <w:tcW w:w="2340" w:type="dxa"/>
            <w:tcMar>
              <w:top w:w="100" w:type="dxa"/>
              <w:left w:w="100" w:type="dxa"/>
              <w:bottom w:w="100" w:type="dxa"/>
              <w:right w:w="100" w:type="dxa"/>
            </w:tcMar>
          </w:tcPr>
          <w:p w14:paraId="1706593E" w14:textId="77777777" w:rsidR="00230D96" w:rsidRDefault="0045087E">
            <w:pPr>
              <w:widowControl w:val="0"/>
              <w:pBdr>
                <w:top w:val="nil"/>
                <w:left w:val="nil"/>
                <w:bottom w:val="nil"/>
                <w:right w:val="nil"/>
                <w:between w:val="nil"/>
              </w:pBdr>
              <w:spacing w:line="240" w:lineRule="auto"/>
              <w:rPr>
                <w:szCs w:val="24"/>
              </w:rPr>
            </w:pPr>
            <w:r>
              <w:rPr>
                <w:szCs w:val="24"/>
              </w:rPr>
              <w:t>R&amp;D Capabilities</w:t>
            </w:r>
          </w:p>
        </w:tc>
        <w:tc>
          <w:tcPr>
            <w:tcW w:w="1425" w:type="dxa"/>
            <w:tcMar>
              <w:top w:w="100" w:type="dxa"/>
              <w:left w:w="100" w:type="dxa"/>
              <w:bottom w:w="100" w:type="dxa"/>
              <w:right w:w="100" w:type="dxa"/>
            </w:tcMar>
          </w:tcPr>
          <w:p w14:paraId="699A66B4" w14:textId="77777777" w:rsidR="00230D96" w:rsidRDefault="0045087E">
            <w:pPr>
              <w:widowControl w:val="0"/>
              <w:spacing w:line="240" w:lineRule="auto"/>
              <w:jc w:val="center"/>
              <w:rPr>
                <w:szCs w:val="24"/>
              </w:rPr>
            </w:pPr>
            <w:r>
              <w:rPr>
                <w:szCs w:val="24"/>
              </w:rPr>
              <w:t>Yes</w:t>
            </w:r>
          </w:p>
        </w:tc>
        <w:tc>
          <w:tcPr>
            <w:tcW w:w="810" w:type="dxa"/>
            <w:tcMar>
              <w:top w:w="100" w:type="dxa"/>
              <w:left w:w="100" w:type="dxa"/>
              <w:bottom w:w="100" w:type="dxa"/>
              <w:right w:w="100" w:type="dxa"/>
            </w:tcMar>
          </w:tcPr>
          <w:p w14:paraId="6362F6A8" w14:textId="77777777" w:rsidR="00230D96" w:rsidRDefault="0045087E">
            <w:pPr>
              <w:widowControl w:val="0"/>
              <w:spacing w:line="240" w:lineRule="auto"/>
              <w:jc w:val="center"/>
              <w:rPr>
                <w:szCs w:val="24"/>
              </w:rPr>
            </w:pPr>
            <w:r>
              <w:rPr>
                <w:szCs w:val="24"/>
              </w:rPr>
              <w:t>Yes</w:t>
            </w:r>
          </w:p>
        </w:tc>
        <w:tc>
          <w:tcPr>
            <w:tcW w:w="1425" w:type="dxa"/>
            <w:tcMar>
              <w:top w:w="100" w:type="dxa"/>
              <w:left w:w="100" w:type="dxa"/>
              <w:bottom w:w="100" w:type="dxa"/>
              <w:right w:w="100" w:type="dxa"/>
            </w:tcMar>
          </w:tcPr>
          <w:p w14:paraId="669D811E" w14:textId="77777777" w:rsidR="00230D96" w:rsidRDefault="0045087E">
            <w:pPr>
              <w:widowControl w:val="0"/>
              <w:pBdr>
                <w:top w:val="nil"/>
                <w:left w:val="nil"/>
                <w:bottom w:val="nil"/>
                <w:right w:val="nil"/>
                <w:between w:val="nil"/>
              </w:pBdr>
              <w:spacing w:line="240" w:lineRule="auto"/>
              <w:jc w:val="center"/>
              <w:rPr>
                <w:szCs w:val="24"/>
              </w:rPr>
            </w:pPr>
            <w:r>
              <w:rPr>
                <w:szCs w:val="24"/>
              </w:rPr>
              <w:t>No</w:t>
            </w:r>
          </w:p>
        </w:tc>
        <w:tc>
          <w:tcPr>
            <w:tcW w:w="1455" w:type="dxa"/>
            <w:tcMar>
              <w:top w:w="100" w:type="dxa"/>
              <w:left w:w="100" w:type="dxa"/>
              <w:bottom w:w="100" w:type="dxa"/>
              <w:right w:w="100" w:type="dxa"/>
            </w:tcMar>
          </w:tcPr>
          <w:p w14:paraId="436F3FEE" w14:textId="77777777" w:rsidR="00230D96" w:rsidRDefault="0045087E">
            <w:pPr>
              <w:widowControl w:val="0"/>
              <w:spacing w:line="240" w:lineRule="auto"/>
              <w:jc w:val="center"/>
              <w:rPr>
                <w:szCs w:val="24"/>
              </w:rPr>
            </w:pPr>
            <w:r>
              <w:rPr>
                <w:szCs w:val="24"/>
              </w:rPr>
              <w:t>Yes</w:t>
            </w:r>
          </w:p>
        </w:tc>
        <w:tc>
          <w:tcPr>
            <w:tcW w:w="1995" w:type="dxa"/>
            <w:tcMar>
              <w:top w:w="100" w:type="dxa"/>
              <w:left w:w="100" w:type="dxa"/>
              <w:bottom w:w="100" w:type="dxa"/>
              <w:right w:w="100" w:type="dxa"/>
            </w:tcMar>
          </w:tcPr>
          <w:p w14:paraId="1DF453BF" w14:textId="77777777" w:rsidR="00230D96" w:rsidRDefault="0045087E">
            <w:pPr>
              <w:widowControl w:val="0"/>
              <w:pBdr>
                <w:top w:val="nil"/>
                <w:left w:val="nil"/>
                <w:bottom w:val="nil"/>
                <w:right w:val="nil"/>
                <w:between w:val="nil"/>
              </w:pBdr>
              <w:spacing w:line="240" w:lineRule="auto"/>
              <w:rPr>
                <w:szCs w:val="24"/>
              </w:rPr>
            </w:pPr>
            <w:r>
              <w:rPr>
                <w:szCs w:val="24"/>
              </w:rPr>
              <w:t>Temporary</w:t>
            </w:r>
          </w:p>
        </w:tc>
      </w:tr>
      <w:tr w:rsidR="00230D96" w14:paraId="452515C4" w14:textId="77777777">
        <w:trPr>
          <w:jc w:val="center"/>
        </w:trPr>
        <w:tc>
          <w:tcPr>
            <w:tcW w:w="2340" w:type="dxa"/>
            <w:tcMar>
              <w:top w:w="100" w:type="dxa"/>
              <w:left w:w="100" w:type="dxa"/>
              <w:bottom w:w="100" w:type="dxa"/>
              <w:right w:w="100" w:type="dxa"/>
            </w:tcMar>
          </w:tcPr>
          <w:p w14:paraId="70A68BDD" w14:textId="77777777" w:rsidR="00230D96" w:rsidRDefault="0045087E">
            <w:pPr>
              <w:widowControl w:val="0"/>
              <w:pBdr>
                <w:top w:val="nil"/>
                <w:left w:val="nil"/>
                <w:bottom w:val="nil"/>
                <w:right w:val="nil"/>
                <w:between w:val="nil"/>
              </w:pBdr>
              <w:spacing w:line="240" w:lineRule="auto"/>
              <w:rPr>
                <w:szCs w:val="24"/>
              </w:rPr>
            </w:pPr>
            <w:r>
              <w:rPr>
                <w:szCs w:val="24"/>
              </w:rPr>
              <w:t>Internal Culture and Operations</w:t>
            </w:r>
          </w:p>
        </w:tc>
        <w:tc>
          <w:tcPr>
            <w:tcW w:w="1425" w:type="dxa"/>
            <w:tcMar>
              <w:top w:w="100" w:type="dxa"/>
              <w:left w:w="100" w:type="dxa"/>
              <w:bottom w:w="100" w:type="dxa"/>
              <w:right w:w="100" w:type="dxa"/>
            </w:tcMar>
          </w:tcPr>
          <w:p w14:paraId="4050A32F" w14:textId="77777777" w:rsidR="00230D96" w:rsidRDefault="0045087E">
            <w:pPr>
              <w:widowControl w:val="0"/>
              <w:spacing w:line="240" w:lineRule="auto"/>
              <w:jc w:val="center"/>
              <w:rPr>
                <w:szCs w:val="24"/>
              </w:rPr>
            </w:pPr>
            <w:r>
              <w:rPr>
                <w:szCs w:val="24"/>
              </w:rPr>
              <w:t>Yes</w:t>
            </w:r>
          </w:p>
        </w:tc>
        <w:tc>
          <w:tcPr>
            <w:tcW w:w="810" w:type="dxa"/>
            <w:tcMar>
              <w:top w:w="100" w:type="dxa"/>
              <w:left w:w="100" w:type="dxa"/>
              <w:bottom w:w="100" w:type="dxa"/>
              <w:right w:w="100" w:type="dxa"/>
            </w:tcMar>
          </w:tcPr>
          <w:p w14:paraId="70910C53" w14:textId="77777777" w:rsidR="00230D96" w:rsidRDefault="0045087E">
            <w:pPr>
              <w:widowControl w:val="0"/>
              <w:pBdr>
                <w:top w:val="nil"/>
                <w:left w:val="nil"/>
                <w:bottom w:val="nil"/>
                <w:right w:val="nil"/>
                <w:between w:val="nil"/>
              </w:pBdr>
              <w:spacing w:line="240" w:lineRule="auto"/>
              <w:jc w:val="center"/>
              <w:rPr>
                <w:szCs w:val="24"/>
              </w:rPr>
            </w:pPr>
            <w:r>
              <w:rPr>
                <w:szCs w:val="24"/>
              </w:rPr>
              <w:t>No</w:t>
            </w:r>
          </w:p>
        </w:tc>
        <w:tc>
          <w:tcPr>
            <w:tcW w:w="1425" w:type="dxa"/>
            <w:tcMar>
              <w:top w:w="100" w:type="dxa"/>
              <w:left w:w="100" w:type="dxa"/>
              <w:bottom w:w="100" w:type="dxa"/>
              <w:right w:w="100" w:type="dxa"/>
            </w:tcMar>
          </w:tcPr>
          <w:p w14:paraId="0792CC95" w14:textId="77777777" w:rsidR="00230D96" w:rsidRDefault="0045087E">
            <w:pPr>
              <w:widowControl w:val="0"/>
              <w:pBdr>
                <w:top w:val="nil"/>
                <w:left w:val="nil"/>
                <w:bottom w:val="nil"/>
                <w:right w:val="nil"/>
                <w:between w:val="nil"/>
              </w:pBdr>
              <w:spacing w:line="240" w:lineRule="auto"/>
              <w:jc w:val="center"/>
              <w:rPr>
                <w:szCs w:val="24"/>
              </w:rPr>
            </w:pPr>
            <w:r>
              <w:rPr>
                <w:szCs w:val="24"/>
              </w:rPr>
              <w:t>No</w:t>
            </w:r>
          </w:p>
        </w:tc>
        <w:tc>
          <w:tcPr>
            <w:tcW w:w="1455" w:type="dxa"/>
            <w:tcMar>
              <w:top w:w="100" w:type="dxa"/>
              <w:left w:w="100" w:type="dxa"/>
              <w:bottom w:w="100" w:type="dxa"/>
              <w:right w:w="100" w:type="dxa"/>
            </w:tcMar>
          </w:tcPr>
          <w:p w14:paraId="25BF307F" w14:textId="77777777" w:rsidR="00230D96" w:rsidRDefault="0045087E">
            <w:pPr>
              <w:widowControl w:val="0"/>
              <w:spacing w:line="240" w:lineRule="auto"/>
              <w:jc w:val="center"/>
              <w:rPr>
                <w:szCs w:val="24"/>
              </w:rPr>
            </w:pPr>
            <w:r>
              <w:rPr>
                <w:szCs w:val="24"/>
              </w:rPr>
              <w:t>Yes</w:t>
            </w:r>
          </w:p>
        </w:tc>
        <w:tc>
          <w:tcPr>
            <w:tcW w:w="1995" w:type="dxa"/>
            <w:tcMar>
              <w:top w:w="100" w:type="dxa"/>
              <w:left w:w="100" w:type="dxa"/>
              <w:bottom w:w="100" w:type="dxa"/>
              <w:right w:w="100" w:type="dxa"/>
            </w:tcMar>
          </w:tcPr>
          <w:p w14:paraId="32B42CBD" w14:textId="77777777" w:rsidR="00230D96" w:rsidRDefault="0045087E">
            <w:pPr>
              <w:widowControl w:val="0"/>
              <w:spacing w:line="240" w:lineRule="auto"/>
              <w:rPr>
                <w:szCs w:val="24"/>
              </w:rPr>
            </w:pPr>
            <w:r>
              <w:rPr>
                <w:szCs w:val="24"/>
              </w:rPr>
              <w:t>Disadvantage</w:t>
            </w:r>
          </w:p>
        </w:tc>
      </w:tr>
    </w:tbl>
    <w:p w14:paraId="3AC0E881" w14:textId="77777777" w:rsidR="00230D96" w:rsidRDefault="0045087E" w:rsidP="00E679E6">
      <w:pPr>
        <w:pStyle w:val="Heading5"/>
      </w:pPr>
      <w:bookmarkStart w:id="11" w:name="_Toc236950540"/>
      <w:r>
        <w:t xml:space="preserve">Table 1: </w:t>
      </w:r>
      <w:r w:rsidRPr="00E679E6">
        <w:t>VRIO</w:t>
      </w:r>
      <w:r>
        <w:t xml:space="preserve"> Analysis of Diageo PLC</w:t>
      </w:r>
      <w:bookmarkEnd w:id="11"/>
    </w:p>
    <w:p w14:paraId="15A470B6" w14:textId="77777777" w:rsidR="00230D96" w:rsidRDefault="0045087E">
      <w:pPr>
        <w:spacing w:before="200"/>
        <w:jc w:val="center"/>
        <w:rPr>
          <w:szCs w:val="24"/>
        </w:rPr>
      </w:pPr>
      <w:r>
        <w:rPr>
          <w:szCs w:val="24"/>
        </w:rPr>
        <w:t>(Source: Self-Designed in MS Word)</w:t>
      </w:r>
    </w:p>
    <w:p w14:paraId="003C85FC" w14:textId="77777777" w:rsidR="00E679E6" w:rsidRDefault="0045087E">
      <w:pPr>
        <w:spacing w:before="200"/>
        <w:rPr>
          <w:szCs w:val="24"/>
        </w:rPr>
      </w:pPr>
      <w:r>
        <w:rPr>
          <w:szCs w:val="24"/>
        </w:rPr>
        <w:t>One of the most critical resources that Diageo PLC maintains is its brand popularity</w:t>
      </w:r>
      <w:r w:rsidR="00E679E6">
        <w:rPr>
          <w:szCs w:val="24"/>
        </w:rPr>
        <w:t>,</w:t>
      </w:r>
      <w:r>
        <w:rPr>
          <w:szCs w:val="24"/>
        </w:rPr>
        <w:t xml:space="preserve"> given its flagship product ranges of Guinness 0.0, Tanqueray 0.0, </w:t>
      </w:r>
      <w:r w:rsidR="00E679E6">
        <w:rPr>
          <w:szCs w:val="24"/>
        </w:rPr>
        <w:t xml:space="preserve">and </w:t>
      </w:r>
      <w:r>
        <w:rPr>
          <w:szCs w:val="24"/>
        </w:rPr>
        <w:t xml:space="preserve">Gordon's 0.0 and have established </w:t>
      </w:r>
      <w:r w:rsidR="00E679E6">
        <w:rPr>
          <w:szCs w:val="24"/>
        </w:rPr>
        <w:t xml:space="preserve">a </w:t>
      </w:r>
      <w:r>
        <w:rPr>
          <w:szCs w:val="24"/>
        </w:rPr>
        <w:t>strong market presence that is not only difficult to replicate but also rare among competitor brands</w:t>
      </w:r>
      <w:r w:rsidR="00E679E6">
        <w:rPr>
          <w:szCs w:val="24"/>
        </w:rPr>
        <w:t>,</w:t>
      </w:r>
      <w:r>
        <w:rPr>
          <w:szCs w:val="24"/>
        </w:rPr>
        <w:t xml:space="preserve"> except a few notable </w:t>
      </w:r>
      <w:r w:rsidR="00E679E6">
        <w:rPr>
          <w:szCs w:val="24"/>
        </w:rPr>
        <w:t>large-scale</w:t>
      </w:r>
      <w:r>
        <w:rPr>
          <w:szCs w:val="24"/>
        </w:rPr>
        <w:t xml:space="preserve"> brands like Heineken (Diageo, 2025a). With such sustained competitive advantage, Diageo PLC's strategic partnership with commercial retail platforms like Waitrose can ensure the brand is exploiting its current sustained advantage appropriately (</w:t>
      </w:r>
      <w:proofErr w:type="spellStart"/>
      <w:r>
        <w:rPr>
          <w:szCs w:val="24"/>
        </w:rPr>
        <w:t>Neish</w:t>
      </w:r>
      <w:proofErr w:type="spellEnd"/>
      <w:r>
        <w:rPr>
          <w:szCs w:val="24"/>
        </w:rPr>
        <w:t>, 2023). However, considering its scalability, Diageo PLC maintains a relatively valuable and rare supply chain that can support its non alcoholic beverage market</w:t>
      </w:r>
      <w:r w:rsidR="00E679E6">
        <w:rPr>
          <w:szCs w:val="24"/>
        </w:rPr>
        <w:t>,</w:t>
      </w:r>
      <w:r>
        <w:rPr>
          <w:szCs w:val="24"/>
        </w:rPr>
        <w:t xml:space="preserve"> but it is not difficult to replicate by equally </w:t>
      </w:r>
      <w:r w:rsidR="00E679E6">
        <w:rPr>
          <w:szCs w:val="24"/>
        </w:rPr>
        <w:t>large</w:t>
      </w:r>
      <w:r>
        <w:rPr>
          <w:szCs w:val="24"/>
        </w:rPr>
        <w:t xml:space="preserve"> brands, making it a temporary advantage in the UK market (Diageo, 2025a). Given Diageo PLC is four times larger in terms of its non-alcoholic product segments in markets like the UK, it has a distinct strategic advantage </w:t>
      </w:r>
      <w:r w:rsidR="00E679E6">
        <w:rPr>
          <w:szCs w:val="24"/>
        </w:rPr>
        <w:t>in</w:t>
      </w:r>
      <w:r>
        <w:rPr>
          <w:szCs w:val="24"/>
        </w:rPr>
        <w:t xml:space="preserve"> being rare, </w:t>
      </w:r>
      <w:r w:rsidR="00E679E6">
        <w:rPr>
          <w:szCs w:val="24"/>
        </w:rPr>
        <w:t>organised</w:t>
      </w:r>
      <w:r>
        <w:rPr>
          <w:szCs w:val="24"/>
        </w:rPr>
        <w:t xml:space="preserve"> and valuable but not difficult to imitate</w:t>
      </w:r>
      <w:r w:rsidR="00E679E6">
        <w:rPr>
          <w:szCs w:val="24"/>
        </w:rPr>
        <w:t>,</w:t>
      </w:r>
      <w:r>
        <w:rPr>
          <w:szCs w:val="24"/>
        </w:rPr>
        <w:t xml:space="preserve"> which makes this advantage only temporary</w:t>
      </w:r>
      <w:r w:rsidR="00E679E6">
        <w:rPr>
          <w:szCs w:val="24"/>
        </w:rPr>
        <w:t>,</w:t>
      </w:r>
      <w:r>
        <w:rPr>
          <w:szCs w:val="24"/>
        </w:rPr>
        <w:t xml:space="preserve"> especially since its recent acquisition </w:t>
      </w:r>
      <w:r w:rsidR="00E679E6">
        <w:rPr>
          <w:szCs w:val="24"/>
        </w:rPr>
        <w:t>of</w:t>
      </w:r>
      <w:r>
        <w:rPr>
          <w:szCs w:val="24"/>
        </w:rPr>
        <w:t xml:space="preserve"> </w:t>
      </w:r>
      <w:proofErr w:type="spellStart"/>
      <w:r>
        <w:rPr>
          <w:szCs w:val="24"/>
        </w:rPr>
        <w:t>Seedlip</w:t>
      </w:r>
      <w:proofErr w:type="spellEnd"/>
      <w:r>
        <w:rPr>
          <w:szCs w:val="24"/>
        </w:rPr>
        <w:t xml:space="preserve"> and Ritual enhances capability and coverage but not innovation (Diageo, 2025a). In terms of the research and development capabilities of Diageo PLC, the brand has </w:t>
      </w:r>
      <w:r w:rsidR="00E679E6">
        <w:rPr>
          <w:szCs w:val="24"/>
        </w:rPr>
        <w:t xml:space="preserve">an </w:t>
      </w:r>
      <w:r>
        <w:rPr>
          <w:szCs w:val="24"/>
        </w:rPr>
        <w:t xml:space="preserve">immediate advantage </w:t>
      </w:r>
      <w:r w:rsidR="00E679E6">
        <w:rPr>
          <w:szCs w:val="24"/>
        </w:rPr>
        <w:t xml:space="preserve">in </w:t>
      </w:r>
      <w:r>
        <w:rPr>
          <w:szCs w:val="24"/>
        </w:rPr>
        <w:t>building de-</w:t>
      </w:r>
      <w:proofErr w:type="spellStart"/>
      <w:r>
        <w:rPr>
          <w:szCs w:val="24"/>
        </w:rPr>
        <w:t>alcoholisation</w:t>
      </w:r>
      <w:proofErr w:type="spellEnd"/>
      <w:r>
        <w:rPr>
          <w:szCs w:val="24"/>
        </w:rPr>
        <w:t xml:space="preserve"> and brewing capabilities</w:t>
      </w:r>
      <w:r w:rsidR="00E679E6">
        <w:rPr>
          <w:szCs w:val="24"/>
        </w:rPr>
        <w:t>,</w:t>
      </w:r>
      <w:r>
        <w:rPr>
          <w:szCs w:val="24"/>
        </w:rPr>
        <w:t xml:space="preserve"> but it is not sufficiently rare or difficult to imitate by leading brands like Heineken or </w:t>
      </w:r>
      <w:r w:rsidR="00E679E6">
        <w:rPr>
          <w:szCs w:val="24"/>
        </w:rPr>
        <w:t xml:space="preserve">AB </w:t>
      </w:r>
      <w:proofErr w:type="spellStart"/>
      <w:r w:rsidR="00E679E6">
        <w:rPr>
          <w:szCs w:val="24"/>
        </w:rPr>
        <w:t>InBev</w:t>
      </w:r>
      <w:proofErr w:type="spellEnd"/>
      <w:r w:rsidR="00E679E6">
        <w:rPr>
          <w:szCs w:val="24"/>
        </w:rPr>
        <w:t>,</w:t>
      </w:r>
      <w:r>
        <w:rPr>
          <w:szCs w:val="24"/>
        </w:rPr>
        <w:t xml:space="preserve"> who already use De-</w:t>
      </w:r>
      <w:proofErr w:type="spellStart"/>
      <w:r>
        <w:rPr>
          <w:szCs w:val="24"/>
        </w:rPr>
        <w:t>alcoholisation</w:t>
      </w:r>
      <w:proofErr w:type="spellEnd"/>
      <w:r>
        <w:rPr>
          <w:szCs w:val="24"/>
        </w:rPr>
        <w:t xml:space="preserve"> technologies (</w:t>
      </w:r>
      <w:r w:rsidR="00E679E6">
        <w:rPr>
          <w:szCs w:val="24"/>
        </w:rPr>
        <w:t xml:space="preserve">AB </w:t>
      </w:r>
      <w:proofErr w:type="spellStart"/>
      <w:r w:rsidR="00E679E6">
        <w:rPr>
          <w:szCs w:val="24"/>
        </w:rPr>
        <w:t>InBev</w:t>
      </w:r>
      <w:proofErr w:type="spellEnd"/>
      <w:r>
        <w:rPr>
          <w:szCs w:val="24"/>
        </w:rPr>
        <w:t xml:space="preserve">, 2023). As a result, the strategic evaluation of the internal capabilities and resources </w:t>
      </w:r>
      <w:r w:rsidR="00E679E6">
        <w:rPr>
          <w:szCs w:val="24"/>
        </w:rPr>
        <w:t>indicates</w:t>
      </w:r>
      <w:r>
        <w:rPr>
          <w:szCs w:val="24"/>
        </w:rPr>
        <w:t xml:space="preserve"> that outside of their brand popularity, at least in the context of the UK market, advantages against alternative brands are minimal. The cultural challenge that current leadership at Diageo PLC faces is the cultural values between </w:t>
      </w:r>
      <w:r w:rsidR="00E679E6">
        <w:rPr>
          <w:szCs w:val="24"/>
        </w:rPr>
        <w:t>high-agility-based</w:t>
      </w:r>
      <w:r>
        <w:rPr>
          <w:szCs w:val="24"/>
        </w:rPr>
        <w:t xml:space="preserve"> hierarchical </w:t>
      </w:r>
      <w:r w:rsidR="00E679E6">
        <w:rPr>
          <w:szCs w:val="24"/>
        </w:rPr>
        <w:t>decision-making</w:t>
      </w:r>
      <w:r>
        <w:rPr>
          <w:szCs w:val="24"/>
        </w:rPr>
        <w:t xml:space="preserve"> and its cultural focus on collaboration and creation for customers (Diageo, 2024).</w:t>
      </w:r>
    </w:p>
    <w:p w14:paraId="6084B368" w14:textId="202D2DA3" w:rsidR="00230D96" w:rsidRDefault="0045087E">
      <w:pPr>
        <w:spacing w:before="200"/>
        <w:rPr>
          <w:szCs w:val="24"/>
        </w:rPr>
      </w:pPr>
      <w:r>
        <w:rPr>
          <w:szCs w:val="24"/>
        </w:rPr>
        <w:t>The core indicators regarding its cultural and operational capabilities</w:t>
      </w:r>
      <w:r w:rsidR="00E679E6">
        <w:rPr>
          <w:szCs w:val="24"/>
        </w:rPr>
        <w:t>,</w:t>
      </w:r>
      <w:r>
        <w:rPr>
          <w:szCs w:val="24"/>
        </w:rPr>
        <w:t xml:space="preserve"> especially from before the interim CEO at Diageo PLC</w:t>
      </w:r>
      <w:r w:rsidR="00E679E6">
        <w:rPr>
          <w:szCs w:val="24"/>
        </w:rPr>
        <w:t>, were</w:t>
      </w:r>
      <w:r>
        <w:rPr>
          <w:szCs w:val="24"/>
        </w:rPr>
        <w:t xml:space="preserve"> to maintain efficiency through collaboration and remain curious in addressing business problems and customer problems. The inclusive culture has resulted in 90% </w:t>
      </w:r>
      <w:r w:rsidR="00E679E6">
        <w:rPr>
          <w:szCs w:val="24"/>
        </w:rPr>
        <w:t xml:space="preserve">of </w:t>
      </w:r>
      <w:r>
        <w:rPr>
          <w:szCs w:val="24"/>
        </w:rPr>
        <w:t>employees reporting a sense of pride working with the company and 83% recommending Diageo as a workplace to others</w:t>
      </w:r>
      <w:r w:rsidR="00E679E6">
        <w:rPr>
          <w:szCs w:val="24"/>
        </w:rPr>
        <w:t>,</w:t>
      </w:r>
      <w:r>
        <w:rPr>
          <w:szCs w:val="24"/>
        </w:rPr>
        <w:t xml:space="preserve"> but not a rare or </w:t>
      </w:r>
      <w:r w:rsidR="00E679E6">
        <w:rPr>
          <w:szCs w:val="24"/>
        </w:rPr>
        <w:t>difficult-to-imitate</w:t>
      </w:r>
      <w:r>
        <w:rPr>
          <w:szCs w:val="24"/>
        </w:rPr>
        <w:t xml:space="preserve"> HRM strategy for others (Diageo, 2025a). However</w:t>
      </w:r>
      <w:r w:rsidR="00E679E6">
        <w:rPr>
          <w:szCs w:val="24"/>
        </w:rPr>
        <w:t>,</w:t>
      </w:r>
      <w:r>
        <w:rPr>
          <w:szCs w:val="24"/>
        </w:rPr>
        <w:t xml:space="preserve"> when contrasted with the interim CEO’s strategic decisions on changing the executive committee and </w:t>
      </w:r>
      <w:r w:rsidR="00E679E6">
        <w:rPr>
          <w:szCs w:val="24"/>
        </w:rPr>
        <w:t>restructuring</w:t>
      </w:r>
      <w:r>
        <w:rPr>
          <w:szCs w:val="24"/>
        </w:rPr>
        <w:t xml:space="preserve"> the </w:t>
      </w:r>
      <w:r w:rsidR="00E679E6">
        <w:rPr>
          <w:szCs w:val="24"/>
        </w:rPr>
        <w:t>organisation</w:t>
      </w:r>
      <w:r>
        <w:rPr>
          <w:szCs w:val="24"/>
        </w:rPr>
        <w:t xml:space="preserve"> with layoffs to salvage operating profits in some capacity, the cultural shift towards </w:t>
      </w:r>
      <w:r w:rsidR="00E679E6">
        <w:rPr>
          <w:szCs w:val="24"/>
        </w:rPr>
        <w:t xml:space="preserve">an </w:t>
      </w:r>
      <w:r>
        <w:rPr>
          <w:szCs w:val="24"/>
        </w:rPr>
        <w:t xml:space="preserve">agile </w:t>
      </w:r>
      <w:r w:rsidR="00E679E6">
        <w:rPr>
          <w:szCs w:val="24"/>
        </w:rPr>
        <w:t>performance-centric</w:t>
      </w:r>
      <w:r>
        <w:rPr>
          <w:szCs w:val="24"/>
        </w:rPr>
        <w:t xml:space="preserve"> approach loses Diageo’s </w:t>
      </w:r>
      <w:r w:rsidR="00E679E6">
        <w:rPr>
          <w:szCs w:val="24"/>
        </w:rPr>
        <w:t>long-term</w:t>
      </w:r>
      <w:r>
        <w:rPr>
          <w:szCs w:val="24"/>
        </w:rPr>
        <w:t xml:space="preserve"> focus shown from its cultural and </w:t>
      </w:r>
      <w:r w:rsidR="00E679E6">
        <w:rPr>
          <w:szCs w:val="24"/>
        </w:rPr>
        <w:t>people-centric</w:t>
      </w:r>
      <w:r>
        <w:rPr>
          <w:szCs w:val="24"/>
        </w:rPr>
        <w:t xml:space="preserve"> policies, making the limited advantage it can retain from its internal culture lost due to subsequent restructuring decisions.</w:t>
      </w:r>
    </w:p>
    <w:p w14:paraId="5DE38CF3" w14:textId="77777777" w:rsidR="00230D96" w:rsidRDefault="0045087E">
      <w:pPr>
        <w:spacing w:before="200"/>
        <w:rPr>
          <w:b/>
          <w:bCs/>
          <w:i/>
          <w:iCs/>
          <w:szCs w:val="24"/>
          <w:u w:val="single"/>
        </w:rPr>
      </w:pPr>
      <w:r>
        <w:rPr>
          <w:b/>
          <w:bCs/>
          <w:i/>
          <w:iCs/>
          <w:szCs w:val="24"/>
          <w:u w:val="single"/>
        </w:rPr>
        <w:t>Strength and Weaknesses</w:t>
      </w:r>
    </w:p>
    <w:p w14:paraId="7DA31CE4" w14:textId="1FF90140" w:rsidR="00230D96" w:rsidRDefault="0045087E">
      <w:pPr>
        <w:spacing w:before="200"/>
        <w:rPr>
          <w:szCs w:val="24"/>
        </w:rPr>
      </w:pPr>
      <w:r>
        <w:rPr>
          <w:szCs w:val="24"/>
        </w:rPr>
        <w:t xml:space="preserve">This has meant that the relevant strengths that Diageo PLC is managing to implement </w:t>
      </w:r>
      <w:r w:rsidR="00E679E6">
        <w:rPr>
          <w:szCs w:val="24"/>
        </w:rPr>
        <w:t>are</w:t>
      </w:r>
      <w:r>
        <w:rPr>
          <w:szCs w:val="24"/>
        </w:rPr>
        <w:t xml:space="preserve"> its ability to </w:t>
      </w:r>
      <w:r w:rsidR="00E679E6">
        <w:rPr>
          <w:szCs w:val="24"/>
        </w:rPr>
        <w:t>utilise</w:t>
      </w:r>
      <w:r>
        <w:rPr>
          <w:szCs w:val="24"/>
        </w:rPr>
        <w:t xml:space="preserve"> popular brand names with a somewhat capable operational value chain that is able to deliver market demands in the UK for non alcoholic beverages. However</w:t>
      </w:r>
      <w:r w:rsidR="00E679E6">
        <w:rPr>
          <w:szCs w:val="24"/>
        </w:rPr>
        <w:t>,</w:t>
      </w:r>
      <w:r>
        <w:rPr>
          <w:szCs w:val="24"/>
        </w:rPr>
        <w:t xml:space="preserve"> the notable weakness that the brand has represented in this strategic evaluation is the sufficiently industry standardized R&amp;D capabilities that do not provide any long term competitive advantage against multinational brands</w:t>
      </w:r>
      <w:r w:rsidR="00E679E6">
        <w:rPr>
          <w:szCs w:val="24"/>
        </w:rPr>
        <w:t>,</w:t>
      </w:r>
      <w:r>
        <w:rPr>
          <w:szCs w:val="24"/>
        </w:rPr>
        <w:t xml:space="preserve"> along with the weakness of operational stability issues within the company itself due to restructuring and poor leadership </w:t>
      </w:r>
      <w:r w:rsidR="00E679E6">
        <w:rPr>
          <w:szCs w:val="24"/>
        </w:rPr>
        <w:t>decision-making</w:t>
      </w:r>
      <w:r>
        <w:rPr>
          <w:szCs w:val="24"/>
        </w:rPr>
        <w:t>.</w:t>
      </w:r>
    </w:p>
    <w:p w14:paraId="75985621" w14:textId="77777777" w:rsidR="00230D96" w:rsidRDefault="0045087E" w:rsidP="00E679E6">
      <w:pPr>
        <w:pStyle w:val="Heading3"/>
      </w:pPr>
      <w:bookmarkStart w:id="12" w:name="_Toc236950522"/>
      <w:r>
        <w:t>2.3 Identification of Key Strengths and Weaknesses</w:t>
      </w:r>
      <w:bookmarkEnd w:id="12"/>
    </w:p>
    <w:p w14:paraId="702D2134" w14:textId="1E2A3598" w:rsidR="00230D96" w:rsidRDefault="0045087E">
      <w:pPr>
        <w:spacing w:before="200"/>
        <w:rPr>
          <w:szCs w:val="24"/>
        </w:rPr>
      </w:pPr>
      <w:r>
        <w:rPr>
          <w:szCs w:val="24"/>
        </w:rPr>
        <w:t xml:space="preserve">Combined with the strategic macroeconomic environmental evaluation along with the internal evaluation assessment, the </w:t>
      </w:r>
      <w:r w:rsidR="00E679E6">
        <w:rPr>
          <w:szCs w:val="24"/>
        </w:rPr>
        <w:t>strengths</w:t>
      </w:r>
      <w:r>
        <w:rPr>
          <w:szCs w:val="24"/>
        </w:rPr>
        <w:t xml:space="preserve"> and weaknesses can be further consolidated and presented in the form of a SWOT evaluation which expands upon the previously identified advantages and limitations.</w:t>
      </w:r>
    </w:p>
    <w:tbl>
      <w:tblPr>
        <w:tblStyle w:val="a0"/>
        <w:tblW w:w="900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980"/>
        <w:gridCol w:w="4020"/>
      </w:tblGrid>
      <w:tr w:rsidR="00230D96" w14:paraId="10402ADE" w14:textId="77777777">
        <w:trPr>
          <w:jc w:val="center"/>
        </w:trPr>
        <w:tc>
          <w:tcPr>
            <w:tcW w:w="4980" w:type="dxa"/>
            <w:tcMar>
              <w:top w:w="100" w:type="dxa"/>
              <w:left w:w="100" w:type="dxa"/>
              <w:bottom w:w="100" w:type="dxa"/>
              <w:right w:w="100" w:type="dxa"/>
            </w:tcMar>
          </w:tcPr>
          <w:p w14:paraId="0E5FB36B" w14:textId="77777777" w:rsidR="00230D96" w:rsidRDefault="0045087E">
            <w:pPr>
              <w:widowControl w:val="0"/>
              <w:pBdr>
                <w:top w:val="nil"/>
                <w:left w:val="nil"/>
                <w:bottom w:val="nil"/>
                <w:right w:val="nil"/>
                <w:between w:val="nil"/>
              </w:pBdr>
              <w:spacing w:line="240" w:lineRule="auto"/>
              <w:jc w:val="center"/>
              <w:rPr>
                <w:b/>
                <w:bCs/>
                <w:i/>
                <w:iCs/>
                <w:szCs w:val="24"/>
                <w:u w:val="single"/>
              </w:rPr>
            </w:pPr>
            <w:r>
              <w:rPr>
                <w:b/>
                <w:bCs/>
                <w:i/>
                <w:iCs/>
                <w:szCs w:val="24"/>
                <w:u w:val="single"/>
              </w:rPr>
              <w:t>Strength</w:t>
            </w:r>
          </w:p>
          <w:p w14:paraId="0872B62A" w14:textId="77777777" w:rsidR="00230D96" w:rsidRDefault="0045087E">
            <w:pPr>
              <w:widowControl w:val="0"/>
              <w:numPr>
                <w:ilvl w:val="0"/>
                <w:numId w:val="1"/>
              </w:numPr>
              <w:pBdr>
                <w:top w:val="nil"/>
                <w:left w:val="nil"/>
                <w:bottom w:val="nil"/>
                <w:right w:val="nil"/>
                <w:between w:val="nil"/>
              </w:pBdr>
              <w:spacing w:line="240" w:lineRule="auto"/>
              <w:rPr>
                <w:szCs w:val="24"/>
              </w:rPr>
            </w:pPr>
            <w:r>
              <w:rPr>
                <w:szCs w:val="24"/>
              </w:rPr>
              <w:t>Identified as the leading brand of non alcoholic beverages in the UK market (Diageo, 2025a)</w:t>
            </w:r>
          </w:p>
          <w:p w14:paraId="33C315C4" w14:textId="7087DF0E" w:rsidR="00230D96" w:rsidRDefault="0045087E">
            <w:pPr>
              <w:widowControl w:val="0"/>
              <w:numPr>
                <w:ilvl w:val="0"/>
                <w:numId w:val="1"/>
              </w:numPr>
              <w:pBdr>
                <w:top w:val="nil"/>
                <w:left w:val="nil"/>
                <w:bottom w:val="nil"/>
                <w:right w:val="nil"/>
                <w:between w:val="nil"/>
              </w:pBdr>
              <w:spacing w:line="240" w:lineRule="auto"/>
              <w:rPr>
                <w:szCs w:val="24"/>
              </w:rPr>
            </w:pPr>
            <w:r>
              <w:rPr>
                <w:szCs w:val="24"/>
              </w:rPr>
              <w:t xml:space="preserve">Diageo PLC is also maintaining a strong market position against rival competitors, showcasing immense </w:t>
            </w:r>
            <w:r w:rsidR="00E679E6">
              <w:rPr>
                <w:szCs w:val="24"/>
              </w:rPr>
              <w:t>SKU-specific</w:t>
            </w:r>
            <w:r>
              <w:rPr>
                <w:szCs w:val="24"/>
              </w:rPr>
              <w:t xml:space="preserve"> strength in creating differentiation (Beeson, 2024).</w:t>
            </w:r>
          </w:p>
        </w:tc>
        <w:tc>
          <w:tcPr>
            <w:tcW w:w="4020" w:type="dxa"/>
            <w:tcMar>
              <w:top w:w="100" w:type="dxa"/>
              <w:left w:w="100" w:type="dxa"/>
              <w:bottom w:w="100" w:type="dxa"/>
              <w:right w:w="100" w:type="dxa"/>
            </w:tcMar>
          </w:tcPr>
          <w:p w14:paraId="5E26D5FF" w14:textId="77777777" w:rsidR="00230D96" w:rsidRDefault="0045087E">
            <w:pPr>
              <w:widowControl w:val="0"/>
              <w:pBdr>
                <w:top w:val="nil"/>
                <w:left w:val="nil"/>
                <w:bottom w:val="nil"/>
                <w:right w:val="nil"/>
                <w:between w:val="nil"/>
              </w:pBdr>
              <w:spacing w:line="240" w:lineRule="auto"/>
              <w:jc w:val="center"/>
              <w:rPr>
                <w:b/>
                <w:bCs/>
                <w:i/>
                <w:iCs/>
                <w:szCs w:val="24"/>
                <w:u w:val="single"/>
              </w:rPr>
            </w:pPr>
            <w:r>
              <w:rPr>
                <w:b/>
                <w:bCs/>
                <w:i/>
                <w:iCs/>
                <w:szCs w:val="24"/>
                <w:u w:val="single"/>
              </w:rPr>
              <w:t>Weaknesses</w:t>
            </w:r>
          </w:p>
          <w:p w14:paraId="12EC70A8" w14:textId="2C37E0CC" w:rsidR="00230D96" w:rsidRDefault="0045087E">
            <w:pPr>
              <w:widowControl w:val="0"/>
              <w:numPr>
                <w:ilvl w:val="0"/>
                <w:numId w:val="4"/>
              </w:numPr>
              <w:pBdr>
                <w:top w:val="nil"/>
                <w:left w:val="nil"/>
                <w:bottom w:val="nil"/>
                <w:right w:val="nil"/>
                <w:between w:val="nil"/>
              </w:pBdr>
              <w:spacing w:line="240" w:lineRule="auto"/>
              <w:rPr>
                <w:szCs w:val="24"/>
              </w:rPr>
            </w:pPr>
            <w:r>
              <w:rPr>
                <w:szCs w:val="24"/>
              </w:rPr>
              <w:t xml:space="preserve">Internal brand IP </w:t>
            </w:r>
            <w:r w:rsidR="00E679E6">
              <w:rPr>
                <w:szCs w:val="24"/>
              </w:rPr>
              <w:t>cannibalisation</w:t>
            </w:r>
            <w:r>
              <w:rPr>
                <w:szCs w:val="24"/>
              </w:rPr>
              <w:t xml:space="preserve"> risks with pricing inconsistencies (Inside, 2025).</w:t>
            </w:r>
          </w:p>
          <w:p w14:paraId="13AA886B" w14:textId="77777777" w:rsidR="00230D96" w:rsidRDefault="0045087E">
            <w:pPr>
              <w:widowControl w:val="0"/>
              <w:numPr>
                <w:ilvl w:val="0"/>
                <w:numId w:val="4"/>
              </w:numPr>
              <w:pBdr>
                <w:top w:val="nil"/>
                <w:left w:val="nil"/>
                <w:bottom w:val="nil"/>
                <w:right w:val="nil"/>
                <w:between w:val="nil"/>
              </w:pBdr>
              <w:spacing w:line="240" w:lineRule="auto"/>
              <w:rPr>
                <w:szCs w:val="24"/>
              </w:rPr>
            </w:pPr>
            <w:r>
              <w:rPr>
                <w:szCs w:val="24"/>
              </w:rPr>
              <w:t>Quality and operational risk factors evidenced from the product recall (Diageo, 2025a).</w:t>
            </w:r>
          </w:p>
        </w:tc>
      </w:tr>
      <w:tr w:rsidR="00230D96" w14:paraId="6A3E6404" w14:textId="77777777">
        <w:trPr>
          <w:jc w:val="center"/>
        </w:trPr>
        <w:tc>
          <w:tcPr>
            <w:tcW w:w="4980" w:type="dxa"/>
            <w:tcMar>
              <w:top w:w="100" w:type="dxa"/>
              <w:left w:w="100" w:type="dxa"/>
              <w:bottom w:w="100" w:type="dxa"/>
              <w:right w:w="100" w:type="dxa"/>
            </w:tcMar>
          </w:tcPr>
          <w:p w14:paraId="08B950C2" w14:textId="78CFB61D" w:rsidR="00230D96" w:rsidRDefault="00E679E6">
            <w:pPr>
              <w:widowControl w:val="0"/>
              <w:pBdr>
                <w:top w:val="nil"/>
                <w:left w:val="nil"/>
                <w:bottom w:val="nil"/>
                <w:right w:val="nil"/>
                <w:between w:val="nil"/>
              </w:pBdr>
              <w:spacing w:line="240" w:lineRule="auto"/>
              <w:jc w:val="center"/>
              <w:rPr>
                <w:b/>
                <w:bCs/>
                <w:i/>
                <w:iCs/>
                <w:szCs w:val="24"/>
                <w:u w:val="single"/>
              </w:rPr>
            </w:pPr>
            <w:r>
              <w:rPr>
                <w:b/>
                <w:bCs/>
                <w:i/>
                <w:iCs/>
                <w:szCs w:val="24"/>
                <w:u w:val="single"/>
              </w:rPr>
              <w:t>Opportunities</w:t>
            </w:r>
          </w:p>
          <w:p w14:paraId="485BC83E" w14:textId="436ACACF" w:rsidR="00230D96" w:rsidRDefault="00E679E6">
            <w:pPr>
              <w:widowControl w:val="0"/>
              <w:numPr>
                <w:ilvl w:val="0"/>
                <w:numId w:val="3"/>
              </w:numPr>
              <w:pBdr>
                <w:top w:val="nil"/>
                <w:left w:val="nil"/>
                <w:bottom w:val="nil"/>
                <w:right w:val="nil"/>
                <w:between w:val="nil"/>
              </w:pBdr>
              <w:spacing w:line="240" w:lineRule="auto"/>
              <w:rPr>
                <w:szCs w:val="24"/>
              </w:rPr>
            </w:pPr>
            <w:r>
              <w:rPr>
                <w:szCs w:val="24"/>
              </w:rPr>
              <w:t>Category-specific</w:t>
            </w:r>
            <w:r w:rsidR="0045087E">
              <w:rPr>
                <w:szCs w:val="24"/>
              </w:rPr>
              <w:t xml:space="preserve"> growth opportunity with </w:t>
            </w:r>
            <w:r>
              <w:rPr>
                <w:szCs w:val="24"/>
              </w:rPr>
              <w:t xml:space="preserve">a </w:t>
            </w:r>
            <w:r w:rsidR="0045087E">
              <w:rPr>
                <w:szCs w:val="24"/>
              </w:rPr>
              <w:t>7.9% annual compound growth rate on the non alcoholic beverage market (Grand View Research, 2026a).</w:t>
            </w:r>
          </w:p>
          <w:p w14:paraId="041DBAFC" w14:textId="1B33725A" w:rsidR="00230D96" w:rsidRDefault="0045087E">
            <w:pPr>
              <w:widowControl w:val="0"/>
              <w:numPr>
                <w:ilvl w:val="0"/>
                <w:numId w:val="3"/>
              </w:numPr>
              <w:pBdr>
                <w:top w:val="nil"/>
                <w:left w:val="nil"/>
                <w:bottom w:val="nil"/>
                <w:right w:val="nil"/>
                <w:between w:val="nil"/>
              </w:pBdr>
              <w:spacing w:line="240" w:lineRule="auto"/>
              <w:rPr>
                <w:szCs w:val="24"/>
              </w:rPr>
            </w:pPr>
            <w:r>
              <w:rPr>
                <w:szCs w:val="24"/>
              </w:rPr>
              <w:t xml:space="preserve">Opportunity to tackle pricing advantage on zero alcohol beverages as </w:t>
            </w:r>
            <w:r w:rsidR="00E679E6">
              <w:rPr>
                <w:szCs w:val="24"/>
              </w:rPr>
              <w:t>labelling</w:t>
            </w:r>
            <w:r>
              <w:rPr>
                <w:szCs w:val="24"/>
              </w:rPr>
              <w:t xml:space="preserve"> requirements change based on dilution under new regulatory push (Bayley, 2026).</w:t>
            </w:r>
          </w:p>
        </w:tc>
        <w:tc>
          <w:tcPr>
            <w:tcW w:w="4020" w:type="dxa"/>
            <w:tcMar>
              <w:top w:w="100" w:type="dxa"/>
              <w:left w:w="100" w:type="dxa"/>
              <w:bottom w:w="100" w:type="dxa"/>
              <w:right w:w="100" w:type="dxa"/>
            </w:tcMar>
          </w:tcPr>
          <w:p w14:paraId="039AFB77" w14:textId="77777777" w:rsidR="00230D96" w:rsidRDefault="0045087E">
            <w:pPr>
              <w:widowControl w:val="0"/>
              <w:pBdr>
                <w:top w:val="nil"/>
                <w:left w:val="nil"/>
                <w:bottom w:val="nil"/>
                <w:right w:val="nil"/>
                <w:between w:val="nil"/>
              </w:pBdr>
              <w:spacing w:line="240" w:lineRule="auto"/>
              <w:jc w:val="center"/>
              <w:rPr>
                <w:b/>
                <w:bCs/>
                <w:i/>
                <w:iCs/>
                <w:szCs w:val="24"/>
                <w:u w:val="single"/>
              </w:rPr>
            </w:pPr>
            <w:r>
              <w:rPr>
                <w:b/>
                <w:bCs/>
                <w:i/>
                <w:iCs/>
                <w:szCs w:val="24"/>
                <w:u w:val="single"/>
              </w:rPr>
              <w:t>Threats</w:t>
            </w:r>
          </w:p>
          <w:p w14:paraId="6BADB442" w14:textId="77777777" w:rsidR="00230D96" w:rsidRDefault="0045087E">
            <w:pPr>
              <w:widowControl w:val="0"/>
              <w:numPr>
                <w:ilvl w:val="0"/>
                <w:numId w:val="2"/>
              </w:numPr>
              <w:pBdr>
                <w:top w:val="nil"/>
                <w:left w:val="nil"/>
                <w:bottom w:val="nil"/>
                <w:right w:val="nil"/>
                <w:between w:val="nil"/>
              </w:pBdr>
              <w:spacing w:line="240" w:lineRule="auto"/>
              <w:rPr>
                <w:szCs w:val="24"/>
              </w:rPr>
            </w:pPr>
            <w:r>
              <w:rPr>
                <w:szCs w:val="24"/>
              </w:rPr>
              <w:t>Rising multinational brand competition threatens market dominance in the UK.</w:t>
            </w:r>
          </w:p>
          <w:p w14:paraId="01E93261" w14:textId="77777777" w:rsidR="00230D96" w:rsidRDefault="0045087E">
            <w:pPr>
              <w:widowControl w:val="0"/>
              <w:numPr>
                <w:ilvl w:val="0"/>
                <w:numId w:val="2"/>
              </w:numPr>
              <w:pBdr>
                <w:top w:val="nil"/>
                <w:left w:val="nil"/>
                <w:bottom w:val="nil"/>
                <w:right w:val="nil"/>
                <w:between w:val="nil"/>
              </w:pBdr>
              <w:spacing w:line="240" w:lineRule="auto"/>
              <w:rPr>
                <w:szCs w:val="24"/>
              </w:rPr>
            </w:pPr>
            <w:r>
              <w:rPr>
                <w:szCs w:val="24"/>
              </w:rPr>
              <w:t>Restructuring and operational inconsistencies internally may weaken market resilience and reduce investor confidence (McDonnell, 2026).</w:t>
            </w:r>
          </w:p>
        </w:tc>
      </w:tr>
    </w:tbl>
    <w:p w14:paraId="768FD0CF" w14:textId="77777777" w:rsidR="00230D96" w:rsidRDefault="0045087E" w:rsidP="00E679E6">
      <w:pPr>
        <w:pStyle w:val="Heading5"/>
      </w:pPr>
      <w:bookmarkStart w:id="13" w:name="_Toc236950541"/>
      <w:r>
        <w:t>Table 2: SWOT Analysis of Diageo PLC</w:t>
      </w:r>
      <w:bookmarkEnd w:id="13"/>
    </w:p>
    <w:p w14:paraId="064A8080" w14:textId="77777777" w:rsidR="00230D96" w:rsidRDefault="0045087E">
      <w:pPr>
        <w:spacing w:before="200"/>
        <w:jc w:val="center"/>
        <w:rPr>
          <w:b/>
          <w:bCs/>
          <w:szCs w:val="24"/>
        </w:rPr>
      </w:pPr>
      <w:r>
        <w:rPr>
          <w:szCs w:val="24"/>
        </w:rPr>
        <w:t>(Source: Self-Designed in MS Word)</w:t>
      </w:r>
    </w:p>
    <w:p w14:paraId="7330662B" w14:textId="77777777" w:rsidR="00230D96" w:rsidRDefault="0045087E" w:rsidP="00E679E6">
      <w:pPr>
        <w:pStyle w:val="Heading2"/>
      </w:pPr>
      <w:bookmarkStart w:id="14" w:name="_Toc236950523"/>
      <w:r>
        <w:t>3. Comprehensive and holistic view of the organisation</w:t>
      </w:r>
      <w:bookmarkEnd w:id="14"/>
    </w:p>
    <w:p w14:paraId="22CC7E41" w14:textId="77777777" w:rsidR="00230D96" w:rsidRDefault="0045087E" w:rsidP="00E679E6">
      <w:pPr>
        <w:pStyle w:val="Heading3"/>
      </w:pPr>
      <w:bookmarkStart w:id="15" w:name="_Toc236950524"/>
      <w:r>
        <w:t>3.1 Current CSR Strategies and Business Alignment</w:t>
      </w:r>
      <w:bookmarkEnd w:id="15"/>
    </w:p>
    <w:p w14:paraId="1A143631" w14:textId="2E9A2F5E" w:rsidR="00230D96" w:rsidRDefault="0045087E">
      <w:pPr>
        <w:spacing w:before="200"/>
        <w:rPr>
          <w:szCs w:val="24"/>
        </w:rPr>
      </w:pPr>
      <w:r>
        <w:rPr>
          <w:szCs w:val="24"/>
        </w:rPr>
        <w:t>The core CSR strategy that Diageo PLC is currently aligning its business objectives with is called the Spirit of Progress</w:t>
      </w:r>
      <w:r w:rsidR="00E679E6">
        <w:rPr>
          <w:szCs w:val="24"/>
        </w:rPr>
        <w:t>,</w:t>
      </w:r>
      <w:r>
        <w:rPr>
          <w:szCs w:val="24"/>
        </w:rPr>
        <w:t xml:space="preserve"> which has identified positive drinking, </w:t>
      </w:r>
      <w:r w:rsidR="00E679E6">
        <w:rPr>
          <w:szCs w:val="24"/>
        </w:rPr>
        <w:t>grain-to-glass</w:t>
      </w:r>
      <w:r>
        <w:rPr>
          <w:szCs w:val="24"/>
        </w:rPr>
        <w:t xml:space="preserve"> sustainability and inclusion and </w:t>
      </w:r>
      <w:r w:rsidR="00E679E6">
        <w:rPr>
          <w:szCs w:val="24"/>
        </w:rPr>
        <w:t>diversity-specific</w:t>
      </w:r>
      <w:r>
        <w:rPr>
          <w:szCs w:val="24"/>
        </w:rPr>
        <w:t xml:space="preserve"> areas for their development (Diageo, 2025a). Given </w:t>
      </w:r>
      <w:r w:rsidR="00E679E6">
        <w:rPr>
          <w:szCs w:val="24"/>
        </w:rPr>
        <w:t xml:space="preserve">that </w:t>
      </w:r>
      <w:r>
        <w:rPr>
          <w:szCs w:val="24"/>
        </w:rPr>
        <w:t xml:space="preserve">its CSR strategy has also influenced its subsequent marketing and </w:t>
      </w:r>
      <w:r w:rsidR="00E679E6">
        <w:rPr>
          <w:szCs w:val="24"/>
        </w:rPr>
        <w:t>product-building</w:t>
      </w:r>
      <w:r>
        <w:rPr>
          <w:szCs w:val="24"/>
        </w:rPr>
        <w:t xml:space="preserve"> direction</w:t>
      </w:r>
      <w:r w:rsidR="00E679E6">
        <w:rPr>
          <w:szCs w:val="24"/>
        </w:rPr>
        <w:t>,</w:t>
      </w:r>
      <w:r>
        <w:rPr>
          <w:szCs w:val="24"/>
        </w:rPr>
        <w:t xml:space="preserve"> with </w:t>
      </w:r>
      <w:proofErr w:type="spellStart"/>
      <w:r>
        <w:rPr>
          <w:szCs w:val="24"/>
        </w:rPr>
        <w:t>DRINKiq</w:t>
      </w:r>
      <w:proofErr w:type="spellEnd"/>
      <w:r>
        <w:rPr>
          <w:szCs w:val="24"/>
        </w:rPr>
        <w:t xml:space="preserve"> being a marketing </w:t>
      </w:r>
      <w:r w:rsidR="00E679E6">
        <w:rPr>
          <w:szCs w:val="24"/>
        </w:rPr>
        <w:t xml:space="preserve">tool </w:t>
      </w:r>
      <w:r>
        <w:rPr>
          <w:szCs w:val="24"/>
        </w:rPr>
        <w:t>that helps promote moderation in alcohol consumption</w:t>
      </w:r>
      <w:r w:rsidR="00E679E6">
        <w:rPr>
          <w:szCs w:val="24"/>
        </w:rPr>
        <w:t>,</w:t>
      </w:r>
      <w:r>
        <w:rPr>
          <w:szCs w:val="24"/>
        </w:rPr>
        <w:t xml:space="preserve"> while its governance has </w:t>
      </w:r>
      <w:r w:rsidR="00E679E6">
        <w:rPr>
          <w:szCs w:val="24"/>
        </w:rPr>
        <w:t>centralised</w:t>
      </w:r>
      <w:r>
        <w:rPr>
          <w:szCs w:val="24"/>
        </w:rPr>
        <w:t xml:space="preserve"> its </w:t>
      </w:r>
      <w:r w:rsidR="00E679E6">
        <w:rPr>
          <w:szCs w:val="24"/>
        </w:rPr>
        <w:t>decision-making</w:t>
      </w:r>
      <w:r>
        <w:rPr>
          <w:szCs w:val="24"/>
        </w:rPr>
        <w:t xml:space="preserve"> and risk management strategies around areas of water </w:t>
      </w:r>
      <w:r w:rsidR="00E679E6">
        <w:rPr>
          <w:szCs w:val="24"/>
        </w:rPr>
        <w:t>stewardship</w:t>
      </w:r>
      <w:r>
        <w:rPr>
          <w:szCs w:val="24"/>
        </w:rPr>
        <w:t xml:space="preserve"> and </w:t>
      </w:r>
      <w:r w:rsidR="00E679E6">
        <w:rPr>
          <w:szCs w:val="24"/>
        </w:rPr>
        <w:t>scope-wise</w:t>
      </w:r>
      <w:r>
        <w:rPr>
          <w:szCs w:val="24"/>
        </w:rPr>
        <w:t xml:space="preserve"> emissions (Diageo, 2025b). Taking a look at important sustainability targets, Diageo PLC seems to be well on its way to </w:t>
      </w:r>
      <w:r w:rsidR="00E679E6">
        <w:rPr>
          <w:szCs w:val="24"/>
        </w:rPr>
        <w:t>reaching</w:t>
      </w:r>
      <w:r>
        <w:rPr>
          <w:szCs w:val="24"/>
        </w:rPr>
        <w:t xml:space="preserve"> its 30% water efficiency </w:t>
      </w:r>
      <w:r w:rsidR="00E679E6">
        <w:rPr>
          <w:szCs w:val="24"/>
        </w:rPr>
        <w:t>optimisation</w:t>
      </w:r>
      <w:r>
        <w:rPr>
          <w:szCs w:val="24"/>
        </w:rPr>
        <w:t xml:space="preserve"> target by 2030 since</w:t>
      </w:r>
      <w:r w:rsidR="00E679E6">
        <w:rPr>
          <w:szCs w:val="24"/>
        </w:rPr>
        <w:t>,</w:t>
      </w:r>
      <w:r>
        <w:rPr>
          <w:szCs w:val="24"/>
        </w:rPr>
        <w:t xml:space="preserve"> in the last five years</w:t>
      </w:r>
      <w:r w:rsidR="00E679E6">
        <w:rPr>
          <w:szCs w:val="24"/>
        </w:rPr>
        <w:t>,</w:t>
      </w:r>
      <w:r>
        <w:rPr>
          <w:szCs w:val="24"/>
        </w:rPr>
        <w:t xml:space="preserve"> it has already reached 15.8% (Diageo, 2025a). However</w:t>
      </w:r>
      <w:r w:rsidR="00E679E6">
        <w:rPr>
          <w:szCs w:val="24"/>
        </w:rPr>
        <w:t>,</w:t>
      </w:r>
      <w:r>
        <w:rPr>
          <w:szCs w:val="24"/>
        </w:rPr>
        <w:t xml:space="preserve"> in the scope 1,2 and 3 emissions, the company's 2030 target remained </w:t>
      </w:r>
      <w:r w:rsidR="00E679E6">
        <w:rPr>
          <w:szCs w:val="24"/>
        </w:rPr>
        <w:t xml:space="preserve">a </w:t>
      </w:r>
      <w:r>
        <w:rPr>
          <w:szCs w:val="24"/>
        </w:rPr>
        <w:t>50% and 26% reduction</w:t>
      </w:r>
      <w:r w:rsidR="00E679E6">
        <w:rPr>
          <w:szCs w:val="24"/>
        </w:rPr>
        <w:t>,</w:t>
      </w:r>
      <w:r>
        <w:rPr>
          <w:szCs w:val="24"/>
        </w:rPr>
        <w:t xml:space="preserve"> which</w:t>
      </w:r>
      <w:r w:rsidR="00E679E6">
        <w:rPr>
          <w:szCs w:val="24"/>
        </w:rPr>
        <w:t>,</w:t>
      </w:r>
      <w:r>
        <w:rPr>
          <w:szCs w:val="24"/>
        </w:rPr>
        <w:t xml:space="preserve"> compared to its last four years of progress being only 18.8% and 10.2%</w:t>
      </w:r>
      <w:r w:rsidR="00E679E6">
        <w:rPr>
          <w:szCs w:val="24"/>
        </w:rPr>
        <w:t>,</w:t>
      </w:r>
      <w:r>
        <w:rPr>
          <w:szCs w:val="24"/>
        </w:rPr>
        <w:t xml:space="preserve"> shows reduced capabilities (Diageo, 2025a).</w:t>
      </w:r>
    </w:p>
    <w:p w14:paraId="146FC095" w14:textId="77777777" w:rsidR="00230D96" w:rsidRDefault="0045087E">
      <w:pPr>
        <w:spacing w:before="200"/>
        <w:jc w:val="center"/>
        <w:rPr>
          <w:szCs w:val="24"/>
        </w:rPr>
      </w:pPr>
      <w:r>
        <w:rPr>
          <w:rFonts w:ascii="Calibri" w:eastAsia="Calibri" w:hAnsi="Calibri" w:cs="Calibri"/>
          <w:noProof/>
          <w:szCs w:val="24"/>
        </w:rPr>
        <w:drawing>
          <wp:inline distT="114300" distB="114300" distL="114300" distR="114300" wp14:anchorId="18D47A14" wp14:editId="2A5C068B">
            <wp:extent cx="5163232" cy="2577157"/>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163232" cy="2577157"/>
                    </a:xfrm>
                    <a:prstGeom prst="rect">
                      <a:avLst/>
                    </a:prstGeom>
                    <a:ln/>
                  </pic:spPr>
                </pic:pic>
              </a:graphicData>
            </a:graphic>
          </wp:inline>
        </w:drawing>
      </w:r>
    </w:p>
    <w:p w14:paraId="1E3BD23F" w14:textId="77777777" w:rsidR="00230D96" w:rsidRDefault="0045087E" w:rsidP="00E679E6">
      <w:pPr>
        <w:pStyle w:val="Heading4"/>
      </w:pPr>
      <w:bookmarkStart w:id="16" w:name="_Toc236950537"/>
      <w:r>
        <w:t>Figure 3: Sustainability Performance</w:t>
      </w:r>
      <w:bookmarkEnd w:id="16"/>
    </w:p>
    <w:p w14:paraId="77FD849D" w14:textId="77777777" w:rsidR="00230D96" w:rsidRDefault="0045087E">
      <w:pPr>
        <w:spacing w:before="200"/>
        <w:jc w:val="center"/>
        <w:rPr>
          <w:szCs w:val="24"/>
        </w:rPr>
      </w:pPr>
      <w:r>
        <w:rPr>
          <w:szCs w:val="24"/>
        </w:rPr>
        <w:t>(Source: Diageo, 2025a)</w:t>
      </w:r>
    </w:p>
    <w:p w14:paraId="53D5710C" w14:textId="3009D548" w:rsidR="00230D96" w:rsidRDefault="0045087E">
      <w:pPr>
        <w:spacing w:before="200"/>
        <w:rPr>
          <w:szCs w:val="24"/>
        </w:rPr>
      </w:pPr>
      <w:r>
        <w:rPr>
          <w:szCs w:val="24"/>
        </w:rPr>
        <w:t xml:space="preserve">This showcases that some of Diageo PLC’s sustainability is unrealistic and poses challenges to its long-term target </w:t>
      </w:r>
      <w:r w:rsidR="00E679E6">
        <w:rPr>
          <w:szCs w:val="24"/>
        </w:rPr>
        <w:t>realisation</w:t>
      </w:r>
      <w:r>
        <w:rPr>
          <w:szCs w:val="24"/>
        </w:rPr>
        <w:t xml:space="preserve">. This is especially relevant since the company has approved newer SBTI targets, showcasing a risk of failure to fulfil the targets due to current performance shrinkage (Diageo, 2025a). This appropriately aligns with Diageo PLC's principal risk framework acknowledging climate change and sustainability risk factors due to its effect on operational disruption as well as financial loss and reputational damage (Diageo, 2025b). Based on this observation, it can be argued that Diageo PLC's current sustainability measures are not </w:t>
      </w:r>
      <w:r w:rsidR="00E679E6">
        <w:rPr>
          <w:szCs w:val="24"/>
        </w:rPr>
        <w:t xml:space="preserve">fully </w:t>
      </w:r>
      <w:r>
        <w:rPr>
          <w:szCs w:val="24"/>
        </w:rPr>
        <w:t>keeping pace with its core business objectives.</w:t>
      </w:r>
    </w:p>
    <w:p w14:paraId="3E5EB67F" w14:textId="77777777" w:rsidR="00230D96" w:rsidRDefault="0045087E" w:rsidP="00E679E6">
      <w:pPr>
        <w:pStyle w:val="Heading3"/>
      </w:pPr>
      <w:bookmarkStart w:id="17" w:name="_Toc236950525"/>
      <w:r>
        <w:t>3.2 Application of Balanced Scorecard</w:t>
      </w:r>
      <w:bookmarkEnd w:id="17"/>
    </w:p>
    <w:p w14:paraId="528BF782" w14:textId="6FC87586" w:rsidR="00230D96" w:rsidRDefault="0045087E">
      <w:pPr>
        <w:spacing w:before="200"/>
        <w:rPr>
          <w:szCs w:val="24"/>
        </w:rPr>
      </w:pPr>
      <w:r>
        <w:rPr>
          <w:szCs w:val="24"/>
        </w:rPr>
        <w:t>Using the balanced scorecard framework, the overall strategic position that Diageo PLC has been able to manage across its financial, customer, internal business process</w:t>
      </w:r>
      <w:r w:rsidR="00E679E6">
        <w:rPr>
          <w:szCs w:val="24"/>
        </w:rPr>
        <w:t>,</w:t>
      </w:r>
      <w:r>
        <w:rPr>
          <w:szCs w:val="24"/>
        </w:rPr>
        <w:t xml:space="preserve"> as well as learning and growth areas can be clearly </w:t>
      </w:r>
      <w:r w:rsidR="00E679E6">
        <w:rPr>
          <w:szCs w:val="24"/>
        </w:rPr>
        <w:t>presented</w:t>
      </w:r>
      <w:r>
        <w:rPr>
          <w:szCs w:val="24"/>
        </w:rPr>
        <w:t xml:space="preserve"> (Kaplan and Norton, 1992).</w:t>
      </w:r>
    </w:p>
    <w:p w14:paraId="5EA31A1B" w14:textId="77777777" w:rsidR="00230D96" w:rsidRDefault="0045087E">
      <w:pPr>
        <w:spacing w:before="200"/>
        <w:rPr>
          <w:b/>
          <w:bCs/>
          <w:i/>
          <w:iCs/>
          <w:szCs w:val="24"/>
          <w:u w:val="single"/>
        </w:rPr>
      </w:pPr>
      <w:r>
        <w:rPr>
          <w:b/>
          <w:bCs/>
          <w:i/>
          <w:iCs/>
          <w:szCs w:val="24"/>
          <w:u w:val="single"/>
        </w:rPr>
        <w:t>Financial</w:t>
      </w:r>
    </w:p>
    <w:p w14:paraId="322D5C85" w14:textId="51663455" w:rsidR="00230D96" w:rsidRDefault="0045087E">
      <w:pPr>
        <w:spacing w:before="200"/>
        <w:rPr>
          <w:szCs w:val="24"/>
        </w:rPr>
      </w:pPr>
      <w:r>
        <w:rPr>
          <w:szCs w:val="24"/>
        </w:rPr>
        <w:t xml:space="preserve">Diageo PLC is a leading producer of spirits and a manufacturer of alcoholic beverages in the UK but also in major international markets like North and Latin America, Europe, Africa and Asia Pacific (Diageo, 2025a). Although total net sales have seen an organic movement of 2% going up to $20,245m in 2025, the operating profit margin has seen a decline of around 28%, going from $6,001m to $4,335m in 2025 (Diageo, 2025a). However, a small margin of increase in organic sales remains </w:t>
      </w:r>
      <w:proofErr w:type="spellStart"/>
      <w:r>
        <w:rPr>
          <w:szCs w:val="24"/>
        </w:rPr>
        <w:t>concerningly</w:t>
      </w:r>
      <w:proofErr w:type="spellEnd"/>
      <w:r>
        <w:rPr>
          <w:szCs w:val="24"/>
        </w:rPr>
        <w:t xml:space="preserve"> low and explains </w:t>
      </w:r>
      <w:r w:rsidR="00E679E6">
        <w:rPr>
          <w:szCs w:val="24"/>
        </w:rPr>
        <w:t>the</w:t>
      </w:r>
      <w:r>
        <w:rPr>
          <w:szCs w:val="24"/>
        </w:rPr>
        <w:t xml:space="preserve"> growth of Guinness 0.0 despite a portfolio larger than 200 brands</w:t>
      </w:r>
      <w:r w:rsidR="00E679E6">
        <w:rPr>
          <w:szCs w:val="24"/>
        </w:rPr>
        <w:t>,</w:t>
      </w:r>
      <w:r>
        <w:rPr>
          <w:szCs w:val="24"/>
        </w:rPr>
        <w:t xml:space="preserve"> with notable names like Johnnie Walker and Guinness being among them (Diageo, 2025a).</w:t>
      </w:r>
    </w:p>
    <w:p w14:paraId="11432493" w14:textId="77777777" w:rsidR="00230D96" w:rsidRDefault="0045087E">
      <w:pPr>
        <w:spacing w:before="200"/>
        <w:jc w:val="center"/>
        <w:rPr>
          <w:szCs w:val="24"/>
        </w:rPr>
      </w:pPr>
      <w:r>
        <w:rPr>
          <w:rFonts w:ascii="Calibri" w:eastAsia="Calibri" w:hAnsi="Calibri" w:cs="Calibri"/>
          <w:noProof/>
          <w:szCs w:val="24"/>
        </w:rPr>
        <w:drawing>
          <wp:inline distT="114300" distB="114300" distL="114300" distR="114300" wp14:anchorId="2773BB98" wp14:editId="1DF0796F">
            <wp:extent cx="2335050" cy="1780269"/>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2335050" cy="1780269"/>
                    </a:xfrm>
                    <a:prstGeom prst="rect">
                      <a:avLst/>
                    </a:prstGeom>
                    <a:ln/>
                  </pic:spPr>
                </pic:pic>
              </a:graphicData>
            </a:graphic>
          </wp:inline>
        </w:drawing>
      </w:r>
      <w:r>
        <w:rPr>
          <w:rFonts w:ascii="Calibri" w:eastAsia="Calibri" w:hAnsi="Calibri" w:cs="Calibri"/>
          <w:noProof/>
          <w:szCs w:val="24"/>
        </w:rPr>
        <w:drawing>
          <wp:inline distT="114300" distB="114300" distL="114300" distR="114300" wp14:anchorId="2D6F482E" wp14:editId="2130D0AC">
            <wp:extent cx="2761665" cy="179161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2761665" cy="1791618"/>
                    </a:xfrm>
                    <a:prstGeom prst="rect">
                      <a:avLst/>
                    </a:prstGeom>
                    <a:ln/>
                  </pic:spPr>
                </pic:pic>
              </a:graphicData>
            </a:graphic>
          </wp:inline>
        </w:drawing>
      </w:r>
    </w:p>
    <w:p w14:paraId="57DECF1A" w14:textId="77777777" w:rsidR="00230D96" w:rsidRDefault="0045087E" w:rsidP="00E679E6">
      <w:pPr>
        <w:pStyle w:val="Heading4"/>
      </w:pPr>
      <w:bookmarkStart w:id="18" w:name="_Toc236950538"/>
      <w:r>
        <w:t>Figure 4: Sales and Profit Values</w:t>
      </w:r>
      <w:bookmarkEnd w:id="18"/>
    </w:p>
    <w:p w14:paraId="19BBFF06" w14:textId="77777777" w:rsidR="00230D96" w:rsidRDefault="0045087E">
      <w:pPr>
        <w:spacing w:before="200"/>
        <w:jc w:val="center"/>
        <w:rPr>
          <w:szCs w:val="24"/>
        </w:rPr>
      </w:pPr>
      <w:r>
        <w:rPr>
          <w:szCs w:val="24"/>
        </w:rPr>
        <w:t>(Source: Diageo, 2025a)</w:t>
      </w:r>
    </w:p>
    <w:p w14:paraId="5C335634" w14:textId="43A631AD" w:rsidR="00230D96" w:rsidRDefault="0045087E">
      <w:pPr>
        <w:spacing w:before="200"/>
        <w:rPr>
          <w:szCs w:val="24"/>
        </w:rPr>
      </w:pPr>
      <w:r>
        <w:rPr>
          <w:szCs w:val="24"/>
        </w:rPr>
        <w:t xml:space="preserve">This appropriately </w:t>
      </w:r>
      <w:r w:rsidR="00E679E6">
        <w:rPr>
          <w:szCs w:val="24"/>
        </w:rPr>
        <w:t>contextualises</w:t>
      </w:r>
      <w:r>
        <w:rPr>
          <w:szCs w:val="24"/>
        </w:rPr>
        <w:t xml:space="preserve"> the central issue of profitability that is affecting Diageo PLC’s business. Although the organisation sees somewhat weaker demand change, its profitability strength has clearly showcased business alignment with its target for improving the non-alcoholic segment</w:t>
      </w:r>
      <w:r w:rsidR="00E679E6">
        <w:rPr>
          <w:szCs w:val="24"/>
        </w:rPr>
        <w:t>,</w:t>
      </w:r>
      <w:r>
        <w:rPr>
          <w:szCs w:val="24"/>
        </w:rPr>
        <w:t xml:space="preserve"> but the risk of other traditional SKU declines shows poor market balance. Especially considering its initiatives on targeting </w:t>
      </w:r>
      <w:r w:rsidR="00E679E6">
        <w:rPr>
          <w:szCs w:val="24"/>
        </w:rPr>
        <w:t>mergers</w:t>
      </w:r>
      <w:r>
        <w:rPr>
          <w:szCs w:val="24"/>
        </w:rPr>
        <w:t xml:space="preserve"> and acquisitions into non alcoholic categories, the objectives appear well aligned but highly </w:t>
      </w:r>
      <w:r w:rsidR="00E679E6">
        <w:rPr>
          <w:szCs w:val="24"/>
        </w:rPr>
        <w:t>tunnel-</w:t>
      </w:r>
      <w:proofErr w:type="spellStart"/>
      <w:r w:rsidR="00E679E6">
        <w:rPr>
          <w:szCs w:val="24"/>
        </w:rPr>
        <w:t>visioned</w:t>
      </w:r>
      <w:proofErr w:type="spellEnd"/>
      <w:r>
        <w:rPr>
          <w:szCs w:val="24"/>
        </w:rPr>
        <w:t xml:space="preserve"> for its leadership KPI of </w:t>
      </w:r>
      <w:r w:rsidR="00E679E6">
        <w:rPr>
          <w:szCs w:val="24"/>
        </w:rPr>
        <w:t>double-digit</w:t>
      </w:r>
      <w:r>
        <w:rPr>
          <w:szCs w:val="24"/>
        </w:rPr>
        <w:t xml:space="preserve"> growth (Diageo, 2025a).</w:t>
      </w:r>
    </w:p>
    <w:p w14:paraId="387EFE9B" w14:textId="77777777" w:rsidR="00230D96" w:rsidRDefault="0045087E">
      <w:pPr>
        <w:spacing w:before="200"/>
        <w:rPr>
          <w:b/>
          <w:bCs/>
          <w:i/>
          <w:iCs/>
          <w:szCs w:val="24"/>
          <w:u w:val="single"/>
        </w:rPr>
      </w:pPr>
      <w:r>
        <w:rPr>
          <w:b/>
          <w:bCs/>
          <w:i/>
          <w:iCs/>
          <w:szCs w:val="24"/>
          <w:u w:val="single"/>
        </w:rPr>
        <w:t>Customers</w:t>
      </w:r>
    </w:p>
    <w:p w14:paraId="7AFA417E" w14:textId="5D7F047A" w:rsidR="00230D96" w:rsidRDefault="0045087E">
      <w:pPr>
        <w:spacing w:before="200"/>
        <w:rPr>
          <w:szCs w:val="24"/>
        </w:rPr>
      </w:pPr>
      <w:r>
        <w:rPr>
          <w:szCs w:val="24"/>
        </w:rPr>
        <w:t xml:space="preserve">The core objective that Diageo PLC has set out for </w:t>
      </w:r>
      <w:r w:rsidR="00E679E6">
        <w:rPr>
          <w:szCs w:val="24"/>
        </w:rPr>
        <w:t>its</w:t>
      </w:r>
      <w:r>
        <w:rPr>
          <w:szCs w:val="24"/>
        </w:rPr>
        <w:t xml:space="preserve"> customers is to be a leading brand of non alcoholic beverages for its customers</w:t>
      </w:r>
      <w:r w:rsidR="00E679E6">
        <w:rPr>
          <w:szCs w:val="24"/>
        </w:rPr>
        <w:t>,</w:t>
      </w:r>
      <w:r>
        <w:rPr>
          <w:szCs w:val="24"/>
        </w:rPr>
        <w:t xml:space="preserve"> especially in the UK market (Diageo, 2025a). With its recently achieved performance index of leading the UK market in </w:t>
      </w:r>
      <w:r w:rsidR="00E679E6">
        <w:rPr>
          <w:szCs w:val="24"/>
        </w:rPr>
        <w:t xml:space="preserve">the </w:t>
      </w:r>
      <w:r>
        <w:rPr>
          <w:szCs w:val="24"/>
        </w:rPr>
        <w:t xml:space="preserve">non-alcoholic drinks segment, </w:t>
      </w:r>
      <w:r w:rsidR="00E679E6">
        <w:rPr>
          <w:szCs w:val="24"/>
        </w:rPr>
        <w:t>it</w:t>
      </w:r>
      <w:r>
        <w:rPr>
          <w:szCs w:val="24"/>
        </w:rPr>
        <w:t xml:space="preserve"> can be argued that its current perspective is optimal in managing </w:t>
      </w:r>
      <w:r w:rsidR="00E679E6">
        <w:rPr>
          <w:szCs w:val="24"/>
        </w:rPr>
        <w:t xml:space="preserve">a </w:t>
      </w:r>
      <w:r>
        <w:rPr>
          <w:szCs w:val="24"/>
        </w:rPr>
        <w:t>high volume of growth in both sales and adoption (Diageo, 2025a). However</w:t>
      </w:r>
      <w:r w:rsidR="00E679E6">
        <w:rPr>
          <w:szCs w:val="24"/>
        </w:rPr>
        <w:t>,</w:t>
      </w:r>
      <w:r>
        <w:rPr>
          <w:szCs w:val="24"/>
        </w:rPr>
        <w:t xml:space="preserve"> targeting adoption among the age group beyond the Gen Z and Millennial segment should be ideal</w:t>
      </w:r>
      <w:r w:rsidR="00E679E6">
        <w:rPr>
          <w:szCs w:val="24"/>
        </w:rPr>
        <w:t>,</w:t>
      </w:r>
      <w:r>
        <w:rPr>
          <w:szCs w:val="24"/>
        </w:rPr>
        <w:t xml:space="preserve"> especially since its current initiatives</w:t>
      </w:r>
      <w:r w:rsidR="00E679E6">
        <w:rPr>
          <w:szCs w:val="24"/>
        </w:rPr>
        <w:t>,</w:t>
      </w:r>
      <w:r>
        <w:rPr>
          <w:szCs w:val="24"/>
        </w:rPr>
        <w:t xml:space="preserve"> like securing retail </w:t>
      </w:r>
      <w:r w:rsidR="00E679E6">
        <w:rPr>
          <w:szCs w:val="24"/>
        </w:rPr>
        <w:t>partnerships</w:t>
      </w:r>
      <w:r>
        <w:rPr>
          <w:szCs w:val="24"/>
        </w:rPr>
        <w:t xml:space="preserve"> with Waitrose or </w:t>
      </w:r>
      <w:r w:rsidR="00E679E6">
        <w:rPr>
          <w:szCs w:val="24"/>
        </w:rPr>
        <w:t xml:space="preserve">the </w:t>
      </w:r>
      <w:r>
        <w:rPr>
          <w:szCs w:val="24"/>
        </w:rPr>
        <w:t>Premier League</w:t>
      </w:r>
      <w:r w:rsidR="00E679E6">
        <w:rPr>
          <w:szCs w:val="24"/>
        </w:rPr>
        <w:t>, are</w:t>
      </w:r>
      <w:r>
        <w:rPr>
          <w:szCs w:val="24"/>
        </w:rPr>
        <w:t xml:space="preserve"> positioned ideally to take advantage of such demographic segments (</w:t>
      </w:r>
      <w:proofErr w:type="spellStart"/>
      <w:r>
        <w:rPr>
          <w:szCs w:val="24"/>
        </w:rPr>
        <w:t>Drinkware</w:t>
      </w:r>
      <w:proofErr w:type="spellEnd"/>
      <w:r>
        <w:rPr>
          <w:szCs w:val="24"/>
        </w:rPr>
        <w:t xml:space="preserve">, 2025; </w:t>
      </w:r>
      <w:proofErr w:type="spellStart"/>
      <w:r>
        <w:rPr>
          <w:szCs w:val="24"/>
        </w:rPr>
        <w:t>Neish</w:t>
      </w:r>
      <w:proofErr w:type="spellEnd"/>
      <w:r>
        <w:rPr>
          <w:szCs w:val="24"/>
        </w:rPr>
        <w:t>, 2023).</w:t>
      </w:r>
    </w:p>
    <w:p w14:paraId="6DAF8006" w14:textId="77777777" w:rsidR="00230D96" w:rsidRDefault="0045087E">
      <w:pPr>
        <w:spacing w:before="200"/>
        <w:rPr>
          <w:b/>
          <w:bCs/>
          <w:i/>
          <w:iCs/>
          <w:szCs w:val="24"/>
          <w:u w:val="single"/>
        </w:rPr>
      </w:pPr>
      <w:r>
        <w:rPr>
          <w:b/>
          <w:bCs/>
          <w:i/>
          <w:iCs/>
          <w:szCs w:val="24"/>
          <w:u w:val="single"/>
        </w:rPr>
        <w:t>Internal Business</w:t>
      </w:r>
    </w:p>
    <w:p w14:paraId="00CF4CC3" w14:textId="73D3DF0B" w:rsidR="00230D96" w:rsidRDefault="0045087E">
      <w:pPr>
        <w:spacing w:before="200"/>
        <w:rPr>
          <w:szCs w:val="24"/>
        </w:rPr>
      </w:pPr>
      <w:r>
        <w:rPr>
          <w:szCs w:val="24"/>
        </w:rPr>
        <w:t xml:space="preserve">A </w:t>
      </w:r>
      <w:r w:rsidR="00E679E6">
        <w:rPr>
          <w:szCs w:val="24"/>
        </w:rPr>
        <w:t>standardised</w:t>
      </w:r>
      <w:r>
        <w:rPr>
          <w:szCs w:val="24"/>
        </w:rPr>
        <w:t xml:space="preserve"> business objective that Diageo PLC seems to follow for its internal business process is taste quality parity</w:t>
      </w:r>
      <w:r w:rsidR="00E679E6">
        <w:rPr>
          <w:szCs w:val="24"/>
        </w:rPr>
        <w:t>,</w:t>
      </w:r>
      <w:r>
        <w:rPr>
          <w:szCs w:val="24"/>
        </w:rPr>
        <w:t xml:space="preserve"> with obvious support systems like its supply chain also requiring reliability (Diageo, 2025a). However</w:t>
      </w:r>
      <w:r w:rsidR="00E679E6">
        <w:rPr>
          <w:szCs w:val="24"/>
        </w:rPr>
        <w:t>,</w:t>
      </w:r>
      <w:r>
        <w:rPr>
          <w:szCs w:val="24"/>
        </w:rPr>
        <w:t xml:space="preserve"> the security concern reported with the prior </w:t>
      </w:r>
      <w:r w:rsidR="00E679E6">
        <w:rPr>
          <w:szCs w:val="24"/>
        </w:rPr>
        <w:t>contamination-induced</w:t>
      </w:r>
      <w:r>
        <w:rPr>
          <w:szCs w:val="24"/>
        </w:rPr>
        <w:t xml:space="preserve"> recall indicated that its performance indicator of zero product safety issues and supply chain constraint resolution is interrupted due to external market factors that are outside of Diageo PLC's control (Diageo, 2025a; Littler, 2025). However</w:t>
      </w:r>
      <w:r w:rsidR="00E679E6">
        <w:rPr>
          <w:szCs w:val="24"/>
        </w:rPr>
        <w:t>,</w:t>
      </w:r>
      <w:r>
        <w:rPr>
          <w:szCs w:val="24"/>
        </w:rPr>
        <w:t xml:space="preserve"> its initiatives like investment </w:t>
      </w:r>
      <w:r w:rsidR="00E679E6">
        <w:rPr>
          <w:szCs w:val="24"/>
        </w:rPr>
        <w:t>in</w:t>
      </w:r>
      <w:r>
        <w:rPr>
          <w:szCs w:val="24"/>
        </w:rPr>
        <w:t xml:space="preserve"> de-</w:t>
      </w:r>
      <w:proofErr w:type="spellStart"/>
      <w:r>
        <w:rPr>
          <w:szCs w:val="24"/>
        </w:rPr>
        <w:t>alcoholization</w:t>
      </w:r>
      <w:proofErr w:type="spellEnd"/>
      <w:r>
        <w:rPr>
          <w:szCs w:val="24"/>
        </w:rPr>
        <w:t xml:space="preserve"> technology may help to offset the immediate supply chain and quality risk factors. But in terms of internal business performance for sustainability, Diageo PLC has performed poorly in maintaining identified targets for </w:t>
      </w:r>
      <w:r w:rsidR="00E679E6">
        <w:rPr>
          <w:szCs w:val="24"/>
        </w:rPr>
        <w:t>scope-wise</w:t>
      </w:r>
      <w:r>
        <w:rPr>
          <w:szCs w:val="24"/>
        </w:rPr>
        <w:t xml:space="preserve"> emission control. As a result of its moderately acceptable performance in water </w:t>
      </w:r>
      <w:r w:rsidR="00E679E6">
        <w:rPr>
          <w:szCs w:val="24"/>
        </w:rPr>
        <w:t>efficiency-related</w:t>
      </w:r>
      <w:r>
        <w:rPr>
          <w:szCs w:val="24"/>
        </w:rPr>
        <w:t xml:space="preserve"> targets but poor performance in </w:t>
      </w:r>
      <w:r w:rsidR="00E679E6">
        <w:rPr>
          <w:szCs w:val="24"/>
        </w:rPr>
        <w:t>scope-wise</w:t>
      </w:r>
      <w:r>
        <w:rPr>
          <w:szCs w:val="24"/>
        </w:rPr>
        <w:t xml:space="preserve"> emission performance, the company ended up revising their targets specifically for </w:t>
      </w:r>
      <w:r w:rsidR="00E679E6">
        <w:rPr>
          <w:szCs w:val="24"/>
        </w:rPr>
        <w:t>its scope-based</w:t>
      </w:r>
      <w:r>
        <w:rPr>
          <w:szCs w:val="24"/>
        </w:rPr>
        <w:t xml:space="preserve"> targets. While the scope 3 target was extended to 2050, the scope 1 and 2 targets were extended to 2040 (Chapman, 2025). Especially since the company acknowledged its principal risks to include sustainability </w:t>
      </w:r>
      <w:r w:rsidR="00E679E6">
        <w:rPr>
          <w:szCs w:val="24"/>
        </w:rPr>
        <w:t>non-fulfilment</w:t>
      </w:r>
      <w:r>
        <w:rPr>
          <w:szCs w:val="24"/>
        </w:rPr>
        <w:t xml:space="preserve"> issues, it can be argued that the </w:t>
      </w:r>
      <w:r w:rsidR="00E679E6">
        <w:rPr>
          <w:szCs w:val="24"/>
        </w:rPr>
        <w:t>organisation</w:t>
      </w:r>
      <w:r>
        <w:rPr>
          <w:szCs w:val="24"/>
        </w:rPr>
        <w:t xml:space="preserve"> has strong ESG governance principles</w:t>
      </w:r>
      <w:r w:rsidR="00E679E6">
        <w:rPr>
          <w:szCs w:val="24"/>
        </w:rPr>
        <w:t>,</w:t>
      </w:r>
      <w:r>
        <w:rPr>
          <w:szCs w:val="24"/>
        </w:rPr>
        <w:t xml:space="preserve"> but shifting macroeconomic environment </w:t>
      </w:r>
      <w:r w:rsidR="00E679E6">
        <w:rPr>
          <w:szCs w:val="24"/>
        </w:rPr>
        <w:t>realisation</w:t>
      </w:r>
      <w:r>
        <w:rPr>
          <w:szCs w:val="24"/>
        </w:rPr>
        <w:t xml:space="preserve"> of its sustainable targets </w:t>
      </w:r>
      <w:r w:rsidR="00E679E6">
        <w:rPr>
          <w:szCs w:val="24"/>
        </w:rPr>
        <w:t>has</w:t>
      </w:r>
      <w:r>
        <w:rPr>
          <w:szCs w:val="24"/>
        </w:rPr>
        <w:t xml:space="preserve"> become difficult</w:t>
      </w:r>
      <w:r w:rsidR="00E679E6">
        <w:rPr>
          <w:szCs w:val="24"/>
        </w:rPr>
        <w:t>,</w:t>
      </w:r>
      <w:r>
        <w:rPr>
          <w:szCs w:val="24"/>
        </w:rPr>
        <w:t xml:space="preserve"> leading to </w:t>
      </w:r>
      <w:r w:rsidR="00E679E6">
        <w:rPr>
          <w:szCs w:val="24"/>
        </w:rPr>
        <w:t xml:space="preserve">a </w:t>
      </w:r>
      <w:r>
        <w:rPr>
          <w:szCs w:val="24"/>
        </w:rPr>
        <w:t>delayed target timeline.</w:t>
      </w:r>
    </w:p>
    <w:p w14:paraId="2BC07B94" w14:textId="77777777" w:rsidR="00230D96" w:rsidRDefault="0045087E">
      <w:pPr>
        <w:spacing w:before="200"/>
        <w:rPr>
          <w:b/>
          <w:bCs/>
          <w:i/>
          <w:iCs/>
          <w:szCs w:val="24"/>
          <w:u w:val="single"/>
        </w:rPr>
      </w:pPr>
      <w:r>
        <w:rPr>
          <w:b/>
          <w:bCs/>
          <w:i/>
          <w:iCs/>
          <w:szCs w:val="24"/>
          <w:u w:val="single"/>
        </w:rPr>
        <w:t>Learning and Growth</w:t>
      </w:r>
    </w:p>
    <w:p w14:paraId="1251B316" w14:textId="65F78BF5" w:rsidR="00230D96" w:rsidRDefault="0045087E">
      <w:pPr>
        <w:spacing w:before="200"/>
        <w:rPr>
          <w:szCs w:val="24"/>
        </w:rPr>
      </w:pPr>
      <w:r>
        <w:rPr>
          <w:szCs w:val="24"/>
        </w:rPr>
        <w:t xml:space="preserve">In the context of setting out business objectives for </w:t>
      </w:r>
      <w:r w:rsidR="00E679E6">
        <w:rPr>
          <w:szCs w:val="24"/>
        </w:rPr>
        <w:t>long-term</w:t>
      </w:r>
      <w:r>
        <w:rPr>
          <w:szCs w:val="24"/>
        </w:rPr>
        <w:t xml:space="preserve"> learning and growth, Diageo PLC seems to have focused more on capability building in alcohol adjacent categories</w:t>
      </w:r>
      <w:r w:rsidR="00E679E6">
        <w:rPr>
          <w:szCs w:val="24"/>
        </w:rPr>
        <w:t>,</w:t>
      </w:r>
      <w:r>
        <w:rPr>
          <w:szCs w:val="24"/>
        </w:rPr>
        <w:t xml:space="preserve"> with performance indicators like </w:t>
      </w:r>
      <w:r w:rsidR="00E679E6">
        <w:rPr>
          <w:szCs w:val="24"/>
        </w:rPr>
        <w:t xml:space="preserve">the </w:t>
      </w:r>
      <w:r>
        <w:rPr>
          <w:szCs w:val="24"/>
        </w:rPr>
        <w:t xml:space="preserve">pace of no and low alcohol innovation being targeted as an initial strategy (Diageo, 2025a). Although the target set by the brand on sustaining one innovation in </w:t>
      </w:r>
      <w:r w:rsidR="00E679E6">
        <w:rPr>
          <w:szCs w:val="24"/>
        </w:rPr>
        <w:t xml:space="preserve">the </w:t>
      </w:r>
      <w:r>
        <w:rPr>
          <w:szCs w:val="24"/>
        </w:rPr>
        <w:t xml:space="preserve">no and low alcohol category is modest, its success with Guinness 0.0 and initiatives like </w:t>
      </w:r>
      <w:r w:rsidR="00E679E6">
        <w:rPr>
          <w:szCs w:val="24"/>
        </w:rPr>
        <w:t>mergers</w:t>
      </w:r>
      <w:r>
        <w:rPr>
          <w:szCs w:val="24"/>
        </w:rPr>
        <w:t xml:space="preserve"> and </w:t>
      </w:r>
      <w:r w:rsidR="00E679E6">
        <w:rPr>
          <w:szCs w:val="24"/>
        </w:rPr>
        <w:t>acquisitions</w:t>
      </w:r>
      <w:r>
        <w:rPr>
          <w:szCs w:val="24"/>
        </w:rPr>
        <w:t xml:space="preserve"> of Ritual indicates that the brand is confident in its current success to expand its target in the future.</w:t>
      </w:r>
    </w:p>
    <w:p w14:paraId="4602AF96" w14:textId="67AE28EC" w:rsidR="001322DA" w:rsidRDefault="001322DA" w:rsidP="00480204">
      <w:pPr>
        <w:pStyle w:val="Heading2"/>
      </w:pPr>
      <w:bookmarkStart w:id="19" w:name="_Toc236950526"/>
      <w:r>
        <w:t>4. Strategic choices and implementations</w:t>
      </w:r>
      <w:bookmarkEnd w:id="19"/>
      <w:r>
        <w:t xml:space="preserve"> </w:t>
      </w:r>
    </w:p>
    <w:p w14:paraId="7CE45936" w14:textId="5D226C6D" w:rsidR="001322DA" w:rsidRDefault="001322DA" w:rsidP="00480204">
      <w:pPr>
        <w:pStyle w:val="Heading3"/>
      </w:pPr>
      <w:bookmarkStart w:id="20" w:name="_Toc236950527"/>
      <w:r>
        <w:t xml:space="preserve">4.1 </w:t>
      </w:r>
      <w:r w:rsidRPr="001322DA">
        <w:t>Available strategic options</w:t>
      </w:r>
      <w:bookmarkEnd w:id="20"/>
    </w:p>
    <w:p w14:paraId="0985A1A1" w14:textId="011729C4" w:rsidR="004E787E" w:rsidRDefault="005B4F8C" w:rsidP="00F77B2A">
      <w:pPr>
        <w:spacing w:before="200"/>
        <w:rPr>
          <w:szCs w:val="24"/>
        </w:rPr>
      </w:pPr>
      <w:r w:rsidRPr="005B4F8C">
        <w:rPr>
          <w:szCs w:val="24"/>
        </w:rPr>
        <w:t>For determining the best strategic direction for the Diageo PLC’s range of UK beverages without alcohol content, Porter’s Generic Strategies tool could be utilized. The tool focuses on determining the type of strategy</w:t>
      </w:r>
      <w:r>
        <w:rPr>
          <w:szCs w:val="24"/>
        </w:rPr>
        <w:t>, like</w:t>
      </w:r>
      <w:r w:rsidRPr="005B4F8C">
        <w:rPr>
          <w:szCs w:val="24"/>
        </w:rPr>
        <w:t xml:space="preserve"> cost leadership, differentiation, or focus</w:t>
      </w:r>
      <w:r>
        <w:rPr>
          <w:szCs w:val="24"/>
        </w:rPr>
        <w:t>,</w:t>
      </w:r>
      <w:r w:rsidRPr="005B4F8C">
        <w:rPr>
          <w:szCs w:val="24"/>
        </w:rPr>
        <w:t xml:space="preserve"> which an organization should adopt. </w:t>
      </w:r>
      <w:r w:rsidR="00F77B2A" w:rsidRPr="00F77B2A">
        <w:rPr>
          <w:szCs w:val="24"/>
        </w:rPr>
        <w:t xml:space="preserve">With regard to external </w:t>
      </w:r>
      <w:r w:rsidR="00F77B2A">
        <w:rPr>
          <w:szCs w:val="24"/>
        </w:rPr>
        <w:t>and</w:t>
      </w:r>
      <w:r w:rsidR="00F77B2A" w:rsidRPr="00F77B2A">
        <w:rPr>
          <w:szCs w:val="24"/>
        </w:rPr>
        <w:t xml:space="preserve"> internal analys</w:t>
      </w:r>
      <w:r w:rsidR="00F77B2A">
        <w:rPr>
          <w:szCs w:val="24"/>
        </w:rPr>
        <w:t>i</w:t>
      </w:r>
      <w:r w:rsidR="00F77B2A" w:rsidRPr="00F77B2A">
        <w:rPr>
          <w:szCs w:val="24"/>
        </w:rPr>
        <w:t xml:space="preserve">s, it is </w:t>
      </w:r>
      <w:r w:rsidR="003625C8">
        <w:rPr>
          <w:szCs w:val="24"/>
        </w:rPr>
        <w:t>evident</w:t>
      </w:r>
      <w:r w:rsidR="00F77B2A" w:rsidRPr="00F77B2A">
        <w:rPr>
          <w:szCs w:val="24"/>
        </w:rPr>
        <w:t xml:space="preserve"> that Diageo's main competitive advantages lie in brand reputation, innovation capacity, and global distribution network. Therefore, it follows that each proposed strategy needs to be carefully appraised as far as its appropriateness is concerned.</w:t>
      </w:r>
    </w:p>
    <w:p w14:paraId="004C059B" w14:textId="5BD22692" w:rsidR="008520A7" w:rsidRPr="00722117" w:rsidRDefault="00722117" w:rsidP="008520A7">
      <w:pPr>
        <w:pStyle w:val="ListParagraph"/>
        <w:numPr>
          <w:ilvl w:val="0"/>
          <w:numId w:val="5"/>
        </w:numPr>
        <w:spacing w:before="200"/>
        <w:rPr>
          <w:szCs w:val="24"/>
        </w:rPr>
      </w:pPr>
      <w:r>
        <w:rPr>
          <w:b/>
          <w:bCs/>
          <w:i/>
          <w:iCs/>
          <w:szCs w:val="24"/>
        </w:rPr>
        <w:t xml:space="preserve">Cost leadership strategy </w:t>
      </w:r>
    </w:p>
    <w:p w14:paraId="4257C8DE" w14:textId="07575E25" w:rsidR="00722117" w:rsidRDefault="00254C28" w:rsidP="007A4821">
      <w:pPr>
        <w:spacing w:before="200"/>
        <w:rPr>
          <w:szCs w:val="24"/>
        </w:rPr>
      </w:pPr>
      <w:r w:rsidRPr="00254C28">
        <w:rPr>
          <w:szCs w:val="24"/>
        </w:rPr>
        <w:t>Cost leadership is an approach that seeks to gain competitive advantage by producing at lower costs compared to competitors and selling its products at lower prices</w:t>
      </w:r>
      <w:r w:rsidR="00605CE6">
        <w:rPr>
          <w:szCs w:val="24"/>
        </w:rPr>
        <w:t xml:space="preserve"> (</w:t>
      </w:r>
      <w:proofErr w:type="spellStart"/>
      <w:r w:rsidR="00605CE6" w:rsidRPr="00BA7AB9">
        <w:rPr>
          <w:szCs w:val="24"/>
        </w:rPr>
        <w:t>Jerab</w:t>
      </w:r>
      <w:proofErr w:type="spellEnd"/>
      <w:r w:rsidR="00605CE6" w:rsidRPr="00BA7AB9">
        <w:rPr>
          <w:szCs w:val="24"/>
        </w:rPr>
        <w:t xml:space="preserve">, and </w:t>
      </w:r>
      <w:proofErr w:type="spellStart"/>
      <w:r w:rsidR="00605CE6" w:rsidRPr="00BA7AB9">
        <w:rPr>
          <w:szCs w:val="24"/>
        </w:rPr>
        <w:t>Mabrouk</w:t>
      </w:r>
      <w:proofErr w:type="spellEnd"/>
      <w:r w:rsidR="00605CE6" w:rsidRPr="00BA7AB9">
        <w:rPr>
          <w:szCs w:val="24"/>
        </w:rPr>
        <w:t>,</w:t>
      </w:r>
      <w:r w:rsidR="00605CE6">
        <w:rPr>
          <w:szCs w:val="24"/>
        </w:rPr>
        <w:t xml:space="preserve"> 2023)</w:t>
      </w:r>
      <w:r w:rsidRPr="00254C28">
        <w:rPr>
          <w:szCs w:val="24"/>
        </w:rPr>
        <w:t xml:space="preserve">. Nevertheless, the cost leadership approach is not appropriate for Diageo’s beverages division because the company has been competing through </w:t>
      </w:r>
      <w:proofErr w:type="spellStart"/>
      <w:r w:rsidRPr="00254C28">
        <w:rPr>
          <w:szCs w:val="24"/>
        </w:rPr>
        <w:t>premiumization</w:t>
      </w:r>
      <w:proofErr w:type="spellEnd"/>
      <w:r w:rsidRPr="00254C28">
        <w:rPr>
          <w:szCs w:val="24"/>
        </w:rPr>
        <w:t xml:space="preserve"> as opposed to cost-based competitions.</w:t>
      </w:r>
      <w:r>
        <w:rPr>
          <w:szCs w:val="24"/>
        </w:rPr>
        <w:t xml:space="preserve"> </w:t>
      </w:r>
      <w:r w:rsidRPr="00254C28">
        <w:rPr>
          <w:szCs w:val="24"/>
        </w:rPr>
        <w:t xml:space="preserve">Guinness 0.0, Gordon's 0.0, and Tanqueray 0.0 are among the alcoholic brands that derive value by leveraging their brand heritage, conveying a certain perception of quality, and building </w:t>
      </w:r>
      <w:r w:rsidR="001C3D44">
        <w:rPr>
          <w:szCs w:val="24"/>
        </w:rPr>
        <w:t>strong</w:t>
      </w:r>
      <w:r w:rsidRPr="00254C28">
        <w:rPr>
          <w:szCs w:val="24"/>
        </w:rPr>
        <w:t xml:space="preserve"> customer relationships based on trust.</w:t>
      </w:r>
      <w:r>
        <w:rPr>
          <w:szCs w:val="24"/>
        </w:rPr>
        <w:t xml:space="preserve"> </w:t>
      </w:r>
    </w:p>
    <w:p w14:paraId="5C703676" w14:textId="3EA7A765" w:rsidR="00444432" w:rsidRPr="00722117" w:rsidRDefault="00A227EF" w:rsidP="00A227EF">
      <w:pPr>
        <w:spacing w:before="200"/>
        <w:rPr>
          <w:szCs w:val="24"/>
        </w:rPr>
      </w:pPr>
      <w:r w:rsidRPr="00A227EF">
        <w:rPr>
          <w:szCs w:val="24"/>
        </w:rPr>
        <w:t xml:space="preserve">Despite the fact that the </w:t>
      </w:r>
      <w:r w:rsidR="00F9702B" w:rsidRPr="00A227EF">
        <w:rPr>
          <w:szCs w:val="24"/>
        </w:rPr>
        <w:t>cost-of-living</w:t>
      </w:r>
      <w:r w:rsidRPr="00A227EF">
        <w:rPr>
          <w:szCs w:val="24"/>
        </w:rPr>
        <w:t xml:space="preserve"> crisis in the UK has made consumers more sensitive about price, pricing strategies that will involve lowering prices in order to compete may make it harder for Diageo to remain a premium brand</w:t>
      </w:r>
      <w:r w:rsidR="007A4821">
        <w:rPr>
          <w:szCs w:val="24"/>
        </w:rPr>
        <w:t xml:space="preserve"> (Diageo, 2021)</w:t>
      </w:r>
      <w:r w:rsidRPr="00A227EF">
        <w:rPr>
          <w:szCs w:val="24"/>
        </w:rPr>
        <w:t>. Furthermore, big rival companies</w:t>
      </w:r>
      <w:r w:rsidR="00F9702B">
        <w:rPr>
          <w:szCs w:val="24"/>
        </w:rPr>
        <w:t>,</w:t>
      </w:r>
      <w:r w:rsidRPr="00A227EF">
        <w:rPr>
          <w:szCs w:val="24"/>
        </w:rPr>
        <w:t xml:space="preserve"> like Heineken and Pernod Ricard work along same </w:t>
      </w:r>
      <w:r w:rsidR="00F9702B">
        <w:rPr>
          <w:szCs w:val="24"/>
        </w:rPr>
        <w:t>operational capabilities; therefore,</w:t>
      </w:r>
      <w:r w:rsidRPr="00A227EF">
        <w:rPr>
          <w:szCs w:val="24"/>
        </w:rPr>
        <w:t xml:space="preserve"> competition on a pricing basis is not a lasting way of doing business. </w:t>
      </w:r>
      <w:r w:rsidR="005E7FA1">
        <w:rPr>
          <w:szCs w:val="24"/>
        </w:rPr>
        <w:t>Thus</w:t>
      </w:r>
      <w:r w:rsidRPr="00A227EF">
        <w:rPr>
          <w:szCs w:val="24"/>
        </w:rPr>
        <w:t xml:space="preserve">, even though cost leadership is associated with higher operational efficiency it does not give Diageo a </w:t>
      </w:r>
      <w:r w:rsidR="005E7FA1" w:rsidRPr="00A227EF">
        <w:rPr>
          <w:szCs w:val="24"/>
        </w:rPr>
        <w:t>competitive</w:t>
      </w:r>
      <w:r w:rsidRPr="00A227EF">
        <w:rPr>
          <w:szCs w:val="24"/>
        </w:rPr>
        <w:t xml:space="preserve"> edge that can last in long run.</w:t>
      </w:r>
    </w:p>
    <w:p w14:paraId="38D755FE" w14:textId="59226AF8" w:rsidR="00722117" w:rsidRPr="00D537F5" w:rsidRDefault="00722117" w:rsidP="008520A7">
      <w:pPr>
        <w:pStyle w:val="ListParagraph"/>
        <w:numPr>
          <w:ilvl w:val="0"/>
          <w:numId w:val="5"/>
        </w:numPr>
        <w:spacing w:before="200"/>
        <w:rPr>
          <w:szCs w:val="24"/>
        </w:rPr>
      </w:pPr>
      <w:r>
        <w:rPr>
          <w:b/>
          <w:bCs/>
          <w:i/>
          <w:iCs/>
          <w:szCs w:val="24"/>
        </w:rPr>
        <w:t xml:space="preserve">Differentiation strategy </w:t>
      </w:r>
    </w:p>
    <w:p w14:paraId="5E499FE9" w14:textId="2DDC5376" w:rsidR="00D537F5" w:rsidRDefault="00D400CB" w:rsidP="00D537F5">
      <w:pPr>
        <w:spacing w:before="200"/>
        <w:rPr>
          <w:szCs w:val="24"/>
        </w:rPr>
      </w:pPr>
      <w:r w:rsidRPr="00D400CB">
        <w:rPr>
          <w:szCs w:val="24"/>
        </w:rPr>
        <w:t>Differentiation strategy is a very good choice for Diageo</w:t>
      </w:r>
      <w:r w:rsidR="00DD269A">
        <w:rPr>
          <w:szCs w:val="24"/>
        </w:rPr>
        <w:t xml:space="preserve">; </w:t>
      </w:r>
      <w:r w:rsidRPr="00D400CB">
        <w:rPr>
          <w:szCs w:val="24"/>
        </w:rPr>
        <w:t>since</w:t>
      </w:r>
      <w:r w:rsidR="00DD269A">
        <w:rPr>
          <w:szCs w:val="24"/>
        </w:rPr>
        <w:t>,</w:t>
      </w:r>
      <w:r w:rsidRPr="00D400CB">
        <w:rPr>
          <w:szCs w:val="24"/>
        </w:rPr>
        <w:t xml:space="preserve"> it fits the company’s existing strengths and competitive positioning</w:t>
      </w:r>
      <w:r w:rsidR="009B7F67">
        <w:rPr>
          <w:szCs w:val="24"/>
        </w:rPr>
        <w:t xml:space="preserve"> (</w:t>
      </w:r>
      <w:proofErr w:type="spellStart"/>
      <w:r w:rsidR="009B7F67" w:rsidRPr="00107D5A">
        <w:rPr>
          <w:szCs w:val="24"/>
        </w:rPr>
        <w:t>Hoogers</w:t>
      </w:r>
      <w:proofErr w:type="spellEnd"/>
      <w:r w:rsidR="009B7F67">
        <w:rPr>
          <w:szCs w:val="24"/>
        </w:rPr>
        <w:t xml:space="preserve"> </w:t>
      </w:r>
      <w:r w:rsidR="009B7F67">
        <w:rPr>
          <w:i/>
          <w:iCs/>
          <w:szCs w:val="24"/>
        </w:rPr>
        <w:t xml:space="preserve">et al. </w:t>
      </w:r>
      <w:r w:rsidR="009B7F67">
        <w:rPr>
          <w:szCs w:val="24"/>
        </w:rPr>
        <w:t>2023)</w:t>
      </w:r>
      <w:r w:rsidRPr="00D400CB">
        <w:rPr>
          <w:szCs w:val="24"/>
        </w:rPr>
        <w:t>. The company’s brand portfolio gives an edge to the firm as consumers are aware of and have confidence in their products. For instance, the product Guinness 0.0 derives its strength from well-known Guinness brand in the market and changing consumer trends toward non-alcoholic drinks.</w:t>
      </w:r>
    </w:p>
    <w:p w14:paraId="19E3B444" w14:textId="77777777" w:rsidR="003B40C8" w:rsidRDefault="00086A5D" w:rsidP="003B40C8">
      <w:pPr>
        <w:spacing w:before="200"/>
        <w:rPr>
          <w:szCs w:val="24"/>
        </w:rPr>
      </w:pPr>
      <w:r w:rsidRPr="00086A5D">
        <w:rPr>
          <w:szCs w:val="24"/>
        </w:rPr>
        <w:t>Differentiation can be done in various aspects such as:</w:t>
      </w:r>
    </w:p>
    <w:p w14:paraId="057A0646" w14:textId="6BB6C4B5" w:rsidR="00086A5D" w:rsidRPr="00CB0628" w:rsidRDefault="00086A5D" w:rsidP="00CB0628">
      <w:pPr>
        <w:pStyle w:val="ListParagraph"/>
        <w:numPr>
          <w:ilvl w:val="0"/>
          <w:numId w:val="5"/>
        </w:numPr>
        <w:spacing w:before="200"/>
        <w:rPr>
          <w:szCs w:val="24"/>
        </w:rPr>
      </w:pPr>
      <w:r w:rsidRPr="00CB0628">
        <w:rPr>
          <w:b/>
          <w:bCs/>
          <w:i/>
          <w:iCs/>
          <w:szCs w:val="24"/>
          <w:u w:val="single"/>
        </w:rPr>
        <w:t>Brand history:</w:t>
      </w:r>
      <w:r w:rsidRPr="00CB0628">
        <w:rPr>
          <w:szCs w:val="24"/>
        </w:rPr>
        <w:t xml:space="preserve"> Already existing brand creates consumer trust than the relatively new </w:t>
      </w:r>
      <w:r w:rsidR="005B5812" w:rsidRPr="00CB0628">
        <w:rPr>
          <w:szCs w:val="24"/>
        </w:rPr>
        <w:t>alcohol-free</w:t>
      </w:r>
      <w:r w:rsidRPr="00CB0628">
        <w:rPr>
          <w:szCs w:val="24"/>
        </w:rPr>
        <w:t xml:space="preserve"> brands.</w:t>
      </w:r>
    </w:p>
    <w:p w14:paraId="354F64E7" w14:textId="77777777" w:rsidR="00086A5D" w:rsidRPr="00CB0628" w:rsidRDefault="00086A5D" w:rsidP="00CB0628">
      <w:pPr>
        <w:pStyle w:val="ListParagraph"/>
        <w:numPr>
          <w:ilvl w:val="0"/>
          <w:numId w:val="5"/>
        </w:numPr>
        <w:spacing w:before="200"/>
        <w:rPr>
          <w:szCs w:val="24"/>
        </w:rPr>
      </w:pPr>
      <w:r w:rsidRPr="00BF6483">
        <w:rPr>
          <w:b/>
          <w:bCs/>
          <w:i/>
          <w:iCs/>
          <w:szCs w:val="24"/>
          <w:u w:val="single"/>
        </w:rPr>
        <w:t>Quality:</w:t>
      </w:r>
      <w:r w:rsidRPr="00CB0628">
        <w:rPr>
          <w:szCs w:val="24"/>
        </w:rPr>
        <w:t xml:space="preserve"> By maintaining similar taste as the conventional drink, customers can be satisfied.</w:t>
      </w:r>
    </w:p>
    <w:p w14:paraId="41DEB19B" w14:textId="439ADD38" w:rsidR="00086A5D" w:rsidRPr="00CB0628" w:rsidRDefault="00086A5D" w:rsidP="00CB0628">
      <w:pPr>
        <w:pStyle w:val="ListParagraph"/>
        <w:numPr>
          <w:ilvl w:val="0"/>
          <w:numId w:val="5"/>
        </w:numPr>
        <w:spacing w:before="200"/>
        <w:rPr>
          <w:szCs w:val="24"/>
        </w:rPr>
      </w:pPr>
      <w:r w:rsidRPr="00851519">
        <w:rPr>
          <w:b/>
          <w:bCs/>
          <w:i/>
          <w:iCs/>
          <w:szCs w:val="24"/>
          <w:u w:val="single"/>
        </w:rPr>
        <w:t>Innovations:</w:t>
      </w:r>
      <w:r w:rsidRPr="00CB0628">
        <w:rPr>
          <w:szCs w:val="24"/>
        </w:rPr>
        <w:t xml:space="preserve"> Through de-</w:t>
      </w:r>
      <w:r w:rsidR="005B5812" w:rsidRPr="00CB0628">
        <w:rPr>
          <w:szCs w:val="24"/>
        </w:rPr>
        <w:t>alcoholising</w:t>
      </w:r>
      <w:r w:rsidRPr="00CB0628">
        <w:rPr>
          <w:szCs w:val="24"/>
        </w:rPr>
        <w:t xml:space="preserve"> technology and new products, a company can boost competitiveness in the market</w:t>
      </w:r>
      <w:r w:rsidR="0079125E">
        <w:rPr>
          <w:szCs w:val="24"/>
        </w:rPr>
        <w:t xml:space="preserve"> (</w:t>
      </w:r>
      <w:proofErr w:type="spellStart"/>
      <w:r w:rsidR="0079125E" w:rsidRPr="009B40C9">
        <w:rPr>
          <w:szCs w:val="24"/>
        </w:rPr>
        <w:t>Yabaci</w:t>
      </w:r>
      <w:proofErr w:type="spellEnd"/>
      <w:r w:rsidR="0079125E" w:rsidRPr="009B40C9">
        <w:rPr>
          <w:szCs w:val="24"/>
        </w:rPr>
        <w:t xml:space="preserve"> </w:t>
      </w:r>
      <w:proofErr w:type="spellStart"/>
      <w:r w:rsidR="0079125E" w:rsidRPr="009B40C9">
        <w:rPr>
          <w:szCs w:val="24"/>
        </w:rPr>
        <w:t>Karaoglan</w:t>
      </w:r>
      <w:proofErr w:type="spellEnd"/>
      <w:r w:rsidR="0079125E">
        <w:rPr>
          <w:szCs w:val="24"/>
        </w:rPr>
        <w:t xml:space="preserve"> </w:t>
      </w:r>
      <w:r w:rsidR="0079125E">
        <w:rPr>
          <w:i/>
          <w:iCs/>
          <w:szCs w:val="24"/>
        </w:rPr>
        <w:t xml:space="preserve">et al. </w:t>
      </w:r>
      <w:r w:rsidR="0079125E">
        <w:rPr>
          <w:szCs w:val="24"/>
        </w:rPr>
        <w:t>2022)</w:t>
      </w:r>
      <w:r w:rsidRPr="00CB0628">
        <w:rPr>
          <w:szCs w:val="24"/>
        </w:rPr>
        <w:t>.</w:t>
      </w:r>
    </w:p>
    <w:p w14:paraId="0BBD1E16" w14:textId="17507049" w:rsidR="00DD269A" w:rsidRDefault="00086A5D" w:rsidP="00CB0628">
      <w:pPr>
        <w:pStyle w:val="ListParagraph"/>
        <w:numPr>
          <w:ilvl w:val="0"/>
          <w:numId w:val="5"/>
        </w:numPr>
        <w:spacing w:before="200"/>
        <w:rPr>
          <w:szCs w:val="24"/>
        </w:rPr>
      </w:pPr>
      <w:r w:rsidRPr="002F11BD">
        <w:rPr>
          <w:b/>
          <w:bCs/>
          <w:i/>
          <w:iCs/>
          <w:szCs w:val="24"/>
          <w:u w:val="single"/>
        </w:rPr>
        <w:t>Sustainability:</w:t>
      </w:r>
      <w:r w:rsidRPr="00CB0628">
        <w:rPr>
          <w:szCs w:val="24"/>
        </w:rPr>
        <w:t xml:space="preserve"> Enhanced environmental responsibility can be attractive to consumers.</w:t>
      </w:r>
    </w:p>
    <w:p w14:paraId="2A817087" w14:textId="5E71B1AD" w:rsidR="005B5812" w:rsidRPr="004C7807" w:rsidRDefault="004C7807" w:rsidP="004C7807">
      <w:pPr>
        <w:spacing w:before="200"/>
        <w:rPr>
          <w:szCs w:val="24"/>
          <w:lang w:val="en-IN"/>
        </w:rPr>
      </w:pPr>
      <w:r w:rsidRPr="004C7807">
        <w:rPr>
          <w:szCs w:val="24"/>
          <w:lang w:val="en-IN"/>
        </w:rPr>
        <w:t>Expanding non-alcoholic beverage consumption in United Kingdom supports this decision greatly.</w:t>
      </w:r>
      <w:r>
        <w:rPr>
          <w:szCs w:val="24"/>
          <w:lang w:val="en-IN"/>
        </w:rPr>
        <w:t xml:space="preserve"> </w:t>
      </w:r>
      <w:r w:rsidRPr="004C7807">
        <w:rPr>
          <w:szCs w:val="24"/>
          <w:lang w:val="en-IN"/>
        </w:rPr>
        <w:t>There is forecast of non-alcoholic drinks market's growth at around 7.9% every year indicating a remarkable potential for innovative and powerful companies in the future</w:t>
      </w:r>
      <w:r w:rsidR="00EA0890">
        <w:rPr>
          <w:szCs w:val="24"/>
          <w:lang w:val="en-IN"/>
        </w:rPr>
        <w:t xml:space="preserve"> (</w:t>
      </w:r>
      <w:proofErr w:type="spellStart"/>
      <w:r w:rsidR="00EA0890">
        <w:rPr>
          <w:szCs w:val="24"/>
        </w:rPr>
        <w:t>Statista</w:t>
      </w:r>
      <w:proofErr w:type="spellEnd"/>
      <w:r w:rsidR="00EA0890">
        <w:rPr>
          <w:szCs w:val="24"/>
        </w:rPr>
        <w:t>, 2026</w:t>
      </w:r>
      <w:r w:rsidR="00EA0890">
        <w:rPr>
          <w:szCs w:val="24"/>
          <w:lang w:val="en-IN"/>
        </w:rPr>
        <w:t>)</w:t>
      </w:r>
      <w:r w:rsidRPr="004C7807">
        <w:rPr>
          <w:szCs w:val="24"/>
          <w:lang w:val="en-IN"/>
        </w:rPr>
        <w:t>.</w:t>
      </w:r>
    </w:p>
    <w:p w14:paraId="6CCDD786" w14:textId="77777777" w:rsidR="00332EE3" w:rsidRPr="00332EE3" w:rsidRDefault="00722117" w:rsidP="008520A7">
      <w:pPr>
        <w:pStyle w:val="ListParagraph"/>
        <w:numPr>
          <w:ilvl w:val="0"/>
          <w:numId w:val="5"/>
        </w:numPr>
        <w:spacing w:before="200"/>
        <w:rPr>
          <w:szCs w:val="24"/>
        </w:rPr>
      </w:pPr>
      <w:r>
        <w:rPr>
          <w:b/>
          <w:bCs/>
          <w:i/>
          <w:iCs/>
          <w:szCs w:val="24"/>
        </w:rPr>
        <w:t>Focus strategy</w:t>
      </w:r>
    </w:p>
    <w:p w14:paraId="1254BA72" w14:textId="374E56C5" w:rsidR="00B41416" w:rsidRDefault="00171E3D" w:rsidP="00264541">
      <w:r w:rsidRPr="00171E3D">
        <w:t>A focus strategy could prove beneficial by concentrating on particular segments of customers, including health-oriented customers, Generation Z, and Millennials. It is noted that about 45 percent of consumers in the United Kingdom have increased their consumption of non-alcoholic and low alcoholic drinks as compared to 22 percent who had done this four years ago</w:t>
      </w:r>
      <w:r w:rsidR="00264541">
        <w:t xml:space="preserve"> (</w:t>
      </w:r>
      <w:proofErr w:type="spellStart"/>
      <w:r w:rsidR="00264541" w:rsidRPr="00C43FA8">
        <w:rPr>
          <w:szCs w:val="24"/>
        </w:rPr>
        <w:t>Fathin</w:t>
      </w:r>
      <w:proofErr w:type="spellEnd"/>
      <w:r w:rsidR="00264541">
        <w:rPr>
          <w:szCs w:val="24"/>
        </w:rPr>
        <w:t xml:space="preserve"> </w:t>
      </w:r>
      <w:r w:rsidR="00264541">
        <w:rPr>
          <w:i/>
          <w:iCs/>
          <w:szCs w:val="24"/>
        </w:rPr>
        <w:t xml:space="preserve">et al. </w:t>
      </w:r>
      <w:r w:rsidR="00264541">
        <w:rPr>
          <w:szCs w:val="24"/>
        </w:rPr>
        <w:t>2023</w:t>
      </w:r>
      <w:r w:rsidR="00264541">
        <w:t>)</w:t>
      </w:r>
      <w:r w:rsidRPr="00171E3D">
        <w:t>. In addition, 64 percent of consumers reduced their alcohol consumption due to health considerations. The limitation of a focus strategy is that it will limit Diageo’s growth opportunities as non-alcoholic drinks are gaining mass appeal.</w:t>
      </w:r>
      <w:r>
        <w:t xml:space="preserve"> </w:t>
      </w:r>
      <w:r w:rsidRPr="00171E3D">
        <w:t>Hence, segmenting customers ought to assist in showcasing various features and not serve as a complete stand-in for differentiation.</w:t>
      </w:r>
      <w:r w:rsidR="00B41416">
        <w:t xml:space="preserve"> </w:t>
      </w:r>
    </w:p>
    <w:tbl>
      <w:tblPr>
        <w:tblStyle w:val="TableGrid"/>
        <w:tblW w:w="5000" w:type="pct"/>
        <w:tblLook w:val="04A0" w:firstRow="1" w:lastRow="0" w:firstColumn="1" w:lastColumn="0" w:noHBand="0" w:noVBand="1"/>
      </w:tblPr>
      <w:tblGrid>
        <w:gridCol w:w="1894"/>
        <w:gridCol w:w="1364"/>
        <w:gridCol w:w="5761"/>
      </w:tblGrid>
      <w:tr w:rsidR="00B41416" w:rsidRPr="00B41416" w14:paraId="30B32C4F" w14:textId="77777777" w:rsidTr="00360FF3">
        <w:tc>
          <w:tcPr>
            <w:tcW w:w="1050" w:type="pct"/>
          </w:tcPr>
          <w:p w14:paraId="18990071" w14:textId="20D06319" w:rsidR="00B41416" w:rsidRPr="00B41416" w:rsidRDefault="00B41416" w:rsidP="00B41416">
            <w:pPr>
              <w:jc w:val="center"/>
              <w:rPr>
                <w:b/>
                <w:bCs/>
                <w:i/>
                <w:iCs/>
              </w:rPr>
            </w:pPr>
            <w:r w:rsidRPr="00B41416">
              <w:rPr>
                <w:b/>
                <w:bCs/>
                <w:i/>
                <w:iCs/>
              </w:rPr>
              <w:t>Strategy</w:t>
            </w:r>
          </w:p>
        </w:tc>
        <w:tc>
          <w:tcPr>
            <w:tcW w:w="756" w:type="pct"/>
          </w:tcPr>
          <w:p w14:paraId="40B2A23A" w14:textId="75767026" w:rsidR="00B41416" w:rsidRPr="00B41416" w:rsidRDefault="00B41416" w:rsidP="00B41416">
            <w:pPr>
              <w:jc w:val="center"/>
              <w:rPr>
                <w:b/>
                <w:bCs/>
                <w:i/>
                <w:iCs/>
              </w:rPr>
            </w:pPr>
            <w:r w:rsidRPr="00B41416">
              <w:rPr>
                <w:b/>
                <w:bCs/>
                <w:i/>
                <w:iCs/>
              </w:rPr>
              <w:t>Suitability</w:t>
            </w:r>
          </w:p>
        </w:tc>
        <w:tc>
          <w:tcPr>
            <w:tcW w:w="3194" w:type="pct"/>
          </w:tcPr>
          <w:p w14:paraId="2006673C" w14:textId="32ED281B" w:rsidR="00B41416" w:rsidRPr="00B41416" w:rsidRDefault="00B41416" w:rsidP="00B41416">
            <w:pPr>
              <w:jc w:val="center"/>
              <w:rPr>
                <w:b/>
                <w:bCs/>
                <w:i/>
                <w:iCs/>
              </w:rPr>
            </w:pPr>
            <w:r w:rsidRPr="00B41416">
              <w:rPr>
                <w:b/>
                <w:bCs/>
                <w:i/>
                <w:iCs/>
              </w:rPr>
              <w:t xml:space="preserve">Strategic </w:t>
            </w:r>
            <w:r w:rsidR="003149D5">
              <w:rPr>
                <w:b/>
                <w:bCs/>
                <w:i/>
                <w:iCs/>
              </w:rPr>
              <w:t>e</w:t>
            </w:r>
            <w:r w:rsidRPr="00B41416">
              <w:rPr>
                <w:b/>
                <w:bCs/>
                <w:i/>
                <w:iCs/>
              </w:rPr>
              <w:t>valuation</w:t>
            </w:r>
          </w:p>
        </w:tc>
      </w:tr>
      <w:tr w:rsidR="00B41416" w14:paraId="392296F6" w14:textId="77777777" w:rsidTr="00360FF3">
        <w:tc>
          <w:tcPr>
            <w:tcW w:w="1050" w:type="pct"/>
          </w:tcPr>
          <w:p w14:paraId="64B79F6D" w14:textId="70A167AD" w:rsidR="00B41416" w:rsidRDefault="00B41416" w:rsidP="00B41416">
            <w:r w:rsidRPr="00A64CE5">
              <w:t>Cost Leadership</w:t>
            </w:r>
          </w:p>
        </w:tc>
        <w:tc>
          <w:tcPr>
            <w:tcW w:w="756" w:type="pct"/>
          </w:tcPr>
          <w:p w14:paraId="736BF26F" w14:textId="7B1354FA" w:rsidR="00B41416" w:rsidRDefault="00B41416" w:rsidP="00B41416">
            <w:r w:rsidRPr="00A64CE5">
              <w:t>Low</w:t>
            </w:r>
          </w:p>
        </w:tc>
        <w:tc>
          <w:tcPr>
            <w:tcW w:w="3194" w:type="pct"/>
          </w:tcPr>
          <w:p w14:paraId="0F40845D" w14:textId="2FAFE1D9" w:rsidR="00B41416" w:rsidRDefault="00B41416" w:rsidP="00B41416">
            <w:r w:rsidRPr="00A64CE5">
              <w:t>Could reduce premium brand value and create price competition</w:t>
            </w:r>
          </w:p>
        </w:tc>
      </w:tr>
      <w:tr w:rsidR="00B41416" w14:paraId="67CD43CA" w14:textId="77777777" w:rsidTr="00360FF3">
        <w:tc>
          <w:tcPr>
            <w:tcW w:w="1050" w:type="pct"/>
          </w:tcPr>
          <w:p w14:paraId="7F063787" w14:textId="09781262" w:rsidR="00B41416" w:rsidRDefault="00B41416" w:rsidP="00B41416">
            <w:r w:rsidRPr="00A64CE5">
              <w:t>Differentiation</w:t>
            </w:r>
          </w:p>
        </w:tc>
        <w:tc>
          <w:tcPr>
            <w:tcW w:w="756" w:type="pct"/>
          </w:tcPr>
          <w:p w14:paraId="2C8D1FEB" w14:textId="5E65F731" w:rsidR="00B41416" w:rsidRDefault="00B41416" w:rsidP="00B41416">
            <w:r w:rsidRPr="00A64CE5">
              <w:t>High</w:t>
            </w:r>
          </w:p>
        </w:tc>
        <w:tc>
          <w:tcPr>
            <w:tcW w:w="3194" w:type="pct"/>
          </w:tcPr>
          <w:p w14:paraId="3D0E472C" w14:textId="08C8F87B" w:rsidR="00B41416" w:rsidRDefault="00B41416" w:rsidP="00B41416">
            <w:r w:rsidRPr="00A64CE5">
              <w:t>Uses brand strength, innovation, quality and sustainability</w:t>
            </w:r>
          </w:p>
        </w:tc>
      </w:tr>
      <w:tr w:rsidR="00B41416" w14:paraId="26AA195A" w14:textId="77777777" w:rsidTr="00360FF3">
        <w:tc>
          <w:tcPr>
            <w:tcW w:w="1050" w:type="pct"/>
          </w:tcPr>
          <w:p w14:paraId="48AE904C" w14:textId="20F14CD2" w:rsidR="00B41416" w:rsidRDefault="00B41416" w:rsidP="00B41416">
            <w:r w:rsidRPr="00A64CE5">
              <w:t>Focus Strategy</w:t>
            </w:r>
          </w:p>
        </w:tc>
        <w:tc>
          <w:tcPr>
            <w:tcW w:w="756" w:type="pct"/>
          </w:tcPr>
          <w:p w14:paraId="6BE28D5F" w14:textId="641CC85D" w:rsidR="00B41416" w:rsidRDefault="00B41416" w:rsidP="00B41416">
            <w:r w:rsidRPr="00A64CE5">
              <w:t>Moderate</w:t>
            </w:r>
          </w:p>
        </w:tc>
        <w:tc>
          <w:tcPr>
            <w:tcW w:w="3194" w:type="pct"/>
          </w:tcPr>
          <w:p w14:paraId="6D566693" w14:textId="3F3F7AD7" w:rsidR="00B41416" w:rsidRDefault="00B41416" w:rsidP="00B41416">
            <w:r w:rsidRPr="00A64CE5">
              <w:t>Useful for targeting mindful drinkers but limits wider market growth</w:t>
            </w:r>
          </w:p>
        </w:tc>
      </w:tr>
    </w:tbl>
    <w:p w14:paraId="6553D9A1" w14:textId="5C5F39E0" w:rsidR="00722117" w:rsidRDefault="00360FF3" w:rsidP="00480204">
      <w:pPr>
        <w:pStyle w:val="Heading5"/>
      </w:pPr>
      <w:bookmarkStart w:id="21" w:name="_Toc236950542"/>
      <w:r>
        <w:t xml:space="preserve">Table 3: </w:t>
      </w:r>
      <w:r w:rsidRPr="00360FF3">
        <w:t xml:space="preserve">Evaluation of </w:t>
      </w:r>
      <w:r w:rsidR="00413BC0" w:rsidRPr="00360FF3">
        <w:t xml:space="preserve">porter’s generic strategies </w:t>
      </w:r>
      <w:r w:rsidRPr="00360FF3">
        <w:t xml:space="preserve">for Diageo UK </w:t>
      </w:r>
      <w:r w:rsidR="00413BC0" w:rsidRPr="00360FF3">
        <w:t>non-alcoholic beverages</w:t>
      </w:r>
      <w:bookmarkEnd w:id="21"/>
    </w:p>
    <w:p w14:paraId="08818FB3" w14:textId="15272B49" w:rsidR="00084587" w:rsidRDefault="00084587" w:rsidP="00360FF3">
      <w:pPr>
        <w:jc w:val="center"/>
      </w:pPr>
      <w:r>
        <w:t>(Source: Created by learner in Ms-Word)</w:t>
      </w:r>
    </w:p>
    <w:p w14:paraId="14A5E68A" w14:textId="5F79FC77" w:rsidR="00255BB5" w:rsidRDefault="001A3A9D" w:rsidP="00480204">
      <w:pPr>
        <w:pStyle w:val="Heading3"/>
      </w:pPr>
      <w:bookmarkStart w:id="22" w:name="_Toc236950528"/>
      <w:r>
        <w:t xml:space="preserve">4.2 </w:t>
      </w:r>
      <w:r w:rsidRPr="001A3A9D">
        <w:t>Recommended strategy: Differentiation-led growth strategy</w:t>
      </w:r>
      <w:bookmarkEnd w:id="22"/>
    </w:p>
    <w:p w14:paraId="28FDF17D" w14:textId="1BE269D5" w:rsidR="00F82527" w:rsidRDefault="00F82527" w:rsidP="004779D8">
      <w:r>
        <w:t xml:space="preserve">From the strategic assessment, it would be recommended that Diageo follows a growth strategy where it develops innovative and premium non-alcoholic beverages that are sustainable. The strategy enables Diageo to capitalize on its best resources as well as adapting to changes in consumer </w:t>
      </w:r>
      <w:r w:rsidR="004779D8">
        <w:t>behaviour</w:t>
      </w:r>
      <w:r>
        <w:t>.</w:t>
      </w:r>
    </w:p>
    <w:p w14:paraId="2430C511" w14:textId="77777777" w:rsidR="004779D8" w:rsidRDefault="00F82527" w:rsidP="004779D8">
      <w:r>
        <w:t>The strategy can be applied in three main aspects:</w:t>
      </w:r>
    </w:p>
    <w:p w14:paraId="592300E8" w14:textId="3C502AD3" w:rsidR="00750CB6" w:rsidRDefault="00A24BEB" w:rsidP="00A24BEB">
      <w:pPr>
        <w:pStyle w:val="ListParagraph"/>
        <w:numPr>
          <w:ilvl w:val="0"/>
          <w:numId w:val="5"/>
        </w:numPr>
      </w:pPr>
      <w:r>
        <w:t>Initially</w:t>
      </w:r>
      <w:r w:rsidR="004779D8" w:rsidRPr="004779D8">
        <w:t xml:space="preserve">, Diageo should concentrate more on creating premium non-alcoholic drinks. Guinness 0.0 is evidence that there is a ready market since it has been reported that the drink accounted for 53% of Guinness drinks sold on the </w:t>
      </w:r>
      <w:proofErr w:type="spellStart"/>
      <w:r w:rsidR="004779D8" w:rsidRPr="004779D8">
        <w:t>Ocado</w:t>
      </w:r>
      <w:proofErr w:type="spellEnd"/>
      <w:r w:rsidR="004779D8" w:rsidRPr="004779D8">
        <w:t xml:space="preserve"> retail platform</w:t>
      </w:r>
      <w:r w:rsidR="0078524C">
        <w:t xml:space="preserve"> (</w:t>
      </w:r>
      <w:r w:rsidR="0078524C">
        <w:rPr>
          <w:szCs w:val="24"/>
        </w:rPr>
        <w:t>The Grocer, 2026</w:t>
      </w:r>
      <w:r w:rsidR="0078524C">
        <w:t>)</w:t>
      </w:r>
      <w:r w:rsidR="004779D8" w:rsidRPr="004779D8">
        <w:t>.</w:t>
      </w:r>
      <w:r>
        <w:t xml:space="preserve"> </w:t>
      </w:r>
      <w:r w:rsidRPr="00A24BEB">
        <w:t>This suggests that consumers are prepared to shift to no</w:t>
      </w:r>
      <w:r w:rsidR="00750CB6">
        <w:t>n</w:t>
      </w:r>
      <w:r w:rsidRPr="00A24BEB">
        <w:t>-alcohol alternatives if they trust the brand.</w:t>
      </w:r>
    </w:p>
    <w:p w14:paraId="02CA1398" w14:textId="7804F320" w:rsidR="000F2C7D" w:rsidRDefault="00750CB6" w:rsidP="00A24BEB">
      <w:pPr>
        <w:pStyle w:val="ListParagraph"/>
        <w:numPr>
          <w:ilvl w:val="0"/>
          <w:numId w:val="5"/>
        </w:numPr>
      </w:pPr>
      <w:r w:rsidRPr="00750CB6">
        <w:t>Secondly, Diageo must enhance its innovation capacity. While technologies for production are getting accessible to the competition, integration of technologies with brand power can lead to differentiation</w:t>
      </w:r>
      <w:r w:rsidR="0055443D">
        <w:t xml:space="preserve"> (</w:t>
      </w:r>
      <w:proofErr w:type="spellStart"/>
      <w:r w:rsidR="0055443D" w:rsidRPr="0049528B">
        <w:rPr>
          <w:szCs w:val="24"/>
        </w:rPr>
        <w:t>Keiningham</w:t>
      </w:r>
      <w:proofErr w:type="spellEnd"/>
      <w:r w:rsidR="0055443D">
        <w:rPr>
          <w:szCs w:val="24"/>
        </w:rPr>
        <w:t xml:space="preserve"> </w:t>
      </w:r>
      <w:r w:rsidR="0055443D">
        <w:rPr>
          <w:i/>
          <w:iCs/>
          <w:szCs w:val="24"/>
        </w:rPr>
        <w:t xml:space="preserve">et al. </w:t>
      </w:r>
      <w:r w:rsidR="0055443D">
        <w:rPr>
          <w:szCs w:val="24"/>
        </w:rPr>
        <w:t>2020</w:t>
      </w:r>
      <w:r w:rsidR="0055443D">
        <w:t>)</w:t>
      </w:r>
      <w:r w:rsidRPr="00750CB6">
        <w:t>. There are different categories of new products such as functional beverages and lifestyle-oriented beverages.</w:t>
      </w:r>
    </w:p>
    <w:p w14:paraId="64975037" w14:textId="77777777" w:rsidR="00FE7077" w:rsidRDefault="000F2C7D" w:rsidP="00A24BEB">
      <w:pPr>
        <w:pStyle w:val="ListParagraph"/>
        <w:numPr>
          <w:ilvl w:val="0"/>
          <w:numId w:val="5"/>
        </w:numPr>
      </w:pPr>
      <w:r w:rsidRPr="000F2C7D">
        <w:t>Thirdly, sustainability ought to be incorporated into the positioning of products. The Spirit of Progress framework of Diageo acts as the basis of such sustainability due to its efforts towards water efficiency, reducing carbon footprint, and sustainable consumption. Sustainability ought to be linked with non-alcoholic products.</w:t>
      </w:r>
    </w:p>
    <w:p w14:paraId="4393368C" w14:textId="77777777" w:rsidR="00FE7077" w:rsidRDefault="00FE7077" w:rsidP="00480204">
      <w:pPr>
        <w:pStyle w:val="Heading3"/>
      </w:pPr>
      <w:bookmarkStart w:id="23" w:name="_Toc236950529"/>
      <w:r>
        <w:t>4.3 Strategic validation frameworks</w:t>
      </w:r>
      <w:bookmarkEnd w:id="23"/>
    </w:p>
    <w:p w14:paraId="33659CF1" w14:textId="77777777" w:rsidR="001149C4" w:rsidRDefault="00FE7077" w:rsidP="00FE7077">
      <w:pPr>
        <w:rPr>
          <w:b/>
          <w:bCs/>
        </w:rPr>
      </w:pPr>
      <w:r>
        <w:rPr>
          <w:b/>
          <w:bCs/>
        </w:rPr>
        <w:t xml:space="preserve">4.3.1 </w:t>
      </w:r>
      <w:r w:rsidRPr="00FE7077">
        <w:rPr>
          <w:b/>
          <w:bCs/>
        </w:rPr>
        <w:t xml:space="preserve">Porter’s </w:t>
      </w:r>
      <w:r w:rsidR="001149C4" w:rsidRPr="00FE7077">
        <w:rPr>
          <w:b/>
          <w:bCs/>
        </w:rPr>
        <w:t>five forces analysis</w:t>
      </w:r>
    </w:p>
    <w:tbl>
      <w:tblPr>
        <w:tblStyle w:val="TableGrid"/>
        <w:tblW w:w="0" w:type="auto"/>
        <w:tblLook w:val="04A0" w:firstRow="1" w:lastRow="0" w:firstColumn="1" w:lastColumn="0" w:noHBand="0" w:noVBand="1"/>
      </w:tblPr>
      <w:tblGrid>
        <w:gridCol w:w="1548"/>
        <w:gridCol w:w="1983"/>
        <w:gridCol w:w="1956"/>
        <w:gridCol w:w="1549"/>
        <w:gridCol w:w="1983"/>
      </w:tblGrid>
      <w:tr w:rsidR="0031467B" w:rsidRPr="0031467B" w14:paraId="0B75A09F" w14:textId="77777777" w:rsidTr="00A067CA">
        <w:tc>
          <w:tcPr>
            <w:tcW w:w="0" w:type="auto"/>
          </w:tcPr>
          <w:p w14:paraId="2DEFC4A8" w14:textId="4020083B" w:rsidR="0031467B" w:rsidRPr="0031467B" w:rsidRDefault="0031467B" w:rsidP="0031467B">
            <w:pPr>
              <w:jc w:val="center"/>
              <w:rPr>
                <w:b/>
                <w:bCs/>
                <w:i/>
                <w:iCs/>
              </w:rPr>
            </w:pPr>
            <w:r w:rsidRPr="0031467B">
              <w:rPr>
                <w:b/>
                <w:bCs/>
                <w:i/>
                <w:iCs/>
              </w:rPr>
              <w:t>Force</w:t>
            </w:r>
          </w:p>
        </w:tc>
        <w:tc>
          <w:tcPr>
            <w:tcW w:w="0" w:type="auto"/>
          </w:tcPr>
          <w:p w14:paraId="62582211" w14:textId="158CA771" w:rsidR="0031467B" w:rsidRPr="0031467B" w:rsidRDefault="0031467B" w:rsidP="0031467B">
            <w:pPr>
              <w:jc w:val="center"/>
              <w:rPr>
                <w:b/>
                <w:bCs/>
                <w:i/>
                <w:iCs/>
              </w:rPr>
            </w:pPr>
            <w:r w:rsidRPr="0031467B">
              <w:rPr>
                <w:b/>
                <w:bCs/>
                <w:i/>
                <w:iCs/>
              </w:rPr>
              <w:t xml:space="preserve">Market </w:t>
            </w:r>
            <w:r w:rsidR="00A067CA">
              <w:rPr>
                <w:b/>
                <w:bCs/>
                <w:i/>
                <w:iCs/>
              </w:rPr>
              <w:t>s</w:t>
            </w:r>
            <w:r w:rsidRPr="0031467B">
              <w:rPr>
                <w:b/>
                <w:bCs/>
                <w:i/>
                <w:iCs/>
              </w:rPr>
              <w:t>ituation</w:t>
            </w:r>
          </w:p>
        </w:tc>
        <w:tc>
          <w:tcPr>
            <w:tcW w:w="0" w:type="auto"/>
          </w:tcPr>
          <w:p w14:paraId="6A1FD97D" w14:textId="36466A3E" w:rsidR="0031467B" w:rsidRPr="0031467B" w:rsidRDefault="0031467B" w:rsidP="0031467B">
            <w:pPr>
              <w:jc w:val="center"/>
              <w:rPr>
                <w:b/>
                <w:bCs/>
                <w:i/>
                <w:iCs/>
              </w:rPr>
            </w:pPr>
            <w:r w:rsidRPr="0031467B">
              <w:rPr>
                <w:b/>
                <w:bCs/>
                <w:i/>
                <w:iCs/>
              </w:rPr>
              <w:t xml:space="preserve">Strategic </w:t>
            </w:r>
            <w:r w:rsidR="00A067CA">
              <w:rPr>
                <w:b/>
                <w:bCs/>
                <w:i/>
                <w:iCs/>
              </w:rPr>
              <w:t>i</w:t>
            </w:r>
            <w:r w:rsidRPr="0031467B">
              <w:rPr>
                <w:b/>
                <w:bCs/>
                <w:i/>
                <w:iCs/>
              </w:rPr>
              <w:t>mplication</w:t>
            </w:r>
          </w:p>
        </w:tc>
        <w:tc>
          <w:tcPr>
            <w:tcW w:w="0" w:type="auto"/>
          </w:tcPr>
          <w:p w14:paraId="62E77F27" w14:textId="4EB5380B" w:rsidR="0031467B" w:rsidRPr="0031467B" w:rsidRDefault="0031467B" w:rsidP="0031467B">
            <w:pPr>
              <w:jc w:val="center"/>
              <w:rPr>
                <w:b/>
                <w:bCs/>
                <w:i/>
                <w:iCs/>
              </w:rPr>
            </w:pPr>
            <w:r w:rsidRPr="0031467B">
              <w:rPr>
                <w:b/>
                <w:bCs/>
                <w:i/>
                <w:iCs/>
              </w:rPr>
              <w:t>Force</w:t>
            </w:r>
          </w:p>
        </w:tc>
        <w:tc>
          <w:tcPr>
            <w:tcW w:w="0" w:type="auto"/>
          </w:tcPr>
          <w:p w14:paraId="6605E6D7" w14:textId="69964023" w:rsidR="0031467B" w:rsidRPr="0031467B" w:rsidRDefault="0031467B" w:rsidP="0031467B">
            <w:pPr>
              <w:jc w:val="center"/>
              <w:rPr>
                <w:b/>
                <w:bCs/>
                <w:i/>
                <w:iCs/>
              </w:rPr>
            </w:pPr>
            <w:r w:rsidRPr="0031467B">
              <w:rPr>
                <w:b/>
                <w:bCs/>
                <w:i/>
                <w:iCs/>
              </w:rPr>
              <w:t xml:space="preserve">Market </w:t>
            </w:r>
            <w:r w:rsidR="00A067CA">
              <w:rPr>
                <w:b/>
                <w:bCs/>
                <w:i/>
                <w:iCs/>
              </w:rPr>
              <w:t>s</w:t>
            </w:r>
            <w:r w:rsidRPr="0031467B">
              <w:rPr>
                <w:b/>
                <w:bCs/>
                <w:i/>
                <w:iCs/>
              </w:rPr>
              <w:t>ituation</w:t>
            </w:r>
          </w:p>
        </w:tc>
      </w:tr>
      <w:tr w:rsidR="0031467B" w14:paraId="20B90845" w14:textId="77777777" w:rsidTr="00A067CA">
        <w:tc>
          <w:tcPr>
            <w:tcW w:w="0" w:type="auto"/>
          </w:tcPr>
          <w:p w14:paraId="3A9FB76C" w14:textId="76F3F5CE" w:rsidR="0031467B" w:rsidRDefault="0031467B" w:rsidP="0031467B">
            <w:r w:rsidRPr="00C9460F">
              <w:t>Competitive rivalry</w:t>
            </w:r>
          </w:p>
        </w:tc>
        <w:tc>
          <w:tcPr>
            <w:tcW w:w="0" w:type="auto"/>
          </w:tcPr>
          <w:p w14:paraId="1C4C84E6" w14:textId="0829E43D" w:rsidR="0031467B" w:rsidRDefault="0031467B" w:rsidP="0031467B">
            <w:r w:rsidRPr="00C9460F">
              <w:t>High competition from Heineken 0.0, Pernod Ricard and specialist brands</w:t>
            </w:r>
          </w:p>
        </w:tc>
        <w:tc>
          <w:tcPr>
            <w:tcW w:w="0" w:type="auto"/>
          </w:tcPr>
          <w:p w14:paraId="3E933D27" w14:textId="4A25AA23" w:rsidR="0031467B" w:rsidRDefault="0031467B" w:rsidP="0031467B">
            <w:r w:rsidRPr="00C9460F">
              <w:t>Differentiation is required to protect market position</w:t>
            </w:r>
          </w:p>
        </w:tc>
        <w:tc>
          <w:tcPr>
            <w:tcW w:w="0" w:type="auto"/>
          </w:tcPr>
          <w:p w14:paraId="319DD397" w14:textId="7633AFAB" w:rsidR="0031467B" w:rsidRDefault="0031467B" w:rsidP="0031467B">
            <w:r w:rsidRPr="00C9460F">
              <w:t>Competitive rivalry</w:t>
            </w:r>
          </w:p>
        </w:tc>
        <w:tc>
          <w:tcPr>
            <w:tcW w:w="0" w:type="auto"/>
          </w:tcPr>
          <w:p w14:paraId="0ECB1A34" w14:textId="37E7296F" w:rsidR="0031467B" w:rsidRDefault="0031467B" w:rsidP="0031467B">
            <w:r w:rsidRPr="00C9460F">
              <w:t>High competition from Heineken 0.0, Pernod Ricard and specialist brands</w:t>
            </w:r>
          </w:p>
        </w:tc>
      </w:tr>
      <w:tr w:rsidR="0031467B" w14:paraId="48E052B2" w14:textId="77777777" w:rsidTr="00A067CA">
        <w:tc>
          <w:tcPr>
            <w:tcW w:w="0" w:type="auto"/>
          </w:tcPr>
          <w:p w14:paraId="757F0E90" w14:textId="21FCE07A" w:rsidR="0031467B" w:rsidRDefault="0031467B" w:rsidP="0031467B">
            <w:r w:rsidRPr="00C9460F">
              <w:t>Buyer power</w:t>
            </w:r>
          </w:p>
        </w:tc>
        <w:tc>
          <w:tcPr>
            <w:tcW w:w="0" w:type="auto"/>
          </w:tcPr>
          <w:p w14:paraId="265E9FCD" w14:textId="7D3C610A" w:rsidR="0031467B" w:rsidRDefault="0031467B" w:rsidP="0031467B">
            <w:r w:rsidRPr="00C9460F">
              <w:t>High due to many consumer alternatives</w:t>
            </w:r>
          </w:p>
        </w:tc>
        <w:tc>
          <w:tcPr>
            <w:tcW w:w="0" w:type="auto"/>
          </w:tcPr>
          <w:p w14:paraId="17254E1F" w14:textId="1063A9BB" w:rsidR="0031467B" w:rsidRDefault="0031467B" w:rsidP="0031467B">
            <w:r w:rsidRPr="00C9460F">
              <w:t>Strong brand value and quality perception are necessary</w:t>
            </w:r>
          </w:p>
        </w:tc>
        <w:tc>
          <w:tcPr>
            <w:tcW w:w="0" w:type="auto"/>
          </w:tcPr>
          <w:p w14:paraId="0D32BC27" w14:textId="3A2D59F9" w:rsidR="0031467B" w:rsidRDefault="0031467B" w:rsidP="0031467B">
            <w:r w:rsidRPr="00C9460F">
              <w:t>Buyer power</w:t>
            </w:r>
          </w:p>
        </w:tc>
        <w:tc>
          <w:tcPr>
            <w:tcW w:w="0" w:type="auto"/>
          </w:tcPr>
          <w:p w14:paraId="6E68E32E" w14:textId="78E16657" w:rsidR="0031467B" w:rsidRDefault="0031467B" w:rsidP="0031467B">
            <w:r w:rsidRPr="00C9460F">
              <w:t>High due to many consumer alternatives</w:t>
            </w:r>
          </w:p>
        </w:tc>
      </w:tr>
      <w:tr w:rsidR="0031467B" w14:paraId="2A03CF1A" w14:textId="77777777" w:rsidTr="00A067CA">
        <w:tc>
          <w:tcPr>
            <w:tcW w:w="0" w:type="auto"/>
          </w:tcPr>
          <w:p w14:paraId="60D16196" w14:textId="5A733064" w:rsidR="0031467B" w:rsidRDefault="0031467B" w:rsidP="0031467B">
            <w:r w:rsidRPr="00C9460F">
              <w:t>Threat of substitutes</w:t>
            </w:r>
          </w:p>
        </w:tc>
        <w:tc>
          <w:tcPr>
            <w:tcW w:w="0" w:type="auto"/>
          </w:tcPr>
          <w:p w14:paraId="5B99990C" w14:textId="101454C8" w:rsidR="0031467B" w:rsidRDefault="0031467B" w:rsidP="0031467B">
            <w:r w:rsidRPr="00C9460F">
              <w:t>High from soft drinks, functional beverages and wellness products</w:t>
            </w:r>
          </w:p>
        </w:tc>
        <w:tc>
          <w:tcPr>
            <w:tcW w:w="0" w:type="auto"/>
          </w:tcPr>
          <w:p w14:paraId="2E914E3B" w14:textId="77053812" w:rsidR="0031467B" w:rsidRDefault="0031467B" w:rsidP="0031467B">
            <w:r w:rsidRPr="00C9460F">
              <w:t>Continuous innovation is required</w:t>
            </w:r>
          </w:p>
        </w:tc>
        <w:tc>
          <w:tcPr>
            <w:tcW w:w="0" w:type="auto"/>
          </w:tcPr>
          <w:p w14:paraId="1773045A" w14:textId="7A202358" w:rsidR="0031467B" w:rsidRDefault="0031467B" w:rsidP="0031467B">
            <w:r w:rsidRPr="00C9460F">
              <w:t>Threat of substitutes</w:t>
            </w:r>
          </w:p>
        </w:tc>
        <w:tc>
          <w:tcPr>
            <w:tcW w:w="0" w:type="auto"/>
          </w:tcPr>
          <w:p w14:paraId="327ABF25" w14:textId="3DF8DE08" w:rsidR="0031467B" w:rsidRDefault="0031467B" w:rsidP="0031467B">
            <w:r w:rsidRPr="00C9460F">
              <w:t>High from soft drinks, functional beverages and wellness products</w:t>
            </w:r>
          </w:p>
        </w:tc>
      </w:tr>
      <w:tr w:rsidR="0031467B" w14:paraId="06B46556" w14:textId="77777777" w:rsidTr="00A067CA">
        <w:tc>
          <w:tcPr>
            <w:tcW w:w="0" w:type="auto"/>
          </w:tcPr>
          <w:p w14:paraId="6F2CD80F" w14:textId="1E450C51" w:rsidR="0031467B" w:rsidRDefault="0031467B" w:rsidP="0031467B">
            <w:r w:rsidRPr="00C9460F">
              <w:t>Threat of new entrants</w:t>
            </w:r>
          </w:p>
        </w:tc>
        <w:tc>
          <w:tcPr>
            <w:tcW w:w="0" w:type="auto"/>
          </w:tcPr>
          <w:p w14:paraId="26699975" w14:textId="59F649FA" w:rsidR="0031467B" w:rsidRDefault="0031467B" w:rsidP="0031467B">
            <w:r w:rsidRPr="00C9460F">
              <w:t>Moderate due to improving beverage technology</w:t>
            </w:r>
          </w:p>
        </w:tc>
        <w:tc>
          <w:tcPr>
            <w:tcW w:w="0" w:type="auto"/>
          </w:tcPr>
          <w:p w14:paraId="3C30E775" w14:textId="5880F1C2" w:rsidR="0031467B" w:rsidRDefault="0031467B" w:rsidP="0031467B">
            <w:r w:rsidRPr="00C9460F">
              <w:t>Brand equity provides protection</w:t>
            </w:r>
          </w:p>
        </w:tc>
        <w:tc>
          <w:tcPr>
            <w:tcW w:w="0" w:type="auto"/>
          </w:tcPr>
          <w:p w14:paraId="3B2C580F" w14:textId="0F6AA483" w:rsidR="0031467B" w:rsidRDefault="0031467B" w:rsidP="0031467B">
            <w:r w:rsidRPr="00C9460F">
              <w:t>Threat of new entrants</w:t>
            </w:r>
          </w:p>
        </w:tc>
        <w:tc>
          <w:tcPr>
            <w:tcW w:w="0" w:type="auto"/>
          </w:tcPr>
          <w:p w14:paraId="2F3B0826" w14:textId="0935F3A2" w:rsidR="0031467B" w:rsidRDefault="0031467B" w:rsidP="0031467B">
            <w:r w:rsidRPr="00C9460F">
              <w:t>Moderate due to improving beverage technology</w:t>
            </w:r>
          </w:p>
        </w:tc>
      </w:tr>
      <w:tr w:rsidR="0031467B" w14:paraId="2DA605DC" w14:textId="77777777" w:rsidTr="00A067CA">
        <w:tc>
          <w:tcPr>
            <w:tcW w:w="0" w:type="auto"/>
          </w:tcPr>
          <w:p w14:paraId="51A04B50" w14:textId="65C77591" w:rsidR="0031467B" w:rsidRDefault="0031467B" w:rsidP="0031467B">
            <w:r w:rsidRPr="00C9460F">
              <w:t>Supplier power</w:t>
            </w:r>
          </w:p>
        </w:tc>
        <w:tc>
          <w:tcPr>
            <w:tcW w:w="0" w:type="auto"/>
          </w:tcPr>
          <w:p w14:paraId="0D762950" w14:textId="2FF63091" w:rsidR="0031467B" w:rsidRDefault="0031467B" w:rsidP="0031467B">
            <w:r w:rsidRPr="00C9460F">
              <w:t>Moderate due to production and ingredient requirements</w:t>
            </w:r>
          </w:p>
        </w:tc>
        <w:tc>
          <w:tcPr>
            <w:tcW w:w="0" w:type="auto"/>
          </w:tcPr>
          <w:p w14:paraId="091B8F19" w14:textId="12B1EBF1" w:rsidR="0031467B" w:rsidRDefault="0031467B" w:rsidP="0031467B">
            <w:r w:rsidRPr="00C9460F">
              <w:t>Efficient supply chain management is important</w:t>
            </w:r>
          </w:p>
        </w:tc>
        <w:tc>
          <w:tcPr>
            <w:tcW w:w="0" w:type="auto"/>
          </w:tcPr>
          <w:p w14:paraId="014D6BEE" w14:textId="75D0509C" w:rsidR="0031467B" w:rsidRDefault="0031467B" w:rsidP="0031467B">
            <w:r w:rsidRPr="00C9460F">
              <w:t>Supplier power</w:t>
            </w:r>
          </w:p>
        </w:tc>
        <w:tc>
          <w:tcPr>
            <w:tcW w:w="0" w:type="auto"/>
          </w:tcPr>
          <w:p w14:paraId="123245A2" w14:textId="53B16ACE" w:rsidR="0031467B" w:rsidRDefault="0031467B" w:rsidP="0031467B">
            <w:r w:rsidRPr="00C9460F">
              <w:t>Moderate due to production and ingredient requirements</w:t>
            </w:r>
          </w:p>
        </w:tc>
      </w:tr>
    </w:tbl>
    <w:p w14:paraId="48D9B71D" w14:textId="202BF594" w:rsidR="00A067CA" w:rsidRDefault="00A067CA" w:rsidP="00480204">
      <w:pPr>
        <w:pStyle w:val="Heading5"/>
      </w:pPr>
      <w:bookmarkStart w:id="24" w:name="_Toc236950543"/>
      <w:r>
        <w:t xml:space="preserve">Table 4: </w:t>
      </w:r>
      <w:r w:rsidRPr="00A067CA">
        <w:t>Porter’s five forces implications for Diageo UK non-alcoholic beverages</w:t>
      </w:r>
      <w:bookmarkEnd w:id="24"/>
    </w:p>
    <w:p w14:paraId="275541A2" w14:textId="6CBFD2C9" w:rsidR="00A067CA" w:rsidRDefault="00A067CA" w:rsidP="00A067CA">
      <w:pPr>
        <w:jc w:val="center"/>
      </w:pPr>
      <w:r>
        <w:t>(Source: Created by learner in Ms-Word)</w:t>
      </w:r>
    </w:p>
    <w:p w14:paraId="1F638225" w14:textId="20369285" w:rsidR="009A512F" w:rsidRDefault="00877315" w:rsidP="00480204">
      <w:pPr>
        <w:pStyle w:val="Heading3"/>
      </w:pPr>
      <w:bookmarkStart w:id="25" w:name="_Toc236950530"/>
      <w:r>
        <w:t xml:space="preserve">4.3.2 </w:t>
      </w:r>
      <w:proofErr w:type="spellStart"/>
      <w:r w:rsidRPr="00877315">
        <w:t>Ansoff</w:t>
      </w:r>
      <w:proofErr w:type="spellEnd"/>
      <w:r w:rsidRPr="00877315">
        <w:t xml:space="preserve"> matrix</w:t>
      </w:r>
      <w:bookmarkEnd w:id="25"/>
    </w:p>
    <w:p w14:paraId="5599195A" w14:textId="2A2DD343" w:rsidR="00877315" w:rsidRDefault="00ED2A3C" w:rsidP="00ED2A3C">
      <w:pPr>
        <w:jc w:val="center"/>
      </w:pPr>
      <w:r w:rsidRPr="00ED2A3C">
        <w:rPr>
          <w:noProof/>
        </w:rPr>
        <w:drawing>
          <wp:inline distT="0" distB="0" distL="0" distR="0" wp14:anchorId="3B0E7E5E" wp14:editId="3ED63895">
            <wp:extent cx="5733415" cy="3981450"/>
            <wp:effectExtent l="19050" t="19050" r="19685" b="19050"/>
            <wp:docPr id="872274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274860" name=""/>
                    <pic:cNvPicPr/>
                  </pic:nvPicPr>
                  <pic:blipFill>
                    <a:blip r:embed="rId13"/>
                    <a:stretch>
                      <a:fillRect/>
                    </a:stretch>
                  </pic:blipFill>
                  <pic:spPr>
                    <a:xfrm>
                      <a:off x="0" y="0"/>
                      <a:ext cx="5733415" cy="3981450"/>
                    </a:xfrm>
                    <a:prstGeom prst="rect">
                      <a:avLst/>
                    </a:prstGeom>
                    <a:ln>
                      <a:solidFill>
                        <a:schemeClr val="tx1"/>
                      </a:solidFill>
                    </a:ln>
                  </pic:spPr>
                </pic:pic>
              </a:graphicData>
            </a:graphic>
          </wp:inline>
        </w:drawing>
      </w:r>
    </w:p>
    <w:p w14:paraId="566DDC8E" w14:textId="17C7B13A" w:rsidR="00ED2A3C" w:rsidRDefault="00ED2A3C" w:rsidP="00480204">
      <w:pPr>
        <w:pStyle w:val="Heading4"/>
      </w:pPr>
      <w:bookmarkStart w:id="26" w:name="_Toc236950539"/>
      <w:r>
        <w:t xml:space="preserve">Figure 5: </w:t>
      </w:r>
      <w:proofErr w:type="spellStart"/>
      <w:r>
        <w:t>Ansoff</w:t>
      </w:r>
      <w:proofErr w:type="spellEnd"/>
      <w:r>
        <w:t xml:space="preserve"> matrix</w:t>
      </w:r>
      <w:bookmarkEnd w:id="26"/>
      <w:r>
        <w:t xml:space="preserve"> </w:t>
      </w:r>
    </w:p>
    <w:p w14:paraId="48866A66" w14:textId="4077E7AF" w:rsidR="00ED2A3C" w:rsidRPr="00ED2A3C" w:rsidRDefault="00ED2A3C" w:rsidP="00ED2A3C">
      <w:pPr>
        <w:jc w:val="center"/>
      </w:pPr>
      <w:r>
        <w:t>(Source: Created by learner in Ms-Word)</w:t>
      </w:r>
    </w:p>
    <w:p w14:paraId="547080FE" w14:textId="190C00A1" w:rsidR="001927F8" w:rsidRDefault="001927F8" w:rsidP="00C91A9F">
      <w:r w:rsidRPr="001927F8">
        <w:t>The best choice for Diageo would be the Product Development Strategy and the Market Development Strategy since it helps in using their present brand strengths and customer awareness to meet the increasing demands of the British market for soft drinks.</w:t>
      </w:r>
    </w:p>
    <w:p w14:paraId="2FBD96FF" w14:textId="6114DBD9" w:rsidR="00761466" w:rsidRDefault="00761466" w:rsidP="00480204">
      <w:pPr>
        <w:pStyle w:val="Heading3"/>
      </w:pPr>
      <w:bookmarkStart w:id="27" w:name="_Toc236950531"/>
      <w:r>
        <w:t>4.4 Implementation plan</w:t>
      </w:r>
      <w:bookmarkEnd w:id="27"/>
      <w:r>
        <w:t xml:space="preserve"> </w:t>
      </w:r>
    </w:p>
    <w:tbl>
      <w:tblPr>
        <w:tblStyle w:val="TableGrid"/>
        <w:tblW w:w="5000" w:type="pct"/>
        <w:tblLook w:val="04A0" w:firstRow="1" w:lastRow="0" w:firstColumn="1" w:lastColumn="0" w:noHBand="0" w:noVBand="1"/>
      </w:tblPr>
      <w:tblGrid>
        <w:gridCol w:w="1574"/>
        <w:gridCol w:w="4499"/>
        <w:gridCol w:w="2946"/>
      </w:tblGrid>
      <w:tr w:rsidR="00A66679" w:rsidRPr="00A66679" w14:paraId="57D57E9A" w14:textId="77777777" w:rsidTr="000E7602">
        <w:tc>
          <w:tcPr>
            <w:tcW w:w="873" w:type="pct"/>
          </w:tcPr>
          <w:p w14:paraId="5F323DAB" w14:textId="49088198" w:rsidR="00A66679" w:rsidRPr="00A66679" w:rsidRDefault="000E7602" w:rsidP="00A66679">
            <w:pPr>
              <w:jc w:val="center"/>
              <w:rPr>
                <w:b/>
                <w:bCs/>
                <w:i/>
                <w:iCs/>
              </w:rPr>
            </w:pPr>
            <w:r w:rsidRPr="00A66679">
              <w:rPr>
                <w:b/>
                <w:bCs/>
                <w:i/>
                <w:iCs/>
              </w:rPr>
              <w:t>Time period</w:t>
            </w:r>
          </w:p>
        </w:tc>
        <w:tc>
          <w:tcPr>
            <w:tcW w:w="2494" w:type="pct"/>
          </w:tcPr>
          <w:p w14:paraId="2574A3F0" w14:textId="1FC80C00" w:rsidR="00A66679" w:rsidRPr="00A66679" w:rsidRDefault="000E7602" w:rsidP="00A66679">
            <w:pPr>
              <w:jc w:val="center"/>
              <w:rPr>
                <w:b/>
                <w:bCs/>
                <w:i/>
                <w:iCs/>
              </w:rPr>
            </w:pPr>
            <w:r w:rsidRPr="00A66679">
              <w:rPr>
                <w:b/>
                <w:bCs/>
                <w:i/>
                <w:iCs/>
              </w:rPr>
              <w:t>Strategic actions</w:t>
            </w:r>
          </w:p>
        </w:tc>
        <w:tc>
          <w:tcPr>
            <w:tcW w:w="1634" w:type="pct"/>
          </w:tcPr>
          <w:p w14:paraId="06C1E75D" w14:textId="6E8B5B54" w:rsidR="00A66679" w:rsidRPr="00A66679" w:rsidRDefault="000E7602" w:rsidP="00A66679">
            <w:pPr>
              <w:jc w:val="center"/>
              <w:rPr>
                <w:b/>
                <w:bCs/>
                <w:i/>
                <w:iCs/>
              </w:rPr>
            </w:pPr>
            <w:r w:rsidRPr="00A66679">
              <w:rPr>
                <w:b/>
                <w:bCs/>
                <w:i/>
                <w:iCs/>
              </w:rPr>
              <w:t>Expected outcomes</w:t>
            </w:r>
          </w:p>
        </w:tc>
      </w:tr>
      <w:tr w:rsidR="00A66679" w14:paraId="0A7A9448" w14:textId="77777777" w:rsidTr="000E7602">
        <w:tc>
          <w:tcPr>
            <w:tcW w:w="873" w:type="pct"/>
          </w:tcPr>
          <w:p w14:paraId="3466AD0B" w14:textId="48E3417C" w:rsidR="00A66679" w:rsidRDefault="00A66679" w:rsidP="00A66679">
            <w:r w:rsidRPr="00B4285B">
              <w:t>Short term (0–12 months)</w:t>
            </w:r>
          </w:p>
        </w:tc>
        <w:tc>
          <w:tcPr>
            <w:tcW w:w="2494" w:type="pct"/>
          </w:tcPr>
          <w:p w14:paraId="62094354" w14:textId="5153FBA0" w:rsidR="00A66679" w:rsidRDefault="00A66679" w:rsidP="00A66679">
            <w:r w:rsidRPr="00B4285B">
              <w:t>Expand digital marketing, conduct consumer research, improve communication of responsible drinking benefits</w:t>
            </w:r>
          </w:p>
        </w:tc>
        <w:tc>
          <w:tcPr>
            <w:tcW w:w="1634" w:type="pct"/>
          </w:tcPr>
          <w:p w14:paraId="1868E089" w14:textId="12C58AEC" w:rsidR="00A66679" w:rsidRDefault="00A66679" w:rsidP="00A66679">
            <w:r w:rsidRPr="00B4285B">
              <w:t>Increased awareness and stronger consumer engagement</w:t>
            </w:r>
            <w:r w:rsidR="00790C5B">
              <w:t xml:space="preserve"> (</w:t>
            </w:r>
            <w:r w:rsidR="00790C5B" w:rsidRPr="001730B6">
              <w:rPr>
                <w:szCs w:val="24"/>
              </w:rPr>
              <w:t xml:space="preserve">Wen, and </w:t>
            </w:r>
            <w:proofErr w:type="spellStart"/>
            <w:r w:rsidR="00790C5B" w:rsidRPr="001730B6">
              <w:rPr>
                <w:szCs w:val="24"/>
              </w:rPr>
              <w:t>Södergren</w:t>
            </w:r>
            <w:proofErr w:type="spellEnd"/>
            <w:r w:rsidR="00790C5B" w:rsidRPr="001730B6">
              <w:rPr>
                <w:szCs w:val="24"/>
              </w:rPr>
              <w:t>,</w:t>
            </w:r>
            <w:r w:rsidR="00790C5B">
              <w:rPr>
                <w:szCs w:val="24"/>
              </w:rPr>
              <w:t xml:space="preserve"> 2025</w:t>
            </w:r>
            <w:r w:rsidR="00790C5B">
              <w:t>)</w:t>
            </w:r>
          </w:p>
        </w:tc>
      </w:tr>
      <w:tr w:rsidR="00A66679" w14:paraId="09D528D2" w14:textId="77777777" w:rsidTr="000E7602">
        <w:tc>
          <w:tcPr>
            <w:tcW w:w="873" w:type="pct"/>
          </w:tcPr>
          <w:p w14:paraId="1B973D97" w14:textId="1145B6D5" w:rsidR="00A66679" w:rsidRDefault="00A66679" w:rsidP="00A66679">
            <w:r w:rsidRPr="00B4285B">
              <w:t>Medium term (1–3 years)</w:t>
            </w:r>
          </w:p>
        </w:tc>
        <w:tc>
          <w:tcPr>
            <w:tcW w:w="2494" w:type="pct"/>
          </w:tcPr>
          <w:p w14:paraId="14227C83" w14:textId="3A83D309" w:rsidR="00A66679" w:rsidRDefault="00A66679" w:rsidP="00A66679">
            <w:r w:rsidRPr="00B4285B">
              <w:t>Launch innovative alcohol-free products and improve sustainability practices</w:t>
            </w:r>
          </w:p>
        </w:tc>
        <w:tc>
          <w:tcPr>
            <w:tcW w:w="1634" w:type="pct"/>
          </w:tcPr>
          <w:p w14:paraId="0A0F58FA" w14:textId="6E43C8F3" w:rsidR="00A66679" w:rsidRDefault="00A66679" w:rsidP="00A66679">
            <w:r w:rsidRPr="00B4285B">
              <w:t>Higher market share and stronger differentiation</w:t>
            </w:r>
          </w:p>
        </w:tc>
      </w:tr>
      <w:tr w:rsidR="00A66679" w14:paraId="384B13EC" w14:textId="77777777" w:rsidTr="000E7602">
        <w:tc>
          <w:tcPr>
            <w:tcW w:w="873" w:type="pct"/>
          </w:tcPr>
          <w:p w14:paraId="518BA407" w14:textId="3980F376" w:rsidR="00A66679" w:rsidRDefault="00A66679" w:rsidP="00A66679">
            <w:r w:rsidRPr="00B4285B">
              <w:t>Long term (3–5 years)</w:t>
            </w:r>
          </w:p>
        </w:tc>
        <w:tc>
          <w:tcPr>
            <w:tcW w:w="2494" w:type="pct"/>
          </w:tcPr>
          <w:p w14:paraId="75209308" w14:textId="2308BFF9" w:rsidR="00A66679" w:rsidRDefault="00A66679" w:rsidP="00A66679">
            <w:r w:rsidRPr="00B4285B">
              <w:t>Establish Diageo as a leading UK non-alcoholic beverage provider</w:t>
            </w:r>
          </w:p>
        </w:tc>
        <w:tc>
          <w:tcPr>
            <w:tcW w:w="1634" w:type="pct"/>
          </w:tcPr>
          <w:p w14:paraId="7DB588B9" w14:textId="21B97F96" w:rsidR="00A66679" w:rsidRDefault="00A66679" w:rsidP="00A66679">
            <w:r w:rsidRPr="00B4285B">
              <w:t>Sustainable competitive advantage and category leadership</w:t>
            </w:r>
          </w:p>
        </w:tc>
      </w:tr>
    </w:tbl>
    <w:p w14:paraId="3F677A53" w14:textId="5EF507A8" w:rsidR="00761466" w:rsidRDefault="000E7602" w:rsidP="00480204">
      <w:pPr>
        <w:pStyle w:val="Heading5"/>
      </w:pPr>
      <w:bookmarkStart w:id="28" w:name="_Toc236950544"/>
      <w:r>
        <w:t>Table 5: Implementation plan</w:t>
      </w:r>
      <w:bookmarkEnd w:id="28"/>
      <w:r>
        <w:t xml:space="preserve"> </w:t>
      </w:r>
    </w:p>
    <w:p w14:paraId="4B58BF35" w14:textId="6798A40B" w:rsidR="000E7602" w:rsidRDefault="00785E15" w:rsidP="000E7602">
      <w:pPr>
        <w:jc w:val="center"/>
      </w:pPr>
      <w:r>
        <w:t>(Source: Created by learner in Ms-Word)</w:t>
      </w:r>
    </w:p>
    <w:p w14:paraId="77CE1A48" w14:textId="19141C47" w:rsidR="000F33CF" w:rsidRDefault="000F33CF" w:rsidP="00480204">
      <w:pPr>
        <w:pStyle w:val="Heading3"/>
      </w:pPr>
      <w:bookmarkStart w:id="29" w:name="_Toc236950532"/>
      <w:r>
        <w:t>4.5 Implementation challenges and solutions</w:t>
      </w:r>
      <w:bookmarkEnd w:id="29"/>
      <w:r>
        <w:t xml:space="preserve"> </w:t>
      </w:r>
    </w:p>
    <w:tbl>
      <w:tblPr>
        <w:tblStyle w:val="TableGrid"/>
        <w:tblW w:w="0" w:type="auto"/>
        <w:tblLook w:val="04A0" w:firstRow="1" w:lastRow="0" w:firstColumn="1" w:lastColumn="0" w:noHBand="0" w:noVBand="1"/>
      </w:tblPr>
      <w:tblGrid>
        <w:gridCol w:w="3237"/>
        <w:gridCol w:w="2498"/>
        <w:gridCol w:w="3284"/>
      </w:tblGrid>
      <w:tr w:rsidR="00E47D6C" w:rsidRPr="00E47D6C" w14:paraId="58F2F9E1" w14:textId="77777777" w:rsidTr="00B257C3">
        <w:tc>
          <w:tcPr>
            <w:tcW w:w="0" w:type="auto"/>
          </w:tcPr>
          <w:p w14:paraId="1CF79E0D" w14:textId="33625DA2" w:rsidR="00E47D6C" w:rsidRPr="00E47D6C" w:rsidRDefault="00E47D6C" w:rsidP="00E47D6C">
            <w:pPr>
              <w:jc w:val="center"/>
              <w:rPr>
                <w:b/>
                <w:bCs/>
                <w:i/>
                <w:iCs/>
              </w:rPr>
            </w:pPr>
            <w:r w:rsidRPr="00E47D6C">
              <w:rPr>
                <w:b/>
                <w:bCs/>
                <w:i/>
                <w:iCs/>
              </w:rPr>
              <w:t>Challenge</w:t>
            </w:r>
          </w:p>
        </w:tc>
        <w:tc>
          <w:tcPr>
            <w:tcW w:w="0" w:type="auto"/>
          </w:tcPr>
          <w:p w14:paraId="62772227" w14:textId="18C86082" w:rsidR="00E47D6C" w:rsidRPr="00E47D6C" w:rsidRDefault="00E47D6C" w:rsidP="00E47D6C">
            <w:pPr>
              <w:jc w:val="center"/>
              <w:rPr>
                <w:b/>
                <w:bCs/>
                <w:i/>
                <w:iCs/>
              </w:rPr>
            </w:pPr>
            <w:r w:rsidRPr="00E47D6C">
              <w:rPr>
                <w:b/>
                <w:bCs/>
                <w:i/>
                <w:iCs/>
              </w:rPr>
              <w:t xml:space="preserve">Strategic </w:t>
            </w:r>
            <w:r w:rsidR="0049574C">
              <w:rPr>
                <w:b/>
                <w:bCs/>
                <w:i/>
                <w:iCs/>
              </w:rPr>
              <w:t>r</w:t>
            </w:r>
            <w:r w:rsidRPr="00E47D6C">
              <w:rPr>
                <w:b/>
                <w:bCs/>
                <w:i/>
                <w:iCs/>
              </w:rPr>
              <w:t>isk</w:t>
            </w:r>
          </w:p>
        </w:tc>
        <w:tc>
          <w:tcPr>
            <w:tcW w:w="0" w:type="auto"/>
          </w:tcPr>
          <w:p w14:paraId="0F660C4F" w14:textId="4526CAF0" w:rsidR="00E47D6C" w:rsidRPr="00E47D6C" w:rsidRDefault="00E47D6C" w:rsidP="00E47D6C">
            <w:pPr>
              <w:jc w:val="center"/>
              <w:rPr>
                <w:b/>
                <w:bCs/>
                <w:i/>
                <w:iCs/>
              </w:rPr>
            </w:pPr>
            <w:r w:rsidRPr="00E47D6C">
              <w:rPr>
                <w:b/>
                <w:bCs/>
                <w:i/>
                <w:iCs/>
              </w:rPr>
              <w:t xml:space="preserve">Proposed </w:t>
            </w:r>
            <w:r w:rsidR="00B257C3">
              <w:rPr>
                <w:b/>
                <w:bCs/>
                <w:i/>
                <w:iCs/>
              </w:rPr>
              <w:t>s</w:t>
            </w:r>
            <w:r w:rsidRPr="00E47D6C">
              <w:rPr>
                <w:b/>
                <w:bCs/>
                <w:i/>
                <w:iCs/>
              </w:rPr>
              <w:t>olution</w:t>
            </w:r>
          </w:p>
        </w:tc>
      </w:tr>
      <w:tr w:rsidR="00E47D6C" w14:paraId="5C9B967B" w14:textId="77777777" w:rsidTr="00B257C3">
        <w:tc>
          <w:tcPr>
            <w:tcW w:w="0" w:type="auto"/>
          </w:tcPr>
          <w:p w14:paraId="7C691C01" w14:textId="5B8F9681" w:rsidR="00E47D6C" w:rsidRDefault="00E47D6C" w:rsidP="00E47D6C">
            <w:r w:rsidRPr="00624B14">
              <w:t>Strong competition from global and specialist brands</w:t>
            </w:r>
          </w:p>
        </w:tc>
        <w:tc>
          <w:tcPr>
            <w:tcW w:w="0" w:type="auto"/>
          </w:tcPr>
          <w:p w14:paraId="67644873" w14:textId="2E8DC3C8" w:rsidR="00E47D6C" w:rsidRDefault="00E47D6C" w:rsidP="00E47D6C">
            <w:r w:rsidRPr="00624B14">
              <w:t>Loss of market share</w:t>
            </w:r>
          </w:p>
        </w:tc>
        <w:tc>
          <w:tcPr>
            <w:tcW w:w="0" w:type="auto"/>
          </w:tcPr>
          <w:p w14:paraId="0D3C47CF" w14:textId="0F9C9F3C" w:rsidR="00E47D6C" w:rsidRDefault="00E47D6C" w:rsidP="00E47D6C">
            <w:r w:rsidRPr="00624B14">
              <w:t>Continuous innovation and stronger differentiation</w:t>
            </w:r>
          </w:p>
        </w:tc>
      </w:tr>
      <w:tr w:rsidR="00E47D6C" w14:paraId="5118938E" w14:textId="77777777" w:rsidTr="00B257C3">
        <w:tc>
          <w:tcPr>
            <w:tcW w:w="0" w:type="auto"/>
          </w:tcPr>
          <w:p w14:paraId="57E8D50F" w14:textId="06957088" w:rsidR="00E47D6C" w:rsidRDefault="00E47D6C" w:rsidP="00E47D6C">
            <w:r w:rsidRPr="00624B14">
              <w:t>Consumer perception of Diageo as an alcohol-focused company</w:t>
            </w:r>
          </w:p>
        </w:tc>
        <w:tc>
          <w:tcPr>
            <w:tcW w:w="0" w:type="auto"/>
          </w:tcPr>
          <w:p w14:paraId="1A427B44" w14:textId="2E0AB992" w:rsidR="00E47D6C" w:rsidRDefault="00E47D6C" w:rsidP="00E47D6C">
            <w:r w:rsidRPr="00624B14">
              <w:t>Reduced trust among wellness consumers</w:t>
            </w:r>
          </w:p>
        </w:tc>
        <w:tc>
          <w:tcPr>
            <w:tcW w:w="0" w:type="auto"/>
          </w:tcPr>
          <w:p w14:paraId="037F98E1" w14:textId="6C7DD74D" w:rsidR="00E47D6C" w:rsidRDefault="00E47D6C" w:rsidP="00E47D6C">
            <w:r w:rsidRPr="00624B14">
              <w:t>Increase responsible drinking campaigns and transparency</w:t>
            </w:r>
          </w:p>
        </w:tc>
      </w:tr>
      <w:tr w:rsidR="00E47D6C" w14:paraId="002CDB7C" w14:textId="77777777" w:rsidTr="00B257C3">
        <w:tc>
          <w:tcPr>
            <w:tcW w:w="0" w:type="auto"/>
          </w:tcPr>
          <w:p w14:paraId="36E181AF" w14:textId="32B986D5" w:rsidR="00E47D6C" w:rsidRDefault="00E47D6C" w:rsidP="00E47D6C">
            <w:r w:rsidRPr="00624B14">
              <w:t>High production and technology costs</w:t>
            </w:r>
          </w:p>
        </w:tc>
        <w:tc>
          <w:tcPr>
            <w:tcW w:w="0" w:type="auto"/>
          </w:tcPr>
          <w:p w14:paraId="0438DAEA" w14:textId="1276558D" w:rsidR="00E47D6C" w:rsidRDefault="00E47D6C" w:rsidP="00E47D6C">
            <w:r w:rsidRPr="00624B14">
              <w:t>Reduced profitability</w:t>
            </w:r>
          </w:p>
        </w:tc>
        <w:tc>
          <w:tcPr>
            <w:tcW w:w="0" w:type="auto"/>
          </w:tcPr>
          <w:p w14:paraId="1432E94D" w14:textId="60BCB03A" w:rsidR="00E47D6C" w:rsidRDefault="00E47D6C" w:rsidP="00E47D6C">
            <w:r w:rsidRPr="00624B14">
              <w:t>Improve operational efficiency and supply chain management</w:t>
            </w:r>
          </w:p>
        </w:tc>
      </w:tr>
      <w:tr w:rsidR="00E47D6C" w14:paraId="3DAF1D70" w14:textId="77777777" w:rsidTr="00B257C3">
        <w:tc>
          <w:tcPr>
            <w:tcW w:w="0" w:type="auto"/>
          </w:tcPr>
          <w:p w14:paraId="53ECD37A" w14:textId="41C18F24" w:rsidR="00E47D6C" w:rsidRDefault="00E47D6C" w:rsidP="00E47D6C">
            <w:r w:rsidRPr="00624B14">
              <w:t>Maintaining taste quality in alcohol-free products</w:t>
            </w:r>
          </w:p>
        </w:tc>
        <w:tc>
          <w:tcPr>
            <w:tcW w:w="0" w:type="auto"/>
          </w:tcPr>
          <w:p w14:paraId="3F79C856" w14:textId="399D2B66" w:rsidR="00E47D6C" w:rsidRDefault="00E47D6C" w:rsidP="00E47D6C">
            <w:r w:rsidRPr="00624B14">
              <w:t>Lower customer acceptance</w:t>
            </w:r>
          </w:p>
        </w:tc>
        <w:tc>
          <w:tcPr>
            <w:tcW w:w="0" w:type="auto"/>
          </w:tcPr>
          <w:p w14:paraId="3E076B60" w14:textId="5D96C14B" w:rsidR="00E47D6C" w:rsidRDefault="00E47D6C" w:rsidP="00E47D6C">
            <w:r w:rsidRPr="00624B14">
              <w:t>Invest in research and advanced production technology</w:t>
            </w:r>
          </w:p>
        </w:tc>
      </w:tr>
    </w:tbl>
    <w:p w14:paraId="644031F8" w14:textId="604E3677" w:rsidR="00B257C3" w:rsidRDefault="00B257C3" w:rsidP="00480204">
      <w:pPr>
        <w:pStyle w:val="Heading5"/>
      </w:pPr>
      <w:bookmarkStart w:id="30" w:name="_Toc236950545"/>
      <w:r>
        <w:t>Table 6: Implementation challenges and solutions</w:t>
      </w:r>
      <w:bookmarkEnd w:id="30"/>
    </w:p>
    <w:p w14:paraId="29F0EC24" w14:textId="4B261DFC" w:rsidR="00B257C3" w:rsidRDefault="00B257C3" w:rsidP="00B257C3">
      <w:pPr>
        <w:jc w:val="center"/>
      </w:pPr>
      <w:r>
        <w:t>(Source: Created by learner in Ms-Word)</w:t>
      </w:r>
    </w:p>
    <w:p w14:paraId="2AE2C45D" w14:textId="29047607" w:rsidR="0033612C" w:rsidRPr="00B257C3" w:rsidRDefault="0082418E" w:rsidP="0082418E">
      <w:r w:rsidRPr="0082418E">
        <w:t>In summary, growth strategy based on differentiation will give best fit for Diageo in UK non-alcoholic beverages business. This will capitalize on Diageo's strengths</w:t>
      </w:r>
      <w:r w:rsidR="00E55430">
        <w:t>,</w:t>
      </w:r>
      <w:r w:rsidRPr="0082418E">
        <w:t xml:space="preserve"> while </w:t>
      </w:r>
      <w:r w:rsidR="004F7615">
        <w:t>considering</w:t>
      </w:r>
      <w:r w:rsidRPr="0082418E">
        <w:t xml:space="preserve"> opportunities that have been created in market </w:t>
      </w:r>
      <w:r w:rsidR="00C0450C">
        <w:t>due to</w:t>
      </w:r>
      <w:r w:rsidRPr="0082418E">
        <w:t xml:space="preserve"> changed consumer behaviour.</w:t>
      </w:r>
    </w:p>
    <w:p w14:paraId="63501B8F" w14:textId="678A89EA" w:rsidR="00230D96" w:rsidRPr="004779D8" w:rsidRDefault="0045087E" w:rsidP="00A067CA">
      <w:pPr>
        <w:jc w:val="center"/>
      </w:pPr>
      <w:r>
        <w:br w:type="page"/>
      </w:r>
    </w:p>
    <w:p w14:paraId="133E26DD" w14:textId="77777777" w:rsidR="00230D96" w:rsidRDefault="0045087E" w:rsidP="00E679E6">
      <w:pPr>
        <w:pStyle w:val="Heading1"/>
      </w:pPr>
      <w:bookmarkStart w:id="31" w:name="_Toc236950533"/>
      <w:r>
        <w:t>Section 2: Reflective Account</w:t>
      </w:r>
      <w:bookmarkEnd w:id="31"/>
    </w:p>
    <w:p w14:paraId="5265A947" w14:textId="030BCDF6" w:rsidR="00230D96" w:rsidRDefault="0045087E">
      <w:pPr>
        <w:spacing w:before="200"/>
        <w:rPr>
          <w:szCs w:val="24"/>
        </w:rPr>
      </w:pPr>
      <w:r>
        <w:rPr>
          <w:szCs w:val="24"/>
        </w:rPr>
        <w:t xml:space="preserve">Using Kolb's reflective cycle model described, </w:t>
      </w:r>
      <w:r w:rsidR="00E679E6">
        <w:rPr>
          <w:szCs w:val="24"/>
        </w:rPr>
        <w:t>t</w:t>
      </w:r>
      <w:r>
        <w:rPr>
          <w:szCs w:val="24"/>
        </w:rPr>
        <w:t>his reflective exercise examines and critically presents the learning experience and the broader process of conducting the research for the report.</w:t>
      </w:r>
    </w:p>
    <w:p w14:paraId="211BDD17" w14:textId="77777777" w:rsidR="00230D96" w:rsidRDefault="0045087E">
      <w:pPr>
        <w:spacing w:before="200"/>
        <w:rPr>
          <w:szCs w:val="24"/>
        </w:rPr>
      </w:pPr>
      <w:r>
        <w:rPr>
          <w:b/>
          <w:bCs/>
          <w:i/>
          <w:iCs/>
          <w:szCs w:val="24"/>
          <w:u w:val="single"/>
        </w:rPr>
        <w:t>Concrete Experience</w:t>
      </w:r>
      <w:r>
        <w:rPr>
          <w:szCs w:val="24"/>
        </w:rPr>
        <w:t>:</w:t>
      </w:r>
    </w:p>
    <w:p w14:paraId="44FD7C18" w14:textId="17441EEA" w:rsidR="00230D96" w:rsidRDefault="0045087E">
      <w:pPr>
        <w:spacing w:before="200"/>
        <w:rPr>
          <w:szCs w:val="24"/>
        </w:rPr>
      </w:pPr>
      <w:r>
        <w:rPr>
          <w:szCs w:val="24"/>
        </w:rPr>
        <w:t>In order to complete the Business Report and strategic analysis, I have first undertaken a thorough research on notable business models, industries in the UK market</w:t>
      </w:r>
      <w:r w:rsidR="00E679E6">
        <w:rPr>
          <w:szCs w:val="24"/>
        </w:rPr>
        <w:t>,</w:t>
      </w:r>
      <w:r>
        <w:rPr>
          <w:szCs w:val="24"/>
        </w:rPr>
        <w:t xml:space="preserve"> along with notable brands across some of the most successful product and service categories. In doing so</w:t>
      </w:r>
      <w:r w:rsidR="00E679E6">
        <w:rPr>
          <w:szCs w:val="24"/>
        </w:rPr>
        <w:t>,</w:t>
      </w:r>
      <w:r>
        <w:rPr>
          <w:szCs w:val="24"/>
        </w:rPr>
        <w:t xml:space="preserve"> I </w:t>
      </w:r>
      <w:r w:rsidR="00E679E6">
        <w:rPr>
          <w:szCs w:val="24"/>
        </w:rPr>
        <w:t>realised</w:t>
      </w:r>
      <w:r>
        <w:rPr>
          <w:szCs w:val="24"/>
        </w:rPr>
        <w:t xml:space="preserve"> that my screening process highlighted multiple potential businesses that can be used as the focus for this strategic analysis. Especially the importance of maintaining academic </w:t>
      </w:r>
      <w:r w:rsidR="00E679E6">
        <w:rPr>
          <w:szCs w:val="24"/>
        </w:rPr>
        <w:t>rigour</w:t>
      </w:r>
      <w:r>
        <w:rPr>
          <w:szCs w:val="24"/>
        </w:rPr>
        <w:t xml:space="preserve"> and </w:t>
      </w:r>
      <w:r w:rsidR="00E679E6">
        <w:rPr>
          <w:szCs w:val="24"/>
        </w:rPr>
        <w:t>evidence-based</w:t>
      </w:r>
      <w:r>
        <w:rPr>
          <w:szCs w:val="24"/>
        </w:rPr>
        <w:t xml:space="preserve"> justification, I observed that the selection of the business and its reported data were crucial for preparing the work.</w:t>
      </w:r>
      <w:r w:rsidR="00E679E6">
        <w:rPr>
          <w:szCs w:val="24"/>
        </w:rPr>
        <w:t xml:space="preserve"> Moreover, as I continue to undertake my personal analysis on the research work itself regarding the business model and the products and performance of Diageo PLC, I realised how my interpretations were falling short on providing the needed criticality instead of simply reiterating the observations I have made from the reports. As a result, I decided to reflect more thoroughly on adding interpretations and discussions of the evidence I have presented. Reflecting on this experience, I have identified a few approaches that I have taken before which required improvements so that such mistakes do not happen again.</w:t>
      </w:r>
    </w:p>
    <w:p w14:paraId="4B8E7C29" w14:textId="77777777" w:rsidR="00230D96" w:rsidRDefault="0045087E">
      <w:pPr>
        <w:spacing w:before="200"/>
        <w:rPr>
          <w:szCs w:val="24"/>
        </w:rPr>
      </w:pPr>
      <w:r>
        <w:rPr>
          <w:b/>
          <w:bCs/>
          <w:i/>
          <w:iCs/>
          <w:szCs w:val="24"/>
          <w:u w:val="single"/>
        </w:rPr>
        <w:t>Reflective Observation</w:t>
      </w:r>
      <w:r>
        <w:rPr>
          <w:szCs w:val="24"/>
        </w:rPr>
        <w:t>:</w:t>
      </w:r>
    </w:p>
    <w:p w14:paraId="343E09C3" w14:textId="5806A054" w:rsidR="00230D96" w:rsidRDefault="0045087E">
      <w:pPr>
        <w:spacing w:before="200"/>
        <w:rPr>
          <w:szCs w:val="24"/>
        </w:rPr>
      </w:pPr>
      <w:r>
        <w:rPr>
          <w:szCs w:val="24"/>
        </w:rPr>
        <w:t>Although I initially expected my analysis process to involve organization specific data only which is why I collected and thoroughly analyse Diageo's annual report and published risk report to gain a better understanding of the company's challenges and opportunities, I soon realized that my understanding was mistaken as a broader industry specific analysis required me to also consider competitor brands and their product and service positioning in the UK market as well. I understood that in order for the strategic analysis and the research process to be thorough and supported with updated information, I had taken a much more critical approach which synthesises evidence rather than following a descriptive approach (</w:t>
      </w:r>
      <w:proofErr w:type="spellStart"/>
      <w:r>
        <w:rPr>
          <w:szCs w:val="24"/>
        </w:rPr>
        <w:t>Suleimanova</w:t>
      </w:r>
      <w:proofErr w:type="spellEnd"/>
      <w:r>
        <w:rPr>
          <w:szCs w:val="24"/>
        </w:rPr>
        <w:t xml:space="preserve"> and </w:t>
      </w:r>
      <w:proofErr w:type="spellStart"/>
      <w:r>
        <w:rPr>
          <w:szCs w:val="24"/>
        </w:rPr>
        <w:t>Lykova</w:t>
      </w:r>
      <w:proofErr w:type="spellEnd"/>
      <w:r>
        <w:rPr>
          <w:szCs w:val="24"/>
        </w:rPr>
        <w:t xml:space="preserve">, 2023). Considering that I understand that holistic analysis is important for preparing such </w:t>
      </w:r>
      <w:r w:rsidR="00E679E6">
        <w:rPr>
          <w:szCs w:val="24"/>
        </w:rPr>
        <w:t xml:space="preserve">a </w:t>
      </w:r>
      <w:r>
        <w:rPr>
          <w:szCs w:val="24"/>
        </w:rPr>
        <w:t xml:space="preserve">business report, I believe that I misunderstood such academic work due to its overly </w:t>
      </w:r>
      <w:r w:rsidR="00E679E6">
        <w:rPr>
          <w:szCs w:val="24"/>
        </w:rPr>
        <w:t>concept-specific</w:t>
      </w:r>
      <w:r>
        <w:rPr>
          <w:szCs w:val="24"/>
        </w:rPr>
        <w:t xml:space="preserve"> emphasis in its assignment requirements</w:t>
      </w:r>
      <w:r w:rsidR="00E679E6">
        <w:rPr>
          <w:szCs w:val="24"/>
        </w:rPr>
        <w:t>,</w:t>
      </w:r>
      <w:r>
        <w:rPr>
          <w:szCs w:val="24"/>
        </w:rPr>
        <w:t xml:space="preserve"> which made me believe that the focus on the business itself is </w:t>
      </w:r>
      <w:r w:rsidR="00E679E6">
        <w:rPr>
          <w:szCs w:val="24"/>
        </w:rPr>
        <w:t>prioritised</w:t>
      </w:r>
      <w:r>
        <w:rPr>
          <w:szCs w:val="24"/>
        </w:rPr>
        <w:t xml:space="preserve"> over justification and the rationale of the discussion that is required to reach that conclusion.</w:t>
      </w:r>
    </w:p>
    <w:p w14:paraId="4B0941A6" w14:textId="1B2C22A1" w:rsidR="00230D96" w:rsidRDefault="0045087E">
      <w:pPr>
        <w:spacing w:before="200"/>
        <w:rPr>
          <w:szCs w:val="24"/>
        </w:rPr>
      </w:pPr>
      <w:r>
        <w:rPr>
          <w:b/>
          <w:bCs/>
          <w:i/>
          <w:iCs/>
          <w:szCs w:val="24"/>
          <w:u w:val="single"/>
        </w:rPr>
        <w:t xml:space="preserve">Abstract </w:t>
      </w:r>
      <w:r w:rsidR="00E679E6">
        <w:rPr>
          <w:b/>
          <w:bCs/>
          <w:i/>
          <w:iCs/>
          <w:szCs w:val="24"/>
          <w:u w:val="single"/>
        </w:rPr>
        <w:t>Conceptualisation</w:t>
      </w:r>
      <w:r>
        <w:rPr>
          <w:szCs w:val="24"/>
        </w:rPr>
        <w:t>:</w:t>
      </w:r>
    </w:p>
    <w:p w14:paraId="3D2865E8" w14:textId="78876A65" w:rsidR="00230D96" w:rsidRDefault="0045087E">
      <w:pPr>
        <w:spacing w:before="200"/>
        <w:rPr>
          <w:szCs w:val="24"/>
        </w:rPr>
      </w:pPr>
      <w:r>
        <w:rPr>
          <w:szCs w:val="24"/>
        </w:rPr>
        <w:t xml:space="preserve">Reflecting on this experience of conducting the research, </w:t>
      </w:r>
      <w:r w:rsidR="00E679E6">
        <w:rPr>
          <w:szCs w:val="24"/>
        </w:rPr>
        <w:t>familiarisation</w:t>
      </w:r>
      <w:r>
        <w:rPr>
          <w:szCs w:val="24"/>
        </w:rPr>
        <w:t xml:space="preserve"> with the concepts covered in the available evidence and then writing the preliminary structure and then the critical analysis across the required Business Report made me </w:t>
      </w:r>
      <w:r w:rsidR="00E679E6">
        <w:rPr>
          <w:szCs w:val="24"/>
        </w:rPr>
        <w:t>realise</w:t>
      </w:r>
      <w:r>
        <w:rPr>
          <w:szCs w:val="24"/>
        </w:rPr>
        <w:t xml:space="preserve"> that</w:t>
      </w:r>
      <w:r w:rsidR="00E679E6">
        <w:rPr>
          <w:szCs w:val="24"/>
        </w:rPr>
        <w:t>,</w:t>
      </w:r>
      <w:r>
        <w:rPr>
          <w:szCs w:val="24"/>
        </w:rPr>
        <w:t xml:space="preserve"> similar to my approach to writing, I could improve my approach to learning and critical synthesis as well. This experience has given me an opportunity to understand that I should have a focus on reading the published report and information from the </w:t>
      </w:r>
      <w:r w:rsidR="00E679E6">
        <w:rPr>
          <w:szCs w:val="24"/>
        </w:rPr>
        <w:t>organisation</w:t>
      </w:r>
      <w:r>
        <w:rPr>
          <w:szCs w:val="24"/>
        </w:rPr>
        <w:t xml:space="preserve"> while actively questioning its practicality against the business objectives and my </w:t>
      </w:r>
      <w:r w:rsidR="00E679E6">
        <w:rPr>
          <w:szCs w:val="24"/>
        </w:rPr>
        <w:t>organisational</w:t>
      </w:r>
      <w:r>
        <w:rPr>
          <w:szCs w:val="24"/>
        </w:rPr>
        <w:t xml:space="preserve"> analysis focus. This constructive process of writing would have helped me build my critical arguments more cohesively (Spivey, 1990). This would have not only provided me with better criticality right away when preparing the report materials but would have also helped to note down the most important findings from the available information to structure </w:t>
      </w:r>
      <w:r w:rsidR="00E679E6">
        <w:rPr>
          <w:szCs w:val="24"/>
        </w:rPr>
        <w:t>my</w:t>
      </w:r>
      <w:r>
        <w:rPr>
          <w:szCs w:val="24"/>
        </w:rPr>
        <w:t xml:space="preserve"> report around them. Reflecting on the process of my preparation for this business report has also given me an opportunity to understand that I </w:t>
      </w:r>
      <w:r w:rsidR="00E679E6">
        <w:rPr>
          <w:szCs w:val="24"/>
        </w:rPr>
        <w:t>emphasised</w:t>
      </w:r>
      <w:r>
        <w:rPr>
          <w:szCs w:val="24"/>
        </w:rPr>
        <w:t xml:space="preserve"> excessively on preparing report materials</w:t>
      </w:r>
      <w:r w:rsidR="00E679E6">
        <w:rPr>
          <w:szCs w:val="24"/>
        </w:rPr>
        <w:t>,</w:t>
      </w:r>
      <w:r>
        <w:rPr>
          <w:szCs w:val="24"/>
        </w:rPr>
        <w:t xml:space="preserve"> which led me to misunderstand and shift my focus away from examining deeper into the reported evidence. This has meant that although I improved and amended many of my writing to keep it critical, my analysis could have benefited </w:t>
      </w:r>
      <w:r w:rsidR="00E679E6">
        <w:rPr>
          <w:szCs w:val="24"/>
        </w:rPr>
        <w:t>from</w:t>
      </w:r>
      <w:r>
        <w:rPr>
          <w:szCs w:val="24"/>
        </w:rPr>
        <w:t xml:space="preserve"> deeper insights into the non-alcoholic beverage market of the UK and could have used more supporting evidence instead of </w:t>
      </w:r>
      <w:r w:rsidR="00E679E6">
        <w:rPr>
          <w:szCs w:val="24"/>
        </w:rPr>
        <w:t>business-specific</w:t>
      </w:r>
      <w:r>
        <w:rPr>
          <w:szCs w:val="24"/>
        </w:rPr>
        <w:t xml:space="preserve"> data.</w:t>
      </w:r>
    </w:p>
    <w:p w14:paraId="51DA3EA3" w14:textId="77777777" w:rsidR="00230D96" w:rsidRDefault="0045087E">
      <w:pPr>
        <w:spacing w:before="200"/>
        <w:rPr>
          <w:szCs w:val="24"/>
        </w:rPr>
      </w:pPr>
      <w:r>
        <w:rPr>
          <w:b/>
          <w:bCs/>
          <w:i/>
          <w:iCs/>
          <w:szCs w:val="24"/>
          <w:u w:val="single"/>
        </w:rPr>
        <w:t>Active Experimentation</w:t>
      </w:r>
      <w:r>
        <w:rPr>
          <w:szCs w:val="24"/>
        </w:rPr>
        <w:t>:</w:t>
      </w:r>
    </w:p>
    <w:p w14:paraId="3CA1C663" w14:textId="46E4AE9D" w:rsidR="00230D96" w:rsidRDefault="0045087E">
      <w:pPr>
        <w:spacing w:before="200"/>
        <w:rPr>
          <w:szCs w:val="24"/>
        </w:rPr>
      </w:pPr>
      <w:r>
        <w:rPr>
          <w:szCs w:val="24"/>
        </w:rPr>
        <w:t xml:space="preserve">This understanding has made me </w:t>
      </w:r>
      <w:r w:rsidR="00E679E6">
        <w:rPr>
          <w:szCs w:val="24"/>
        </w:rPr>
        <w:t>realise</w:t>
      </w:r>
      <w:r>
        <w:rPr>
          <w:szCs w:val="24"/>
        </w:rPr>
        <w:t xml:space="preserve"> I can focus more on critical analysis and depth in future when I conduct more independent study and research into business cases and </w:t>
      </w:r>
      <w:r w:rsidR="00E679E6">
        <w:rPr>
          <w:szCs w:val="24"/>
        </w:rPr>
        <w:t>organisational</w:t>
      </w:r>
      <w:r>
        <w:rPr>
          <w:szCs w:val="24"/>
        </w:rPr>
        <w:t xml:space="preserve"> examples. I have decided that going forward I will first identify the key areas of inquiry for my business report before studying </w:t>
      </w:r>
      <w:r w:rsidR="00E679E6">
        <w:rPr>
          <w:szCs w:val="24"/>
        </w:rPr>
        <w:t>the independent</w:t>
      </w:r>
      <w:r>
        <w:rPr>
          <w:szCs w:val="24"/>
        </w:rPr>
        <w:t xml:space="preserve"> data and reports published publicly. I will then bring the identified inquiries and the evidence I have </w:t>
      </w:r>
      <w:r w:rsidR="00E679E6">
        <w:rPr>
          <w:szCs w:val="24"/>
        </w:rPr>
        <w:t>analysed</w:t>
      </w:r>
      <w:r>
        <w:rPr>
          <w:szCs w:val="24"/>
        </w:rPr>
        <w:t xml:space="preserve"> together to highlight specific areas which require more inquiries and analysis and areas which showcase sufficient clarity to report on </w:t>
      </w:r>
      <w:r w:rsidR="00E679E6">
        <w:rPr>
          <w:szCs w:val="24"/>
        </w:rPr>
        <w:t>their</w:t>
      </w:r>
      <w:r>
        <w:rPr>
          <w:szCs w:val="24"/>
        </w:rPr>
        <w:t xml:space="preserve"> observations. This way I will be able to maintain criticality in every aspect of my Business Report writing while also improving my own understanding of the concepts.</w:t>
      </w:r>
      <w:r>
        <w:br w:type="page"/>
      </w:r>
    </w:p>
    <w:p w14:paraId="25448F45" w14:textId="77777777" w:rsidR="00230D96" w:rsidRDefault="0045087E" w:rsidP="00E679E6">
      <w:pPr>
        <w:pStyle w:val="Heading1"/>
      </w:pPr>
      <w:bookmarkStart w:id="32" w:name="_Toc236950534"/>
      <w:r>
        <w:t>Reference</w:t>
      </w:r>
      <w:bookmarkEnd w:id="32"/>
    </w:p>
    <w:p w14:paraId="0947E820" w14:textId="77777777" w:rsidR="005C2AAE" w:rsidRDefault="005C2AAE">
      <w:pPr>
        <w:shd w:val="clear" w:color="auto" w:fill="FFFFFF"/>
        <w:spacing w:before="220" w:after="220"/>
        <w:rPr>
          <w:color w:val="222222"/>
          <w:szCs w:val="24"/>
          <w:highlight w:val="white"/>
        </w:rPr>
      </w:pPr>
      <w:r>
        <w:rPr>
          <w:color w:val="222222"/>
          <w:szCs w:val="24"/>
          <w:highlight w:val="white"/>
        </w:rPr>
        <w:t>Ab-</w:t>
      </w:r>
      <w:proofErr w:type="spellStart"/>
      <w:r>
        <w:rPr>
          <w:color w:val="222222"/>
          <w:szCs w:val="24"/>
          <w:highlight w:val="white"/>
        </w:rPr>
        <w:t>InBev</w:t>
      </w:r>
      <w:proofErr w:type="spellEnd"/>
      <w:r>
        <w:rPr>
          <w:color w:val="222222"/>
          <w:szCs w:val="24"/>
          <w:highlight w:val="white"/>
        </w:rPr>
        <w:t xml:space="preserve">, (2023). AB </w:t>
      </w:r>
      <w:proofErr w:type="spellStart"/>
      <w:r>
        <w:rPr>
          <w:color w:val="222222"/>
          <w:szCs w:val="24"/>
          <w:highlight w:val="white"/>
        </w:rPr>
        <w:t>InBev</w:t>
      </w:r>
      <w:proofErr w:type="spellEnd"/>
      <w:r>
        <w:rPr>
          <w:color w:val="222222"/>
          <w:szCs w:val="24"/>
          <w:highlight w:val="white"/>
        </w:rPr>
        <w:t xml:space="preserve"> invests €31 million in tech, including for the brewing of no-alcohol beers. Available at: </w:t>
      </w:r>
      <w:hyperlink r:id="rId14">
        <w:r>
          <w:rPr>
            <w:color w:val="1155CC"/>
            <w:szCs w:val="24"/>
            <w:highlight w:val="white"/>
            <w:u w:val="single"/>
          </w:rPr>
          <w:t>https://www.ab-inbev.com/news-media/news-stories/belgiumbreweryinvestment</w:t>
        </w:r>
      </w:hyperlink>
      <w:r>
        <w:rPr>
          <w:color w:val="222222"/>
          <w:szCs w:val="24"/>
          <w:highlight w:val="white"/>
        </w:rPr>
        <w:t xml:space="preserve"> (Accessed: August 6, 2026).</w:t>
      </w:r>
    </w:p>
    <w:p w14:paraId="26A0CCB9" w14:textId="77777777" w:rsidR="005C2AAE" w:rsidRDefault="005C2AAE">
      <w:pPr>
        <w:shd w:val="clear" w:color="auto" w:fill="FFFFFF"/>
        <w:spacing w:before="220" w:after="220"/>
        <w:rPr>
          <w:color w:val="222222"/>
          <w:szCs w:val="24"/>
          <w:highlight w:val="white"/>
        </w:rPr>
      </w:pPr>
      <w:r>
        <w:rPr>
          <w:color w:val="222222"/>
          <w:szCs w:val="24"/>
          <w:highlight w:val="white"/>
        </w:rPr>
        <w:t xml:space="preserve">Bayley, J. (2026) UK alcohol tax revenue falls £285m despite higher duty rates, The Drinks Business. Available at: </w:t>
      </w:r>
      <w:hyperlink r:id="rId15">
        <w:r>
          <w:rPr>
            <w:color w:val="1155CC"/>
            <w:szCs w:val="24"/>
            <w:highlight w:val="white"/>
            <w:u w:val="single"/>
          </w:rPr>
          <w:t>https://www.thedrinksbusiness.com/2026/02/uk-alcohol-tax-revenue-falls-285m-despite-higher-duty-rates/</w:t>
        </w:r>
      </w:hyperlink>
      <w:r>
        <w:rPr>
          <w:color w:val="222222"/>
          <w:szCs w:val="24"/>
          <w:highlight w:val="white"/>
        </w:rPr>
        <w:t xml:space="preserve"> (Accessed: August 6, 2026).</w:t>
      </w:r>
    </w:p>
    <w:p w14:paraId="01DA986C" w14:textId="77777777" w:rsidR="005C2AAE" w:rsidRDefault="005C2AAE">
      <w:pPr>
        <w:shd w:val="clear" w:color="auto" w:fill="FFFFFF"/>
        <w:spacing w:before="220" w:after="220"/>
        <w:rPr>
          <w:color w:val="222222"/>
          <w:szCs w:val="24"/>
          <w:highlight w:val="white"/>
        </w:rPr>
      </w:pPr>
      <w:r>
        <w:rPr>
          <w:color w:val="222222"/>
          <w:szCs w:val="24"/>
          <w:highlight w:val="white"/>
        </w:rPr>
        <w:t xml:space="preserve">Beer Guild, (2025). 2025 is a Record Year for the No and Low Beer Market With 200 Million Pints Sold, New BBPA Figures Reveal. Available at: </w:t>
      </w:r>
      <w:hyperlink r:id="rId16">
        <w:r>
          <w:rPr>
            <w:color w:val="1155CC"/>
            <w:szCs w:val="24"/>
            <w:highlight w:val="white"/>
            <w:u w:val="single"/>
          </w:rPr>
          <w:t>https://www.beerguild.co.uk/news/2025-is-a-record-year-for-the-no-and-low-beer-market-with-200-million-pints-sold-new-bbpa-figures-r</w:t>
        </w:r>
      </w:hyperlink>
      <w:r>
        <w:rPr>
          <w:color w:val="222222"/>
          <w:szCs w:val="24"/>
          <w:highlight w:val="white"/>
        </w:rPr>
        <w:t xml:space="preserve"> (Accessed: August 6, 2026).</w:t>
      </w:r>
    </w:p>
    <w:p w14:paraId="3A161817" w14:textId="77777777" w:rsidR="005C2AAE" w:rsidRDefault="005C2AAE">
      <w:pPr>
        <w:shd w:val="clear" w:color="auto" w:fill="FFFFFF"/>
        <w:spacing w:before="220" w:after="220"/>
        <w:rPr>
          <w:color w:val="222222"/>
          <w:szCs w:val="24"/>
          <w:highlight w:val="white"/>
        </w:rPr>
      </w:pPr>
      <w:r>
        <w:rPr>
          <w:color w:val="222222"/>
          <w:szCs w:val="24"/>
          <w:highlight w:val="white"/>
        </w:rPr>
        <w:t xml:space="preserve">Beeson. J., (2024). Guinness 0.0 leapfrogs Heineken 0.0 to become UK’s biggest alcohol-free beer. Available at: </w:t>
      </w:r>
      <w:hyperlink r:id="rId17">
        <w:r>
          <w:rPr>
            <w:color w:val="1155CC"/>
            <w:szCs w:val="24"/>
            <w:highlight w:val="white"/>
            <w:u w:val="single"/>
          </w:rPr>
          <w:t>https://www.thegrocer.co.uk/news/guinness-00-leapfrogs-heineken-00-to-become-uks-biggest-alcohol-free-beer/693924.article</w:t>
        </w:r>
      </w:hyperlink>
      <w:r>
        <w:rPr>
          <w:color w:val="222222"/>
          <w:szCs w:val="24"/>
          <w:highlight w:val="white"/>
        </w:rPr>
        <w:t xml:space="preserve"> (Accessed: Aug 6, 2026).</w:t>
      </w:r>
    </w:p>
    <w:p w14:paraId="7CA6EE50" w14:textId="77777777" w:rsidR="005C2AAE" w:rsidRDefault="005C2AAE">
      <w:pPr>
        <w:shd w:val="clear" w:color="auto" w:fill="FFFFFF"/>
        <w:spacing w:before="220" w:after="220"/>
        <w:rPr>
          <w:color w:val="222222"/>
          <w:szCs w:val="24"/>
          <w:highlight w:val="white"/>
        </w:rPr>
      </w:pPr>
      <w:r>
        <w:rPr>
          <w:color w:val="222222"/>
          <w:szCs w:val="24"/>
          <w:highlight w:val="white"/>
        </w:rPr>
        <w:t xml:space="preserve">Chapman, T. (2025) Diageo: Emissions Targets Slashed Amid Global Uncertainty, </w:t>
      </w:r>
      <w:proofErr w:type="spellStart"/>
      <w:r>
        <w:rPr>
          <w:color w:val="222222"/>
          <w:szCs w:val="24"/>
          <w:highlight w:val="white"/>
        </w:rPr>
        <w:t>Bizclik</w:t>
      </w:r>
      <w:proofErr w:type="spellEnd"/>
      <w:r>
        <w:rPr>
          <w:color w:val="222222"/>
          <w:szCs w:val="24"/>
          <w:highlight w:val="white"/>
        </w:rPr>
        <w:t xml:space="preserve"> Media Ltd. Available at: </w:t>
      </w:r>
      <w:hyperlink r:id="rId18">
        <w:r>
          <w:rPr>
            <w:color w:val="1155CC"/>
            <w:szCs w:val="24"/>
            <w:highlight w:val="white"/>
            <w:u w:val="single"/>
          </w:rPr>
          <w:t>https://procurementmag.com/news/why-has-diageo-slashed-so-many-key-sustainability-targets</w:t>
        </w:r>
      </w:hyperlink>
      <w:r>
        <w:rPr>
          <w:color w:val="222222"/>
          <w:szCs w:val="24"/>
          <w:highlight w:val="white"/>
        </w:rPr>
        <w:t xml:space="preserve"> (Accessed: Aug 6, 2026).</w:t>
      </w:r>
    </w:p>
    <w:p w14:paraId="2B11809B" w14:textId="77777777" w:rsidR="005C2AAE" w:rsidRPr="00B87326" w:rsidRDefault="005C2AAE" w:rsidP="00B87326">
      <w:pPr>
        <w:shd w:val="clear" w:color="auto" w:fill="FFFFFF"/>
        <w:spacing w:before="220" w:after="220"/>
        <w:rPr>
          <w:color w:val="222222"/>
          <w:szCs w:val="24"/>
          <w:highlight w:val="white"/>
          <w:lang w:val="en-IN"/>
        </w:rPr>
      </w:pPr>
      <w:r w:rsidRPr="00B87326">
        <w:rPr>
          <w:color w:val="222222"/>
          <w:szCs w:val="24"/>
          <w:highlight w:val="white"/>
          <w:lang w:val="en-IN"/>
        </w:rPr>
        <w:t xml:space="preserve">Diageo, (2020). Guinness introduces ‘Guinness 0.0’, the Guinness with everything except alcohol. Available at: </w:t>
      </w:r>
      <w:hyperlink r:id="rId19" w:history="1">
        <w:r w:rsidRPr="00B87326">
          <w:rPr>
            <w:rStyle w:val="Hyperlink"/>
            <w:szCs w:val="24"/>
            <w:highlight w:val="white"/>
            <w:lang w:val="en-IN"/>
          </w:rPr>
          <w:t>https://www.diageo.com/en/news-and-media/press-releases/2020/guinness-introduces-guinness-00-the-guinness-with-everything-except-alcohol</w:t>
        </w:r>
      </w:hyperlink>
      <w:r w:rsidRPr="00B87326">
        <w:rPr>
          <w:color w:val="222222"/>
          <w:szCs w:val="24"/>
          <w:highlight w:val="white"/>
          <w:lang w:val="en-IN"/>
        </w:rPr>
        <w:t xml:space="preserve"> (Accessed: </w:t>
      </w:r>
      <w:r w:rsidRPr="00B87326">
        <w:rPr>
          <w:color w:val="222222"/>
          <w:szCs w:val="24"/>
          <w:highlight w:val="white"/>
        </w:rPr>
        <w:t>Aug 6, 2026</w:t>
      </w:r>
      <w:r w:rsidRPr="00B87326">
        <w:rPr>
          <w:color w:val="222222"/>
          <w:szCs w:val="24"/>
          <w:highlight w:val="white"/>
          <w:lang w:val="en-IN"/>
        </w:rPr>
        <w:t xml:space="preserve">) </w:t>
      </w:r>
    </w:p>
    <w:p w14:paraId="597F726E" w14:textId="77777777" w:rsidR="005C2AAE" w:rsidRPr="00B87326" w:rsidRDefault="005C2AAE" w:rsidP="00B87326">
      <w:pPr>
        <w:shd w:val="clear" w:color="auto" w:fill="FFFFFF"/>
        <w:spacing w:before="220" w:after="220"/>
        <w:rPr>
          <w:color w:val="222222"/>
          <w:szCs w:val="24"/>
          <w:highlight w:val="white"/>
          <w:lang w:val="en-IN"/>
        </w:rPr>
      </w:pPr>
      <w:r w:rsidRPr="00B87326">
        <w:rPr>
          <w:color w:val="222222"/>
          <w:szCs w:val="24"/>
          <w:highlight w:val="white"/>
          <w:lang w:val="en-IN"/>
        </w:rPr>
        <w:t xml:space="preserve">Diageo, (2021). Annual Report 2021. Available at: </w:t>
      </w:r>
      <w:hyperlink r:id="rId20" w:history="1">
        <w:r w:rsidRPr="00B87326">
          <w:rPr>
            <w:rStyle w:val="Hyperlink"/>
            <w:szCs w:val="24"/>
            <w:highlight w:val="white"/>
            <w:lang w:val="en-IN"/>
          </w:rPr>
          <w:t>https://www.diageo.com/~/media/Files/D/Diageo-V2/Diageo-Corp/investors/results-reports-and-events/reports/2021/274_2021-strategic-report.pdf</w:t>
        </w:r>
      </w:hyperlink>
      <w:r w:rsidRPr="00B87326">
        <w:rPr>
          <w:color w:val="222222"/>
          <w:szCs w:val="24"/>
          <w:highlight w:val="white"/>
          <w:lang w:val="en-IN"/>
        </w:rPr>
        <w:t xml:space="preserve"> (Accessed: </w:t>
      </w:r>
      <w:r w:rsidRPr="00B87326">
        <w:rPr>
          <w:color w:val="222222"/>
          <w:szCs w:val="24"/>
          <w:highlight w:val="white"/>
        </w:rPr>
        <w:t>Aug 6, 2026</w:t>
      </w:r>
      <w:r w:rsidRPr="00B87326">
        <w:rPr>
          <w:color w:val="222222"/>
          <w:szCs w:val="24"/>
          <w:highlight w:val="white"/>
          <w:lang w:val="en-IN"/>
        </w:rPr>
        <w:t>)</w:t>
      </w:r>
    </w:p>
    <w:p w14:paraId="0955C1AD" w14:textId="77777777" w:rsidR="005C2AAE" w:rsidRPr="00B87326" w:rsidRDefault="005C2AAE" w:rsidP="00B87326">
      <w:pPr>
        <w:shd w:val="clear" w:color="auto" w:fill="FFFFFF"/>
        <w:spacing w:before="220" w:after="220"/>
        <w:rPr>
          <w:color w:val="222222"/>
          <w:szCs w:val="24"/>
          <w:highlight w:val="white"/>
          <w:lang w:val="en-IN"/>
        </w:rPr>
      </w:pPr>
      <w:r w:rsidRPr="00B87326">
        <w:rPr>
          <w:color w:val="222222"/>
          <w:szCs w:val="24"/>
          <w:highlight w:val="white"/>
          <w:lang w:val="en-IN"/>
        </w:rPr>
        <w:t xml:space="preserve">Diageo, (2023). Annual Report 2023. Available at: </w:t>
      </w:r>
      <w:hyperlink r:id="rId21" w:history="1">
        <w:r w:rsidRPr="00B87326">
          <w:rPr>
            <w:rStyle w:val="Hyperlink"/>
            <w:szCs w:val="24"/>
            <w:highlight w:val="white"/>
            <w:lang w:val="en-IN"/>
          </w:rPr>
          <w:t>https://www.diageo.com/~/media/Files/D/Diageo-V2/Diageo-Corp/investors/results-reports-and-events/annual-reports/diageo-annual-report-2023.pdf</w:t>
        </w:r>
      </w:hyperlink>
      <w:r w:rsidRPr="00B87326">
        <w:rPr>
          <w:color w:val="222222"/>
          <w:szCs w:val="24"/>
          <w:highlight w:val="white"/>
          <w:lang w:val="en-IN"/>
        </w:rPr>
        <w:t xml:space="preserve"> (Accessed: </w:t>
      </w:r>
      <w:r w:rsidRPr="00B87326">
        <w:rPr>
          <w:color w:val="222222"/>
          <w:szCs w:val="24"/>
          <w:highlight w:val="white"/>
        </w:rPr>
        <w:t>Aug 6, 2026</w:t>
      </w:r>
      <w:r w:rsidRPr="00B87326">
        <w:rPr>
          <w:color w:val="222222"/>
          <w:szCs w:val="24"/>
          <w:highlight w:val="white"/>
          <w:lang w:val="en-IN"/>
        </w:rPr>
        <w:t>)</w:t>
      </w:r>
    </w:p>
    <w:p w14:paraId="39F3C9E9" w14:textId="77777777" w:rsidR="005C2AAE" w:rsidRDefault="005C2AAE">
      <w:pPr>
        <w:shd w:val="clear" w:color="auto" w:fill="FFFFFF"/>
        <w:spacing w:before="220" w:after="220"/>
        <w:rPr>
          <w:color w:val="222222"/>
          <w:szCs w:val="24"/>
          <w:highlight w:val="white"/>
        </w:rPr>
      </w:pPr>
      <w:r>
        <w:rPr>
          <w:color w:val="222222"/>
          <w:szCs w:val="24"/>
          <w:highlight w:val="white"/>
        </w:rPr>
        <w:t xml:space="preserve">Diageo, (2024). Diageo’s workplace culture. Available at: </w:t>
      </w:r>
      <w:hyperlink r:id="rId22">
        <w:r>
          <w:rPr>
            <w:color w:val="1155CC"/>
            <w:szCs w:val="24"/>
            <w:highlight w:val="white"/>
            <w:u w:val="single"/>
          </w:rPr>
          <w:t>https://www.diageo.com/en/careers/life-at-diageo/2024/diageos-workplace-culture</w:t>
        </w:r>
      </w:hyperlink>
      <w:r>
        <w:rPr>
          <w:color w:val="222222"/>
          <w:szCs w:val="24"/>
          <w:highlight w:val="white"/>
        </w:rPr>
        <w:t xml:space="preserve"> (Accessed: Aug 6, 2026).</w:t>
      </w:r>
    </w:p>
    <w:p w14:paraId="5895D519" w14:textId="77777777" w:rsidR="005C2AAE" w:rsidRDefault="005C2AAE">
      <w:pPr>
        <w:shd w:val="clear" w:color="auto" w:fill="FFFFFF"/>
        <w:spacing w:before="220" w:after="220"/>
        <w:rPr>
          <w:color w:val="222222"/>
          <w:szCs w:val="24"/>
          <w:highlight w:val="white"/>
        </w:rPr>
      </w:pPr>
      <w:r>
        <w:rPr>
          <w:color w:val="222222"/>
          <w:szCs w:val="24"/>
          <w:highlight w:val="white"/>
        </w:rPr>
        <w:t xml:space="preserve">Diageo, (2025a). Annual Report. Available at: </w:t>
      </w:r>
      <w:hyperlink r:id="rId23">
        <w:r>
          <w:rPr>
            <w:color w:val="1155CC"/>
            <w:szCs w:val="24"/>
            <w:highlight w:val="white"/>
            <w:u w:val="single"/>
          </w:rPr>
          <w:t>https://www.diageo.com/pdf-viewer.aspx?gid=307336661&amp;src=%2F%7E%2Fmedia%2FFiles%2FD%2FDiageo-V2%2FDiageo-Corp%2Finvestors%2Fresults-reports-and-events%2Fannual-reports%2F2025%2Fannual-report-2025.pdf</w:t>
        </w:r>
      </w:hyperlink>
      <w:r>
        <w:rPr>
          <w:color w:val="222222"/>
          <w:szCs w:val="24"/>
          <w:highlight w:val="white"/>
        </w:rPr>
        <w:t xml:space="preserve"> (Accessed: Aug 6, 2026).</w:t>
      </w:r>
    </w:p>
    <w:p w14:paraId="071CF7AD" w14:textId="77777777" w:rsidR="005C2AAE" w:rsidRDefault="005C2AAE">
      <w:pPr>
        <w:shd w:val="clear" w:color="auto" w:fill="FFFFFF"/>
        <w:spacing w:before="220" w:after="220"/>
        <w:rPr>
          <w:color w:val="222222"/>
          <w:szCs w:val="24"/>
          <w:highlight w:val="white"/>
        </w:rPr>
      </w:pPr>
      <w:r>
        <w:rPr>
          <w:color w:val="222222"/>
          <w:szCs w:val="24"/>
          <w:highlight w:val="white"/>
        </w:rPr>
        <w:t xml:space="preserve">Diageo, (2025b).  Our Principal Risks and Risk Management. Available at: </w:t>
      </w:r>
      <w:hyperlink r:id="rId24">
        <w:r>
          <w:rPr>
            <w:color w:val="1155CC"/>
            <w:szCs w:val="24"/>
            <w:highlight w:val="white"/>
            <w:u w:val="single"/>
          </w:rPr>
          <w:t>https://www.diageo.com/pdf-viewer.aspx?gid=307336661&amp;src=%2F%7E%2Fmedia%2FFiles%2FD%2FDiageo-V2%2FDiageo-Corp%2Finvestors%2Fresults-reports-and-events%2Fannual-reports%2F2025%2Fprinciple-risk-disclosures.pdf</w:t>
        </w:r>
      </w:hyperlink>
      <w:r>
        <w:rPr>
          <w:color w:val="222222"/>
          <w:szCs w:val="24"/>
          <w:highlight w:val="white"/>
        </w:rPr>
        <w:t xml:space="preserve"> (Accessed: Aug 6, 2026).</w:t>
      </w:r>
    </w:p>
    <w:p w14:paraId="7D566848" w14:textId="77777777" w:rsidR="005C2AAE" w:rsidRPr="00B87326" w:rsidRDefault="005C2AAE" w:rsidP="00B87326">
      <w:pPr>
        <w:shd w:val="clear" w:color="auto" w:fill="FFFFFF"/>
        <w:spacing w:before="220" w:after="220"/>
        <w:rPr>
          <w:color w:val="222222"/>
          <w:szCs w:val="24"/>
          <w:highlight w:val="white"/>
          <w:lang w:val="en-IN"/>
        </w:rPr>
      </w:pPr>
      <w:r w:rsidRPr="00B87326">
        <w:rPr>
          <w:color w:val="222222"/>
          <w:szCs w:val="24"/>
          <w:highlight w:val="white"/>
          <w:lang w:val="en-IN"/>
        </w:rPr>
        <w:t xml:space="preserve">Diageo, (2026). Our purpose and behaviours. Available at: </w:t>
      </w:r>
      <w:hyperlink r:id="rId25" w:history="1">
        <w:r w:rsidRPr="00B87326">
          <w:rPr>
            <w:rStyle w:val="Hyperlink"/>
            <w:szCs w:val="24"/>
            <w:highlight w:val="white"/>
            <w:lang w:val="en-IN"/>
          </w:rPr>
          <w:t>https://www.diageo.com/en/our-business/our-purpose-and-behaviours</w:t>
        </w:r>
      </w:hyperlink>
      <w:r w:rsidRPr="00B87326">
        <w:rPr>
          <w:color w:val="222222"/>
          <w:szCs w:val="24"/>
          <w:highlight w:val="white"/>
          <w:lang w:val="en-IN"/>
        </w:rPr>
        <w:t xml:space="preserve"> (Accessed: </w:t>
      </w:r>
      <w:r w:rsidRPr="00B87326">
        <w:rPr>
          <w:color w:val="222222"/>
          <w:szCs w:val="24"/>
          <w:highlight w:val="white"/>
        </w:rPr>
        <w:t>Aug 6, 2026</w:t>
      </w:r>
      <w:r w:rsidRPr="00B87326">
        <w:rPr>
          <w:color w:val="222222"/>
          <w:szCs w:val="24"/>
          <w:highlight w:val="white"/>
          <w:lang w:val="en-IN"/>
        </w:rPr>
        <w:t>)</w:t>
      </w:r>
    </w:p>
    <w:p w14:paraId="76EB9A73" w14:textId="77777777" w:rsidR="005C2AAE" w:rsidRDefault="005C2AAE">
      <w:pPr>
        <w:shd w:val="clear" w:color="auto" w:fill="FFFFFF"/>
        <w:spacing w:before="220" w:after="220"/>
        <w:rPr>
          <w:color w:val="222222"/>
          <w:szCs w:val="24"/>
          <w:highlight w:val="white"/>
        </w:rPr>
      </w:pPr>
      <w:proofErr w:type="spellStart"/>
      <w:r>
        <w:rPr>
          <w:color w:val="222222"/>
          <w:szCs w:val="24"/>
          <w:highlight w:val="white"/>
        </w:rPr>
        <w:t>Drinkware</w:t>
      </w:r>
      <w:proofErr w:type="spellEnd"/>
      <w:r>
        <w:rPr>
          <w:color w:val="222222"/>
          <w:szCs w:val="24"/>
          <w:highlight w:val="white"/>
        </w:rPr>
        <w:t xml:space="preserve">, (2025). </w:t>
      </w:r>
      <w:proofErr w:type="spellStart"/>
      <w:r>
        <w:rPr>
          <w:color w:val="222222"/>
          <w:szCs w:val="24"/>
          <w:highlight w:val="white"/>
        </w:rPr>
        <w:t>Drinkaware</w:t>
      </w:r>
      <w:proofErr w:type="spellEnd"/>
      <w:r>
        <w:rPr>
          <w:color w:val="222222"/>
          <w:szCs w:val="24"/>
          <w:highlight w:val="white"/>
        </w:rPr>
        <w:t xml:space="preserve"> Monitor 2025. Available at: </w:t>
      </w:r>
      <w:hyperlink r:id="rId26">
        <w:r>
          <w:rPr>
            <w:color w:val="1155CC"/>
            <w:szCs w:val="24"/>
            <w:highlight w:val="white"/>
            <w:u w:val="single"/>
          </w:rPr>
          <w:t>https://www.drinkaware.co.uk/research/drinkaware-monitors/drinkaware-monitor-2025</w:t>
        </w:r>
      </w:hyperlink>
      <w:r>
        <w:rPr>
          <w:color w:val="222222"/>
          <w:szCs w:val="24"/>
          <w:highlight w:val="white"/>
        </w:rPr>
        <w:t xml:space="preserve"> (Accessed: August 6, 2026).</w:t>
      </w:r>
    </w:p>
    <w:p w14:paraId="47911734" w14:textId="77777777" w:rsidR="005C2AAE" w:rsidRPr="00B87326" w:rsidRDefault="005C2AAE" w:rsidP="00B87326">
      <w:pPr>
        <w:shd w:val="clear" w:color="auto" w:fill="FFFFFF"/>
        <w:spacing w:before="220" w:after="220"/>
        <w:rPr>
          <w:color w:val="222222"/>
          <w:szCs w:val="24"/>
          <w:highlight w:val="white"/>
          <w:lang w:val="en-IN"/>
        </w:rPr>
      </w:pPr>
      <w:proofErr w:type="spellStart"/>
      <w:r w:rsidRPr="00B87326">
        <w:rPr>
          <w:color w:val="222222"/>
          <w:szCs w:val="24"/>
          <w:highlight w:val="white"/>
          <w:lang w:val="en-IN"/>
        </w:rPr>
        <w:t>Fathin</w:t>
      </w:r>
      <w:proofErr w:type="spellEnd"/>
      <w:r w:rsidRPr="00B87326">
        <w:rPr>
          <w:color w:val="222222"/>
          <w:szCs w:val="24"/>
          <w:highlight w:val="white"/>
          <w:lang w:val="en-IN"/>
        </w:rPr>
        <w:t xml:space="preserve">, F.F., </w:t>
      </w:r>
      <w:proofErr w:type="spellStart"/>
      <w:r w:rsidRPr="00B87326">
        <w:rPr>
          <w:color w:val="222222"/>
          <w:szCs w:val="24"/>
          <w:highlight w:val="white"/>
          <w:lang w:val="en-IN"/>
        </w:rPr>
        <w:t>Sosianika</w:t>
      </w:r>
      <w:proofErr w:type="spellEnd"/>
      <w:r w:rsidRPr="00B87326">
        <w:rPr>
          <w:color w:val="222222"/>
          <w:szCs w:val="24"/>
          <w:highlight w:val="white"/>
          <w:lang w:val="en-IN"/>
        </w:rPr>
        <w:t xml:space="preserve">, A., </w:t>
      </w:r>
      <w:proofErr w:type="spellStart"/>
      <w:r w:rsidRPr="00B87326">
        <w:rPr>
          <w:color w:val="222222"/>
          <w:szCs w:val="24"/>
          <w:highlight w:val="white"/>
          <w:lang w:val="en-IN"/>
        </w:rPr>
        <w:t>Amalia</w:t>
      </w:r>
      <w:proofErr w:type="spellEnd"/>
      <w:r w:rsidRPr="00B87326">
        <w:rPr>
          <w:color w:val="222222"/>
          <w:szCs w:val="24"/>
          <w:highlight w:val="white"/>
          <w:lang w:val="en-IN"/>
        </w:rPr>
        <w:t xml:space="preserve">, F.A. and </w:t>
      </w:r>
      <w:proofErr w:type="spellStart"/>
      <w:r w:rsidRPr="00B87326">
        <w:rPr>
          <w:color w:val="222222"/>
          <w:szCs w:val="24"/>
          <w:highlight w:val="white"/>
          <w:lang w:val="en-IN"/>
        </w:rPr>
        <w:t>Kania</w:t>
      </w:r>
      <w:proofErr w:type="spellEnd"/>
      <w:r w:rsidRPr="00B87326">
        <w:rPr>
          <w:color w:val="222222"/>
          <w:szCs w:val="24"/>
          <w:highlight w:val="white"/>
          <w:lang w:val="en-IN"/>
        </w:rPr>
        <w:t>, R., (2023). The role of health consciousness and trust on Gen Y and Gen Z intention to purchase functional beverages. </w:t>
      </w:r>
      <w:r w:rsidRPr="00B87326">
        <w:rPr>
          <w:i/>
          <w:iCs/>
          <w:color w:val="222222"/>
          <w:szCs w:val="24"/>
          <w:highlight w:val="white"/>
          <w:lang w:val="en-IN"/>
        </w:rPr>
        <w:t>Journal of Consumer Sciences</w:t>
      </w:r>
      <w:r w:rsidRPr="00B87326">
        <w:rPr>
          <w:color w:val="222222"/>
          <w:szCs w:val="24"/>
          <w:highlight w:val="white"/>
          <w:lang w:val="en-IN"/>
        </w:rPr>
        <w:t>, </w:t>
      </w:r>
      <w:r w:rsidRPr="00B87326">
        <w:rPr>
          <w:i/>
          <w:iCs/>
          <w:color w:val="222222"/>
          <w:szCs w:val="24"/>
          <w:highlight w:val="white"/>
          <w:lang w:val="en-IN"/>
        </w:rPr>
        <w:t>8</w:t>
      </w:r>
      <w:r w:rsidRPr="00B87326">
        <w:rPr>
          <w:color w:val="222222"/>
          <w:szCs w:val="24"/>
          <w:highlight w:val="white"/>
          <w:lang w:val="en-IN"/>
        </w:rPr>
        <w:t xml:space="preserve">(3), pp.360-378. </w:t>
      </w:r>
    </w:p>
    <w:p w14:paraId="2433EF3F" w14:textId="77777777" w:rsidR="005C2AAE" w:rsidRDefault="005C2AAE">
      <w:pPr>
        <w:shd w:val="clear" w:color="auto" w:fill="FFFFFF"/>
        <w:spacing w:before="220" w:after="220"/>
        <w:rPr>
          <w:color w:val="222222"/>
          <w:szCs w:val="24"/>
          <w:highlight w:val="white"/>
        </w:rPr>
      </w:pPr>
      <w:r>
        <w:rPr>
          <w:color w:val="222222"/>
          <w:szCs w:val="24"/>
          <w:highlight w:val="white"/>
        </w:rPr>
        <w:t xml:space="preserve">Grand View Research, (2026a). UK Non-alcoholic Beverages Market Size &amp; Outlook, 2026-2033. Available at: </w:t>
      </w:r>
      <w:hyperlink r:id="rId27">
        <w:r>
          <w:rPr>
            <w:color w:val="1155CC"/>
            <w:szCs w:val="24"/>
            <w:highlight w:val="white"/>
            <w:u w:val="single"/>
          </w:rPr>
          <w:t>https://www.grandviewresearch.com/horizon/outlook/non-alcoholic-beverages-market/uk</w:t>
        </w:r>
      </w:hyperlink>
      <w:r>
        <w:rPr>
          <w:color w:val="222222"/>
          <w:szCs w:val="24"/>
          <w:highlight w:val="white"/>
        </w:rPr>
        <w:t xml:space="preserve"> (Accessed: August 6, 2026).</w:t>
      </w:r>
    </w:p>
    <w:p w14:paraId="776E170E" w14:textId="77777777" w:rsidR="005C2AAE" w:rsidRDefault="005C2AAE">
      <w:pPr>
        <w:shd w:val="clear" w:color="auto" w:fill="FFFFFF"/>
        <w:spacing w:before="220" w:after="220"/>
        <w:rPr>
          <w:color w:val="222222"/>
          <w:szCs w:val="24"/>
          <w:highlight w:val="white"/>
        </w:rPr>
      </w:pPr>
      <w:r>
        <w:rPr>
          <w:color w:val="222222"/>
          <w:szCs w:val="24"/>
          <w:highlight w:val="white"/>
        </w:rPr>
        <w:t xml:space="preserve">Grand View Research, (2026b). UK Alcoholic Drinks Market Size &amp; Outlook, 2026-2033. Available at: </w:t>
      </w:r>
      <w:hyperlink r:id="rId28">
        <w:r>
          <w:rPr>
            <w:color w:val="1155CC"/>
            <w:szCs w:val="24"/>
            <w:highlight w:val="white"/>
            <w:u w:val="single"/>
          </w:rPr>
          <w:t>https://www.grandviewresearch.com/horizon/outlook/alcoholic-drinks-market/uk</w:t>
        </w:r>
      </w:hyperlink>
      <w:r>
        <w:rPr>
          <w:color w:val="222222"/>
          <w:szCs w:val="24"/>
          <w:highlight w:val="white"/>
        </w:rPr>
        <w:t xml:space="preserve"> (Accessed: August 6, 2026).</w:t>
      </w:r>
    </w:p>
    <w:p w14:paraId="557765C0" w14:textId="77777777" w:rsidR="005C2AAE" w:rsidRPr="00B87326" w:rsidRDefault="005C2AAE" w:rsidP="00B87326">
      <w:pPr>
        <w:shd w:val="clear" w:color="auto" w:fill="FFFFFF"/>
        <w:spacing w:before="220" w:after="220"/>
        <w:rPr>
          <w:color w:val="222222"/>
          <w:szCs w:val="24"/>
          <w:highlight w:val="white"/>
          <w:lang w:val="en-IN"/>
        </w:rPr>
      </w:pPr>
      <w:proofErr w:type="spellStart"/>
      <w:r w:rsidRPr="00B87326">
        <w:rPr>
          <w:color w:val="222222"/>
          <w:szCs w:val="24"/>
          <w:highlight w:val="white"/>
          <w:lang w:val="en-IN"/>
        </w:rPr>
        <w:t>Hoogers</w:t>
      </w:r>
      <w:proofErr w:type="spellEnd"/>
      <w:r w:rsidRPr="00B87326">
        <w:rPr>
          <w:color w:val="222222"/>
          <w:szCs w:val="24"/>
          <w:highlight w:val="white"/>
          <w:lang w:val="en-IN"/>
        </w:rPr>
        <w:t>, H., Alessandro, M., Myers, J., Grimm, A. and Gates, H., (2023). Diageo strategic audit: a deep dive into the management strategies of Diageo.</w:t>
      </w:r>
    </w:p>
    <w:p w14:paraId="608765B8" w14:textId="77777777" w:rsidR="005C2AAE" w:rsidRDefault="005C2AAE">
      <w:pPr>
        <w:shd w:val="clear" w:color="auto" w:fill="FFFFFF"/>
        <w:spacing w:before="220" w:after="220"/>
        <w:rPr>
          <w:color w:val="222222"/>
          <w:szCs w:val="24"/>
          <w:highlight w:val="white"/>
        </w:rPr>
      </w:pPr>
      <w:r>
        <w:rPr>
          <w:color w:val="222222"/>
          <w:szCs w:val="24"/>
          <w:highlight w:val="white"/>
        </w:rPr>
        <w:t xml:space="preserve">Inman, P. (2026) “Sobering times: alcohol-free beer added to UK inflation basket,” The Guardian, 16 March. Available at: </w:t>
      </w:r>
      <w:hyperlink r:id="rId29">
        <w:r>
          <w:rPr>
            <w:color w:val="1155CC"/>
            <w:szCs w:val="24"/>
            <w:highlight w:val="white"/>
            <w:u w:val="single"/>
          </w:rPr>
          <w:t>https://www.theguardian.com/business/2026/mar/16/alcohol-free-beer-uk-inflation-basket-prices-cpi-rpi-ons-hummus-pet-grooming</w:t>
        </w:r>
      </w:hyperlink>
      <w:r>
        <w:rPr>
          <w:color w:val="222222"/>
          <w:szCs w:val="24"/>
          <w:highlight w:val="white"/>
        </w:rPr>
        <w:t xml:space="preserve"> (Accessed: August 6, 2026).</w:t>
      </w:r>
    </w:p>
    <w:p w14:paraId="45561E0F" w14:textId="77777777" w:rsidR="005C2AAE" w:rsidRDefault="005C2AAE">
      <w:pPr>
        <w:shd w:val="clear" w:color="auto" w:fill="FFFFFF"/>
        <w:spacing w:before="220" w:after="220"/>
        <w:rPr>
          <w:color w:val="222222"/>
          <w:szCs w:val="24"/>
          <w:highlight w:val="white"/>
        </w:rPr>
      </w:pPr>
      <w:r>
        <w:rPr>
          <w:color w:val="222222"/>
          <w:szCs w:val="24"/>
          <w:highlight w:val="white"/>
        </w:rPr>
        <w:t xml:space="preserve">Inside, (2025). UK: Guinness 0.0 Surpasses Original. Available at: </w:t>
      </w:r>
      <w:hyperlink r:id="rId30">
        <w:r>
          <w:rPr>
            <w:color w:val="1155CC"/>
            <w:szCs w:val="24"/>
            <w:highlight w:val="white"/>
            <w:u w:val="single"/>
          </w:rPr>
          <w:t>https://www.inside.beer/news/detail/uk-guinness-00-surpasses-original</w:t>
        </w:r>
      </w:hyperlink>
      <w:r>
        <w:rPr>
          <w:color w:val="222222"/>
          <w:szCs w:val="24"/>
          <w:highlight w:val="white"/>
        </w:rPr>
        <w:t xml:space="preserve"> (Accessed: August 6, 2026).</w:t>
      </w:r>
    </w:p>
    <w:p w14:paraId="13CBF39A" w14:textId="77777777" w:rsidR="005C2AAE" w:rsidRPr="00B87326" w:rsidRDefault="005C2AAE" w:rsidP="00B87326">
      <w:pPr>
        <w:shd w:val="clear" w:color="auto" w:fill="FFFFFF"/>
        <w:spacing w:before="220" w:after="220"/>
        <w:rPr>
          <w:color w:val="222222"/>
          <w:szCs w:val="24"/>
          <w:highlight w:val="white"/>
          <w:lang w:val="en-IN"/>
        </w:rPr>
      </w:pPr>
      <w:proofErr w:type="spellStart"/>
      <w:r w:rsidRPr="00B87326">
        <w:rPr>
          <w:color w:val="222222"/>
          <w:szCs w:val="24"/>
          <w:highlight w:val="white"/>
          <w:lang w:val="en-IN"/>
        </w:rPr>
        <w:t>Jerab</w:t>
      </w:r>
      <w:proofErr w:type="spellEnd"/>
      <w:r w:rsidRPr="00B87326">
        <w:rPr>
          <w:color w:val="222222"/>
          <w:szCs w:val="24"/>
          <w:highlight w:val="white"/>
          <w:lang w:val="en-IN"/>
        </w:rPr>
        <w:t xml:space="preserve">, D. and </w:t>
      </w:r>
      <w:proofErr w:type="spellStart"/>
      <w:r w:rsidRPr="00B87326">
        <w:rPr>
          <w:color w:val="222222"/>
          <w:szCs w:val="24"/>
          <w:highlight w:val="white"/>
          <w:lang w:val="en-IN"/>
        </w:rPr>
        <w:t>Mabrouk</w:t>
      </w:r>
      <w:proofErr w:type="spellEnd"/>
      <w:r w:rsidRPr="00B87326">
        <w:rPr>
          <w:color w:val="222222"/>
          <w:szCs w:val="24"/>
          <w:highlight w:val="white"/>
          <w:lang w:val="en-IN"/>
        </w:rPr>
        <w:t>, T., (2023). Achieving competitive advantage through cost leadership strategy: Strategies for Sustainable Success. </w:t>
      </w:r>
      <w:r w:rsidRPr="00B87326">
        <w:rPr>
          <w:i/>
          <w:iCs/>
          <w:color w:val="222222"/>
          <w:szCs w:val="24"/>
          <w:highlight w:val="white"/>
          <w:lang w:val="en-IN"/>
        </w:rPr>
        <w:t>Available at SSRN 4574945</w:t>
      </w:r>
      <w:r w:rsidRPr="00B87326">
        <w:rPr>
          <w:color w:val="222222"/>
          <w:szCs w:val="24"/>
          <w:highlight w:val="white"/>
          <w:lang w:val="en-IN"/>
        </w:rPr>
        <w:t>.</w:t>
      </w:r>
    </w:p>
    <w:p w14:paraId="124D1FBC" w14:textId="77777777" w:rsidR="005C2AAE" w:rsidRDefault="005C2AAE">
      <w:pPr>
        <w:shd w:val="clear" w:color="auto" w:fill="FFFFFF"/>
        <w:spacing w:before="220" w:after="220"/>
        <w:rPr>
          <w:color w:val="222222"/>
          <w:szCs w:val="24"/>
          <w:highlight w:val="white"/>
        </w:rPr>
      </w:pPr>
      <w:r>
        <w:rPr>
          <w:color w:val="222222"/>
          <w:szCs w:val="24"/>
          <w:highlight w:val="white"/>
        </w:rPr>
        <w:t>Kaplan, R. and Norton, D. (1992) The Balanced Scorecard—Measures That Drive Performance. Harvard Business Review, 79.</w:t>
      </w:r>
    </w:p>
    <w:p w14:paraId="33C71908" w14:textId="77777777" w:rsidR="005C2AAE" w:rsidRPr="00B87326" w:rsidRDefault="005C2AAE" w:rsidP="00B87326">
      <w:pPr>
        <w:shd w:val="clear" w:color="auto" w:fill="FFFFFF"/>
        <w:spacing w:before="220" w:after="220"/>
        <w:rPr>
          <w:color w:val="222222"/>
          <w:szCs w:val="24"/>
          <w:highlight w:val="white"/>
          <w:lang w:val="en-IN"/>
        </w:rPr>
      </w:pPr>
      <w:proofErr w:type="spellStart"/>
      <w:r w:rsidRPr="00B87326">
        <w:rPr>
          <w:color w:val="222222"/>
          <w:szCs w:val="24"/>
          <w:highlight w:val="white"/>
          <w:lang w:val="en-IN"/>
        </w:rPr>
        <w:t>Keiningham</w:t>
      </w:r>
      <w:proofErr w:type="spellEnd"/>
      <w:r w:rsidRPr="00B87326">
        <w:rPr>
          <w:color w:val="222222"/>
          <w:szCs w:val="24"/>
          <w:highlight w:val="white"/>
          <w:lang w:val="en-IN"/>
        </w:rPr>
        <w:t xml:space="preserve">, T., </w:t>
      </w:r>
      <w:proofErr w:type="spellStart"/>
      <w:r w:rsidRPr="00B87326">
        <w:rPr>
          <w:color w:val="222222"/>
          <w:szCs w:val="24"/>
          <w:highlight w:val="white"/>
          <w:lang w:val="en-IN"/>
        </w:rPr>
        <w:t>Aksoy</w:t>
      </w:r>
      <w:proofErr w:type="spellEnd"/>
      <w:r w:rsidRPr="00B87326">
        <w:rPr>
          <w:color w:val="222222"/>
          <w:szCs w:val="24"/>
          <w:highlight w:val="white"/>
          <w:lang w:val="en-IN"/>
        </w:rPr>
        <w:t xml:space="preserve">, L., Bruce, H.L., Cadet, F., </w:t>
      </w:r>
      <w:proofErr w:type="spellStart"/>
      <w:r w:rsidRPr="00B87326">
        <w:rPr>
          <w:color w:val="222222"/>
          <w:szCs w:val="24"/>
          <w:highlight w:val="white"/>
          <w:lang w:val="en-IN"/>
        </w:rPr>
        <w:t>Clennell</w:t>
      </w:r>
      <w:proofErr w:type="spellEnd"/>
      <w:r w:rsidRPr="00B87326">
        <w:rPr>
          <w:color w:val="222222"/>
          <w:szCs w:val="24"/>
          <w:highlight w:val="white"/>
          <w:lang w:val="en-IN"/>
        </w:rPr>
        <w:t>, N., Hodgkinson, I.R. and Kearney, T., 2020. Customer experience driven business model innovation. </w:t>
      </w:r>
      <w:r w:rsidRPr="00B87326">
        <w:rPr>
          <w:i/>
          <w:iCs/>
          <w:color w:val="222222"/>
          <w:szCs w:val="24"/>
          <w:highlight w:val="white"/>
          <w:lang w:val="en-IN"/>
        </w:rPr>
        <w:t>Journal of business research</w:t>
      </w:r>
      <w:r w:rsidRPr="00B87326">
        <w:rPr>
          <w:color w:val="222222"/>
          <w:szCs w:val="24"/>
          <w:highlight w:val="white"/>
          <w:lang w:val="en-IN"/>
        </w:rPr>
        <w:t>, </w:t>
      </w:r>
      <w:r w:rsidRPr="00B87326">
        <w:rPr>
          <w:i/>
          <w:iCs/>
          <w:color w:val="222222"/>
          <w:szCs w:val="24"/>
          <w:highlight w:val="white"/>
          <w:lang w:val="en-IN"/>
        </w:rPr>
        <w:t>116</w:t>
      </w:r>
      <w:r w:rsidRPr="00B87326">
        <w:rPr>
          <w:color w:val="222222"/>
          <w:szCs w:val="24"/>
          <w:highlight w:val="white"/>
          <w:lang w:val="en-IN"/>
        </w:rPr>
        <w:t>, pp.431-440.</w:t>
      </w:r>
    </w:p>
    <w:p w14:paraId="78182869" w14:textId="77777777" w:rsidR="005C2AAE" w:rsidRDefault="005C2AAE">
      <w:pPr>
        <w:shd w:val="clear" w:color="auto" w:fill="FFFFFF"/>
        <w:spacing w:before="220" w:after="220"/>
        <w:rPr>
          <w:color w:val="222222"/>
          <w:szCs w:val="24"/>
          <w:highlight w:val="white"/>
        </w:rPr>
      </w:pPr>
      <w:r>
        <w:rPr>
          <w:color w:val="222222"/>
          <w:szCs w:val="24"/>
          <w:highlight w:val="white"/>
        </w:rPr>
        <w:t xml:space="preserve">Littler, M. (2025) From Ukraine to Tennessee: How Global Conflict Is Hitting Whiskey Production, Thewhiskeywash.com. The Whiskey Wash. Available at: </w:t>
      </w:r>
      <w:hyperlink r:id="rId31">
        <w:r>
          <w:rPr>
            <w:color w:val="1155CC"/>
            <w:szCs w:val="24"/>
            <w:highlight w:val="white"/>
            <w:u w:val="single"/>
          </w:rPr>
          <w:t>https://thewhiskeywash.com/whiskey-articles/why-diageos-distillery-shutdowns-arent-a-whiskey-glut-but-a-symptom-of-war/</w:t>
        </w:r>
      </w:hyperlink>
      <w:r>
        <w:rPr>
          <w:color w:val="222222"/>
          <w:szCs w:val="24"/>
          <w:highlight w:val="white"/>
        </w:rPr>
        <w:t xml:space="preserve"> (Accessed: August 6, 2026).</w:t>
      </w:r>
    </w:p>
    <w:p w14:paraId="51D3428C" w14:textId="77777777" w:rsidR="005C2AAE" w:rsidRDefault="005C2AAE">
      <w:pPr>
        <w:shd w:val="clear" w:color="auto" w:fill="FFFFFF"/>
        <w:spacing w:before="220" w:after="220"/>
        <w:rPr>
          <w:color w:val="222222"/>
          <w:szCs w:val="24"/>
          <w:highlight w:val="white"/>
        </w:rPr>
      </w:pPr>
      <w:r>
        <w:rPr>
          <w:color w:val="222222"/>
          <w:szCs w:val="24"/>
          <w:highlight w:val="white"/>
        </w:rPr>
        <w:t xml:space="preserve">Masala. F., </w:t>
      </w:r>
      <w:proofErr w:type="spellStart"/>
      <w:r>
        <w:rPr>
          <w:color w:val="222222"/>
          <w:szCs w:val="24"/>
          <w:highlight w:val="white"/>
        </w:rPr>
        <w:t>Balogun</w:t>
      </w:r>
      <w:proofErr w:type="spellEnd"/>
      <w:r>
        <w:rPr>
          <w:color w:val="222222"/>
          <w:szCs w:val="24"/>
          <w:highlight w:val="white"/>
        </w:rPr>
        <w:t xml:space="preserve">. B., </w:t>
      </w:r>
      <w:proofErr w:type="spellStart"/>
      <w:r>
        <w:rPr>
          <w:color w:val="222222"/>
          <w:szCs w:val="24"/>
          <w:highlight w:val="white"/>
        </w:rPr>
        <w:t>Stiebahl</w:t>
      </w:r>
      <w:proofErr w:type="spellEnd"/>
      <w:r>
        <w:rPr>
          <w:color w:val="222222"/>
          <w:szCs w:val="24"/>
          <w:highlight w:val="white"/>
        </w:rPr>
        <w:t xml:space="preserve">. S., Harker. R., Keep. M., (2026). Alcohol duty: Current policy and developments. Available at: </w:t>
      </w:r>
      <w:hyperlink r:id="rId32">
        <w:r>
          <w:rPr>
            <w:color w:val="1155CC"/>
            <w:szCs w:val="24"/>
            <w:highlight w:val="white"/>
            <w:u w:val="single"/>
          </w:rPr>
          <w:t>https://commonslibrary.parliament.uk/research-briefings/cbp-9765/</w:t>
        </w:r>
      </w:hyperlink>
      <w:r>
        <w:rPr>
          <w:color w:val="222222"/>
          <w:szCs w:val="24"/>
          <w:highlight w:val="white"/>
        </w:rPr>
        <w:t xml:space="preserve"> (Accessed: August 6, 2026).</w:t>
      </w:r>
    </w:p>
    <w:p w14:paraId="30ACDF2F" w14:textId="77777777" w:rsidR="005C2AAE" w:rsidRDefault="005C2AAE">
      <w:pPr>
        <w:shd w:val="clear" w:color="auto" w:fill="FFFFFF"/>
        <w:spacing w:before="220" w:after="220"/>
        <w:rPr>
          <w:color w:val="222222"/>
          <w:szCs w:val="24"/>
          <w:highlight w:val="white"/>
        </w:rPr>
      </w:pPr>
      <w:r>
        <w:rPr>
          <w:color w:val="222222"/>
          <w:szCs w:val="24"/>
          <w:highlight w:val="white"/>
        </w:rPr>
        <w:t xml:space="preserve">McDonnell, A. (2026) Diageo Announces Cost Reductions and Layoff Plans, </w:t>
      </w:r>
      <w:proofErr w:type="spellStart"/>
      <w:r>
        <w:rPr>
          <w:color w:val="222222"/>
          <w:szCs w:val="24"/>
          <w:highlight w:val="white"/>
        </w:rPr>
        <w:t>Bizclik</w:t>
      </w:r>
      <w:proofErr w:type="spellEnd"/>
      <w:r>
        <w:rPr>
          <w:color w:val="222222"/>
          <w:szCs w:val="24"/>
          <w:highlight w:val="white"/>
        </w:rPr>
        <w:t xml:space="preserve"> Media Ltd. Available at: </w:t>
      </w:r>
      <w:hyperlink r:id="rId33">
        <w:r>
          <w:rPr>
            <w:color w:val="1155CC"/>
            <w:szCs w:val="24"/>
            <w:highlight w:val="white"/>
            <w:u w:val="single"/>
          </w:rPr>
          <w:t>https://businesschief.com/news/diageo-announces-cost-reductions-and-layoff-plans</w:t>
        </w:r>
      </w:hyperlink>
      <w:r>
        <w:rPr>
          <w:color w:val="222222"/>
          <w:szCs w:val="24"/>
          <w:highlight w:val="white"/>
        </w:rPr>
        <w:t xml:space="preserve"> (Accessed: Aug 6, 2026).</w:t>
      </w:r>
    </w:p>
    <w:p w14:paraId="72FADE3F" w14:textId="77777777" w:rsidR="005C2AAE" w:rsidRPr="00B87326" w:rsidRDefault="005C2AAE" w:rsidP="00B87326">
      <w:pPr>
        <w:shd w:val="clear" w:color="auto" w:fill="FFFFFF"/>
        <w:spacing w:before="220" w:after="220"/>
        <w:rPr>
          <w:color w:val="222222"/>
          <w:szCs w:val="24"/>
          <w:highlight w:val="white"/>
          <w:lang w:val="en-IN"/>
        </w:rPr>
      </w:pPr>
      <w:r w:rsidRPr="00B87326">
        <w:rPr>
          <w:color w:val="222222"/>
          <w:szCs w:val="24"/>
          <w:highlight w:val="white"/>
          <w:lang w:val="en-IN"/>
        </w:rPr>
        <w:t xml:space="preserve">Mintel, (2024). UK Attitudes towards Low- and No-Alcohol Drinks Consumer Report 2024. Available at: </w:t>
      </w:r>
      <w:hyperlink r:id="rId34" w:history="1">
        <w:r w:rsidRPr="00B87326">
          <w:rPr>
            <w:rStyle w:val="Hyperlink"/>
            <w:szCs w:val="24"/>
            <w:highlight w:val="white"/>
            <w:lang w:val="en-IN"/>
          </w:rPr>
          <w:t>https://store.mintel.com/report/uk-attitudes-towards-low-and-no-alcohol-drinks-market-report-2024</w:t>
        </w:r>
      </w:hyperlink>
      <w:r w:rsidRPr="00B87326">
        <w:rPr>
          <w:color w:val="222222"/>
          <w:szCs w:val="24"/>
          <w:highlight w:val="white"/>
          <w:lang w:val="en-IN"/>
        </w:rPr>
        <w:t xml:space="preserve"> (Accessed: </w:t>
      </w:r>
      <w:r w:rsidRPr="00B87326">
        <w:rPr>
          <w:color w:val="222222"/>
          <w:szCs w:val="24"/>
          <w:highlight w:val="white"/>
        </w:rPr>
        <w:t>Aug 6, 2026</w:t>
      </w:r>
      <w:r w:rsidRPr="00B87326">
        <w:rPr>
          <w:color w:val="222222"/>
          <w:szCs w:val="24"/>
          <w:highlight w:val="white"/>
          <w:lang w:val="en-IN"/>
        </w:rPr>
        <w:t>)</w:t>
      </w:r>
    </w:p>
    <w:p w14:paraId="1D2CFE5D" w14:textId="77777777" w:rsidR="005C2AAE" w:rsidRDefault="005C2AAE">
      <w:pPr>
        <w:shd w:val="clear" w:color="auto" w:fill="FFFFFF"/>
        <w:spacing w:before="220" w:after="220"/>
        <w:rPr>
          <w:color w:val="222222"/>
          <w:szCs w:val="24"/>
          <w:highlight w:val="white"/>
        </w:rPr>
      </w:pPr>
      <w:r>
        <w:rPr>
          <w:color w:val="222222"/>
          <w:szCs w:val="24"/>
          <w:highlight w:val="white"/>
        </w:rPr>
        <w:t xml:space="preserve">Mintel, (2025). UK Attitudes towards Low- and No-Alcohol Drinks Consumer Report 2025. Available at: </w:t>
      </w:r>
      <w:hyperlink r:id="rId35">
        <w:r>
          <w:rPr>
            <w:color w:val="1155CC"/>
            <w:szCs w:val="24"/>
            <w:highlight w:val="white"/>
            <w:u w:val="single"/>
          </w:rPr>
          <w:t>https://store.mintel.com/report/uk-attitudes-towards-low-and-no-alcohol-drinks-market-report</w:t>
        </w:r>
      </w:hyperlink>
      <w:r>
        <w:rPr>
          <w:color w:val="222222"/>
          <w:szCs w:val="24"/>
          <w:highlight w:val="white"/>
        </w:rPr>
        <w:t xml:space="preserve"> (Accessed: August 6, 2026).</w:t>
      </w:r>
    </w:p>
    <w:p w14:paraId="622709C7" w14:textId="77777777" w:rsidR="005C2AAE" w:rsidRDefault="005C2AAE">
      <w:pPr>
        <w:shd w:val="clear" w:color="auto" w:fill="FFFFFF"/>
        <w:spacing w:before="220" w:after="220"/>
        <w:rPr>
          <w:color w:val="222222"/>
          <w:szCs w:val="24"/>
          <w:highlight w:val="white"/>
        </w:rPr>
      </w:pPr>
      <w:proofErr w:type="spellStart"/>
      <w:r>
        <w:rPr>
          <w:color w:val="222222"/>
          <w:szCs w:val="24"/>
          <w:highlight w:val="white"/>
        </w:rPr>
        <w:t>Neish</w:t>
      </w:r>
      <w:proofErr w:type="spellEnd"/>
      <w:r>
        <w:rPr>
          <w:color w:val="222222"/>
          <w:szCs w:val="24"/>
          <w:highlight w:val="white"/>
        </w:rPr>
        <w:t xml:space="preserve">, S. (2023) Waitrose to clear shelf space for more alcohol-free products, The Drinks Business. Available at: </w:t>
      </w:r>
      <w:hyperlink r:id="rId36">
        <w:r>
          <w:rPr>
            <w:color w:val="1155CC"/>
            <w:szCs w:val="24"/>
            <w:highlight w:val="white"/>
            <w:u w:val="single"/>
          </w:rPr>
          <w:t>https://www.thedrinksbusiness.com/2023/08/waitrose-cuts-wine-shelf-space-for-alcohol-free/</w:t>
        </w:r>
      </w:hyperlink>
      <w:r>
        <w:rPr>
          <w:color w:val="222222"/>
          <w:szCs w:val="24"/>
          <w:highlight w:val="white"/>
        </w:rPr>
        <w:t xml:space="preserve"> (Accessed: August 6, 2026).</w:t>
      </w:r>
    </w:p>
    <w:p w14:paraId="0EAF08E3" w14:textId="77777777" w:rsidR="005C2AAE" w:rsidRPr="00B87326" w:rsidRDefault="005C2AAE" w:rsidP="00B87326">
      <w:pPr>
        <w:shd w:val="clear" w:color="auto" w:fill="FFFFFF"/>
        <w:spacing w:before="220" w:after="220"/>
        <w:rPr>
          <w:color w:val="222222"/>
          <w:szCs w:val="24"/>
          <w:highlight w:val="white"/>
          <w:lang w:val="en-IN"/>
        </w:rPr>
      </w:pPr>
      <w:r w:rsidRPr="00B87326">
        <w:rPr>
          <w:color w:val="222222"/>
          <w:szCs w:val="24"/>
          <w:highlight w:val="white"/>
          <w:lang w:val="en-IN"/>
        </w:rPr>
        <w:t>Nicholls, E., (2023). “I don't want to introduce it into new places in my life”: The marketing and consumption of no and low alcohol drinks. </w:t>
      </w:r>
      <w:r w:rsidRPr="00B87326">
        <w:rPr>
          <w:i/>
          <w:iCs/>
          <w:color w:val="222222"/>
          <w:szCs w:val="24"/>
          <w:highlight w:val="white"/>
          <w:lang w:val="en-IN"/>
        </w:rPr>
        <w:t>International Journal of Drug Policy</w:t>
      </w:r>
      <w:r w:rsidRPr="00B87326">
        <w:rPr>
          <w:color w:val="222222"/>
          <w:szCs w:val="24"/>
          <w:highlight w:val="white"/>
          <w:lang w:val="en-IN"/>
        </w:rPr>
        <w:t>, </w:t>
      </w:r>
      <w:r w:rsidRPr="00B87326">
        <w:rPr>
          <w:i/>
          <w:iCs/>
          <w:color w:val="222222"/>
          <w:szCs w:val="24"/>
          <w:highlight w:val="white"/>
          <w:lang w:val="en-IN"/>
        </w:rPr>
        <w:t>119</w:t>
      </w:r>
      <w:r w:rsidRPr="00B87326">
        <w:rPr>
          <w:color w:val="222222"/>
          <w:szCs w:val="24"/>
          <w:highlight w:val="white"/>
          <w:lang w:val="en-IN"/>
        </w:rPr>
        <w:t>, p.104149.</w:t>
      </w:r>
    </w:p>
    <w:p w14:paraId="6BF4AE06" w14:textId="77777777" w:rsidR="005C2AAE" w:rsidRDefault="005C2AAE">
      <w:pPr>
        <w:shd w:val="clear" w:color="auto" w:fill="FFFFFF"/>
        <w:spacing w:before="220" w:after="220"/>
        <w:rPr>
          <w:color w:val="222222"/>
          <w:szCs w:val="24"/>
          <w:highlight w:val="white"/>
        </w:rPr>
      </w:pPr>
      <w:proofErr w:type="spellStart"/>
      <w:r>
        <w:rPr>
          <w:color w:val="222222"/>
          <w:szCs w:val="24"/>
          <w:highlight w:val="white"/>
        </w:rPr>
        <w:t>Rahr</w:t>
      </w:r>
      <w:proofErr w:type="spellEnd"/>
      <w:r>
        <w:rPr>
          <w:color w:val="222222"/>
          <w:szCs w:val="24"/>
          <w:highlight w:val="white"/>
        </w:rPr>
        <w:t xml:space="preserve"> BSG, (2026). Brewing NA Beer: A Practical Overview of Production Methods. Available at: </w:t>
      </w:r>
      <w:hyperlink r:id="rId37">
        <w:r>
          <w:rPr>
            <w:color w:val="1155CC"/>
            <w:szCs w:val="24"/>
            <w:highlight w:val="white"/>
            <w:u w:val="single"/>
          </w:rPr>
          <w:t>https://rahrbsg.ca/nablab/brewing-na-beer-a-practical-overview-of-production-methods/</w:t>
        </w:r>
      </w:hyperlink>
      <w:r>
        <w:rPr>
          <w:color w:val="222222"/>
          <w:szCs w:val="24"/>
          <w:highlight w:val="white"/>
        </w:rPr>
        <w:t xml:space="preserve"> (Accessed: August 6, 2026).</w:t>
      </w:r>
    </w:p>
    <w:p w14:paraId="24C519E9" w14:textId="77777777" w:rsidR="005C2AAE" w:rsidRDefault="005C2AAE">
      <w:pPr>
        <w:shd w:val="clear" w:color="auto" w:fill="FFFFFF"/>
        <w:spacing w:before="220" w:after="220"/>
        <w:rPr>
          <w:szCs w:val="24"/>
        </w:rPr>
      </w:pPr>
      <w:r>
        <w:rPr>
          <w:color w:val="222222"/>
          <w:szCs w:val="24"/>
        </w:rPr>
        <w:t xml:space="preserve">Spivey, N.N., 1990. Transforming texts: Constructive processes in reading and writing. </w:t>
      </w:r>
      <w:r>
        <w:rPr>
          <w:i/>
          <w:iCs/>
          <w:color w:val="222222"/>
          <w:szCs w:val="24"/>
        </w:rPr>
        <w:t>Written communication</w:t>
      </w:r>
      <w:r>
        <w:rPr>
          <w:color w:val="222222"/>
          <w:szCs w:val="24"/>
        </w:rPr>
        <w:t xml:space="preserve">, </w:t>
      </w:r>
      <w:r>
        <w:rPr>
          <w:i/>
          <w:iCs/>
          <w:color w:val="222222"/>
          <w:szCs w:val="24"/>
        </w:rPr>
        <w:t>7</w:t>
      </w:r>
      <w:r>
        <w:rPr>
          <w:color w:val="222222"/>
          <w:szCs w:val="24"/>
        </w:rPr>
        <w:t>(2), pp.256-287.</w:t>
      </w:r>
    </w:p>
    <w:p w14:paraId="387FD1B1" w14:textId="77777777" w:rsidR="005C2AAE" w:rsidRPr="00B87326" w:rsidRDefault="005C2AAE" w:rsidP="00B87326">
      <w:pPr>
        <w:shd w:val="clear" w:color="auto" w:fill="FFFFFF"/>
        <w:spacing w:before="220" w:after="220"/>
        <w:rPr>
          <w:color w:val="222222"/>
          <w:szCs w:val="24"/>
          <w:highlight w:val="white"/>
          <w:lang w:val="en-IN"/>
        </w:rPr>
      </w:pPr>
      <w:proofErr w:type="spellStart"/>
      <w:r w:rsidRPr="00B87326">
        <w:rPr>
          <w:color w:val="222222"/>
          <w:szCs w:val="24"/>
          <w:highlight w:val="white"/>
          <w:lang w:val="en-IN"/>
        </w:rPr>
        <w:t>Statista</w:t>
      </w:r>
      <w:proofErr w:type="spellEnd"/>
      <w:r w:rsidRPr="00B87326">
        <w:rPr>
          <w:color w:val="222222"/>
          <w:szCs w:val="24"/>
          <w:highlight w:val="white"/>
          <w:lang w:val="en-IN"/>
        </w:rPr>
        <w:t xml:space="preserve">, (2026). Non-Alcoholic Drinks - United Kingdom. Available at: </w:t>
      </w:r>
      <w:hyperlink r:id="rId38" w:history="1">
        <w:r w:rsidRPr="00B87326">
          <w:rPr>
            <w:rStyle w:val="Hyperlink"/>
            <w:szCs w:val="24"/>
            <w:highlight w:val="white"/>
            <w:lang w:val="en-IN"/>
          </w:rPr>
          <w:t>https://www.statista.com/outlook/cmo/non-alcoholic-drinks/united-kingdom/?srsltid=AfmBOop19vV15jzfJegZaxHVmq7wpLoDbKNUqYm7AZgTCTsWc6n3cu55</w:t>
        </w:r>
      </w:hyperlink>
      <w:r w:rsidRPr="00B87326">
        <w:rPr>
          <w:color w:val="222222"/>
          <w:szCs w:val="24"/>
          <w:highlight w:val="white"/>
          <w:lang w:val="en-IN"/>
        </w:rPr>
        <w:t xml:space="preserve"> (Accessed: </w:t>
      </w:r>
      <w:r w:rsidRPr="00B87326">
        <w:rPr>
          <w:color w:val="222222"/>
          <w:szCs w:val="24"/>
          <w:highlight w:val="white"/>
        </w:rPr>
        <w:t>Aug 6, 2026</w:t>
      </w:r>
      <w:r w:rsidRPr="00B87326">
        <w:rPr>
          <w:color w:val="222222"/>
          <w:szCs w:val="24"/>
          <w:highlight w:val="white"/>
          <w:lang w:val="en-IN"/>
        </w:rPr>
        <w:t>)</w:t>
      </w:r>
    </w:p>
    <w:p w14:paraId="1A9C492C" w14:textId="77777777" w:rsidR="005C2AAE" w:rsidRDefault="005C2AAE">
      <w:pPr>
        <w:shd w:val="clear" w:color="auto" w:fill="FFFFFF"/>
        <w:spacing w:before="220" w:after="220"/>
        <w:rPr>
          <w:color w:val="222222"/>
          <w:szCs w:val="24"/>
        </w:rPr>
      </w:pPr>
      <w:proofErr w:type="spellStart"/>
      <w:r>
        <w:rPr>
          <w:color w:val="222222"/>
          <w:szCs w:val="24"/>
        </w:rPr>
        <w:t>Suleimanova</w:t>
      </w:r>
      <w:proofErr w:type="spellEnd"/>
      <w:r>
        <w:rPr>
          <w:color w:val="222222"/>
          <w:szCs w:val="24"/>
        </w:rPr>
        <w:t xml:space="preserve">, O.A. and </w:t>
      </w:r>
      <w:proofErr w:type="spellStart"/>
      <w:r>
        <w:rPr>
          <w:color w:val="222222"/>
          <w:szCs w:val="24"/>
        </w:rPr>
        <w:t>Lykova</w:t>
      </w:r>
      <w:proofErr w:type="spellEnd"/>
      <w:r>
        <w:rPr>
          <w:color w:val="222222"/>
          <w:szCs w:val="24"/>
        </w:rPr>
        <w:t xml:space="preserve">, T.A., 2023. Academic writing details in critical perspective. </w:t>
      </w:r>
      <w:r>
        <w:rPr>
          <w:i/>
          <w:iCs/>
          <w:color w:val="222222"/>
          <w:szCs w:val="24"/>
        </w:rPr>
        <w:t>Training, Language and Culture</w:t>
      </w:r>
      <w:r>
        <w:rPr>
          <w:color w:val="222222"/>
          <w:szCs w:val="24"/>
        </w:rPr>
        <w:t xml:space="preserve">, </w:t>
      </w:r>
      <w:r>
        <w:rPr>
          <w:i/>
          <w:iCs/>
          <w:color w:val="222222"/>
          <w:szCs w:val="24"/>
        </w:rPr>
        <w:t>7</w:t>
      </w:r>
      <w:r>
        <w:rPr>
          <w:color w:val="222222"/>
          <w:szCs w:val="24"/>
        </w:rPr>
        <w:t>(3), pp.94-102.</w:t>
      </w:r>
    </w:p>
    <w:p w14:paraId="78AFD69A" w14:textId="77777777" w:rsidR="005C2AAE" w:rsidRPr="00B87326" w:rsidRDefault="005C2AAE" w:rsidP="00B87326">
      <w:pPr>
        <w:shd w:val="clear" w:color="auto" w:fill="FFFFFF"/>
        <w:spacing w:before="220" w:after="220"/>
        <w:rPr>
          <w:color w:val="222222"/>
          <w:szCs w:val="24"/>
          <w:highlight w:val="white"/>
          <w:lang w:val="en-IN"/>
        </w:rPr>
      </w:pPr>
      <w:r w:rsidRPr="00B87326">
        <w:rPr>
          <w:color w:val="222222"/>
          <w:szCs w:val="24"/>
          <w:highlight w:val="white"/>
          <w:lang w:val="en-IN"/>
        </w:rPr>
        <w:t xml:space="preserve">The Grocer, (2026). Britain's Biggest Alcohol Brands 2026: reasons to be cheerful. Available at: </w:t>
      </w:r>
      <w:hyperlink r:id="rId39" w:history="1">
        <w:r w:rsidRPr="00B87326">
          <w:rPr>
            <w:rStyle w:val="Hyperlink"/>
            <w:szCs w:val="24"/>
            <w:highlight w:val="white"/>
            <w:lang w:val="en-IN"/>
          </w:rPr>
          <w:t>https://www.thegrocer.co.uk/analysis-and-features/britains-biggest-alcohol-brands-2026-reasons-to-be-cheerful/720571.article</w:t>
        </w:r>
      </w:hyperlink>
      <w:r w:rsidRPr="00B87326">
        <w:rPr>
          <w:color w:val="222222"/>
          <w:szCs w:val="24"/>
          <w:highlight w:val="white"/>
          <w:lang w:val="en-IN"/>
        </w:rPr>
        <w:t xml:space="preserve"> (Accessed: </w:t>
      </w:r>
      <w:r w:rsidRPr="00B87326">
        <w:rPr>
          <w:color w:val="222222"/>
          <w:szCs w:val="24"/>
          <w:highlight w:val="white"/>
        </w:rPr>
        <w:t>Aug 6, 2026</w:t>
      </w:r>
      <w:r w:rsidRPr="00B87326">
        <w:rPr>
          <w:color w:val="222222"/>
          <w:szCs w:val="24"/>
          <w:highlight w:val="white"/>
          <w:lang w:val="en-IN"/>
        </w:rPr>
        <w:t>)</w:t>
      </w:r>
    </w:p>
    <w:p w14:paraId="0CC8C5F0" w14:textId="77777777" w:rsidR="005C2AAE" w:rsidRPr="00B87326" w:rsidRDefault="005C2AAE" w:rsidP="00B87326">
      <w:pPr>
        <w:shd w:val="clear" w:color="auto" w:fill="FFFFFF"/>
        <w:spacing w:before="220" w:after="220"/>
        <w:rPr>
          <w:color w:val="222222"/>
          <w:szCs w:val="24"/>
          <w:highlight w:val="white"/>
          <w:lang w:val="en-IN"/>
        </w:rPr>
      </w:pPr>
      <w:r w:rsidRPr="00B87326">
        <w:rPr>
          <w:color w:val="222222"/>
          <w:szCs w:val="24"/>
          <w:highlight w:val="white"/>
          <w:lang w:val="en-IN"/>
        </w:rPr>
        <w:t xml:space="preserve">The Grocer, (2026). Diageo unveils $1.2bn restructure plan after 'mixed' results. Available at: </w:t>
      </w:r>
      <w:hyperlink r:id="rId40" w:history="1">
        <w:r w:rsidRPr="00B87326">
          <w:rPr>
            <w:rStyle w:val="Hyperlink"/>
            <w:szCs w:val="24"/>
            <w:highlight w:val="white"/>
            <w:lang w:val="en-IN"/>
          </w:rPr>
          <w:t>https://www.thegrocer.co.uk/news/diageo-unveils-12bn-restructuring-programme-after-mixed-fy26-results/722164.article</w:t>
        </w:r>
      </w:hyperlink>
      <w:r w:rsidRPr="00B87326">
        <w:rPr>
          <w:color w:val="222222"/>
          <w:szCs w:val="24"/>
          <w:highlight w:val="white"/>
          <w:lang w:val="en-IN"/>
        </w:rPr>
        <w:t xml:space="preserve"> (Accessed: </w:t>
      </w:r>
      <w:r w:rsidRPr="00B87326">
        <w:rPr>
          <w:color w:val="222222"/>
          <w:szCs w:val="24"/>
          <w:highlight w:val="white"/>
        </w:rPr>
        <w:t>Aug 6, 2026</w:t>
      </w:r>
      <w:r w:rsidRPr="00B87326">
        <w:rPr>
          <w:color w:val="222222"/>
          <w:szCs w:val="24"/>
          <w:highlight w:val="white"/>
          <w:lang w:val="en-IN"/>
        </w:rPr>
        <w:t xml:space="preserve">) </w:t>
      </w:r>
    </w:p>
    <w:p w14:paraId="0D5E428F" w14:textId="77777777" w:rsidR="005C2AAE" w:rsidRDefault="005C2AAE">
      <w:pPr>
        <w:shd w:val="clear" w:color="auto" w:fill="FFFFFF"/>
        <w:spacing w:before="220" w:after="220"/>
        <w:rPr>
          <w:color w:val="222222"/>
          <w:szCs w:val="24"/>
          <w:highlight w:val="white"/>
        </w:rPr>
      </w:pPr>
      <w:proofErr w:type="spellStart"/>
      <w:r>
        <w:rPr>
          <w:color w:val="222222"/>
          <w:szCs w:val="24"/>
          <w:highlight w:val="white"/>
        </w:rPr>
        <w:t>Unhopped</w:t>
      </w:r>
      <w:proofErr w:type="spellEnd"/>
      <w:r>
        <w:rPr>
          <w:color w:val="222222"/>
          <w:szCs w:val="24"/>
          <w:highlight w:val="white"/>
        </w:rPr>
        <w:t xml:space="preserve">, (2026). Lucky Saint vs Heineken 0.0: Which Alcohol-Free Lager Wins? Available at: </w:t>
      </w:r>
      <w:hyperlink r:id="rId41">
        <w:r>
          <w:rPr>
            <w:color w:val="1155CC"/>
            <w:szCs w:val="24"/>
            <w:highlight w:val="white"/>
            <w:u w:val="single"/>
          </w:rPr>
          <w:t>https://unhopped.co.uk/blog/lucky-saint-vs-heineken-0-0/</w:t>
        </w:r>
      </w:hyperlink>
      <w:r>
        <w:rPr>
          <w:color w:val="222222"/>
          <w:szCs w:val="24"/>
          <w:highlight w:val="white"/>
        </w:rPr>
        <w:t xml:space="preserve"> (Accessed: August 6, 2026).</w:t>
      </w:r>
    </w:p>
    <w:p w14:paraId="742C2E87" w14:textId="77777777" w:rsidR="005C2AAE" w:rsidRPr="00B87326" w:rsidRDefault="005C2AAE" w:rsidP="00B87326">
      <w:pPr>
        <w:shd w:val="clear" w:color="auto" w:fill="FFFFFF"/>
        <w:spacing w:before="220" w:after="220"/>
        <w:rPr>
          <w:color w:val="222222"/>
          <w:szCs w:val="24"/>
          <w:highlight w:val="white"/>
          <w:lang w:val="en-IN"/>
        </w:rPr>
      </w:pPr>
      <w:r w:rsidRPr="00B87326">
        <w:rPr>
          <w:color w:val="222222"/>
          <w:szCs w:val="24"/>
          <w:highlight w:val="white"/>
          <w:lang w:val="en-IN"/>
        </w:rPr>
        <w:t xml:space="preserve">Wen, S. and </w:t>
      </w:r>
      <w:proofErr w:type="spellStart"/>
      <w:r w:rsidRPr="00B87326">
        <w:rPr>
          <w:color w:val="222222"/>
          <w:szCs w:val="24"/>
          <w:highlight w:val="white"/>
          <w:lang w:val="en-IN"/>
        </w:rPr>
        <w:t>Södergren</w:t>
      </w:r>
      <w:proofErr w:type="spellEnd"/>
      <w:r w:rsidRPr="00B87326">
        <w:rPr>
          <w:color w:val="222222"/>
          <w:szCs w:val="24"/>
          <w:highlight w:val="white"/>
          <w:lang w:val="en-IN"/>
        </w:rPr>
        <w:t>, J., 2025. “Be wildly responsible”: how alcohol brands use social media to promote responsible drinking among young consumers in the UK. </w:t>
      </w:r>
      <w:r w:rsidRPr="00B87326">
        <w:rPr>
          <w:i/>
          <w:iCs/>
          <w:color w:val="222222"/>
          <w:szCs w:val="24"/>
          <w:highlight w:val="white"/>
          <w:lang w:val="en-IN"/>
        </w:rPr>
        <w:t>Young Consumers</w:t>
      </w:r>
      <w:r w:rsidRPr="00B87326">
        <w:rPr>
          <w:color w:val="222222"/>
          <w:szCs w:val="24"/>
          <w:highlight w:val="white"/>
          <w:lang w:val="en-IN"/>
        </w:rPr>
        <w:t>.</w:t>
      </w:r>
    </w:p>
    <w:p w14:paraId="5E01F54A" w14:textId="77777777" w:rsidR="005C2AAE" w:rsidRPr="00B87326" w:rsidRDefault="005C2AAE" w:rsidP="00B87326">
      <w:pPr>
        <w:shd w:val="clear" w:color="auto" w:fill="FFFFFF"/>
        <w:spacing w:before="220" w:after="220"/>
        <w:rPr>
          <w:color w:val="222222"/>
          <w:szCs w:val="24"/>
          <w:highlight w:val="white"/>
          <w:lang w:val="en-IN"/>
        </w:rPr>
      </w:pPr>
      <w:proofErr w:type="spellStart"/>
      <w:r w:rsidRPr="00B87326">
        <w:rPr>
          <w:color w:val="222222"/>
          <w:szCs w:val="24"/>
          <w:highlight w:val="white"/>
          <w:lang w:val="en-IN"/>
        </w:rPr>
        <w:t>Yabaci</w:t>
      </w:r>
      <w:proofErr w:type="spellEnd"/>
      <w:r w:rsidRPr="00B87326">
        <w:rPr>
          <w:color w:val="222222"/>
          <w:szCs w:val="24"/>
          <w:highlight w:val="white"/>
          <w:lang w:val="en-IN"/>
        </w:rPr>
        <w:t xml:space="preserve"> </w:t>
      </w:r>
      <w:proofErr w:type="spellStart"/>
      <w:r w:rsidRPr="00B87326">
        <w:rPr>
          <w:color w:val="222222"/>
          <w:szCs w:val="24"/>
          <w:highlight w:val="white"/>
          <w:lang w:val="en-IN"/>
        </w:rPr>
        <w:t>Karaoglan</w:t>
      </w:r>
      <w:proofErr w:type="spellEnd"/>
      <w:r w:rsidRPr="00B87326">
        <w:rPr>
          <w:color w:val="222222"/>
          <w:szCs w:val="24"/>
          <w:highlight w:val="white"/>
          <w:lang w:val="en-IN"/>
        </w:rPr>
        <w:t xml:space="preserve">, S., Jung, R., Gauthier, M., </w:t>
      </w:r>
      <w:proofErr w:type="spellStart"/>
      <w:r w:rsidRPr="00B87326">
        <w:rPr>
          <w:color w:val="222222"/>
          <w:szCs w:val="24"/>
          <w:highlight w:val="white"/>
          <w:lang w:val="en-IN"/>
        </w:rPr>
        <w:t>Kinčl</w:t>
      </w:r>
      <w:proofErr w:type="spellEnd"/>
      <w:r w:rsidRPr="00B87326">
        <w:rPr>
          <w:color w:val="222222"/>
          <w:szCs w:val="24"/>
          <w:highlight w:val="white"/>
          <w:lang w:val="en-IN"/>
        </w:rPr>
        <w:t xml:space="preserve">, T. and </w:t>
      </w:r>
      <w:proofErr w:type="spellStart"/>
      <w:r w:rsidRPr="00B87326">
        <w:rPr>
          <w:color w:val="222222"/>
          <w:szCs w:val="24"/>
          <w:highlight w:val="white"/>
          <w:lang w:val="en-IN"/>
        </w:rPr>
        <w:t>Dostálek</w:t>
      </w:r>
      <w:proofErr w:type="spellEnd"/>
      <w:r w:rsidRPr="00B87326">
        <w:rPr>
          <w:color w:val="222222"/>
          <w:szCs w:val="24"/>
          <w:highlight w:val="white"/>
          <w:lang w:val="en-IN"/>
        </w:rPr>
        <w:t>, P., (2022). Maltose-negative yeast in non-alcoholic and low-alcoholic beer production. </w:t>
      </w:r>
      <w:r w:rsidRPr="00B87326">
        <w:rPr>
          <w:i/>
          <w:iCs/>
          <w:color w:val="222222"/>
          <w:szCs w:val="24"/>
          <w:highlight w:val="white"/>
          <w:lang w:val="en-IN"/>
        </w:rPr>
        <w:t>Fermentation</w:t>
      </w:r>
      <w:r w:rsidRPr="00B87326">
        <w:rPr>
          <w:color w:val="222222"/>
          <w:szCs w:val="24"/>
          <w:highlight w:val="white"/>
          <w:lang w:val="en-IN"/>
        </w:rPr>
        <w:t>, </w:t>
      </w:r>
      <w:r w:rsidRPr="00B87326">
        <w:rPr>
          <w:i/>
          <w:iCs/>
          <w:color w:val="222222"/>
          <w:szCs w:val="24"/>
          <w:highlight w:val="white"/>
          <w:lang w:val="en-IN"/>
        </w:rPr>
        <w:t>8</w:t>
      </w:r>
      <w:r w:rsidRPr="00B87326">
        <w:rPr>
          <w:color w:val="222222"/>
          <w:szCs w:val="24"/>
          <w:highlight w:val="white"/>
          <w:lang w:val="en-IN"/>
        </w:rPr>
        <w:t>(6), p.273.</w:t>
      </w:r>
    </w:p>
    <w:sectPr w:rsidR="005C2AAE" w:rsidRPr="00B87326">
      <w:footerReference w:type="default" r:id="rId4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9D1DC" w14:textId="77777777" w:rsidR="00E956E0" w:rsidRDefault="00E956E0" w:rsidP="00E679E6">
      <w:pPr>
        <w:spacing w:line="240" w:lineRule="auto"/>
      </w:pPr>
      <w:r>
        <w:separator/>
      </w:r>
    </w:p>
  </w:endnote>
  <w:endnote w:type="continuationSeparator" w:id="0">
    <w:p w14:paraId="5648ED39" w14:textId="77777777" w:rsidR="00E956E0" w:rsidRDefault="00E956E0" w:rsidP="00E679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1A7E3047-3B9A-4C18-873D-3A3F1C38D26F}"/>
  </w:font>
  <w:font w:name="Cambria">
    <w:panose1 w:val="02040503050406030204"/>
    <w:charset w:val="00"/>
    <w:family w:val="roman"/>
    <w:pitch w:val="variable"/>
    <w:sig w:usb0="E00006FF" w:usb1="420024FF" w:usb2="02000000" w:usb3="00000000" w:csb0="0000019F" w:csb1="00000000"/>
    <w:embedRegular r:id="rId2" w:fontKey="{D39CCA0F-3996-4C3E-88C9-B99ACDE61B3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8939264"/>
      <w:docPartObj>
        <w:docPartGallery w:val="Page Numbers (Bottom of Page)"/>
        <w:docPartUnique/>
      </w:docPartObj>
    </w:sdtPr>
    <w:sdtEndPr>
      <w:rPr>
        <w:color w:val="7F7F7F" w:themeColor="background1" w:themeShade="7F"/>
        <w:spacing w:val="60"/>
      </w:rPr>
    </w:sdtEndPr>
    <w:sdtContent>
      <w:p w14:paraId="37949EF4" w14:textId="10A34AAB" w:rsidR="00E679E6" w:rsidRDefault="00E679E6">
        <w:pPr>
          <w:pStyle w:val="Footer"/>
          <w:pBdr>
            <w:top w:val="single" w:sz="4" w:space="1" w:color="D9D9D9" w:themeColor="background1" w:themeShade="D9"/>
          </w:pBdr>
          <w:jc w:val="right"/>
        </w:pPr>
        <w:r w:rsidRPr="00E679E6">
          <w:rPr>
            <w:sz w:val="20"/>
            <w:szCs w:val="20"/>
          </w:rPr>
          <w:fldChar w:fldCharType="begin"/>
        </w:r>
        <w:r w:rsidRPr="00E679E6">
          <w:rPr>
            <w:sz w:val="20"/>
            <w:szCs w:val="20"/>
          </w:rPr>
          <w:instrText>PAGE   \* MERGEFORMAT</w:instrText>
        </w:r>
        <w:r w:rsidRPr="00E679E6">
          <w:rPr>
            <w:sz w:val="20"/>
            <w:szCs w:val="20"/>
          </w:rPr>
          <w:fldChar w:fldCharType="separate"/>
        </w:r>
        <w:r w:rsidRPr="00E679E6">
          <w:rPr>
            <w:sz w:val="20"/>
            <w:szCs w:val="20"/>
          </w:rPr>
          <w:t>2</w:t>
        </w:r>
        <w:r w:rsidRPr="00E679E6">
          <w:rPr>
            <w:sz w:val="20"/>
            <w:szCs w:val="20"/>
          </w:rPr>
          <w:fldChar w:fldCharType="end"/>
        </w:r>
        <w:r w:rsidRPr="00E679E6">
          <w:rPr>
            <w:sz w:val="20"/>
            <w:szCs w:val="20"/>
          </w:rPr>
          <w:t xml:space="preserve"> | </w:t>
        </w:r>
        <w:r w:rsidRPr="00E679E6">
          <w:rPr>
            <w:color w:val="7F7F7F" w:themeColor="background1" w:themeShade="7F"/>
            <w:spacing w:val="60"/>
            <w:sz w:val="20"/>
            <w:szCs w:val="20"/>
          </w:rPr>
          <w:t>Page</w:t>
        </w:r>
      </w:p>
    </w:sdtContent>
  </w:sdt>
  <w:p w14:paraId="5362B948" w14:textId="77777777" w:rsidR="00E679E6" w:rsidRDefault="00E679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96567C" w14:textId="77777777" w:rsidR="00E956E0" w:rsidRDefault="00E956E0" w:rsidP="00E679E6">
      <w:pPr>
        <w:spacing w:line="240" w:lineRule="auto"/>
      </w:pPr>
      <w:r>
        <w:separator/>
      </w:r>
    </w:p>
  </w:footnote>
  <w:footnote w:type="continuationSeparator" w:id="0">
    <w:p w14:paraId="6A3FE529" w14:textId="77777777" w:rsidR="00E956E0" w:rsidRDefault="00E956E0" w:rsidP="00E679E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D0CAF"/>
    <w:multiLevelType w:val="multilevel"/>
    <w:tmpl w:val="7222F9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F366CD"/>
    <w:multiLevelType w:val="multilevel"/>
    <w:tmpl w:val="390E25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6C54CF"/>
    <w:multiLevelType w:val="multilevel"/>
    <w:tmpl w:val="C62AE4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1EC638A"/>
    <w:multiLevelType w:val="hybridMultilevel"/>
    <w:tmpl w:val="008C3690"/>
    <w:lvl w:ilvl="0" w:tplc="4009000F">
      <w:start w:val="1"/>
      <w:numFmt w:val="decimal"/>
      <w:lvlText w:val="%1."/>
      <w:lvlJc w:val="left"/>
      <w:pPr>
        <w:ind w:left="3600" w:hanging="360"/>
      </w:pPr>
    </w:lvl>
    <w:lvl w:ilvl="1" w:tplc="40090019" w:tentative="1">
      <w:start w:val="1"/>
      <w:numFmt w:val="lowerLetter"/>
      <w:lvlText w:val="%2."/>
      <w:lvlJc w:val="left"/>
      <w:pPr>
        <w:ind w:left="4320" w:hanging="360"/>
      </w:pPr>
    </w:lvl>
    <w:lvl w:ilvl="2" w:tplc="4009001B" w:tentative="1">
      <w:start w:val="1"/>
      <w:numFmt w:val="lowerRoman"/>
      <w:lvlText w:val="%3."/>
      <w:lvlJc w:val="right"/>
      <w:pPr>
        <w:ind w:left="5040" w:hanging="180"/>
      </w:pPr>
    </w:lvl>
    <w:lvl w:ilvl="3" w:tplc="4009000F" w:tentative="1">
      <w:start w:val="1"/>
      <w:numFmt w:val="decimal"/>
      <w:lvlText w:val="%4."/>
      <w:lvlJc w:val="left"/>
      <w:pPr>
        <w:ind w:left="5760" w:hanging="360"/>
      </w:pPr>
    </w:lvl>
    <w:lvl w:ilvl="4" w:tplc="40090019" w:tentative="1">
      <w:start w:val="1"/>
      <w:numFmt w:val="lowerLetter"/>
      <w:lvlText w:val="%5."/>
      <w:lvlJc w:val="left"/>
      <w:pPr>
        <w:ind w:left="6480" w:hanging="360"/>
      </w:pPr>
    </w:lvl>
    <w:lvl w:ilvl="5" w:tplc="4009001B" w:tentative="1">
      <w:start w:val="1"/>
      <w:numFmt w:val="lowerRoman"/>
      <w:lvlText w:val="%6."/>
      <w:lvlJc w:val="right"/>
      <w:pPr>
        <w:ind w:left="7200" w:hanging="180"/>
      </w:pPr>
    </w:lvl>
    <w:lvl w:ilvl="6" w:tplc="4009000F" w:tentative="1">
      <w:start w:val="1"/>
      <w:numFmt w:val="decimal"/>
      <w:lvlText w:val="%7."/>
      <w:lvlJc w:val="left"/>
      <w:pPr>
        <w:ind w:left="7920" w:hanging="360"/>
      </w:pPr>
    </w:lvl>
    <w:lvl w:ilvl="7" w:tplc="40090019" w:tentative="1">
      <w:start w:val="1"/>
      <w:numFmt w:val="lowerLetter"/>
      <w:lvlText w:val="%8."/>
      <w:lvlJc w:val="left"/>
      <w:pPr>
        <w:ind w:left="8640" w:hanging="360"/>
      </w:pPr>
    </w:lvl>
    <w:lvl w:ilvl="8" w:tplc="4009001B" w:tentative="1">
      <w:start w:val="1"/>
      <w:numFmt w:val="lowerRoman"/>
      <w:lvlText w:val="%9."/>
      <w:lvlJc w:val="right"/>
      <w:pPr>
        <w:ind w:left="9360" w:hanging="180"/>
      </w:pPr>
    </w:lvl>
  </w:abstractNum>
  <w:abstractNum w:abstractNumId="4" w15:restartNumberingAfterBreak="0">
    <w:nsid w:val="57841EE3"/>
    <w:multiLevelType w:val="multilevel"/>
    <w:tmpl w:val="36861E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F326954"/>
    <w:multiLevelType w:val="hybridMultilevel"/>
    <w:tmpl w:val="4DF28D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08122869">
    <w:abstractNumId w:val="2"/>
  </w:num>
  <w:num w:numId="2" w16cid:durableId="260995043">
    <w:abstractNumId w:val="4"/>
  </w:num>
  <w:num w:numId="3" w16cid:durableId="1759012822">
    <w:abstractNumId w:val="1"/>
  </w:num>
  <w:num w:numId="4" w16cid:durableId="291598675">
    <w:abstractNumId w:val="0"/>
  </w:num>
  <w:num w:numId="5" w16cid:durableId="781265148">
    <w:abstractNumId w:val="5"/>
  </w:num>
  <w:num w:numId="6" w16cid:durableId="17812228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0D96"/>
    <w:rsid w:val="0005406E"/>
    <w:rsid w:val="00084587"/>
    <w:rsid w:val="00086A5D"/>
    <w:rsid w:val="00093396"/>
    <w:rsid w:val="000A6CA4"/>
    <w:rsid w:val="000B1963"/>
    <w:rsid w:val="000B4DD6"/>
    <w:rsid w:val="000E7602"/>
    <w:rsid w:val="000F2C7D"/>
    <w:rsid w:val="000F33CF"/>
    <w:rsid w:val="001149C4"/>
    <w:rsid w:val="001322DA"/>
    <w:rsid w:val="001377C1"/>
    <w:rsid w:val="00171E3D"/>
    <w:rsid w:val="0017555D"/>
    <w:rsid w:val="00187406"/>
    <w:rsid w:val="001927F8"/>
    <w:rsid w:val="001A3A9D"/>
    <w:rsid w:val="001C3D44"/>
    <w:rsid w:val="00211AC4"/>
    <w:rsid w:val="00230D96"/>
    <w:rsid w:val="00254BC3"/>
    <w:rsid w:val="00254C28"/>
    <w:rsid w:val="00255BB5"/>
    <w:rsid w:val="00264541"/>
    <w:rsid w:val="002F11BD"/>
    <w:rsid w:val="00303406"/>
    <w:rsid w:val="0031467B"/>
    <w:rsid w:val="003149D5"/>
    <w:rsid w:val="003255EB"/>
    <w:rsid w:val="00332EE3"/>
    <w:rsid w:val="0033612C"/>
    <w:rsid w:val="00360FF3"/>
    <w:rsid w:val="003625C8"/>
    <w:rsid w:val="00381135"/>
    <w:rsid w:val="003B40C8"/>
    <w:rsid w:val="003F74F4"/>
    <w:rsid w:val="00413BC0"/>
    <w:rsid w:val="00444432"/>
    <w:rsid w:val="0045087E"/>
    <w:rsid w:val="004779D8"/>
    <w:rsid w:val="00480204"/>
    <w:rsid w:val="0049574C"/>
    <w:rsid w:val="004B3C1E"/>
    <w:rsid w:val="004B7047"/>
    <w:rsid w:val="004C7807"/>
    <w:rsid w:val="004E787E"/>
    <w:rsid w:val="004F268F"/>
    <w:rsid w:val="004F7615"/>
    <w:rsid w:val="00543285"/>
    <w:rsid w:val="005456FC"/>
    <w:rsid w:val="0055443D"/>
    <w:rsid w:val="0057214F"/>
    <w:rsid w:val="00596312"/>
    <w:rsid w:val="005A0008"/>
    <w:rsid w:val="005B4F8C"/>
    <w:rsid w:val="005B5812"/>
    <w:rsid w:val="005C2AAE"/>
    <w:rsid w:val="005E7FA1"/>
    <w:rsid w:val="005F0D68"/>
    <w:rsid w:val="00605CE6"/>
    <w:rsid w:val="00612E5C"/>
    <w:rsid w:val="006578AE"/>
    <w:rsid w:val="00670343"/>
    <w:rsid w:val="006B14A1"/>
    <w:rsid w:val="006D27E5"/>
    <w:rsid w:val="00722117"/>
    <w:rsid w:val="00743270"/>
    <w:rsid w:val="00750CB6"/>
    <w:rsid w:val="00761466"/>
    <w:rsid w:val="0078524C"/>
    <w:rsid w:val="00785E15"/>
    <w:rsid w:val="00790C5B"/>
    <w:rsid w:val="0079125E"/>
    <w:rsid w:val="007A4821"/>
    <w:rsid w:val="007C20EF"/>
    <w:rsid w:val="007E7E23"/>
    <w:rsid w:val="008120E6"/>
    <w:rsid w:val="00822429"/>
    <w:rsid w:val="0082418E"/>
    <w:rsid w:val="00851519"/>
    <w:rsid w:val="008520A7"/>
    <w:rsid w:val="00877315"/>
    <w:rsid w:val="008F6828"/>
    <w:rsid w:val="009154C5"/>
    <w:rsid w:val="0094511F"/>
    <w:rsid w:val="009A259E"/>
    <w:rsid w:val="009A512F"/>
    <w:rsid w:val="009B045E"/>
    <w:rsid w:val="009B7F67"/>
    <w:rsid w:val="00A067CA"/>
    <w:rsid w:val="00A227EF"/>
    <w:rsid w:val="00A24BEB"/>
    <w:rsid w:val="00A6280C"/>
    <w:rsid w:val="00A66140"/>
    <w:rsid w:val="00A66679"/>
    <w:rsid w:val="00A941F7"/>
    <w:rsid w:val="00AB73AA"/>
    <w:rsid w:val="00AC5FDB"/>
    <w:rsid w:val="00B21312"/>
    <w:rsid w:val="00B257C3"/>
    <w:rsid w:val="00B37503"/>
    <w:rsid w:val="00B41416"/>
    <w:rsid w:val="00B66358"/>
    <w:rsid w:val="00B87326"/>
    <w:rsid w:val="00BD0265"/>
    <w:rsid w:val="00BF6483"/>
    <w:rsid w:val="00C0450C"/>
    <w:rsid w:val="00C105AE"/>
    <w:rsid w:val="00C91A9F"/>
    <w:rsid w:val="00C93CA0"/>
    <w:rsid w:val="00CB0628"/>
    <w:rsid w:val="00D0435A"/>
    <w:rsid w:val="00D26912"/>
    <w:rsid w:val="00D34AA2"/>
    <w:rsid w:val="00D400CB"/>
    <w:rsid w:val="00D537F5"/>
    <w:rsid w:val="00DA08F8"/>
    <w:rsid w:val="00DD269A"/>
    <w:rsid w:val="00E10B6B"/>
    <w:rsid w:val="00E138B5"/>
    <w:rsid w:val="00E47D6C"/>
    <w:rsid w:val="00E55430"/>
    <w:rsid w:val="00E679E6"/>
    <w:rsid w:val="00E956E0"/>
    <w:rsid w:val="00EA0890"/>
    <w:rsid w:val="00ED2A3C"/>
    <w:rsid w:val="00F05FD0"/>
    <w:rsid w:val="00F77B2A"/>
    <w:rsid w:val="00F82527"/>
    <w:rsid w:val="00F82CD1"/>
    <w:rsid w:val="00F9702B"/>
    <w:rsid w:val="00FA53FB"/>
    <w:rsid w:val="00FB3D11"/>
    <w:rsid w:val="00FD2908"/>
    <w:rsid w:val="00FE707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1E281"/>
  <w15:docId w15:val="{6C2D07F7-C8CD-4EB3-9383-140D5C638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06E"/>
    <w:pPr>
      <w:spacing w:line="360" w:lineRule="auto"/>
      <w:jc w:val="both"/>
    </w:pPr>
    <w:rPr>
      <w:color w:val="000000" w:themeColor="text1"/>
      <w:sz w:val="24"/>
    </w:rPr>
  </w:style>
  <w:style w:type="paragraph" w:styleId="Heading1">
    <w:name w:val="heading 1"/>
    <w:basedOn w:val="Normal"/>
    <w:next w:val="Normal"/>
    <w:uiPriority w:val="9"/>
    <w:qFormat/>
    <w:rsid w:val="00E679E6"/>
    <w:pPr>
      <w:spacing w:before="200"/>
      <w:outlineLvl w:val="0"/>
    </w:pPr>
    <w:rPr>
      <w:b/>
      <w:bCs/>
      <w:sz w:val="28"/>
      <w:szCs w:val="28"/>
    </w:rPr>
  </w:style>
  <w:style w:type="paragraph" w:styleId="Heading2">
    <w:name w:val="heading 2"/>
    <w:basedOn w:val="Normal"/>
    <w:next w:val="Normal"/>
    <w:uiPriority w:val="9"/>
    <w:unhideWhenUsed/>
    <w:qFormat/>
    <w:rsid w:val="00E679E6"/>
    <w:pPr>
      <w:spacing w:before="200"/>
      <w:outlineLvl w:val="1"/>
    </w:pPr>
    <w:rPr>
      <w:b/>
      <w:bCs/>
      <w:sz w:val="28"/>
      <w:szCs w:val="28"/>
    </w:rPr>
  </w:style>
  <w:style w:type="paragraph" w:styleId="Heading3">
    <w:name w:val="heading 3"/>
    <w:basedOn w:val="Normal"/>
    <w:next w:val="Normal"/>
    <w:uiPriority w:val="9"/>
    <w:unhideWhenUsed/>
    <w:qFormat/>
    <w:rsid w:val="00E679E6"/>
    <w:pPr>
      <w:spacing w:before="200"/>
      <w:outlineLvl w:val="2"/>
    </w:pPr>
    <w:rPr>
      <w:b/>
      <w:bCs/>
      <w:szCs w:val="24"/>
    </w:rPr>
  </w:style>
  <w:style w:type="paragraph" w:styleId="Heading4">
    <w:name w:val="heading 4"/>
    <w:basedOn w:val="Normal"/>
    <w:next w:val="Normal"/>
    <w:uiPriority w:val="9"/>
    <w:unhideWhenUsed/>
    <w:qFormat/>
    <w:rsid w:val="00E679E6"/>
    <w:pPr>
      <w:spacing w:before="200"/>
      <w:jc w:val="center"/>
      <w:outlineLvl w:val="3"/>
    </w:pPr>
    <w:rPr>
      <w:b/>
      <w:bCs/>
      <w:szCs w:val="24"/>
    </w:rPr>
  </w:style>
  <w:style w:type="paragraph" w:styleId="Heading5">
    <w:name w:val="heading 5"/>
    <w:basedOn w:val="Normal"/>
    <w:next w:val="Normal"/>
    <w:uiPriority w:val="9"/>
    <w:unhideWhenUsed/>
    <w:qFormat/>
    <w:rsid w:val="00E679E6"/>
    <w:pPr>
      <w:spacing w:before="200"/>
      <w:jc w:val="center"/>
      <w:outlineLvl w:val="4"/>
    </w:pPr>
    <w:rPr>
      <w:b/>
      <w:bCs/>
      <w:szCs w:val="24"/>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E679E6"/>
    <w:pPr>
      <w:tabs>
        <w:tab w:val="center" w:pos="4513"/>
        <w:tab w:val="right" w:pos="9026"/>
      </w:tabs>
      <w:spacing w:line="240" w:lineRule="auto"/>
    </w:pPr>
  </w:style>
  <w:style w:type="character" w:customStyle="1" w:styleId="HeaderChar">
    <w:name w:val="Header Char"/>
    <w:basedOn w:val="DefaultParagraphFont"/>
    <w:link w:val="Header"/>
    <w:uiPriority w:val="99"/>
    <w:rsid w:val="00E679E6"/>
  </w:style>
  <w:style w:type="paragraph" w:styleId="Footer">
    <w:name w:val="footer"/>
    <w:basedOn w:val="Normal"/>
    <w:link w:val="FooterChar"/>
    <w:uiPriority w:val="99"/>
    <w:unhideWhenUsed/>
    <w:rsid w:val="00E679E6"/>
    <w:pPr>
      <w:tabs>
        <w:tab w:val="center" w:pos="4513"/>
        <w:tab w:val="right" w:pos="9026"/>
      </w:tabs>
      <w:spacing w:line="240" w:lineRule="auto"/>
    </w:pPr>
  </w:style>
  <w:style w:type="character" w:customStyle="1" w:styleId="FooterChar">
    <w:name w:val="Footer Char"/>
    <w:basedOn w:val="DefaultParagraphFont"/>
    <w:link w:val="Footer"/>
    <w:uiPriority w:val="99"/>
    <w:rsid w:val="00E679E6"/>
  </w:style>
  <w:style w:type="paragraph" w:styleId="TOCHeading">
    <w:name w:val="TOC Heading"/>
    <w:basedOn w:val="Heading1"/>
    <w:next w:val="Normal"/>
    <w:uiPriority w:val="39"/>
    <w:unhideWhenUsed/>
    <w:qFormat/>
    <w:rsid w:val="00E679E6"/>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IN"/>
    </w:rPr>
  </w:style>
  <w:style w:type="paragraph" w:styleId="TOC1">
    <w:name w:val="toc 1"/>
    <w:basedOn w:val="Normal"/>
    <w:next w:val="Normal"/>
    <w:autoRedefine/>
    <w:uiPriority w:val="39"/>
    <w:unhideWhenUsed/>
    <w:rsid w:val="00E679E6"/>
    <w:pPr>
      <w:spacing w:after="100"/>
    </w:pPr>
  </w:style>
  <w:style w:type="paragraph" w:styleId="TOC2">
    <w:name w:val="toc 2"/>
    <w:basedOn w:val="Normal"/>
    <w:next w:val="Normal"/>
    <w:autoRedefine/>
    <w:uiPriority w:val="39"/>
    <w:unhideWhenUsed/>
    <w:rsid w:val="00E679E6"/>
    <w:pPr>
      <w:spacing w:after="100"/>
      <w:ind w:left="220"/>
    </w:pPr>
  </w:style>
  <w:style w:type="paragraph" w:styleId="TOC3">
    <w:name w:val="toc 3"/>
    <w:basedOn w:val="Normal"/>
    <w:next w:val="Normal"/>
    <w:autoRedefine/>
    <w:uiPriority w:val="39"/>
    <w:unhideWhenUsed/>
    <w:rsid w:val="00E679E6"/>
    <w:pPr>
      <w:spacing w:after="100"/>
      <w:ind w:left="440"/>
    </w:pPr>
  </w:style>
  <w:style w:type="character" w:styleId="Hyperlink">
    <w:name w:val="Hyperlink"/>
    <w:basedOn w:val="DefaultParagraphFont"/>
    <w:uiPriority w:val="99"/>
    <w:unhideWhenUsed/>
    <w:rsid w:val="00E679E6"/>
    <w:rPr>
      <w:color w:val="0000FF" w:themeColor="hyperlink"/>
      <w:u w:val="single"/>
    </w:rPr>
  </w:style>
  <w:style w:type="paragraph" w:styleId="TableofFigures">
    <w:name w:val="table of figures"/>
    <w:basedOn w:val="Normal"/>
    <w:next w:val="Normal"/>
    <w:uiPriority w:val="99"/>
    <w:unhideWhenUsed/>
    <w:rsid w:val="00E679E6"/>
  </w:style>
  <w:style w:type="paragraph" w:styleId="ListParagraph">
    <w:name w:val="List Paragraph"/>
    <w:basedOn w:val="Normal"/>
    <w:uiPriority w:val="34"/>
    <w:qFormat/>
    <w:rsid w:val="008520A7"/>
    <w:pPr>
      <w:ind w:left="720"/>
      <w:contextualSpacing/>
    </w:pPr>
  </w:style>
  <w:style w:type="table" w:styleId="TableGrid">
    <w:name w:val="Table Grid"/>
    <w:basedOn w:val="TableNormal"/>
    <w:uiPriority w:val="39"/>
    <w:rsid w:val="00B4141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873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procurementmag.com/news/why-has-diageo-slashed-so-many-key-sustainability-targets" TargetMode="External" /><Relationship Id="rId26" Type="http://schemas.openxmlformats.org/officeDocument/2006/relationships/hyperlink" Target="https://www.drinkaware.co.uk/research/drinkaware-monitors/drinkaware-monitor-2025" TargetMode="External" /><Relationship Id="rId39" Type="http://schemas.openxmlformats.org/officeDocument/2006/relationships/hyperlink" Target="https://www.thegrocer.co.uk/analysis-and-features/britains-biggest-alcohol-brands-2026-reasons-to-be-cheerful/720571.article" TargetMode="External" /><Relationship Id="rId3" Type="http://schemas.openxmlformats.org/officeDocument/2006/relationships/styles" Target="styles.xml" /><Relationship Id="rId21" Type="http://schemas.openxmlformats.org/officeDocument/2006/relationships/hyperlink" Target="https://www.diageo.com/~/media/Files/D/Diageo-V2/Diageo-Corp/investors/results-reports-and-events/annual-reports/diageo-annual-report-2023.pdf" TargetMode="External" /><Relationship Id="rId34" Type="http://schemas.openxmlformats.org/officeDocument/2006/relationships/hyperlink" Target="https://store.mintel.com/report/uk-attitudes-towards-low-and-no-alcohol-drinks-market-report-2024" TargetMode="External" /><Relationship Id="rId42"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thegrocer.co.uk/news/guinness-00-leapfrogs-heineken-00-to-become-uks-biggest-alcohol-free-beer/693924.article" TargetMode="External" /><Relationship Id="rId25" Type="http://schemas.openxmlformats.org/officeDocument/2006/relationships/hyperlink" Target="https://www.diageo.com/en/our-business/our-purpose-and-behaviours" TargetMode="External" /><Relationship Id="rId33" Type="http://schemas.openxmlformats.org/officeDocument/2006/relationships/hyperlink" Target="https://businesschief.com/news/diageo-announces-cost-reductions-and-layoff-plans" TargetMode="External" /><Relationship Id="rId38" Type="http://schemas.openxmlformats.org/officeDocument/2006/relationships/hyperlink" Target="https://www.statista.com/outlook/cmo/non-alcoholic-drinks/united-kingdom/?srsltid=AfmBOop19vV15jzfJegZaxHVmq7wpLoDbKNUqYm7AZgTCTsWc6n3cu55" TargetMode="External" /><Relationship Id="rId2" Type="http://schemas.openxmlformats.org/officeDocument/2006/relationships/numbering" Target="numbering.xml" /><Relationship Id="rId16" Type="http://schemas.openxmlformats.org/officeDocument/2006/relationships/hyperlink" Target="https://www.beerguild.co.uk/news/2025-is-a-record-year-for-the-no-and-low-beer-market-with-200-million-pints-sold-new-bbpa-figures-r" TargetMode="External" /><Relationship Id="rId20" Type="http://schemas.openxmlformats.org/officeDocument/2006/relationships/hyperlink" Target="https://www.diageo.com/~/media/Files/D/Diageo-V2/Diageo-Corp/investors/results-reports-and-events/reports/2021/274_2021-strategic-report.pdf" TargetMode="External" /><Relationship Id="rId29" Type="http://schemas.openxmlformats.org/officeDocument/2006/relationships/hyperlink" Target="https://www.theguardian.com/business/2026/mar/16/alcohol-free-beer-uk-inflation-basket-prices-cpi-rpi-ons-hummus-pet-grooming" TargetMode="External" /><Relationship Id="rId41" Type="http://schemas.openxmlformats.org/officeDocument/2006/relationships/hyperlink" Target="https://unhopped.co.uk/blog/lucky-saint-vs-heineken-0-0/"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diageo.com/pdf-viewer.aspx?gid=307336661&amp;src=%2F%7E%2Fmedia%2FFiles%2FD%2FDiageo-V2%2FDiageo-Corp%2Finvestors%2Fresults-reports-and-events%2Fannual-reports%2F2025%2Fprinciple-risk-disclosures.pdf" TargetMode="External" /><Relationship Id="rId32" Type="http://schemas.openxmlformats.org/officeDocument/2006/relationships/hyperlink" Target="https://commonslibrary.parliament.uk/research-briefings/cbp-9765/" TargetMode="External" /><Relationship Id="rId37" Type="http://schemas.openxmlformats.org/officeDocument/2006/relationships/hyperlink" Target="https://rahrbsg.ca/nablab/brewing-na-beer-a-practical-overview-of-production-methods/" TargetMode="External" /><Relationship Id="rId40" Type="http://schemas.openxmlformats.org/officeDocument/2006/relationships/hyperlink" Target="https://www.thegrocer.co.uk/news/diageo-unveils-12bn-restructuring-programme-after-mixed-fy26-results/722164.article" TargetMode="External" /><Relationship Id="rId5" Type="http://schemas.openxmlformats.org/officeDocument/2006/relationships/webSettings" Target="webSettings.xml" /><Relationship Id="rId15" Type="http://schemas.openxmlformats.org/officeDocument/2006/relationships/hyperlink" Target="https://www.thedrinksbusiness.com/2026/02/uk-alcohol-tax-revenue-falls-285m-despite-higher-duty-rates/" TargetMode="External" /><Relationship Id="rId23" Type="http://schemas.openxmlformats.org/officeDocument/2006/relationships/hyperlink" Target="https://www.diageo.com/pdf-viewer.aspx?gid=307336661&amp;src=%2F%7E%2Fmedia%2FFiles%2FD%2FDiageo-V2%2FDiageo-Corp%2Finvestors%2Fresults-reports-and-events%2Fannual-reports%2F2025%2Fannual-report-2025.pdf" TargetMode="External" /><Relationship Id="rId28" Type="http://schemas.openxmlformats.org/officeDocument/2006/relationships/hyperlink" Target="https://www.grandviewresearch.com/horizon/outlook/alcoholic-drinks-market/uk" TargetMode="External" /><Relationship Id="rId36" Type="http://schemas.openxmlformats.org/officeDocument/2006/relationships/hyperlink" Target="https://www.thedrinksbusiness.com/2023/08/waitrose-cuts-wine-shelf-space-for-alcohol-free/" TargetMode="External" /><Relationship Id="rId10" Type="http://schemas.openxmlformats.org/officeDocument/2006/relationships/image" Target="media/image3.png" /><Relationship Id="rId19" Type="http://schemas.openxmlformats.org/officeDocument/2006/relationships/hyperlink" Target="https://www.diageo.com/en/news-and-media/press-releases/2020/guinness-introduces-guinness-00-the-guinness-with-everything-except-alcohol" TargetMode="External" /><Relationship Id="rId31" Type="http://schemas.openxmlformats.org/officeDocument/2006/relationships/hyperlink" Target="https://thewhiskeywash.com/whiskey-articles/why-diageos-distillery-shutdowns-arent-a-whiskey-glut-but-a-symptom-of-war/" TargetMode="External" /><Relationship Id="rId44"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ab-inbev.com/news-media/news-stories/belgiumbreweryinvestment" TargetMode="External" /><Relationship Id="rId22" Type="http://schemas.openxmlformats.org/officeDocument/2006/relationships/hyperlink" Target="https://www.diageo.com/en/careers/life-at-diageo/2024/diageos-workplace-culture" TargetMode="External" /><Relationship Id="rId27" Type="http://schemas.openxmlformats.org/officeDocument/2006/relationships/hyperlink" Target="https://www.grandviewresearch.com/horizon/outlook/non-alcoholic-beverages-market/uk" TargetMode="External" /><Relationship Id="rId30" Type="http://schemas.openxmlformats.org/officeDocument/2006/relationships/hyperlink" Target="https://www.inside.beer/news/detail/uk-guinness-00-surpasses-original" TargetMode="External" /><Relationship Id="rId35" Type="http://schemas.openxmlformats.org/officeDocument/2006/relationships/hyperlink" Target="https://store.mintel.com/report/uk-attitudes-towards-low-and-no-alcohol-drinks-market-report" TargetMode="External" /><Relationship Id="rId43" Type="http://schemas.openxmlformats.org/officeDocument/2006/relationships/fontTable" Target="fontTable.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DFC6B4-D419-43EC-809A-63B3A006E9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7654</Words>
  <Characters>43633</Characters>
  <Application>Microsoft Office Word</Application>
  <DocSecurity>0</DocSecurity>
  <Lines>363</Lines>
  <Paragraphs>102</Paragraphs>
  <ScaleCrop>false</ScaleCrop>
  <Company/>
  <LinksUpToDate>false</LinksUpToDate>
  <CharactersWithSpaces>51185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Kaushal Prajapati</cp:lastModifiedBy>
  <cp:revision>2</cp:revision>
  <dcterms:created xsi:type="dcterms:W3CDTF">2026-08-10T23:49:00Z</dcterms:created>
  <dcterms:modified xsi:type="dcterms:W3CDTF">2026-08-10T23:49:00Z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a6d2ac7b-f212-41e2-8c8a-890004a34589</vt:lpwstr>
  </property>
</Properties>
</file>