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A6563D" w:rsidRPr="00CD33A8" w:rsidRDefault="00074402" w:rsidP="00CD33A8">
      <w:pPr>
        <w:spacing w:line="360" w:lineRule="auto"/>
        <w:rPr>
          <w:rFonts w:asciiTheme="minorBidi" w:hAnsiTheme="minorBidi"/>
          <w:sz w:val="22"/>
        </w:rPr>
      </w:pPr>
      <w:r w:rsidRPr="00CD33A8">
        <w:rPr>
          <w:rFonts w:asciiTheme="minorBidi" w:hAnsiTheme="minorBidi" w:ascii="Arial" w:hAnsi="Arial" w:eastAsia="Arial"/>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77777777" w:rsidR="00CD33A8" w:rsidRPr="00CD33A8" w:rsidRDefault="00CD33A8" w:rsidP="00CD33A8">
      <w:pPr>
        <w:tabs>
          <w:tab w:val="left" w:pos="6540"/>
        </w:tabs>
        <w:spacing w:line="360" w:lineRule="auto" w:after="140"/>
        <w:rPr>
          <w:rFonts w:ascii="Arial" w:hAnsi="Arial" w:cs="Arial"/>
          <w:sz w:val="28"/>
          <w:szCs w:val="28"/>
          <w:lang w:val="nl-NL"/>
        </w:rPr>
      </w:pPr>
      <w:r>
        <w:rPr>
          <w:rFonts w:ascii="Arial" w:hAnsi="Arial" w:eastAsia="Arial"/>
          <w:b/>
          <w:sz w:val="22"/>
        </w:rPr>
        <w:t xml:space="preserve">Module name: </w:t>
      </w:r>
      <w:r>
        <w:rPr>
          <w:rFonts w:ascii="Arial" w:hAnsi="Arial" w:eastAsia="Arial"/>
          <w:sz w:val="22"/>
        </w:rPr>
        <w:t>Introduction to Independent Research Skills</w:t>
      </w:r>
    </w:p>
    <w:p w14:paraId="537571AF" w14:textId="77777777" w:rsidR="00CD33A8" w:rsidRPr="00CD33A8" w:rsidRDefault="00CD33A8" w:rsidP="00CD33A8">
      <w:pPr>
        <w:tabs>
          <w:tab w:val="left" w:pos="6540"/>
        </w:tabs>
        <w:spacing w:line="360" w:lineRule="auto" w:after="140"/>
        <w:rPr>
          <w:rFonts w:ascii="Arial" w:hAnsi="Arial" w:cs="Arial"/>
          <w:sz w:val="28"/>
          <w:szCs w:val="28"/>
        </w:rPr>
      </w:pPr>
      <w:r>
        <w:rPr>
          <w:rFonts w:ascii="Arial" w:hAnsi="Arial" w:eastAsia="Arial"/>
          <w:b/>
          <w:sz w:val="22"/>
        </w:rPr>
        <w:t xml:space="preserve">Module code: </w:t>
      </w:r>
      <w:r>
        <w:rPr>
          <w:rFonts w:ascii="Arial" w:hAnsi="Arial" w:eastAsia="Arial"/>
          <w:sz w:val="22"/>
        </w:rPr>
        <w:t>BMHP5019</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5B973372" w:rsidR="00074402" w:rsidRPr="00CD33A8" w:rsidRDefault="00074402" w:rsidP="00CD33A8">
      <w:pPr>
        <w:tabs>
          <w:tab w:val="left" w:pos="6540"/>
        </w:tabs>
        <w:spacing w:line="360" w:lineRule="auto" w:after="140"/>
        <w:rPr>
          <w:rFonts w:ascii="Arial" w:hAnsi="Arial" w:cs="Arial"/>
          <w:sz w:val="28"/>
          <w:szCs w:val="28"/>
          <w:lang w:val="nl-NL"/>
        </w:rPr>
      </w:pPr>
      <w:r>
        <w:rPr>
          <w:rFonts w:ascii="Arial" w:hAnsi="Arial" w:eastAsia="Arial"/>
          <w:b/>
          <w:sz w:val="22"/>
        </w:rPr>
        <w:t xml:space="preserve">Student name: </w:t>
      </w:r>
      <w:r>
        <w:rPr>
          <w:rFonts w:ascii="Arial" w:hAnsi="Arial" w:eastAsia="Arial"/>
          <w:sz w:val="22"/>
        </w:rPr>
        <w:t>Folasade Oluwakemi Alabi</w:t>
      </w:r>
    </w:p>
    <w:p w14:paraId="39AA4413" w14:textId="0F9EE9F4" w:rsidR="00074402" w:rsidRPr="00CD33A8" w:rsidRDefault="00074402" w:rsidP="00CD33A8">
      <w:pPr>
        <w:tabs>
          <w:tab w:val="left" w:pos="6540"/>
        </w:tabs>
        <w:spacing w:line="360" w:lineRule="auto" w:after="140"/>
        <w:rPr>
          <w:rFonts w:ascii="Arial" w:hAnsi="Arial" w:cs="Arial"/>
          <w:sz w:val="28"/>
          <w:szCs w:val="28"/>
          <w:lang w:val="nl-NL"/>
        </w:rPr>
      </w:pPr>
      <w:r>
        <w:rPr>
          <w:rFonts w:ascii="Arial" w:hAnsi="Arial" w:eastAsia="Arial"/>
          <w:b/>
          <w:sz w:val="22"/>
        </w:rPr>
        <w:t xml:space="preserve">Student ID: </w:t>
      </w:r>
      <w:r>
        <w:rPr>
          <w:rFonts w:ascii="Arial" w:hAnsi="Arial" w:eastAsia="Arial"/>
          <w:sz w:val="22"/>
        </w:rPr>
        <w:t>1817626</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74028AB5" w:rsidR="00074402" w:rsidRPr="00CD33A8" w:rsidRDefault="00B8304B" w:rsidP="00CD33A8">
      <w:pPr>
        <w:tabs>
          <w:tab w:val="left" w:pos="6540"/>
        </w:tabs>
        <w:spacing w:line="360" w:lineRule="auto" w:after="140"/>
        <w:rPr>
          <w:rFonts w:ascii="Arial" w:hAnsi="Arial" w:cs="Arial"/>
          <w:sz w:val="28"/>
          <w:szCs w:val="28"/>
        </w:rPr>
      </w:pPr>
      <w:r>
        <w:rPr>
          <w:rFonts w:ascii="Arial" w:hAnsi="Arial" w:eastAsia="Arial"/>
          <w:b/>
          <w:sz w:val="22"/>
        </w:rPr>
        <w:t xml:space="preserve">Lecturer's name: </w:t>
      </w:r>
    </w:p>
    <w:p w14:paraId="39D08584" w14:textId="77777777" w:rsidR="00074402" w:rsidRPr="00CD33A8" w:rsidRDefault="00074402" w:rsidP="00CD33A8">
      <w:pPr>
        <w:tabs>
          <w:tab w:val="left" w:pos="6540"/>
        </w:tabs>
        <w:spacing w:line="360" w:lineRule="auto" w:after="160"/>
        <w:rPr>
          <w:rFonts w:asciiTheme="minorBidi" w:hAnsiTheme="minorBidi"/>
          <w:sz w:val="22"/>
        </w:rPr>
      </w:pPr>
      <w:r>
        <w:rPr>
          <w:rFonts w:ascii="Arial" w:hAnsi="Arial" w:eastAsia="Arial"/>
          <w:b/>
          <w:sz w:val="22"/>
        </w:rPr>
        <w:t xml:space="preserve">Assessment title: </w:t>
      </w:r>
      <w:r>
        <w:rPr>
          <w:rFonts w:ascii="Arial" w:hAnsi="Arial" w:eastAsia="Arial"/>
          <w:sz w:val="22"/>
        </w:rPr>
        <w:t>Component 2 – Written Assignment (Research Report)</w:t>
      </w:r>
    </w:p>
    <w:p w14:paraId="5B66D125" w14:textId="77777777" w:rsidR="00074402" w:rsidRPr="00CD33A8" w:rsidRDefault="00074402" w:rsidP="00CD33A8">
      <w:pPr>
        <w:tabs>
          <w:tab w:val="left" w:pos="6540"/>
        </w:tabs>
        <w:spacing w:line="360" w:lineRule="auto" w:before="160" w:after="160"/>
        <w:jc w:val="center"/>
        <w:rPr>
          <w:rFonts w:asciiTheme="minorBidi" w:hAnsiTheme="minorBidi"/>
          <w:sz w:val="22"/>
        </w:rPr>
      </w:pPr>
      <w:r>
        <w:rPr>
          <w:rFonts w:ascii="Arial" w:hAnsi="Arial" w:eastAsia="Arial"/>
          <w:b/>
          <w:sz w:val="24"/>
        </w:rPr>
        <w:t>Waiting Time for Treatment and Consultation in the National Health Service (NHS):</w:t>
        <w:br/>
        <w:t>A Scoping Review of Contributing Factors, Patient Outcomes and Strategies for Improvement</w:t>
      </w:r>
    </w:p>
    <w:p w14:paraId="291524A2" w14:textId="2CBFF360" w:rsidR="00074402" w:rsidRPr="00CD33A8" w:rsidRDefault="00074402" w:rsidP="00CD33A8">
      <w:pPr>
        <w:tabs>
          <w:tab w:val="left" w:pos="6540"/>
        </w:tabs>
        <w:spacing w:line="360" w:lineRule="auto"/>
        <w:jc w:val="center"/>
        <w:rPr>
          <w:rFonts w:asciiTheme="minorBidi" w:hAnsiTheme="minorBidi"/>
          <w:sz w:val="22"/>
        </w:rPr>
      </w:pPr>
      <w:r>
        <w:rPr>
          <w:rFonts w:ascii="Arial" w:hAnsi="Arial" w:eastAsia="Arial"/>
          <w:b/>
          <w:sz w:val="22"/>
        </w:rPr>
        <w:t>BSc (Hons) Health and Social Care</w:t>
      </w:r>
    </w:p>
    <w:p w14:paraId="5AE88297" w14:textId="24E6B718" w:rsidR="00B87E75" w:rsidRPr="00CD33A8" w:rsidRDefault="00B87E75" w:rsidP="00CD33A8">
      <w:pPr>
        <w:tabs>
          <w:tab w:val="left" w:pos="6540"/>
        </w:tabs>
        <w:spacing w:line="360" w:lineRule="auto"/>
        <w:jc w:val="center"/>
        <w:rPr>
          <w:rFonts w:asciiTheme="minorBidi" w:hAnsiTheme="minorBidi"/>
          <w:sz w:val="22"/>
        </w:rPr>
      </w:pPr>
      <w:r>
        <w:rPr>
          <w:rFonts w:ascii="Arial" w:hAnsi="Arial" w:eastAsia="Arial"/>
          <w:sz w:val="22"/>
        </w:rPr>
        <w:t>Submission date: 14 August 2026    |    Word count: 3872</w:t>
      </w: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ascii="Arial" w:hAnsi="Arial" w:eastAsia="Arial"/>
          <w:sz w:val="22"/>
        </w:rPr>
        <w:br w:type="page"/>
      </w:r>
    </w:p>
    <w:p>
      <w:pPr>
        <w:pStyle w:val="Heading1"/>
        <w:spacing w:after="360"/>
        <w:jc w:val="center"/>
      </w:pPr>
      <w:r>
        <w:rPr>
          <w:rFonts w:ascii="Arial" w:hAnsi="Arial" w:eastAsia="Arial"/>
          <w:b/>
          <w:sz w:val="26"/>
        </w:rPr>
        <w:t>Table of contents</w:t>
      </w:r>
    </w:p>
    <w:p>
      <w:pPr>
        <w:tabs>
          <w:tab w:pos="8674" w:val="left"/>
          <w:tab w:pos="8674" w:val="left"/>
        </w:tabs>
        <w:spacing w:line="240" w:lineRule="auto" w:after="40"/>
        <w:ind w:left="0"/>
      </w:pPr>
      <w:r>
        <w:rPr>
          <w:rFonts w:ascii="Arial" w:hAnsi="Arial" w:eastAsia="Arial"/>
          <w:b/>
          <w:sz w:val="20"/>
        </w:rPr>
        <w:t>Topic</w:t>
      </w:r>
      <w:r>
        <w:rPr>
          <w:rFonts w:ascii="Arial" w:hAnsi="Arial" w:eastAsia="Arial"/>
          <w:b w:val="0"/>
          <w:sz w:val="20"/>
        </w:rPr>
        <w:tab/>
      </w:r>
      <w:r>
        <w:rPr>
          <w:rFonts w:ascii="Arial" w:hAnsi="Arial" w:eastAsia="Arial"/>
          <w:b w:val="0"/>
          <w:sz w:val="20"/>
        </w:rPr>
        <w:t>3</w:t>
      </w:r>
    </w:p>
    <w:p>
      <w:pPr>
        <w:tabs>
          <w:tab w:pos="8674" w:val="left"/>
          <w:tab w:pos="8674" w:val="left"/>
        </w:tabs>
        <w:spacing w:line="240" w:lineRule="auto" w:after="40"/>
        <w:ind w:left="0"/>
      </w:pPr>
      <w:r>
        <w:rPr>
          <w:rFonts w:ascii="Arial" w:hAnsi="Arial" w:eastAsia="Arial"/>
          <w:b/>
          <w:sz w:val="20"/>
        </w:rPr>
        <w:t>Abstract</w:t>
      </w:r>
      <w:r>
        <w:rPr>
          <w:rFonts w:ascii="Arial" w:hAnsi="Arial" w:eastAsia="Arial"/>
          <w:b w:val="0"/>
          <w:sz w:val="20"/>
        </w:rPr>
        <w:tab/>
      </w:r>
      <w:r>
        <w:rPr>
          <w:rFonts w:ascii="Arial" w:hAnsi="Arial" w:eastAsia="Arial"/>
          <w:b w:val="0"/>
          <w:sz w:val="20"/>
        </w:rPr>
        <w:t>3</w:t>
      </w:r>
    </w:p>
    <w:p>
      <w:pPr>
        <w:tabs>
          <w:tab w:pos="8674" w:val="left"/>
          <w:tab w:pos="8674" w:val="left"/>
        </w:tabs>
        <w:spacing w:line="240" w:lineRule="auto" w:after="40"/>
        <w:ind w:left="0"/>
      </w:pPr>
      <w:r>
        <w:rPr>
          <w:rFonts w:ascii="Arial" w:hAnsi="Arial" w:eastAsia="Arial"/>
          <w:b/>
          <w:sz w:val="20"/>
        </w:rPr>
        <w:t>1. Introduction</w:t>
      </w:r>
      <w:r>
        <w:rPr>
          <w:rFonts w:ascii="Arial" w:hAnsi="Arial" w:eastAsia="Arial"/>
          <w:b w:val="0"/>
          <w:sz w:val="20"/>
        </w:rPr>
        <w:tab/>
      </w:r>
      <w:r>
        <w:rPr>
          <w:rFonts w:ascii="Arial" w:hAnsi="Arial" w:eastAsia="Arial"/>
          <w:b w:val="0"/>
          <w:sz w:val="20"/>
        </w:rPr>
        <w:t>3</w:t>
      </w:r>
    </w:p>
    <w:p>
      <w:pPr>
        <w:tabs>
          <w:tab w:pos="8674" w:val="left"/>
          <w:tab w:pos="8674" w:val="left"/>
        </w:tabs>
        <w:spacing w:line="240" w:lineRule="auto" w:after="40"/>
        <w:ind w:left="340"/>
      </w:pPr>
      <w:r>
        <w:rPr>
          <w:rFonts w:ascii="Arial" w:hAnsi="Arial" w:eastAsia="Arial"/>
          <w:b w:val="0"/>
          <w:sz w:val="20"/>
        </w:rPr>
        <w:t>1.1 Review Question</w:t>
      </w:r>
      <w:r>
        <w:rPr>
          <w:rFonts w:ascii="Arial" w:hAnsi="Arial" w:eastAsia="Arial"/>
          <w:b w:val="0"/>
          <w:sz w:val="20"/>
        </w:rPr>
        <w:tab/>
      </w:r>
      <w:r>
        <w:rPr>
          <w:rFonts w:ascii="Arial" w:hAnsi="Arial" w:eastAsia="Arial"/>
          <w:b w:val="0"/>
          <w:sz w:val="20"/>
        </w:rPr>
        <w:t>4</w:t>
      </w:r>
    </w:p>
    <w:p>
      <w:pPr>
        <w:tabs>
          <w:tab w:pos="8674" w:val="left"/>
          <w:tab w:pos="8674" w:val="left"/>
        </w:tabs>
        <w:spacing w:line="240" w:lineRule="auto" w:after="40"/>
        <w:ind w:left="340"/>
      </w:pPr>
      <w:r>
        <w:rPr>
          <w:rFonts w:ascii="Arial" w:hAnsi="Arial" w:eastAsia="Arial"/>
          <w:b w:val="0"/>
          <w:sz w:val="20"/>
        </w:rPr>
        <w:t>1.2 Objectives</w:t>
      </w:r>
      <w:r>
        <w:rPr>
          <w:rFonts w:ascii="Arial" w:hAnsi="Arial" w:eastAsia="Arial"/>
          <w:b w:val="0"/>
          <w:sz w:val="20"/>
        </w:rPr>
        <w:tab/>
      </w:r>
      <w:r>
        <w:rPr>
          <w:rFonts w:ascii="Arial" w:hAnsi="Arial" w:eastAsia="Arial"/>
          <w:b w:val="0"/>
          <w:sz w:val="20"/>
        </w:rPr>
        <w:t>4</w:t>
      </w:r>
    </w:p>
    <w:p>
      <w:pPr>
        <w:tabs>
          <w:tab w:pos="8674" w:val="left"/>
          <w:tab w:pos="8674" w:val="left"/>
        </w:tabs>
        <w:spacing w:line="240" w:lineRule="auto" w:after="40"/>
        <w:ind w:left="0"/>
      </w:pPr>
      <w:r>
        <w:rPr>
          <w:rFonts w:ascii="Arial" w:hAnsi="Arial" w:eastAsia="Arial"/>
          <w:b/>
          <w:sz w:val="20"/>
        </w:rPr>
        <w:t>2. Background</w:t>
      </w:r>
      <w:r>
        <w:rPr>
          <w:rFonts w:ascii="Arial" w:hAnsi="Arial" w:eastAsia="Arial"/>
          <w:b w:val="0"/>
          <w:sz w:val="20"/>
        </w:rPr>
        <w:tab/>
      </w:r>
      <w:r>
        <w:rPr>
          <w:rFonts w:ascii="Arial" w:hAnsi="Arial" w:eastAsia="Arial"/>
          <w:b w:val="0"/>
          <w:sz w:val="20"/>
        </w:rPr>
        <w:t>4</w:t>
      </w:r>
    </w:p>
    <w:p>
      <w:pPr>
        <w:tabs>
          <w:tab w:pos="8674" w:val="left"/>
          <w:tab w:pos="8674" w:val="left"/>
        </w:tabs>
        <w:spacing w:line="240" w:lineRule="auto" w:after="40"/>
        <w:ind w:left="0"/>
      </w:pPr>
      <w:r>
        <w:rPr>
          <w:rFonts w:ascii="Arial" w:hAnsi="Arial" w:eastAsia="Arial"/>
          <w:b/>
          <w:sz w:val="20"/>
        </w:rPr>
        <w:t>3. Methods</w:t>
      </w:r>
      <w:r>
        <w:rPr>
          <w:rFonts w:ascii="Arial" w:hAnsi="Arial" w:eastAsia="Arial"/>
          <w:b w:val="0"/>
          <w:sz w:val="20"/>
        </w:rPr>
        <w:tab/>
      </w:r>
      <w:r>
        <w:rPr>
          <w:rFonts w:ascii="Arial" w:hAnsi="Arial" w:eastAsia="Arial"/>
          <w:b w:val="0"/>
          <w:sz w:val="20"/>
        </w:rPr>
        <w:t>5</w:t>
      </w:r>
    </w:p>
    <w:p>
      <w:pPr>
        <w:tabs>
          <w:tab w:pos="8674" w:val="left"/>
          <w:tab w:pos="8674" w:val="left"/>
        </w:tabs>
        <w:spacing w:line="240" w:lineRule="auto" w:after="40"/>
        <w:ind w:left="340"/>
      </w:pPr>
      <w:r>
        <w:rPr>
          <w:rFonts w:ascii="Arial" w:hAnsi="Arial" w:eastAsia="Arial"/>
          <w:b w:val="0"/>
          <w:sz w:val="20"/>
        </w:rPr>
        <w:t>3.1 Research Design</w:t>
      </w:r>
      <w:r>
        <w:rPr>
          <w:rFonts w:ascii="Arial" w:hAnsi="Arial" w:eastAsia="Arial"/>
          <w:b w:val="0"/>
          <w:sz w:val="20"/>
        </w:rPr>
        <w:tab/>
      </w:r>
      <w:r>
        <w:rPr>
          <w:rFonts w:ascii="Arial" w:hAnsi="Arial" w:eastAsia="Arial"/>
          <w:b w:val="0"/>
          <w:sz w:val="20"/>
        </w:rPr>
        <w:t>5</w:t>
      </w:r>
    </w:p>
    <w:p>
      <w:pPr>
        <w:tabs>
          <w:tab w:pos="8674" w:val="left"/>
          <w:tab w:pos="8674" w:val="left"/>
        </w:tabs>
        <w:spacing w:line="240" w:lineRule="auto" w:after="40"/>
        <w:ind w:left="340"/>
      </w:pPr>
      <w:r>
        <w:rPr>
          <w:rFonts w:ascii="Arial" w:hAnsi="Arial" w:eastAsia="Arial"/>
          <w:b w:val="0"/>
          <w:sz w:val="20"/>
        </w:rPr>
        <w:t>3.2 Search Strategy</w:t>
      </w:r>
      <w:r>
        <w:rPr>
          <w:rFonts w:ascii="Arial" w:hAnsi="Arial" w:eastAsia="Arial"/>
          <w:b w:val="0"/>
          <w:sz w:val="20"/>
        </w:rPr>
        <w:tab/>
      </w:r>
      <w:r>
        <w:rPr>
          <w:rFonts w:ascii="Arial" w:hAnsi="Arial" w:eastAsia="Arial"/>
          <w:b w:val="0"/>
          <w:sz w:val="20"/>
        </w:rPr>
        <w:t>6</w:t>
      </w:r>
    </w:p>
    <w:p>
      <w:pPr>
        <w:tabs>
          <w:tab w:pos="8674" w:val="left"/>
          <w:tab w:pos="8674" w:val="left"/>
        </w:tabs>
        <w:spacing w:line="240" w:lineRule="auto" w:after="40"/>
        <w:ind w:left="340"/>
      </w:pPr>
      <w:r>
        <w:rPr>
          <w:rFonts w:ascii="Arial" w:hAnsi="Arial" w:eastAsia="Arial"/>
          <w:b w:val="0"/>
          <w:sz w:val="20"/>
        </w:rPr>
        <w:t>3.3 Inclusion and Exclusion Criteria</w:t>
      </w:r>
      <w:r>
        <w:rPr>
          <w:rFonts w:ascii="Arial" w:hAnsi="Arial" w:eastAsia="Arial"/>
          <w:b w:val="0"/>
          <w:sz w:val="20"/>
        </w:rPr>
        <w:tab/>
      </w:r>
      <w:r>
        <w:rPr>
          <w:rFonts w:ascii="Arial" w:hAnsi="Arial" w:eastAsia="Arial"/>
          <w:b w:val="0"/>
          <w:sz w:val="20"/>
        </w:rPr>
        <w:t>6</w:t>
      </w:r>
    </w:p>
    <w:p>
      <w:pPr>
        <w:tabs>
          <w:tab w:pos="8674" w:val="left"/>
          <w:tab w:pos="8674" w:val="left"/>
        </w:tabs>
        <w:spacing w:line="240" w:lineRule="auto" w:after="40"/>
        <w:ind w:left="340"/>
      </w:pPr>
      <w:r>
        <w:rPr>
          <w:rFonts w:ascii="Arial" w:hAnsi="Arial" w:eastAsia="Arial"/>
          <w:b w:val="0"/>
          <w:sz w:val="20"/>
        </w:rPr>
        <w:t>3.4 Study Selection and Data Extraction</w:t>
      </w:r>
      <w:r>
        <w:rPr>
          <w:rFonts w:ascii="Arial" w:hAnsi="Arial" w:eastAsia="Arial"/>
          <w:b w:val="0"/>
          <w:sz w:val="20"/>
        </w:rPr>
        <w:tab/>
      </w:r>
      <w:r>
        <w:rPr>
          <w:rFonts w:ascii="Arial" w:hAnsi="Arial" w:eastAsia="Arial"/>
          <w:b w:val="0"/>
          <w:sz w:val="20"/>
        </w:rPr>
        <w:t>6</w:t>
      </w:r>
    </w:p>
    <w:p>
      <w:pPr>
        <w:tabs>
          <w:tab w:pos="8674" w:val="left"/>
          <w:tab w:pos="8674" w:val="left"/>
        </w:tabs>
        <w:spacing w:line="240" w:lineRule="auto" w:after="40"/>
        <w:ind w:left="340"/>
      </w:pPr>
      <w:r>
        <w:rPr>
          <w:rFonts w:ascii="Arial" w:hAnsi="Arial" w:eastAsia="Arial"/>
          <w:b w:val="0"/>
          <w:sz w:val="20"/>
        </w:rPr>
        <w:t>3.5 Critical Appraisal and Data Analysis</w:t>
      </w:r>
      <w:r>
        <w:rPr>
          <w:rFonts w:ascii="Arial" w:hAnsi="Arial" w:eastAsia="Arial"/>
          <w:b w:val="0"/>
          <w:sz w:val="20"/>
        </w:rPr>
        <w:tab/>
      </w:r>
      <w:r>
        <w:rPr>
          <w:rFonts w:ascii="Arial" w:hAnsi="Arial" w:eastAsia="Arial"/>
          <w:b w:val="0"/>
          <w:sz w:val="20"/>
        </w:rPr>
        <w:t>7</w:t>
      </w:r>
    </w:p>
    <w:p>
      <w:pPr>
        <w:tabs>
          <w:tab w:pos="8674" w:val="left"/>
          <w:tab w:pos="8674" w:val="left"/>
        </w:tabs>
        <w:spacing w:line="240" w:lineRule="auto" w:after="40"/>
        <w:ind w:left="340"/>
      </w:pPr>
      <w:r>
        <w:rPr>
          <w:rFonts w:ascii="Arial" w:hAnsi="Arial" w:eastAsia="Arial"/>
          <w:b w:val="0"/>
          <w:sz w:val="20"/>
        </w:rPr>
        <w:t>3.6 Ethical Considerations</w:t>
      </w:r>
      <w:r>
        <w:rPr>
          <w:rFonts w:ascii="Arial" w:hAnsi="Arial" w:eastAsia="Arial"/>
          <w:b w:val="0"/>
          <w:sz w:val="20"/>
        </w:rPr>
        <w:tab/>
      </w:r>
      <w:r>
        <w:rPr>
          <w:rFonts w:ascii="Arial" w:hAnsi="Arial" w:eastAsia="Arial"/>
          <w:b w:val="0"/>
          <w:sz w:val="20"/>
        </w:rPr>
        <w:t>7</w:t>
      </w:r>
    </w:p>
    <w:p>
      <w:pPr>
        <w:tabs>
          <w:tab w:pos="8674" w:val="left"/>
          <w:tab w:pos="8674" w:val="left"/>
        </w:tabs>
        <w:spacing w:line="240" w:lineRule="auto" w:after="40"/>
        <w:ind w:left="0"/>
      </w:pPr>
      <w:r>
        <w:rPr>
          <w:rFonts w:ascii="Arial" w:hAnsi="Arial" w:eastAsia="Arial"/>
          <w:b/>
          <w:sz w:val="20"/>
        </w:rPr>
        <w:t>4. Results</w:t>
      </w:r>
      <w:r>
        <w:rPr>
          <w:rFonts w:ascii="Arial" w:hAnsi="Arial" w:eastAsia="Arial"/>
          <w:b w:val="0"/>
          <w:sz w:val="20"/>
        </w:rPr>
        <w:tab/>
      </w:r>
      <w:r>
        <w:rPr>
          <w:rFonts w:ascii="Arial" w:hAnsi="Arial" w:eastAsia="Arial"/>
          <w:b w:val="0"/>
          <w:sz w:val="20"/>
        </w:rPr>
        <w:t>7</w:t>
      </w:r>
    </w:p>
    <w:p>
      <w:pPr>
        <w:tabs>
          <w:tab w:pos="8674" w:val="left"/>
          <w:tab w:pos="8674" w:val="left"/>
        </w:tabs>
        <w:spacing w:line="240" w:lineRule="auto" w:after="40"/>
        <w:ind w:left="340"/>
      </w:pPr>
      <w:r>
        <w:rPr>
          <w:rFonts w:ascii="Arial" w:hAnsi="Arial" w:eastAsia="Arial"/>
          <w:b w:val="0"/>
          <w:sz w:val="20"/>
        </w:rPr>
        <w:t>4.1 Theme 1: Physical and Psychological Consequences of Prolonged Waiting</w:t>
      </w:r>
      <w:r>
        <w:rPr>
          <w:rFonts w:ascii="Arial" w:hAnsi="Arial" w:eastAsia="Arial"/>
          <w:b w:val="0"/>
          <w:sz w:val="20"/>
        </w:rPr>
        <w:tab/>
      </w:r>
      <w:r>
        <w:rPr>
          <w:rFonts w:ascii="Arial" w:hAnsi="Arial" w:eastAsia="Arial"/>
          <w:b w:val="0"/>
          <w:sz w:val="20"/>
        </w:rPr>
        <w:t>8</w:t>
      </w:r>
    </w:p>
    <w:p>
      <w:pPr>
        <w:tabs>
          <w:tab w:pos="8674" w:val="left"/>
          <w:tab w:pos="8674" w:val="left"/>
        </w:tabs>
        <w:spacing w:line="240" w:lineRule="auto" w:after="40"/>
        <w:ind w:left="340"/>
      </w:pPr>
      <w:r>
        <w:rPr>
          <w:rFonts w:ascii="Arial" w:hAnsi="Arial" w:eastAsia="Arial"/>
          <w:b w:val="0"/>
          <w:sz w:val="20"/>
        </w:rPr>
        <w:t>4.2 Theme 2: Inequality, Access and Engagement with NHS Care</w:t>
      </w:r>
      <w:r>
        <w:rPr>
          <w:rFonts w:ascii="Arial" w:hAnsi="Arial" w:eastAsia="Arial"/>
          <w:b w:val="0"/>
          <w:sz w:val="20"/>
        </w:rPr>
        <w:tab/>
      </w:r>
      <w:r>
        <w:rPr>
          <w:rFonts w:ascii="Arial" w:hAnsi="Arial" w:eastAsia="Arial"/>
          <w:b w:val="0"/>
          <w:sz w:val="20"/>
        </w:rPr>
        <w:t>8</w:t>
      </w:r>
    </w:p>
    <w:p>
      <w:pPr>
        <w:tabs>
          <w:tab w:pos="8674" w:val="left"/>
          <w:tab w:pos="8674" w:val="left"/>
        </w:tabs>
        <w:spacing w:line="240" w:lineRule="auto" w:after="40"/>
        <w:ind w:left="340"/>
      </w:pPr>
      <w:r>
        <w:rPr>
          <w:rFonts w:ascii="Arial" w:hAnsi="Arial" w:eastAsia="Arial"/>
          <w:b w:val="0"/>
          <w:sz w:val="20"/>
        </w:rPr>
        <w:t>4.3 Theme 3: Supporting Patients and Improving Care While They Wait</w:t>
      </w:r>
      <w:r>
        <w:rPr>
          <w:rFonts w:ascii="Arial" w:hAnsi="Arial" w:eastAsia="Arial"/>
          <w:b w:val="0"/>
          <w:sz w:val="20"/>
        </w:rPr>
        <w:tab/>
      </w:r>
      <w:r>
        <w:rPr>
          <w:rFonts w:ascii="Arial" w:hAnsi="Arial" w:eastAsia="Arial"/>
          <w:b w:val="0"/>
          <w:sz w:val="20"/>
        </w:rPr>
        <w:t>9</w:t>
      </w:r>
    </w:p>
    <w:p>
      <w:pPr>
        <w:tabs>
          <w:tab w:pos="8674" w:val="left"/>
          <w:tab w:pos="8674" w:val="left"/>
        </w:tabs>
        <w:spacing w:line="240" w:lineRule="auto" w:after="40"/>
        <w:ind w:left="0"/>
      </w:pPr>
      <w:r>
        <w:rPr>
          <w:rFonts w:ascii="Arial" w:hAnsi="Arial" w:eastAsia="Arial"/>
          <w:b/>
          <w:sz w:val="20"/>
        </w:rPr>
        <w:t>5. Discussion</w:t>
      </w:r>
      <w:r>
        <w:rPr>
          <w:rFonts w:ascii="Arial" w:hAnsi="Arial" w:eastAsia="Arial"/>
          <w:b w:val="0"/>
          <w:sz w:val="20"/>
        </w:rPr>
        <w:tab/>
      </w:r>
      <w:r>
        <w:rPr>
          <w:rFonts w:ascii="Arial" w:hAnsi="Arial" w:eastAsia="Arial"/>
          <w:b w:val="0"/>
          <w:sz w:val="20"/>
        </w:rPr>
        <w:t>9</w:t>
      </w:r>
    </w:p>
    <w:p>
      <w:pPr>
        <w:tabs>
          <w:tab w:pos="8674" w:val="left"/>
          <w:tab w:pos="8674" w:val="left"/>
        </w:tabs>
        <w:spacing w:line="240" w:lineRule="auto" w:after="40"/>
        <w:ind w:left="340"/>
      </w:pPr>
      <w:r>
        <w:rPr>
          <w:rFonts w:ascii="Arial" w:hAnsi="Arial" w:eastAsia="Arial"/>
          <w:b w:val="0"/>
          <w:sz w:val="20"/>
        </w:rPr>
        <w:t>5.1 Impact of Waiting on Patient Health and Wellbeing</w:t>
      </w:r>
      <w:r>
        <w:rPr>
          <w:rFonts w:ascii="Arial" w:hAnsi="Arial" w:eastAsia="Arial"/>
          <w:b w:val="0"/>
          <w:sz w:val="20"/>
        </w:rPr>
        <w:tab/>
      </w:r>
      <w:r>
        <w:rPr>
          <w:rFonts w:ascii="Arial" w:hAnsi="Arial" w:eastAsia="Arial"/>
          <w:b w:val="0"/>
          <w:sz w:val="20"/>
        </w:rPr>
        <w:t>9</w:t>
      </w:r>
    </w:p>
    <w:p>
      <w:pPr>
        <w:tabs>
          <w:tab w:pos="8674" w:val="left"/>
          <w:tab w:pos="8674" w:val="left"/>
        </w:tabs>
        <w:spacing w:line="240" w:lineRule="auto" w:after="40"/>
        <w:ind w:left="340"/>
      </w:pPr>
      <w:r>
        <w:rPr>
          <w:rFonts w:ascii="Arial" w:hAnsi="Arial" w:eastAsia="Arial"/>
          <w:b w:val="0"/>
          <w:sz w:val="20"/>
        </w:rPr>
        <w:t>5.2 Inequality, Access and Engagement</w:t>
      </w:r>
      <w:r>
        <w:rPr>
          <w:rFonts w:ascii="Arial" w:hAnsi="Arial" w:eastAsia="Arial"/>
          <w:b w:val="0"/>
          <w:sz w:val="20"/>
        </w:rPr>
        <w:tab/>
      </w:r>
      <w:r>
        <w:rPr>
          <w:rFonts w:ascii="Arial" w:hAnsi="Arial" w:eastAsia="Arial"/>
          <w:b w:val="0"/>
          <w:sz w:val="20"/>
        </w:rPr>
        <w:t>10</w:t>
      </w:r>
    </w:p>
    <w:p>
      <w:pPr>
        <w:tabs>
          <w:tab w:pos="8674" w:val="left"/>
          <w:tab w:pos="8674" w:val="left"/>
        </w:tabs>
        <w:spacing w:line="240" w:lineRule="auto" w:after="40"/>
        <w:ind w:left="340"/>
      </w:pPr>
      <w:r>
        <w:rPr>
          <w:rFonts w:ascii="Arial" w:hAnsi="Arial" w:eastAsia="Arial"/>
          <w:b w:val="0"/>
          <w:sz w:val="20"/>
        </w:rPr>
        <w:t>5.3 Reducing Waiting and Supporting Patients During Delays</w:t>
      </w:r>
      <w:r>
        <w:rPr>
          <w:rFonts w:ascii="Arial" w:hAnsi="Arial" w:eastAsia="Arial"/>
          <w:b w:val="0"/>
          <w:sz w:val="20"/>
        </w:rPr>
        <w:tab/>
      </w:r>
      <w:r>
        <w:rPr>
          <w:rFonts w:ascii="Arial" w:hAnsi="Arial" w:eastAsia="Arial"/>
          <w:b w:val="0"/>
          <w:sz w:val="20"/>
        </w:rPr>
        <w:t>10</w:t>
      </w:r>
    </w:p>
    <w:p>
      <w:pPr>
        <w:tabs>
          <w:tab w:pos="8674" w:val="left"/>
          <w:tab w:pos="8674" w:val="left"/>
        </w:tabs>
        <w:spacing w:line="240" w:lineRule="auto" w:after="40"/>
        <w:ind w:left="340"/>
      </w:pPr>
      <w:r>
        <w:rPr>
          <w:rFonts w:ascii="Arial" w:hAnsi="Arial" w:eastAsia="Arial"/>
          <w:b w:val="0"/>
          <w:sz w:val="20"/>
        </w:rPr>
        <w:t>5.4 Strengths and Limitations</w:t>
      </w:r>
      <w:r>
        <w:rPr>
          <w:rFonts w:ascii="Arial" w:hAnsi="Arial" w:eastAsia="Arial"/>
          <w:b w:val="0"/>
          <w:sz w:val="20"/>
        </w:rPr>
        <w:tab/>
      </w:r>
      <w:r>
        <w:rPr>
          <w:rFonts w:ascii="Arial" w:hAnsi="Arial" w:eastAsia="Arial"/>
          <w:b w:val="0"/>
          <w:sz w:val="20"/>
        </w:rPr>
        <w:t>11</w:t>
      </w:r>
    </w:p>
    <w:p>
      <w:pPr>
        <w:tabs>
          <w:tab w:pos="8674" w:val="left"/>
          <w:tab w:pos="8674" w:val="left"/>
        </w:tabs>
        <w:spacing w:line="240" w:lineRule="auto" w:after="40"/>
        <w:ind w:left="0"/>
      </w:pPr>
      <w:r>
        <w:rPr>
          <w:rFonts w:ascii="Arial" w:hAnsi="Arial" w:eastAsia="Arial"/>
          <w:b/>
          <w:sz w:val="20"/>
        </w:rPr>
        <w:t>6. Recommendations and Conclusion</w:t>
      </w:r>
      <w:r>
        <w:rPr>
          <w:rFonts w:ascii="Arial" w:hAnsi="Arial" w:eastAsia="Arial"/>
          <w:b w:val="0"/>
          <w:sz w:val="20"/>
        </w:rPr>
        <w:tab/>
      </w:r>
      <w:r>
        <w:rPr>
          <w:rFonts w:ascii="Arial" w:hAnsi="Arial" w:eastAsia="Arial"/>
          <w:b w:val="0"/>
          <w:sz w:val="20"/>
        </w:rPr>
        <w:t>11</w:t>
      </w:r>
    </w:p>
    <w:p>
      <w:pPr>
        <w:tabs>
          <w:tab w:pos="8674" w:val="left"/>
          <w:tab w:pos="8674" w:val="left"/>
        </w:tabs>
        <w:spacing w:line="240" w:lineRule="auto" w:after="40"/>
        <w:ind w:left="340"/>
      </w:pPr>
      <w:r>
        <w:rPr>
          <w:rFonts w:ascii="Arial" w:hAnsi="Arial" w:eastAsia="Arial"/>
          <w:b w:val="0"/>
          <w:sz w:val="20"/>
        </w:rPr>
        <w:t>6.1 Recommendations for Practice and Services</w:t>
      </w:r>
      <w:r>
        <w:rPr>
          <w:rFonts w:ascii="Arial" w:hAnsi="Arial" w:eastAsia="Arial"/>
          <w:b w:val="0"/>
          <w:sz w:val="20"/>
        </w:rPr>
        <w:tab/>
      </w:r>
      <w:r>
        <w:rPr>
          <w:rFonts w:ascii="Arial" w:hAnsi="Arial" w:eastAsia="Arial"/>
          <w:b w:val="0"/>
          <w:sz w:val="20"/>
        </w:rPr>
        <w:t>11</w:t>
      </w:r>
    </w:p>
    <w:p>
      <w:pPr>
        <w:tabs>
          <w:tab w:pos="8674" w:val="left"/>
          <w:tab w:pos="8674" w:val="left"/>
        </w:tabs>
        <w:spacing w:line="240" w:lineRule="auto" w:after="40"/>
        <w:ind w:left="340"/>
      </w:pPr>
      <w:r>
        <w:rPr>
          <w:rFonts w:ascii="Arial" w:hAnsi="Arial" w:eastAsia="Arial"/>
          <w:b w:val="0"/>
          <w:sz w:val="20"/>
        </w:rPr>
        <w:t>6.2 Recommendations for Policy</w:t>
      </w:r>
      <w:r>
        <w:rPr>
          <w:rFonts w:ascii="Arial" w:hAnsi="Arial" w:eastAsia="Arial"/>
          <w:b w:val="0"/>
          <w:sz w:val="20"/>
        </w:rPr>
        <w:tab/>
      </w:r>
      <w:r>
        <w:rPr>
          <w:rFonts w:ascii="Arial" w:hAnsi="Arial" w:eastAsia="Arial"/>
          <w:b w:val="0"/>
          <w:sz w:val="20"/>
        </w:rPr>
        <w:t>11</w:t>
      </w:r>
    </w:p>
    <w:p>
      <w:pPr>
        <w:tabs>
          <w:tab w:pos="8674" w:val="left"/>
          <w:tab w:pos="8674" w:val="left"/>
        </w:tabs>
        <w:spacing w:line="240" w:lineRule="auto" w:after="40"/>
        <w:ind w:left="340"/>
      </w:pPr>
      <w:r>
        <w:rPr>
          <w:rFonts w:ascii="Arial" w:hAnsi="Arial" w:eastAsia="Arial"/>
          <w:b w:val="0"/>
          <w:sz w:val="20"/>
        </w:rPr>
        <w:t>6.3 Recommendations for Patients and Families</w:t>
      </w:r>
      <w:r>
        <w:rPr>
          <w:rFonts w:ascii="Arial" w:hAnsi="Arial" w:eastAsia="Arial"/>
          <w:b w:val="0"/>
          <w:sz w:val="20"/>
        </w:rPr>
        <w:tab/>
      </w:r>
      <w:r>
        <w:rPr>
          <w:rFonts w:ascii="Arial" w:hAnsi="Arial" w:eastAsia="Arial"/>
          <w:b w:val="0"/>
          <w:sz w:val="20"/>
        </w:rPr>
        <w:t>12</w:t>
      </w:r>
    </w:p>
    <w:p>
      <w:pPr>
        <w:tabs>
          <w:tab w:pos="8674" w:val="left"/>
          <w:tab w:pos="8674" w:val="left"/>
        </w:tabs>
        <w:spacing w:line="240" w:lineRule="auto" w:after="40"/>
        <w:ind w:left="340"/>
      </w:pPr>
      <w:r>
        <w:rPr>
          <w:rFonts w:ascii="Arial" w:hAnsi="Arial" w:eastAsia="Arial"/>
          <w:b w:val="0"/>
          <w:sz w:val="20"/>
        </w:rPr>
        <w:t>6.4 Recommendations for Future Research</w:t>
      </w:r>
      <w:r>
        <w:rPr>
          <w:rFonts w:ascii="Arial" w:hAnsi="Arial" w:eastAsia="Arial"/>
          <w:b w:val="0"/>
          <w:sz w:val="20"/>
        </w:rPr>
        <w:tab/>
      </w:r>
      <w:r>
        <w:rPr>
          <w:rFonts w:ascii="Arial" w:hAnsi="Arial" w:eastAsia="Arial"/>
          <w:b w:val="0"/>
          <w:sz w:val="20"/>
        </w:rPr>
        <w:t>12</w:t>
      </w:r>
    </w:p>
    <w:p>
      <w:pPr>
        <w:tabs>
          <w:tab w:pos="8674" w:val="left"/>
          <w:tab w:pos="8674" w:val="left"/>
        </w:tabs>
        <w:spacing w:line="240" w:lineRule="auto" w:after="40"/>
        <w:ind w:left="340"/>
      </w:pPr>
      <w:r>
        <w:rPr>
          <w:rFonts w:ascii="Arial" w:hAnsi="Arial" w:eastAsia="Arial"/>
          <w:b w:val="0"/>
          <w:sz w:val="20"/>
        </w:rPr>
        <w:t>6.5 Conclusion</w:t>
      </w:r>
      <w:r>
        <w:rPr>
          <w:rFonts w:ascii="Arial" w:hAnsi="Arial" w:eastAsia="Arial"/>
          <w:b w:val="0"/>
          <w:sz w:val="20"/>
        </w:rPr>
        <w:tab/>
      </w:r>
      <w:r>
        <w:rPr>
          <w:rFonts w:ascii="Arial" w:hAnsi="Arial" w:eastAsia="Arial"/>
          <w:b w:val="0"/>
          <w:sz w:val="20"/>
        </w:rPr>
        <w:t>12</w:t>
      </w:r>
    </w:p>
    <w:p>
      <w:pPr>
        <w:tabs>
          <w:tab w:pos="8674" w:val="left"/>
          <w:tab w:pos="8674" w:val="left"/>
        </w:tabs>
        <w:spacing w:line="240" w:lineRule="auto" w:after="40"/>
        <w:ind w:left="0"/>
      </w:pPr>
      <w:r>
        <w:rPr>
          <w:rFonts w:ascii="Arial" w:hAnsi="Arial" w:eastAsia="Arial"/>
          <w:b/>
          <w:sz w:val="20"/>
        </w:rPr>
        <w:t>References</w:t>
      </w:r>
      <w:r>
        <w:rPr>
          <w:rFonts w:ascii="Arial" w:hAnsi="Arial" w:eastAsia="Arial"/>
          <w:b w:val="0"/>
          <w:sz w:val="20"/>
        </w:rPr>
        <w:tab/>
      </w:r>
      <w:r>
        <w:rPr>
          <w:rFonts w:ascii="Arial" w:hAnsi="Arial" w:eastAsia="Arial"/>
          <w:b w:val="0"/>
          <w:sz w:val="20"/>
        </w:rPr>
        <w:t>13</w:t>
      </w:r>
    </w:p>
    <w:p>
      <w:r>
        <w:rPr>
          <w:rFonts w:ascii="Arial" w:hAnsi="Arial" w:eastAsia="Arial"/>
          <w:sz w:val="22"/>
        </w:rPr>
        <w:br w:type="page"/>
      </w:r>
    </w:p>
    <w:p>
      <w:pPr>
        <w:pStyle w:val="Heading1"/>
        <w:spacing w:before="160" w:after="80" w:line="276" w:lineRule="auto"/>
        <w:keepNext/>
      </w:pPr>
      <w:r>
        <w:rPr>
          <w:rFonts w:ascii="Arial" w:hAnsi="Arial" w:eastAsia="Arial"/>
          <w:b/>
          <w:sz w:val="24"/>
        </w:rPr>
        <w:t>Topic</w:t>
      </w:r>
    </w:p>
    <w:p>
      <w:pPr>
        <w:spacing w:line="360" w:lineRule="auto" w:after="200"/>
        <w:jc w:val="center"/>
      </w:pPr>
      <w:r>
        <w:rPr>
          <w:rFonts w:ascii="Arial" w:hAnsi="Arial" w:eastAsia="Arial"/>
          <w:b/>
          <w:sz w:val="22"/>
        </w:rPr>
        <w:t>Waiting Time for Treatment and Consultation in the National Health Service (NHS): A Scoping Review of Contributing Factors, Patient Outcomes and Strategies for Improvement</w:t>
      </w:r>
    </w:p>
    <w:p>
      <w:pPr>
        <w:pStyle w:val="Heading1"/>
        <w:spacing w:before="160" w:after="80" w:line="276" w:lineRule="auto"/>
        <w:keepNext/>
      </w:pPr>
      <w:r>
        <w:rPr>
          <w:rFonts w:ascii="Arial" w:hAnsi="Arial" w:eastAsia="Arial"/>
          <w:b/>
          <w:sz w:val="24"/>
        </w:rPr>
        <w:t>Abstract</w:t>
      </w:r>
    </w:p>
    <w:p>
      <w:pPr>
        <w:spacing w:line="360" w:lineRule="auto" w:after="120"/>
      </w:pPr>
      <w:r>
        <w:rPr>
          <w:rFonts w:ascii="Arial" w:hAnsi="Arial" w:eastAsia="Arial"/>
          <w:sz w:val="22"/>
        </w:rPr>
        <w:t>Waiting times for consultation and treatment remain an important challenge within the National Health Service (NHS), with possible consequences for patient outcomes, access and service delivery. This scoping review examined factors associated with prolonged waiting, its impact on patients and healthcare services, and approaches that may improve patients’ experiences while they wait. A structured search of PubMed and Google Scholar was conducted for English-language peer-reviewed literature published between 2015 and 2026. Five studies met the final eligibility criteria and were analysed using thematic synthesis. Three themes were identified: the physical and psychological consequences of prolonged waiting; inequality, access and engagement with NHS care; and supporting patients and improving care while they wait. Across the studies, longer waits were associated with poorer outcomes, psychological distress, reduced functioning and difficulties engaging with services. The burden of waiting was also shaped by disability, deprivation and other barriers to care. The review concludes that reducing avoidable delays should remain a priority, but patients experiencing unavoidable waits also require clear communication, monitoring and appropriate support. Further research is needed to evaluate interventions that improve patient outcomes and reduce inequalities during waiting periods.</w:t>
      </w:r>
    </w:p>
    <w:p>
      <w:pPr>
        <w:spacing w:after="160"/>
      </w:pPr>
      <w:r>
        <w:rPr>
          <w:rFonts w:ascii="Arial" w:hAnsi="Arial" w:eastAsia="Arial"/>
          <w:b/>
          <w:sz w:val="22"/>
        </w:rPr>
        <w:t xml:space="preserve">Keywords: </w:t>
      </w:r>
      <w:r>
        <w:rPr>
          <w:rFonts w:ascii="Arial" w:hAnsi="Arial" w:eastAsia="Arial"/>
          <w:sz w:val="22"/>
        </w:rPr>
        <w:t>NHS; waiting times; waiting lists; treatment delay; patient outcomes; healthcare access; scoping review.</w:t>
      </w:r>
    </w:p>
    <w:p>
      <w:pPr>
        <w:pStyle w:val="Heading1"/>
        <w:spacing w:before="160" w:after="80" w:line="276" w:lineRule="auto"/>
        <w:keepNext/>
      </w:pPr>
      <w:r>
        <w:rPr>
          <w:rFonts w:ascii="Arial" w:hAnsi="Arial" w:eastAsia="Arial"/>
          <w:b/>
          <w:sz w:val="24"/>
        </w:rPr>
        <w:t>1. Introduction</w:t>
      </w:r>
    </w:p>
    <w:p>
      <w:pPr>
        <w:spacing w:line="360" w:lineRule="auto" w:after="120"/>
        <w:ind w:firstLine="397"/>
      </w:pPr>
      <w:r>
        <w:rPr>
          <w:rFonts w:ascii="Arial" w:hAnsi="Arial" w:eastAsia="Arial"/>
          <w:sz w:val="22"/>
        </w:rPr>
        <w:t>Waiting time is an important measure of access to healthcare. In the NHS, it can refer to the period between referral and specialist consultation, diagnostic assessment, or the start of treatment. Some waiting is unavoidable because patients must be prioritised according to clinical need and available resources. However, prolonged waiting becomes a health and social care concern when patients remain symptomatic, uncertain about their care, or at risk of deterioration. The NHS Constitution states that patients have a right to access services within maximum waiting times, while its handbook specifies a maximum 18-week wait from referral to the start of consultant-led treatment for most non-urgent conditions (Department of Health and Social Care, 2023; Department of Health and Social Care, n.d.).</w:t>
      </w:r>
    </w:p>
    <w:p>
      <w:pPr>
        <w:spacing w:line="360" w:lineRule="auto" w:after="120"/>
        <w:ind w:firstLine="397"/>
      </w:pPr>
      <w:r>
        <w:rPr>
          <w:rFonts w:ascii="Arial" w:hAnsi="Arial" w:eastAsia="Arial"/>
          <w:sz w:val="22"/>
        </w:rPr>
        <w:t>The issue has become more prominent following the COVID-19 pandemic. Elective activity was disrupted, demand accumulated and many services entered the recovery period with substantial backlogs. Although national performance has recently improved, NHS England reported 7.1 million referral-to-treatment pathways still waiting at the end of March 2026, with 65.3% within 18 weeks (NHS England, 2026a). Waiting therefore remains relevant not only as a performance indicator, but because delays can affect patients’ physical health, psychological wellbeing, everyday functioning and confidence in services. Evidence from mental health, cancer and surgery suggests that the consequences of delay vary by clinical condition and patient circumstances (Maringe et al., 2020; Reichert and Jacobs, 2018; Yates et al., 2022).</w:t>
      </w:r>
    </w:p>
    <w:p>
      <w:pPr>
        <w:spacing w:line="360" w:lineRule="auto" w:after="120"/>
        <w:ind w:firstLine="397"/>
      </w:pPr>
      <w:r>
        <w:rPr>
          <w:rFonts w:ascii="Arial" w:hAnsi="Arial" w:eastAsia="Arial"/>
          <w:sz w:val="22"/>
        </w:rPr>
        <w:t>A scoping review is suitable for this topic because the evidence is spread across different healthcare settings and uses different research designs. Scoping reviews map the range and nature of available evidence rather than restricting the review to a single intervention or outcome (Arksey and O’Malley, 2005; Pollock et al., 2021). This review therefore brings together evidence on why waiting occurs, how prolonged waits affect patients and service engagement, and what can be done to improve care while patients remain on NHS waiting lists.</w:t>
      </w:r>
    </w:p>
    <w:p>
      <w:pPr>
        <w:pStyle w:val="Heading2"/>
        <w:spacing w:before="100" w:after="80" w:line="276" w:lineRule="auto"/>
        <w:keepNext/>
      </w:pPr>
      <w:r>
        <w:rPr>
          <w:rFonts w:ascii="Arial" w:hAnsi="Arial" w:eastAsia="Arial"/>
          <w:b/>
          <w:sz w:val="22"/>
        </w:rPr>
        <w:t>1.1 Review Question</w:t>
      </w:r>
    </w:p>
    <w:p>
      <w:pPr>
        <w:spacing w:line="360" w:lineRule="auto" w:after="120"/>
      </w:pPr>
      <w:r>
        <w:rPr>
          <w:rFonts w:ascii="Arial" w:hAnsi="Arial" w:eastAsia="Arial"/>
          <w:sz w:val="22"/>
        </w:rPr>
        <w:t>What factors contribute to waiting times for treatment and consultation within the National Health Service (NHS), what impact do prolonged waiting times have on patients and healthcare delivery, and what strategies have been proposed to reduce these delays?</w:t>
      </w:r>
    </w:p>
    <w:p>
      <w:pPr>
        <w:pStyle w:val="Heading2"/>
        <w:spacing w:before="100" w:after="80" w:line="276" w:lineRule="auto"/>
        <w:keepNext/>
      </w:pPr>
      <w:r>
        <w:rPr>
          <w:rFonts w:ascii="Arial" w:hAnsi="Arial" w:eastAsia="Arial"/>
          <w:b/>
          <w:sz w:val="22"/>
        </w:rPr>
        <w:t>1.2 Objectives</w:t>
      </w:r>
    </w:p>
    <w:p>
      <w:pPr>
        <w:spacing w:line="360" w:lineRule="auto" w:after="40"/>
        <w:ind w:left="340" w:hanging="255"/>
      </w:pPr>
      <w:r>
        <w:rPr>
          <w:rFonts w:ascii="Arial" w:hAnsi="Arial" w:eastAsia="Arial"/>
          <w:sz w:val="22"/>
        </w:rPr>
        <w:t xml:space="preserve">• </w:t>
      </w:r>
      <w:r>
        <w:rPr>
          <w:rFonts w:ascii="Arial" w:hAnsi="Arial" w:eastAsia="Arial"/>
          <w:sz w:val="22"/>
        </w:rPr>
        <w:t>To define the concept of waiting time for consultation and treatment within the NHS.</w:t>
      </w:r>
    </w:p>
    <w:p>
      <w:pPr>
        <w:spacing w:line="360" w:lineRule="auto" w:after="40"/>
        <w:ind w:left="340" w:hanging="255"/>
      </w:pPr>
      <w:r>
        <w:rPr>
          <w:rFonts w:ascii="Arial" w:hAnsi="Arial" w:eastAsia="Arial"/>
          <w:sz w:val="22"/>
        </w:rPr>
        <w:t xml:space="preserve">• </w:t>
      </w:r>
      <w:r>
        <w:rPr>
          <w:rFonts w:ascii="Arial" w:hAnsi="Arial" w:eastAsia="Arial"/>
          <w:sz w:val="22"/>
        </w:rPr>
        <w:t>To examine current evidence on the causes of prolonged waiting times across NHS healthcare services.</w:t>
      </w:r>
    </w:p>
    <w:p>
      <w:pPr>
        <w:spacing w:line="360" w:lineRule="auto" w:after="40"/>
        <w:ind w:left="340" w:hanging="255"/>
      </w:pPr>
      <w:r>
        <w:rPr>
          <w:rFonts w:ascii="Arial" w:hAnsi="Arial" w:eastAsia="Arial"/>
          <w:sz w:val="22"/>
        </w:rPr>
        <w:t xml:space="preserve">• </w:t>
      </w:r>
      <w:r>
        <w:rPr>
          <w:rFonts w:ascii="Arial" w:hAnsi="Arial" w:eastAsia="Arial"/>
          <w:sz w:val="22"/>
        </w:rPr>
        <w:t>To evaluate the effects of waiting times on patient health outcomes, patient satisfaction and healthcare service delivery.</w:t>
      </w:r>
    </w:p>
    <w:p>
      <w:pPr>
        <w:spacing w:line="360" w:lineRule="auto" w:after="40"/>
        <w:ind w:left="340" w:hanging="255"/>
      </w:pPr>
      <w:r>
        <w:rPr>
          <w:rFonts w:ascii="Arial" w:hAnsi="Arial" w:eastAsia="Arial"/>
          <w:sz w:val="22"/>
        </w:rPr>
        <w:t xml:space="preserve">• </w:t>
      </w:r>
      <w:r>
        <w:rPr>
          <w:rFonts w:ascii="Arial" w:hAnsi="Arial" w:eastAsia="Arial"/>
          <w:sz w:val="22"/>
        </w:rPr>
        <w:t>To review current NHS policies and strategies introduced to reduce waiting times.</w:t>
      </w:r>
    </w:p>
    <w:p>
      <w:pPr>
        <w:spacing w:line="360" w:lineRule="auto" w:after="40"/>
        <w:ind w:left="340" w:hanging="255"/>
      </w:pPr>
      <w:r>
        <w:rPr>
          <w:rFonts w:ascii="Arial" w:hAnsi="Arial" w:eastAsia="Arial"/>
          <w:sz w:val="22"/>
        </w:rPr>
        <w:t xml:space="preserve">• </w:t>
      </w:r>
      <w:r>
        <w:rPr>
          <w:rFonts w:ascii="Arial" w:hAnsi="Arial" w:eastAsia="Arial"/>
          <w:sz w:val="22"/>
        </w:rPr>
        <w:t>To identify gaps in the literature and recommend areas for future research and policy development.</w:t>
      </w:r>
    </w:p>
    <w:p>
      <w:pPr>
        <w:pStyle w:val="Heading1"/>
        <w:spacing w:before="160" w:after="80" w:line="276" w:lineRule="auto"/>
        <w:keepNext/>
      </w:pPr>
      <w:r>
        <w:rPr>
          <w:rFonts w:ascii="Arial" w:hAnsi="Arial" w:eastAsia="Arial"/>
          <w:b/>
          <w:sz w:val="24"/>
        </w:rPr>
        <w:t>2. Background</w:t>
      </w:r>
    </w:p>
    <w:p>
      <w:pPr>
        <w:spacing w:line="360" w:lineRule="auto" w:after="120"/>
        <w:ind w:firstLine="397"/>
      </w:pPr>
      <w:r>
        <w:rPr>
          <w:rFonts w:ascii="Arial" w:hAnsi="Arial" w:eastAsia="Arial"/>
          <w:sz w:val="22"/>
        </w:rPr>
        <w:t>Elective care includes planned consultant-led services such as outpatient appointments, diagnostic tests and surgery. The size of the English elective waiting list increased steadily before the pandemic and rose sharply during COVID-19, reflecting both reduced activity and disrupted patient flow (The Health Foundation, 2025). The backlog cannot be explained by one shortage alone. Modelling of NHS cardiovascular pathways found that restrictions in primary-care referrals created later bottlenecks and that increasing capacity at only one point in a pathway can shift pressure downstream rather than solve it (Catsis et al., 2023). Similarly, national modelling has shown that recovery depends on the relationship between demand, throughput and sustained resource capacity (Howlett and Wood, 2022; Nehme, Puchkova and Parlikad, 2022).</w:t>
      </w:r>
    </w:p>
    <w:p>
      <w:pPr>
        <w:spacing w:line="360" w:lineRule="auto" w:after="120"/>
        <w:ind w:firstLine="397"/>
      </w:pPr>
      <w:r>
        <w:rPr>
          <w:rFonts w:ascii="Arial" w:hAnsi="Arial" w:eastAsia="Arial"/>
          <w:sz w:val="22"/>
        </w:rPr>
        <w:t>The clinical importance of delay also differs between conditions. In cancer care, modelling studies during the pandemic estimated that delays in diagnosis and urgent referral could reduce survival, showing why speed matters particularly for time-sensitive disease (Maringe et al., 2020; Sud et al., 2020). In cardiac surgery, a UK multicentre cohort documented substantial treatment delays during the pandemic, with patients waiting a median of 195 days before surgery among those who eventually received an operation (Yates et al., 2022). In mental health, Reichert and Jacobs (2018) found that longer waits for Early Intervention in Psychosis services were associated with poorer outcomes at 12 months. These studies differ in methods and clinical context, but together show that waiting is not simply an administrative inconvenience.</w:t>
      </w:r>
    </w:p>
    <w:p>
      <w:pPr>
        <w:spacing w:line="360" w:lineRule="auto" w:after="120"/>
        <w:ind w:firstLine="397"/>
      </w:pPr>
      <w:r>
        <w:rPr>
          <w:rFonts w:ascii="Arial" w:hAnsi="Arial" w:eastAsia="Arial"/>
          <w:sz w:val="22"/>
        </w:rPr>
        <w:t>Waiting can also create psychological and social burden. A scoping review by Gagliardi et al. (2021) found anxiety, depression and reduced quality of life among patients and caregivers waiting for procedures, with greater burden in some socioeconomically disadvantaged groups. This is relevant to health inequalities because patients do not experience the same length of wait in the same way. NHS England now includes inequalities in the proportion of people waiting beyond 18 and 52 weeks, and inequalities in non-attendance, among measures that services should monitor (NHS England, 2025a).</w:t>
      </w:r>
    </w:p>
    <w:p>
      <w:pPr>
        <w:spacing w:line="360" w:lineRule="auto" w:after="120"/>
        <w:ind w:firstLine="397"/>
      </w:pPr>
      <w:r>
        <w:rPr>
          <w:rFonts w:ascii="Arial" w:hAnsi="Arial" w:eastAsia="Arial"/>
          <w:sz w:val="22"/>
        </w:rPr>
        <w:t>Policy has therefore moved towards combining higher elective activity with changes in how patients are managed before treatment. The 2025 elective reform plan includes greater use of community diagnostic centres, surgical hubs, specialist advice and guidance, digital tools and improved communication with people on waiting lists (NHS England, 2025b). Recent national data show progress: 65.3% of waits were within 18 weeks in March 2026, compared with 59.8% a year earlier, although geographical variation remains substantial and the constitutional 92% standard has not yet been restored (The Health Foundation, 2026; NHS England, 2026a). This creates a need to consider both reducing delays and supporting patients who continue to wait.</w:t>
      </w:r>
    </w:p>
    <w:p>
      <w:pPr>
        <w:pStyle w:val="Heading1"/>
        <w:spacing w:before="160" w:after="80" w:line="276" w:lineRule="auto"/>
        <w:keepNext/>
      </w:pPr>
      <w:r>
        <w:rPr>
          <w:rFonts w:ascii="Arial" w:hAnsi="Arial" w:eastAsia="Arial"/>
          <w:b/>
          <w:sz w:val="24"/>
        </w:rPr>
        <w:t>3. Methods</w:t>
      </w:r>
    </w:p>
    <w:p>
      <w:pPr>
        <w:pStyle w:val="Heading2"/>
        <w:spacing w:before="100" w:after="80" w:line="276" w:lineRule="auto"/>
        <w:keepNext/>
      </w:pPr>
      <w:r>
        <w:rPr>
          <w:rFonts w:ascii="Arial" w:hAnsi="Arial" w:eastAsia="Arial"/>
          <w:b/>
          <w:sz w:val="22"/>
        </w:rPr>
        <w:t>3.1 Research Design</w:t>
      </w:r>
    </w:p>
    <w:p>
      <w:pPr>
        <w:spacing w:line="360" w:lineRule="auto" w:after="120"/>
        <w:ind w:firstLine="397"/>
      </w:pPr>
      <w:r>
        <w:rPr>
          <w:rFonts w:ascii="Arial" w:hAnsi="Arial" w:eastAsia="Arial"/>
          <w:sz w:val="22"/>
        </w:rPr>
        <w:t>A scoping review design was used to examine evidence relating to waiting times for treatment and consultation within the NHS. This design was chosen because the review question covers multiple settings, patient groups and outcomes. Scoping reviews are useful for mapping a broad evidence base, identifying key concepts and showing where evidence is limited (Pollock et al., 2021). The reporting approach was informed by the PRISMA extension for scoping reviews (PRISMA-ScR), which emphasises transparent eligibility, searching, selection and synthesis (Tricco et al., 2018).</w:t>
      </w:r>
    </w:p>
    <w:p>
      <w:pPr>
        <w:pStyle w:val="Heading2"/>
        <w:spacing w:before="100" w:after="80" w:line="276" w:lineRule="auto"/>
        <w:keepNext/>
      </w:pPr>
      <w:r>
        <w:rPr>
          <w:rFonts w:ascii="Arial" w:hAnsi="Arial" w:eastAsia="Arial"/>
          <w:b/>
          <w:sz w:val="22"/>
        </w:rPr>
        <w:t>3.2 Search Strategy</w:t>
      </w:r>
    </w:p>
    <w:p>
      <w:pPr>
        <w:spacing w:line="360" w:lineRule="auto" w:after="120"/>
        <w:ind w:firstLine="397"/>
      </w:pPr>
      <w:r>
        <w:rPr>
          <w:rFonts w:ascii="Arial" w:hAnsi="Arial" w:eastAsia="Arial"/>
          <w:sz w:val="22"/>
        </w:rPr>
        <w:t>A structured literature search was conducted using PubMed and Google Scholar. Search terms were developed from the main concepts in the review question and combined using the Boolean operators AND and OR. The main search string was: (“NHS” OR “National Health Service”) AND (“waiting time” OR “waiting list” OR “treatment delay”) AND (“treatment” OR “consultation” OR “outpatient care”) AND (“patient outcome” OR “patient experience” OR “access to care”). Additional terms such as elective care, referral delay, non-attendance, healthcare backlog and waiting-list management were used to identify relevant papers. Searches were limited to English-language publications from 2015 to 2026.</w:t>
      </w:r>
    </w:p>
    <w:p>
      <w:pPr>
        <w:spacing w:line="360" w:lineRule="auto" w:after="120"/>
        <w:ind w:firstLine="397"/>
      </w:pPr>
      <w:r>
        <w:rPr>
          <w:rFonts w:ascii="Arial" w:hAnsi="Arial" w:eastAsia="Arial"/>
          <w:sz w:val="22"/>
        </w:rPr>
        <w:t>The PubMed search returned 11 records. Google Scholar returned approximately 10,100 results; because of the breadth of the search engine, the first 100 results ranked by relevance were examined. This meant 111 records were taken forward for initial title and abstract screening. Reference lists and citation links from relevant papers were also checked for potentially useful studies.</w:t>
      </w:r>
    </w:p>
    <w:p>
      <w:pPr>
        <w:pStyle w:val="Heading2"/>
        <w:spacing w:before="100" w:after="80" w:line="276" w:lineRule="auto"/>
        <w:keepNext/>
      </w:pPr>
      <w:r>
        <w:rPr>
          <w:rFonts w:ascii="Arial" w:hAnsi="Arial" w:eastAsia="Arial"/>
          <w:b/>
          <w:sz w:val="22"/>
        </w:rPr>
        <w:t>3.3 Inclusion and Exclusion Criteria</w:t>
      </w:r>
    </w:p>
    <w:p>
      <w:pPr>
        <w:spacing w:line="360" w:lineRule="auto" w:after="120"/>
        <w:ind w:firstLine="397"/>
      </w:pPr>
      <w:r>
        <w:rPr>
          <w:rFonts w:ascii="Arial" w:hAnsi="Arial" w:eastAsia="Arial"/>
          <w:sz w:val="22"/>
        </w:rPr>
        <w:t>Studies were included when they were peer-reviewed primary or secondary research, published in English between 2015 and 2026, and examined waiting for consultation, referral or treatment within the NHS or a directly relevant UK healthcare setting. They also had to contribute evidence on at least one part of the review question: causes of delay, patient outcomes, access or engagement, or management of patients while waiting. Editorials, commentaries, conference abstracts, dissertations, non-research publications and studies without clear UK/NHS relevance were excluded. NHS reports and policy documents were not treated as the five analysed studies, but were used as contextual evidence in the background and discussion.</w:t>
      </w:r>
    </w:p>
    <w:p>
      <w:pPr>
        <w:pStyle w:val="Heading2"/>
        <w:spacing w:before="100" w:after="80" w:line="276" w:lineRule="auto"/>
        <w:keepNext/>
      </w:pPr>
      <w:r>
        <w:rPr>
          <w:rFonts w:ascii="Arial" w:hAnsi="Arial" w:eastAsia="Arial"/>
          <w:b/>
          <w:sz w:val="22"/>
        </w:rPr>
        <w:t>3.4 Study Selection and Data Extraction</w:t>
      </w:r>
    </w:p>
    <w:p>
      <w:pPr>
        <w:spacing w:line="360" w:lineRule="auto" w:after="120"/>
        <w:ind w:firstLine="397"/>
      </w:pPr>
      <w:r>
        <w:rPr>
          <w:rFonts w:ascii="Arial" w:hAnsi="Arial" w:eastAsia="Arial"/>
          <w:sz w:val="22"/>
        </w:rPr>
        <w:t>Titles and abstracts were screened for relevance before potentially suitable papers were considered in full text against the eligibility criteria. Five studies were selected for detailed analysis: Reichert and Jacobs (2018), Edwards Suarez, Lappas and Christodoulou (2023), Chan et al. (2025), Rivas (2025), and Russo et al. (2026). Information was extracted into a structured table covering study aim, design, sample, setting and main findings. The selected studies represented mental health, outpatient consultation, orthopaedic care, wider care backlogs and elective cardiac surgery, allowing comparison across different NHS contexts.</w:t>
      </w:r>
    </w:p>
    <w:p>
      <w:pPr>
        <w:pStyle w:val="Heading2"/>
        <w:spacing w:before="100" w:after="80" w:line="276" w:lineRule="auto"/>
        <w:keepNext/>
      </w:pPr>
      <w:r>
        <w:rPr>
          <w:rFonts w:ascii="Arial" w:hAnsi="Arial" w:eastAsia="Arial"/>
          <w:b/>
          <w:sz w:val="22"/>
        </w:rPr>
        <w:t>3.5 Critical Appraisal and Data Analysis</w:t>
      </w:r>
    </w:p>
    <w:p>
      <w:pPr>
        <w:spacing w:line="360" w:lineRule="auto" w:after="120"/>
        <w:ind w:firstLine="397"/>
      </w:pPr>
      <w:r>
        <w:rPr>
          <w:rFonts w:ascii="Arial" w:hAnsi="Arial" w:eastAsia="Arial"/>
          <w:sz w:val="22"/>
        </w:rPr>
        <w:t>Critical appraisal was informed by the Critical Appraisal Skills Programme (CASP) checklists, with criteria considered according to study design rather than applying one checklist mechanically to all papers (Critical Appraisal Skills Programme, 2024). Attention was given to the clarity of aims, appropriateness of methods, sampling, transparency of analysis, potential bias, limitations and applicability to NHS practice.</w:t>
      </w:r>
    </w:p>
    <w:p>
      <w:pPr>
        <w:spacing w:line="360" w:lineRule="auto" w:after="120"/>
        <w:ind w:firstLine="397"/>
      </w:pPr>
      <w:r>
        <w:rPr>
          <w:rFonts w:ascii="Arial" w:hAnsi="Arial" w:eastAsia="Arial"/>
          <w:sz w:val="22"/>
        </w:rPr>
        <w:t>The extracted findings were then analysed thematically. Braun and Clarke’s (2006) six-phase approach informed familiarisation, initial coding, development and review of themes. Maguire and Delahunt (2017) emphasise that thematic analysis should move beyond summary to identify meaningful patterns, while Noble and Smith (2014) stress transparency in moving from data to codes and themes. Initial codes in this review included health deterioration, pain, anxiety, reduced functioning, non-attendance, inequality, service delay, communication and support. These were grouped into three themes: (1) physical and psychological consequences of prolonged waiting; (2) inequality, access and engagement with NHS care; and (3) supporting patients and improving care while they wait.</w:t>
      </w:r>
    </w:p>
    <w:p>
      <w:pPr>
        <w:pStyle w:val="Heading2"/>
        <w:spacing w:before="100" w:after="80" w:line="276" w:lineRule="auto"/>
        <w:keepNext/>
      </w:pPr>
      <w:r>
        <w:rPr>
          <w:rFonts w:ascii="Arial" w:hAnsi="Arial" w:eastAsia="Arial"/>
          <w:b/>
          <w:sz w:val="22"/>
        </w:rPr>
        <w:t>3.6 Ethical Considerations</w:t>
      </w:r>
    </w:p>
    <w:p>
      <w:pPr>
        <w:spacing w:line="360" w:lineRule="auto" w:after="120"/>
        <w:ind w:firstLine="397"/>
      </w:pPr>
      <w:r>
        <w:rPr>
          <w:rFonts w:ascii="Arial" w:hAnsi="Arial" w:eastAsia="Arial"/>
          <w:sz w:val="22"/>
        </w:rPr>
        <w:t>Formal ethical approval was not required because the review used published research and did not recruit participants or access identifiable patient data. Ethical conduct was nevertheless relevant. Sources were accurately acknowledged, study findings were represented without deliberate distortion, and limitations or conflicting evidence were retained rather than removed to strengthen a preferred argument. Published studies were also checked for appropriate discussion of ethics where primary participant data were collected.</w:t>
      </w:r>
    </w:p>
    <w:p>
      <w:pPr>
        <w:pStyle w:val="Heading1"/>
        <w:spacing w:before="160" w:after="80" w:line="276" w:lineRule="auto"/>
        <w:keepNext/>
      </w:pPr>
      <w:r>
        <w:rPr>
          <w:rFonts w:ascii="Arial" w:hAnsi="Arial" w:eastAsia="Arial"/>
          <w:b/>
          <w:sz w:val="24"/>
        </w:rPr>
        <w:t>4. Results</w:t>
      </w:r>
    </w:p>
    <w:p>
      <w:pPr>
        <w:spacing w:line="360" w:lineRule="auto" w:after="120"/>
        <w:ind w:firstLine="397"/>
      </w:pPr>
      <w:r>
        <w:rPr>
          <w:rFonts w:ascii="Arial" w:hAnsi="Arial" w:eastAsia="Arial"/>
          <w:sz w:val="22"/>
        </w:rPr>
        <w:t>Five peer-reviewed studies published between 2018 and 2026 were included. They used quantitative, qualitative and mixed-methods approaches and covered different points in the NHS pathway. Table 1 summarises the characteristics most relevant to the review question.</w:t>
      </w:r>
    </w:p>
    <w:p>
      <w:pPr>
        <w:spacing w:after="80"/>
      </w:pPr>
      <w:r>
        <w:rPr>
          <w:rFonts w:ascii="Arial" w:hAnsi="Arial" w:eastAsia="Arial"/>
          <w:b/>
          <w:sz w:val="22"/>
        </w:rPr>
        <w:t>Table 1: Characteristics and findings of the selected studies</w:t>
      </w:r>
    </w:p>
    <w:tbl>
      <w:tblPr>
        <w:tblW w:type="auto" w:w="0"/>
        <w:jc w:val="center"/>
        <w:tblLook w:firstColumn="1" w:firstRow="1" w:lastColumn="0" w:lastRow="0" w:noHBand="0" w:noVBand="1" w:val="04A0"/>
      </w:tblPr>
      <w:tblGrid>
        <w:gridCol w:w="2268"/>
        <w:gridCol w:w="2268"/>
        <w:gridCol w:w="2268"/>
        <w:gridCol w:w="2268"/>
      </w:tblGrid>
      <w:tr>
        <w:trPr>
          <w:tblHeader w:val="true"/>
          <w:cantSplit/>
        </w:trPr>
        <w:tc>
          <w:tcPr>
            <w:tcW w:type="dxa" w:w="2268"/>
            <w:shd w:fill="D9E1F2"/>
            <w:vAlign w:val="center"/>
            <w:tcMar>
              <w:top w:w="80" w:type="dxa"/>
              <w:start w:w="80" w:type="dxa"/>
              <w:bottom w:w="80" w:type="dxa"/>
              <w:end w:w="8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40" w:lineRule="auto"/>
              <w:jc w:val="center"/>
            </w:pPr>
            <w:r>
              <w:rPr>
                <w:rFonts w:ascii="Arial" w:hAnsi="Arial" w:eastAsia="Arial"/>
                <w:b/>
                <w:sz w:val="18"/>
              </w:rPr>
              <w:t>Study</w:t>
            </w:r>
          </w:p>
        </w:tc>
        <w:tc>
          <w:tcPr>
            <w:tcW w:type="dxa" w:w="2268"/>
            <w:shd w:fill="D9E1F2"/>
            <w:vAlign w:val="center"/>
            <w:tcMar>
              <w:top w:w="80" w:type="dxa"/>
              <w:start w:w="80" w:type="dxa"/>
              <w:bottom w:w="80" w:type="dxa"/>
              <w:end w:w="8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40" w:lineRule="auto"/>
              <w:jc w:val="center"/>
            </w:pPr>
            <w:r>
              <w:rPr>
                <w:rFonts w:ascii="Arial" w:hAnsi="Arial" w:eastAsia="Arial"/>
                <w:b/>
                <w:sz w:val="18"/>
              </w:rPr>
              <w:t>Aim</w:t>
            </w:r>
          </w:p>
        </w:tc>
        <w:tc>
          <w:tcPr>
            <w:tcW w:type="dxa" w:w="2268"/>
            <w:shd w:fill="D9E1F2"/>
            <w:vAlign w:val="center"/>
            <w:tcMar>
              <w:top w:w="80" w:type="dxa"/>
              <w:start w:w="80" w:type="dxa"/>
              <w:bottom w:w="80" w:type="dxa"/>
              <w:end w:w="8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40" w:lineRule="auto"/>
              <w:jc w:val="center"/>
            </w:pPr>
            <w:r>
              <w:rPr>
                <w:rFonts w:ascii="Arial" w:hAnsi="Arial" w:eastAsia="Arial"/>
                <w:b/>
                <w:sz w:val="18"/>
              </w:rPr>
              <w:t>Design / methods</w:t>
            </w:r>
          </w:p>
        </w:tc>
        <w:tc>
          <w:tcPr>
            <w:tcW w:type="dxa" w:w="2268"/>
            <w:shd w:fill="D9E1F2"/>
            <w:vAlign w:val="center"/>
            <w:tcMar>
              <w:top w:w="80" w:type="dxa"/>
              <w:start w:w="80" w:type="dxa"/>
              <w:bottom w:w="80" w:type="dxa"/>
              <w:end w:w="8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40" w:lineRule="auto"/>
              <w:jc w:val="center"/>
            </w:pPr>
            <w:r>
              <w:rPr>
                <w:rFonts w:ascii="Arial" w:hAnsi="Arial" w:eastAsia="Arial"/>
                <w:b/>
                <w:sz w:val="18"/>
              </w:rPr>
              <w:t>Main findings</w:t>
            </w:r>
          </w:p>
        </w:tc>
      </w:tr>
      <w:tr>
        <w:trPr>
          <w:cantSplit/>
        </w:trPr>
        <w:tc>
          <w:tcPr>
            <w:tcW w:type="dxa" w:w="1701"/>
            <w:vAlign w:val="top"/>
            <w:tcMar>
              <w:top w:w="60" w:type="dxa"/>
              <w:start w:w="70" w:type="dxa"/>
              <w:bottom w:w="60" w:type="dxa"/>
              <w:end w:w="7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52" w:lineRule="auto"/>
            </w:pPr>
            <w:r>
              <w:rPr>
                <w:rFonts w:ascii="Arial" w:hAnsi="Arial" w:eastAsia="Arial"/>
                <w:b/>
                <w:sz w:val="17"/>
              </w:rPr>
              <w:t>Reichert and Jacobs (2018)</w:t>
            </w:r>
          </w:p>
        </w:tc>
        <w:tc>
          <w:tcPr>
            <w:tcW w:type="dxa" w:w="1814"/>
            <w:vAlign w:val="top"/>
            <w:tcMar>
              <w:top w:w="60" w:type="dxa"/>
              <w:start w:w="70" w:type="dxa"/>
              <w:bottom w:w="60" w:type="dxa"/>
              <w:end w:w="7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52" w:lineRule="auto"/>
            </w:pPr>
            <w:r>
              <w:rPr>
                <w:rFonts w:ascii="Arial" w:hAnsi="Arial" w:eastAsia="Arial"/>
                <w:b w:val="0"/>
                <w:sz w:val="17"/>
              </w:rPr>
              <w:t>Examine whether waiting time affected outcomes in Early Intervention in Psychosis services in England.</w:t>
            </w:r>
          </w:p>
        </w:tc>
        <w:tc>
          <w:tcPr>
            <w:tcW w:type="dxa" w:w="3005"/>
            <w:vAlign w:val="top"/>
            <w:tcMar>
              <w:top w:w="60" w:type="dxa"/>
              <w:start w:w="70" w:type="dxa"/>
              <w:bottom w:w="60" w:type="dxa"/>
              <w:end w:w="7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52" w:lineRule="auto"/>
            </w:pPr>
            <w:r>
              <w:rPr>
                <w:rFonts w:ascii="Arial" w:hAnsi="Arial" w:eastAsia="Arial"/>
                <w:b w:val="0"/>
                <w:sz w:val="17"/>
              </w:rPr>
              <w:t>Quantitative observational study using national mental-health service data and Health of the Nation Outcome Scale outcomes.</w:t>
            </w:r>
          </w:p>
        </w:tc>
        <w:tc>
          <w:tcPr>
            <w:tcW w:type="dxa" w:w="3005"/>
            <w:vAlign w:val="top"/>
            <w:tcMar>
              <w:top w:w="60" w:type="dxa"/>
              <w:start w:w="70" w:type="dxa"/>
              <w:bottom w:w="60" w:type="dxa"/>
              <w:end w:w="7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52" w:lineRule="auto"/>
            </w:pPr>
            <w:r>
              <w:rPr>
                <w:rFonts w:ascii="Arial" w:hAnsi="Arial" w:eastAsia="Arial"/>
                <w:b w:val="0"/>
                <w:sz w:val="17"/>
              </w:rPr>
              <w:t>Longer waiting was significantly associated with poorer outcomes at 12 months; effects were strongest for waits over three months.</w:t>
            </w:r>
          </w:p>
        </w:tc>
      </w:tr>
      <w:tr>
        <w:trPr>
          <w:cantSplit/>
        </w:trPr>
        <w:tc>
          <w:tcPr>
            <w:tcW w:type="dxa" w:w="1701"/>
            <w:vAlign w:val="top"/>
            <w:tcMar>
              <w:top w:w="60" w:type="dxa"/>
              <w:start w:w="70" w:type="dxa"/>
              <w:bottom w:w="60" w:type="dxa"/>
              <w:end w:w="7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52" w:lineRule="auto"/>
            </w:pPr>
            <w:r>
              <w:rPr>
                <w:rFonts w:ascii="Arial" w:hAnsi="Arial" w:eastAsia="Arial"/>
                <w:b/>
                <w:sz w:val="17"/>
              </w:rPr>
              <w:t>Edwards Suarez, Lappas and Christodoulou (2023)</w:t>
            </w:r>
          </w:p>
        </w:tc>
        <w:tc>
          <w:tcPr>
            <w:tcW w:type="dxa" w:w="1814"/>
            <w:vAlign w:val="top"/>
            <w:tcMar>
              <w:top w:w="60" w:type="dxa"/>
              <w:start w:w="70" w:type="dxa"/>
              <w:bottom w:w="60" w:type="dxa"/>
              <w:end w:w="7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52" w:lineRule="auto"/>
            </w:pPr>
            <w:r>
              <w:rPr>
                <w:rFonts w:ascii="Arial" w:hAnsi="Arial" w:eastAsia="Arial"/>
                <w:b w:val="0"/>
                <w:sz w:val="17"/>
              </w:rPr>
              <w:t>Examine non-attendance at outpatient consultation-liaison psychiatry appointments and associated factors.</w:t>
            </w:r>
          </w:p>
        </w:tc>
        <w:tc>
          <w:tcPr>
            <w:tcW w:type="dxa" w:w="3005"/>
            <w:vAlign w:val="top"/>
            <w:tcMar>
              <w:top w:w="60" w:type="dxa"/>
              <w:start w:w="70" w:type="dxa"/>
              <w:bottom w:w="60" w:type="dxa"/>
              <w:end w:w="7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52" w:lineRule="auto"/>
            </w:pPr>
            <w:r>
              <w:rPr>
                <w:rFonts w:ascii="Arial" w:hAnsi="Arial" w:eastAsia="Arial"/>
                <w:b w:val="0"/>
                <w:sz w:val="17"/>
              </w:rPr>
              <w:t>Retrospective cohort study of 950 initial and 3,503 follow-up appointments from 2015–2019.</w:t>
            </w:r>
          </w:p>
        </w:tc>
        <w:tc>
          <w:tcPr>
            <w:tcW w:type="dxa" w:w="3005"/>
            <w:vAlign w:val="top"/>
            <w:tcMar>
              <w:top w:w="60" w:type="dxa"/>
              <w:start w:w="70" w:type="dxa"/>
              <w:bottom w:w="60" w:type="dxa"/>
              <w:end w:w="7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52" w:lineRule="auto"/>
            </w:pPr>
            <w:r>
              <w:rPr>
                <w:rFonts w:ascii="Arial" w:hAnsi="Arial" w:eastAsia="Arial"/>
                <w:b w:val="0"/>
                <w:sz w:val="17"/>
              </w:rPr>
              <w:t>Initial non-attendance was 27.5% and follow-up non-attendance 18.8%. Longer waiting time was associated with non-attendance at initial appointments.</w:t>
            </w:r>
          </w:p>
        </w:tc>
      </w:tr>
      <w:tr>
        <w:trPr>
          <w:cantSplit/>
        </w:trPr>
        <w:tc>
          <w:tcPr>
            <w:tcW w:type="dxa" w:w="1701"/>
            <w:vAlign w:val="top"/>
            <w:tcMar>
              <w:top w:w="60" w:type="dxa"/>
              <w:start w:w="70" w:type="dxa"/>
              <w:bottom w:w="60" w:type="dxa"/>
              <w:end w:w="7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52" w:lineRule="auto"/>
            </w:pPr>
            <w:r>
              <w:rPr>
                <w:rFonts w:ascii="Arial" w:hAnsi="Arial" w:eastAsia="Arial"/>
                <w:b/>
                <w:sz w:val="17"/>
              </w:rPr>
              <w:t>Chan et al. (2025)</w:t>
            </w:r>
          </w:p>
        </w:tc>
        <w:tc>
          <w:tcPr>
            <w:tcW w:type="dxa" w:w="1814"/>
            <w:vAlign w:val="top"/>
            <w:tcMar>
              <w:top w:w="60" w:type="dxa"/>
              <w:start w:w="70" w:type="dxa"/>
              <w:bottom w:w="60" w:type="dxa"/>
              <w:end w:w="7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52" w:lineRule="auto"/>
            </w:pPr>
            <w:r>
              <w:rPr>
                <w:rFonts w:ascii="Arial" w:hAnsi="Arial" w:eastAsia="Arial"/>
                <w:b w:val="0"/>
                <w:sz w:val="17"/>
              </w:rPr>
              <w:t>Explore experiences of orthopaedic waiting and priorities for supporting patients to “wait well”.</w:t>
            </w:r>
          </w:p>
        </w:tc>
        <w:tc>
          <w:tcPr>
            <w:tcW w:type="dxa" w:w="3005"/>
            <w:vAlign w:val="top"/>
            <w:tcMar>
              <w:top w:w="60" w:type="dxa"/>
              <w:start w:w="70" w:type="dxa"/>
              <w:bottom w:w="60" w:type="dxa"/>
              <w:end w:w="7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52" w:lineRule="auto"/>
            </w:pPr>
            <w:r>
              <w:rPr>
                <w:rFonts w:ascii="Arial" w:hAnsi="Arial" w:eastAsia="Arial"/>
                <w:b w:val="0"/>
                <w:sz w:val="17"/>
              </w:rPr>
              <w:t>Qualitative study in a London NHS Trust; seven patient interviews plus a co-design workshop with six additional patients.</w:t>
            </w:r>
          </w:p>
        </w:tc>
        <w:tc>
          <w:tcPr>
            <w:tcW w:type="dxa" w:w="3005"/>
            <w:vAlign w:val="top"/>
            <w:tcMar>
              <w:top w:w="60" w:type="dxa"/>
              <w:start w:w="70" w:type="dxa"/>
              <w:bottom w:w="60" w:type="dxa"/>
              <w:end w:w="7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52" w:lineRule="auto"/>
            </w:pPr>
            <w:r>
              <w:rPr>
                <w:rFonts w:ascii="Arial" w:hAnsi="Arial" w:eastAsia="Arial"/>
                <w:b w:val="0"/>
                <w:sz w:val="17"/>
              </w:rPr>
              <w:t>Waiting was linked with pain, reduced mobility, disrupted daily life, anxiety, delayed life plans and reduced trust. Patients wanted clearer information and practical, medical and emotional support.</w:t>
            </w:r>
          </w:p>
        </w:tc>
      </w:tr>
      <w:tr>
        <w:trPr>
          <w:cantSplit/>
        </w:trPr>
        <w:tc>
          <w:tcPr>
            <w:tcW w:type="dxa" w:w="1701"/>
            <w:vAlign w:val="top"/>
            <w:tcMar>
              <w:top w:w="60" w:type="dxa"/>
              <w:start w:w="70" w:type="dxa"/>
              <w:bottom w:w="60" w:type="dxa"/>
              <w:end w:w="7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52" w:lineRule="auto"/>
            </w:pPr>
            <w:r>
              <w:rPr>
                <w:rFonts w:ascii="Arial" w:hAnsi="Arial" w:eastAsia="Arial"/>
                <w:b/>
                <w:sz w:val="17"/>
              </w:rPr>
              <w:t>Rivas (2025)</w:t>
            </w:r>
          </w:p>
        </w:tc>
        <w:tc>
          <w:tcPr>
            <w:tcW w:type="dxa" w:w="1814"/>
            <w:vAlign w:val="top"/>
            <w:tcMar>
              <w:top w:w="60" w:type="dxa"/>
              <w:start w:w="70" w:type="dxa"/>
              <w:bottom w:w="60" w:type="dxa"/>
              <w:end w:w="7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52" w:lineRule="auto"/>
            </w:pPr>
            <w:r>
              <w:rPr>
                <w:rFonts w:ascii="Arial" w:hAnsi="Arial" w:eastAsia="Arial"/>
                <w:b w:val="0"/>
                <w:sz w:val="17"/>
              </w:rPr>
              <w:t>Explore how health and social care backlogs affected disabled people from minoritised ethnic groups.</w:t>
            </w:r>
          </w:p>
        </w:tc>
        <w:tc>
          <w:tcPr>
            <w:tcW w:type="dxa" w:w="3005"/>
            <w:vAlign w:val="top"/>
            <w:tcMar>
              <w:top w:w="60" w:type="dxa"/>
              <w:start w:w="70" w:type="dxa"/>
              <w:bottom w:w="60" w:type="dxa"/>
              <w:end w:w="7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52" w:lineRule="auto"/>
            </w:pPr>
            <w:r>
              <w:rPr>
                <w:rFonts w:ascii="Arial" w:hAnsi="Arial" w:eastAsia="Arial"/>
                <w:b w:val="0"/>
                <w:sz w:val="17"/>
              </w:rPr>
              <w:t>Interview and workshop-based qualitative study within a wider mixed-methods project involving 271 UK adults.</w:t>
            </w:r>
          </w:p>
        </w:tc>
        <w:tc>
          <w:tcPr>
            <w:tcW w:type="dxa" w:w="3005"/>
            <w:vAlign w:val="top"/>
            <w:tcMar>
              <w:top w:w="60" w:type="dxa"/>
              <w:start w:w="70" w:type="dxa"/>
              <w:bottom w:w="60" w:type="dxa"/>
              <w:end w:w="7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52" w:lineRule="auto"/>
            </w:pPr>
            <w:r>
              <w:rPr>
                <w:rFonts w:ascii="Arial" w:hAnsi="Arial" w:eastAsia="Arial"/>
                <w:b w:val="0"/>
                <w:sz w:val="17"/>
              </w:rPr>
              <w:t>Three backlog types emerged: waiting lists, deferrals and delays to existing care. Participants described worsening conditions, uncertainty, reduced confidence and GP referral bottlenecks.</w:t>
            </w:r>
          </w:p>
        </w:tc>
      </w:tr>
      <w:tr>
        <w:trPr>
          <w:cantSplit/>
        </w:trPr>
        <w:tc>
          <w:tcPr>
            <w:tcW w:type="dxa" w:w="1701"/>
            <w:vAlign w:val="top"/>
            <w:tcMar>
              <w:top w:w="60" w:type="dxa"/>
              <w:start w:w="70" w:type="dxa"/>
              <w:bottom w:w="60" w:type="dxa"/>
              <w:end w:w="7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52" w:lineRule="auto"/>
            </w:pPr>
            <w:r>
              <w:rPr>
                <w:rFonts w:ascii="Arial" w:hAnsi="Arial" w:eastAsia="Arial"/>
                <w:b/>
                <w:sz w:val="17"/>
              </w:rPr>
              <w:t>Russo et al. (2026)</w:t>
            </w:r>
          </w:p>
        </w:tc>
        <w:tc>
          <w:tcPr>
            <w:tcW w:type="dxa" w:w="1814"/>
            <w:vAlign w:val="top"/>
            <w:tcMar>
              <w:top w:w="60" w:type="dxa"/>
              <w:start w:w="70" w:type="dxa"/>
              <w:bottom w:w="60" w:type="dxa"/>
              <w:end w:w="7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52" w:lineRule="auto"/>
            </w:pPr>
            <w:r>
              <w:rPr>
                <w:rFonts w:ascii="Arial" w:hAnsi="Arial" w:eastAsia="Arial"/>
                <w:b w:val="0"/>
                <w:sz w:val="17"/>
              </w:rPr>
              <w:t>Explore experiences and preferences of patients waiting for elective cardiac surgery across London NHS hospitals.</w:t>
            </w:r>
          </w:p>
        </w:tc>
        <w:tc>
          <w:tcPr>
            <w:tcW w:type="dxa" w:w="3005"/>
            <w:vAlign w:val="top"/>
            <w:tcMar>
              <w:top w:w="60" w:type="dxa"/>
              <w:start w:w="70" w:type="dxa"/>
              <w:bottom w:w="60" w:type="dxa"/>
              <w:end w:w="7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52" w:lineRule="auto"/>
            </w:pPr>
            <w:r>
              <w:rPr>
                <w:rFonts w:ascii="Arial" w:hAnsi="Arial" w:eastAsia="Arial"/>
                <w:b w:val="0"/>
                <w:sz w:val="17"/>
              </w:rPr>
              <w:t>Mixed-methods cross-sectional survey across four cardiac surgery services; 554 of 1,041 invitees participated and 274 completed the survey.</w:t>
            </w:r>
          </w:p>
        </w:tc>
        <w:tc>
          <w:tcPr>
            <w:tcW w:type="dxa" w:w="3005"/>
            <w:vAlign w:val="top"/>
            <w:tcMar>
              <w:top w:w="60" w:type="dxa"/>
              <w:start w:w="70" w:type="dxa"/>
              <w:bottom w:w="60" w:type="dxa"/>
              <w:end w:w="70" w:type="dxa"/>
            </w:tcMa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tcPr>
          <w:p>
            <w:pPr>
              <w:spacing w:after="0" w:line="252" w:lineRule="auto"/>
            </w:pPr>
            <w:r>
              <w:rPr>
                <w:rFonts w:ascii="Arial" w:hAnsi="Arial" w:eastAsia="Arial"/>
                <w:b w:val="0"/>
                <w:sz w:val="17"/>
              </w:rPr>
              <w:t>Daily and social life were affected and worrying was common. Better communication, regular updates, emotional support and trust in the clinical team were important to patients.</w:t>
            </w:r>
          </w:p>
        </w:tc>
      </w:tr>
    </w:tbl>
    <w:p>
      <w:pPr>
        <w:pStyle w:val="Heading2"/>
        <w:spacing w:before="100" w:after="80" w:line="276" w:lineRule="auto"/>
        <w:keepNext/>
      </w:pPr>
      <w:r>
        <w:rPr>
          <w:rFonts w:ascii="Arial" w:hAnsi="Arial" w:eastAsia="Arial"/>
          <w:b/>
          <w:sz w:val="22"/>
        </w:rPr>
        <w:t>4.1 Theme 1: Physical and Psychological Consequences of Prolonged Waiting</w:t>
      </w:r>
    </w:p>
    <w:p>
      <w:pPr>
        <w:spacing w:line="360" w:lineRule="auto" w:after="120"/>
        <w:ind w:firstLine="397"/>
      </w:pPr>
      <w:r>
        <w:rPr>
          <w:rFonts w:ascii="Arial" w:hAnsi="Arial" w:eastAsia="Arial"/>
          <w:sz w:val="22"/>
        </w:rPr>
        <w:t>The first theme was that waiting could affect health and wellbeing rather than simply delay an appointment. Reichert and Jacobs (2018) found that longer waits for Early Intervention in Psychosis services were associated with poorer health outcomes at 12 months. Chan et al. (2025) provided a similar message from a different clinical setting: orthopaedic patients described continuing pain, reduced mobility, difficulty completing everyday activities and anxiety while waiting. Russo et al. (2026) also found substantial psychological and practical effects among people awaiting cardiac surgery, with worrying reported by most participants. Rivas (2025) added that people with chronic conditions or disabilities could remain in worsening health for months or years when new care, diagnostic appointments or existing care plans were delayed. The studies therefore differed in method and clinical focus, but converged on the view that prolonged waiting can have consequences during the waiting period itself.</w:t>
      </w:r>
    </w:p>
    <w:p>
      <w:pPr>
        <w:pStyle w:val="Heading2"/>
        <w:spacing w:before="100" w:after="80" w:line="276" w:lineRule="auto"/>
        <w:keepNext/>
      </w:pPr>
      <w:r>
        <w:rPr>
          <w:rFonts w:ascii="Arial" w:hAnsi="Arial" w:eastAsia="Arial"/>
          <w:b/>
          <w:sz w:val="22"/>
        </w:rPr>
        <w:t>4.2 Theme 2: Inequality, Access and Engagement with NHS Care</w:t>
      </w:r>
    </w:p>
    <w:p>
      <w:pPr>
        <w:spacing w:line="360" w:lineRule="auto" w:after="120"/>
        <w:ind w:firstLine="397"/>
      </w:pPr>
      <w:r>
        <w:rPr>
          <w:rFonts w:ascii="Arial" w:hAnsi="Arial" w:eastAsia="Arial"/>
          <w:sz w:val="22"/>
        </w:rPr>
        <w:t>The second theme concerned unequal burden and continued engagement with services. Rivas (2025) showed that disability and the structure of referral pathways shaped experiences of backlog, while Chan et al. (2025) deliberately focused on patients living in more deprived areas and found that loss of mobility and independence affected everyday life. This indicates that identical waiting periods do not necessarily create identical consequences. Edwards Suarez, Lappas and Christodoulou (2023) identified a further service issue: longer waiting was associated with non-attendance at initial consultation-liaison psychiatry appointments. Waiting may therefore be both a result of access problems and a factor that makes future engagement more difficult. This has implications for service efficiency because missed appointments can waste scarce clinical capacity and extend the pathway further.</w:t>
      </w:r>
    </w:p>
    <w:p>
      <w:pPr>
        <w:pStyle w:val="Heading2"/>
        <w:spacing w:before="100" w:after="80" w:line="276" w:lineRule="auto"/>
        <w:keepNext/>
      </w:pPr>
      <w:r>
        <w:rPr>
          <w:rFonts w:ascii="Arial" w:hAnsi="Arial" w:eastAsia="Arial"/>
          <w:b/>
          <w:sz w:val="22"/>
        </w:rPr>
        <w:t>4.3 Theme 3: Supporting Patients and Improving Care While They Wait</w:t>
      </w:r>
    </w:p>
    <w:p>
      <w:pPr>
        <w:spacing w:line="360" w:lineRule="auto" w:after="120"/>
        <w:ind w:firstLine="397"/>
      </w:pPr>
      <w:r>
        <w:rPr>
          <w:rFonts w:ascii="Arial" w:hAnsi="Arial" w:eastAsia="Arial"/>
          <w:sz w:val="22"/>
        </w:rPr>
        <w:t>The third theme concerned what services can do when immediate treatment is not possible. Chan et al. (2025) found that patients wanted medical, practical, informational and emotional support during long orthopaedic waits. Russo et al. (2026) similarly found that communication with the clinical team, regular updates on waiting-list progress and acknowledgement of distress were important to patients. These findings support a “waiting well” approach, where the period before treatment is treated as part of care rather than as an inactive interval. However, support should not be presented as a substitute for timely treatment. Reichert and Jacobs (2018) indicate that the duration of waiting itself can matter for outcomes, while Edwards Suarez, Lappas and Christodoulou (2023) suggest that longer waits can affect engagement. The findings therefore point to two linked priorities: reduce avoidable delays and support patients during delays that cannot immediately be removed.</w:t>
      </w:r>
    </w:p>
    <w:p>
      <w:pPr>
        <w:pStyle w:val="Heading1"/>
        <w:spacing w:before="160" w:after="80" w:line="276" w:lineRule="auto"/>
        <w:keepNext/>
      </w:pPr>
      <w:r>
        <w:rPr>
          <w:rFonts w:ascii="Arial" w:hAnsi="Arial" w:eastAsia="Arial"/>
          <w:b/>
          <w:sz w:val="24"/>
        </w:rPr>
        <w:t>5. Discussion</w:t>
      </w:r>
    </w:p>
    <w:p>
      <w:pPr>
        <w:spacing w:line="360" w:lineRule="auto" w:after="120"/>
        <w:ind w:firstLine="397"/>
      </w:pPr>
      <w:r>
        <w:rPr>
          <w:rFonts w:ascii="Arial" w:hAnsi="Arial" w:eastAsia="Arial"/>
          <w:sz w:val="22"/>
        </w:rPr>
        <w:t>This scoping review identified three connected issues: prolonged waiting can affect health and wellbeing; the burden of waiting is unequal and may affect engagement; and patients need better support while they wait. These findings answer the review question by showing that NHS waiting is not only a capacity problem. It is also a patient-safety, experience and access issue that operates differently across clinical pathways.</w:t>
      </w:r>
    </w:p>
    <w:p>
      <w:pPr>
        <w:pStyle w:val="Heading2"/>
        <w:spacing w:before="100" w:after="80" w:line="276" w:lineRule="auto"/>
        <w:keepNext/>
      </w:pPr>
      <w:r>
        <w:rPr>
          <w:rFonts w:ascii="Arial" w:hAnsi="Arial" w:eastAsia="Arial"/>
          <w:b/>
          <w:sz w:val="22"/>
        </w:rPr>
        <w:t>5.1 Impact of Waiting on Patient Health and Wellbeing</w:t>
      </w:r>
    </w:p>
    <w:p>
      <w:pPr>
        <w:spacing w:line="360" w:lineRule="auto" w:after="120"/>
        <w:ind w:firstLine="397"/>
      </w:pPr>
      <w:r>
        <w:rPr>
          <w:rFonts w:ascii="Arial" w:hAnsi="Arial" w:eastAsia="Arial"/>
          <w:sz w:val="22"/>
        </w:rPr>
        <w:t>The strongest pattern was the association between prolonged waiting and poorer physical or psychological experience. Reichert and Jacobs (2018) provide quantitative evidence that longer mental-health waits can be associated with poorer outcomes, while Chan et al. (2025) and Russo et al. (2026) explain how delay is experienced through pain, reduced activity, uncertainty and distress. The agreement across different methodologies strengthens the interpretation, although it does not mean that the size of the effect is the same across conditions. Gagliardi et al. (2021) reached a similar conclusion in a wider scoping review, reporting anxiety, depression and poorer quality of life among wait-listed patients and caregivers. In cardiac care, Yates et al. (2022) also documented substantial treatment delays across seven UK surgical centres. For time-sensitive disease, the risks may be more severe: modelling by Maringe et al. (2020) and Sud et al. (2020) linked delays in cancer diagnosis and referral with avoidable losses in survival. These cancer findings should not be generalised to every elective condition, but they demonstrate why waiting time has different clinical meaning depending on urgency.</w:t>
      </w:r>
    </w:p>
    <w:p>
      <w:pPr>
        <w:pStyle w:val="Heading2"/>
        <w:spacing w:before="100" w:after="80" w:line="276" w:lineRule="auto"/>
        <w:keepNext/>
      </w:pPr>
      <w:r>
        <w:rPr>
          <w:rFonts w:ascii="Arial" w:hAnsi="Arial" w:eastAsia="Arial"/>
          <w:b/>
          <w:sz w:val="22"/>
        </w:rPr>
        <w:t>5.2 Inequality, Access and Engagement</w:t>
      </w:r>
    </w:p>
    <w:p>
      <w:pPr>
        <w:spacing w:line="360" w:lineRule="auto" w:after="120"/>
        <w:ind w:firstLine="397"/>
      </w:pPr>
      <w:r>
        <w:rPr>
          <w:rFonts w:ascii="Arial" w:hAnsi="Arial" w:eastAsia="Arial"/>
          <w:sz w:val="22"/>
        </w:rPr>
        <w:t>The review also shows that waiting time should be interpreted alongside social and clinical vulnerability. Rivas (2025) found that disability and referral structures influenced how backlogs were experienced, while Chan et al. (2025) highlighted problems among patients in deprived communities. This is consistent with national concern about unequal access: NHS England’s health inequalities framework now includes differences in 18-week and 52-week waits and in non-attendance rates as measures that should be monitored (NHS England, 2025a). Edwards Suarez, Lappas and Christodoulou (2023) are especially relevant because they found longer waits associated with initial appointment non-attendance. The relationship is observational and other socioeconomic and service factors also mattered, so waiting cannot be treated as the sole cause. Nevertheless, it suggests a possible feedback loop in which delayed access weakens engagement, missed care creates further delay, and already pressured services lose usable capacity.</w:t>
      </w:r>
    </w:p>
    <w:p>
      <w:pPr>
        <w:pStyle w:val="Heading2"/>
        <w:spacing w:before="100" w:after="80" w:line="276" w:lineRule="auto"/>
        <w:keepNext/>
      </w:pPr>
      <w:r>
        <w:rPr>
          <w:rFonts w:ascii="Arial" w:hAnsi="Arial" w:eastAsia="Arial"/>
          <w:b/>
          <w:sz w:val="22"/>
        </w:rPr>
        <w:t>5.3 Reducing Waiting and Supporting Patients During Delays</w:t>
      </w:r>
    </w:p>
    <w:p>
      <w:pPr>
        <w:spacing w:line="360" w:lineRule="auto" w:after="120"/>
        <w:ind w:firstLine="397"/>
      </w:pPr>
      <w:r>
        <w:rPr>
          <w:rFonts w:ascii="Arial" w:hAnsi="Arial" w:eastAsia="Arial"/>
          <w:sz w:val="22"/>
        </w:rPr>
        <w:t>The wider literature suggests that recovery requires changes across whole pathways. Catsis et al. (2023) found that cardiovascular backlogs were shaped by referral bottlenecks and that adding capacity at one point could worsen pressure elsewhere. Howlett and Wood (2022) and Nehme, Puchkova and Parlikad (2022) similarly modelled the importance of sustained capacity and patient-flow decisions in elective recovery. Current NHS policy reflects this system approach. The elective reform plan promotes surgical hubs, community diagnostic centres, Advice and Guidance, digital tools, remote monitoring and better information for people waiting (NHS England, 2025b). National data show improvement, with 65.3% of elective pathways within 18 weeks in March 2026, but this remains well below the 92% constitutional standard and there is substantial variation between areas (NHS England, 2026a; The Health Foundation, 2026).</w:t>
      </w:r>
    </w:p>
    <w:p>
      <w:pPr>
        <w:spacing w:line="360" w:lineRule="auto" w:after="120"/>
        <w:ind w:firstLine="397"/>
      </w:pPr>
      <w:r>
        <w:rPr>
          <w:rFonts w:ascii="Arial" w:hAnsi="Arial" w:eastAsia="Arial"/>
          <w:sz w:val="22"/>
        </w:rPr>
        <w:t>The patient-level findings suggest that service recovery should not be judged only by the total number on the list. Chan et al. (2025) and Russo et al. (2026) show that communication, information, emotional support and monitoring can change how people experience unavoidable waits. This aligns with Gagliardi et al. (2021), whose review found that patients valued acknowledgement of concerns, peer support and periodic information about wait-list position and expected treatment. Such measures are relatively different from adding operating capacity, but both types of response are necessary: increasing throughput addresses the source of delay, while supportive waiting-list management reduces avoidable harm and uncertainty before treatment occurs.</w:t>
      </w:r>
    </w:p>
    <w:p>
      <w:pPr>
        <w:pStyle w:val="Heading2"/>
        <w:spacing w:before="100" w:after="80" w:line="276" w:lineRule="auto"/>
        <w:keepNext/>
      </w:pPr>
      <w:r>
        <w:rPr>
          <w:rFonts w:ascii="Arial" w:hAnsi="Arial" w:eastAsia="Arial"/>
          <w:b/>
          <w:sz w:val="22"/>
        </w:rPr>
        <w:t>5.4 Strengths and Limitations</w:t>
      </w:r>
    </w:p>
    <w:p>
      <w:pPr>
        <w:spacing w:line="360" w:lineRule="auto" w:after="120"/>
        <w:ind w:firstLine="397"/>
      </w:pPr>
      <w:r>
        <w:rPr>
          <w:rFonts w:ascii="Arial" w:hAnsi="Arial" w:eastAsia="Arial"/>
          <w:sz w:val="22"/>
        </w:rPr>
        <w:t>A strength of this review is that it combines different study designs and clinical settings. Quantitative studies contributed evidence on outcomes and attendance, while qualitative and mixed-methods studies explained patients’ lived experiences and preferences. The convergence of findings across mental health, orthopaedics and cardiac care increases confidence that waiting has consequences beyond a single speciality. The review also linked research findings with current NHS policy and performance data.</w:t>
      </w:r>
    </w:p>
    <w:p>
      <w:pPr>
        <w:spacing w:line="360" w:lineRule="auto" w:after="120"/>
        <w:ind w:firstLine="397"/>
      </w:pPr>
      <w:r>
        <w:rPr>
          <w:rFonts w:ascii="Arial" w:hAnsi="Arial" w:eastAsia="Arial"/>
          <w:sz w:val="22"/>
        </w:rPr>
        <w:t>However, the evidence base is limited. Several selected studies were conducted in specific services or London settings, which reduces transferability across the whole NHS. Chan et al. (2025) used a very small interview sample, while Russo et al. (2026) used an online convenience sample that may under-represent some digitally excluded patients. Observational associations, such as those reported by Reichert and Jacobs (2018) and Edwards Suarez, Lappas and Christodoulou (2023), cannot prove that waiting alone caused the outcomes observed. The review itself also used only PubMed and Google Scholar, and the Google Scholar screening was limited to the first 100 relevance-ranked results. Relevant evidence indexed elsewhere may therefore have been missed. For this reason, the findings should be interpreted as a map of important patterns rather than a complete estimate of the effect of NHS waiting time.</w:t>
      </w:r>
    </w:p>
    <w:p>
      <w:pPr>
        <w:pStyle w:val="Heading1"/>
        <w:spacing w:before="160" w:after="80" w:line="276" w:lineRule="auto"/>
        <w:keepNext/>
      </w:pPr>
      <w:r>
        <w:rPr>
          <w:rFonts w:ascii="Arial" w:hAnsi="Arial" w:eastAsia="Arial"/>
          <w:b/>
          <w:sz w:val="24"/>
        </w:rPr>
        <w:t>6. Recommendations and Conclusion</w:t>
      </w:r>
    </w:p>
    <w:p>
      <w:pPr>
        <w:pStyle w:val="Heading2"/>
        <w:spacing w:before="100" w:after="80" w:line="276" w:lineRule="auto"/>
        <w:keepNext/>
      </w:pPr>
      <w:r>
        <w:rPr>
          <w:rFonts w:ascii="Arial" w:hAnsi="Arial" w:eastAsia="Arial"/>
          <w:b/>
          <w:sz w:val="22"/>
        </w:rPr>
        <w:t>6.1 Recommendations for Practice and Services</w:t>
      </w:r>
    </w:p>
    <w:p>
      <w:pPr>
        <w:spacing w:line="360" w:lineRule="auto" w:after="120"/>
        <w:ind w:firstLine="397"/>
      </w:pPr>
      <w:r>
        <w:rPr>
          <w:rFonts w:ascii="Arial" w:hAnsi="Arial" w:eastAsia="Arial"/>
          <w:sz w:val="22"/>
        </w:rPr>
        <w:t>NHS services should continue to reduce avoidable delays, but waiting-list management should also identify patients at risk of deterioration. Services could use regular clinical review, clearer contact routes and proactive updates where waits are prolonged. Communication should include realistic information about expected timing, what symptoms should prompt earlier review, and what support is available. This is consistent with the patient priorities identified by Chan et al. (2025) and Russo et al. (2026) and with the NHS elective reform emphasis on better information and digital access (NHS England, 2025b).</w:t>
      </w:r>
    </w:p>
    <w:p>
      <w:pPr>
        <w:pStyle w:val="Heading2"/>
        <w:spacing w:before="100" w:after="80" w:line="276" w:lineRule="auto"/>
        <w:keepNext/>
      </w:pPr>
      <w:r>
        <w:rPr>
          <w:rFonts w:ascii="Arial" w:hAnsi="Arial" w:eastAsia="Arial"/>
          <w:b/>
          <w:sz w:val="22"/>
        </w:rPr>
        <w:t>6.2 Recommendations for Policy</w:t>
      </w:r>
    </w:p>
    <w:p>
      <w:pPr>
        <w:spacing w:line="360" w:lineRule="auto" w:after="120"/>
        <w:ind w:firstLine="397"/>
      </w:pPr>
      <w:r>
        <w:rPr>
          <w:rFonts w:ascii="Arial" w:hAnsi="Arial" w:eastAsia="Arial"/>
          <w:sz w:val="22"/>
        </w:rPr>
        <w:t>Policy should measure recovery using more than total waiting-list size. National and local monitoring should continue to examine the proportion waiting beyond 18 and 52 weeks, variation between areas and inequalities between patient groups. Improvement plans should consider the whole pathway because isolated increases in one service can shift bottlenecks elsewhere (Catsis et al., 2023). Capacity, workforce, referral processes and diagnostics should therefore be planned together.</w:t>
      </w:r>
    </w:p>
    <w:p>
      <w:pPr>
        <w:pStyle w:val="Heading2"/>
        <w:spacing w:before="100" w:after="80" w:line="276" w:lineRule="auto"/>
        <w:keepNext/>
      </w:pPr>
      <w:r>
        <w:rPr>
          <w:rFonts w:ascii="Arial" w:hAnsi="Arial" w:eastAsia="Arial"/>
          <w:b/>
          <w:sz w:val="22"/>
        </w:rPr>
        <w:t>6.3 Recommendations for Patients and Families</w:t>
      </w:r>
    </w:p>
    <w:p>
      <w:pPr>
        <w:spacing w:line="360" w:lineRule="auto" w:after="120"/>
        <w:ind w:firstLine="397"/>
      </w:pPr>
      <w:r>
        <w:rPr>
          <w:rFonts w:ascii="Arial" w:hAnsi="Arial" w:eastAsia="Arial"/>
          <w:sz w:val="22"/>
        </w:rPr>
        <w:t>Patients and families should be given clear information on who to contact if symptoms worsen, how to update the service when circumstances change, and what choices may exist if maximum waiting times cannot be met. The NHS Constitution already provides rights relating to maximum waiting times and alternative providers in some circumstances (Department of Health and Social Care, 2023; Department of Health and Social Care, n.d.). Making these rights understandable and accessible may reduce uncertainty and support informed participation in care.</w:t>
      </w:r>
    </w:p>
    <w:p>
      <w:pPr>
        <w:pStyle w:val="Heading2"/>
        <w:spacing w:before="100" w:after="80" w:line="276" w:lineRule="auto"/>
        <w:keepNext/>
      </w:pPr>
      <w:r>
        <w:rPr>
          <w:rFonts w:ascii="Arial" w:hAnsi="Arial" w:eastAsia="Arial"/>
          <w:b/>
          <w:sz w:val="22"/>
        </w:rPr>
        <w:t>6.4 Recommendations for Future Research</w:t>
      </w:r>
    </w:p>
    <w:p>
      <w:pPr>
        <w:spacing w:line="360" w:lineRule="auto" w:after="120"/>
        <w:ind w:firstLine="397"/>
      </w:pPr>
      <w:r>
        <w:rPr>
          <w:rFonts w:ascii="Arial" w:hAnsi="Arial" w:eastAsia="Arial"/>
          <w:sz w:val="22"/>
        </w:rPr>
        <w:t>Future research should move beyond describing waiting and evaluate whether specific interventions improve outcomes. Multi-site studies are needed on waiting-well programmes, proactive clinical monitoring, communication interventions, remote follow-up and alternative referral models. Research should also examine whether these interventions work equally well across socioeconomic, ethnic, disability and age groups. Larger studies linking waiting-list data with patient-reported outcomes would help establish which patients are most at risk from prolonged waits.</w:t>
      </w:r>
    </w:p>
    <w:p>
      <w:pPr>
        <w:pStyle w:val="Heading2"/>
        <w:spacing w:before="100" w:after="80" w:line="276" w:lineRule="auto"/>
        <w:keepNext/>
      </w:pPr>
      <w:r>
        <w:rPr>
          <w:rFonts w:ascii="Arial" w:hAnsi="Arial" w:eastAsia="Arial"/>
          <w:b/>
          <w:sz w:val="22"/>
        </w:rPr>
        <w:t>6.5 Conclusion</w:t>
      </w:r>
    </w:p>
    <w:p>
      <w:pPr>
        <w:spacing w:line="360" w:lineRule="auto" w:after="120"/>
        <w:ind w:firstLine="397"/>
      </w:pPr>
      <w:r>
        <w:rPr>
          <w:rFonts w:ascii="Arial" w:hAnsi="Arial" w:eastAsia="Arial"/>
          <w:sz w:val="22"/>
        </w:rPr>
        <w:t>In conclusion, this scoping review shows that prolonged NHS waiting can affect patient outcomes, psychological wellbeing, daily functioning and engagement with care. The burden is not distributed equally, and patients with disability, deprivation or complex needs may find long waits particularly difficult. Recent NHS data show improvement in elective performance, but the 18-week constitutional standard has not yet been restored. Reducing waiting therefore remains essential. At the same time, the evidence indicates that patients should not be left unsupported while they wait. A stronger approach combines pathway-level action to reduce delays with clear communication, monitoring and patient-centred support throughout the waiting period.</w:t>
      </w:r>
    </w:p>
    <w:p>
      <w:r>
        <w:rPr>
          <w:rFonts w:ascii="Arial" w:hAnsi="Arial" w:eastAsia="Arial"/>
          <w:sz w:val="22"/>
        </w:rPr>
        <w:br w:type="page"/>
      </w:r>
    </w:p>
    <w:p>
      <w:pPr>
        <w:pStyle w:val="Heading1"/>
        <w:spacing w:before="160" w:after="80" w:line="276" w:lineRule="auto"/>
        <w:keepNext/>
      </w:pPr>
      <w:r>
        <w:rPr>
          <w:rFonts w:ascii="Arial" w:hAnsi="Arial" w:eastAsia="Arial"/>
          <w:b/>
          <w:sz w:val="24"/>
        </w:rPr>
        <w:t>References</w:t>
      </w:r>
    </w:p>
    <w:p>
      <w:pPr>
        <w:spacing w:line="276" w:lineRule="auto" w:after="100"/>
        <w:ind w:hanging="397" w:left="397"/>
      </w:pPr>
      <w:r>
        <w:rPr>
          <w:rFonts w:ascii="Arial" w:hAnsi="Arial" w:eastAsia="Arial"/>
          <w:sz w:val="20"/>
        </w:rPr>
        <w:t>Arksey, H. and O’Malley, L. (2005) ‘Scoping studies: towards a methodological framework’, International Journal of Social Research Methodology, 8(1), pp. 19–32. doi: 10.1080/1364557032000119616.</w:t>
      </w:r>
    </w:p>
    <w:p>
      <w:pPr>
        <w:spacing w:line="276" w:lineRule="auto" w:after="100"/>
        <w:ind w:hanging="397" w:left="397"/>
      </w:pPr>
      <w:r>
        <w:rPr>
          <w:rFonts w:ascii="Arial" w:hAnsi="Arial" w:eastAsia="Arial"/>
          <w:sz w:val="20"/>
        </w:rPr>
        <w:t>Braun, V. and Clarke, V. (2006) ‘Using thematic analysis in psychology’, Qualitative Research in Psychology, 3(2), pp. 77–101. doi: 10.1191/1478088706qp063oa.</w:t>
      </w:r>
    </w:p>
    <w:p>
      <w:pPr>
        <w:spacing w:line="276" w:lineRule="auto" w:after="100"/>
        <w:ind w:hanging="397" w:left="397"/>
      </w:pPr>
      <w:r>
        <w:rPr>
          <w:rFonts w:ascii="Arial" w:hAnsi="Arial" w:eastAsia="Arial"/>
          <w:sz w:val="20"/>
        </w:rPr>
        <w:t>Catsis, S., Champneys, A.R., Hoyle, R., Currie, C., Enright, J., Cheema, K., Woodall, M., Angelini, G., Nadarajah, R., Gale, C. and Gibbison, B. (2023) ‘Process modelling of NHS cardiovascular waiting lists in response to the COVID-19 pandemic’, BMJ Open, 13(7), e065622. doi: 10.1136/bmjopen-2022-065622.</w:t>
      </w:r>
    </w:p>
    <w:p>
      <w:pPr>
        <w:spacing w:line="276" w:lineRule="auto" w:after="100"/>
        <w:ind w:hanging="397" w:left="397"/>
      </w:pPr>
      <w:r>
        <w:rPr>
          <w:rFonts w:ascii="Arial" w:hAnsi="Arial" w:eastAsia="Arial"/>
          <w:sz w:val="20"/>
        </w:rPr>
        <w:t>Chan, J., Poon, S., Lawrence-Jones, A., O’Driscoll, F., Waugh, C., Awojobi-Johnson, A., Shepherd, L. and Grailey, K. (2025) ‘Patient experiences of waiting for orthopaedic care and priorities for “waiting well”: a qualitative study in a London NHS trust’, Archives of Public Health, 83, 95. doi: 10.1186/s13690-025-01578-4.</w:t>
      </w:r>
    </w:p>
    <w:p>
      <w:pPr>
        <w:spacing w:line="276" w:lineRule="auto" w:after="100"/>
        <w:ind w:hanging="397" w:left="397"/>
      </w:pPr>
      <w:r>
        <w:rPr>
          <w:rFonts w:ascii="Arial" w:hAnsi="Arial" w:eastAsia="Arial"/>
          <w:sz w:val="20"/>
        </w:rPr>
        <w:t>Critical Appraisal Skills Programme (2024) CASP checklists. Available at: https://casp-uk.net/casp-tools-checklists/ (Accessed: 12 August 2026).</w:t>
      </w:r>
    </w:p>
    <w:p>
      <w:pPr>
        <w:spacing w:line="276" w:lineRule="auto" w:after="100"/>
        <w:ind w:hanging="397" w:left="397"/>
      </w:pPr>
      <w:r>
        <w:rPr>
          <w:rFonts w:ascii="Arial" w:hAnsi="Arial" w:eastAsia="Arial"/>
          <w:sz w:val="20"/>
        </w:rPr>
        <w:t>Department of Health and Social Care (2023) The NHS Constitution for England. Available at: https://www.gov.uk/government/publications/the-nhs-constitution-for-england (Accessed: 12 August 2026).</w:t>
      </w:r>
    </w:p>
    <w:p>
      <w:pPr>
        <w:spacing w:line="276" w:lineRule="auto" w:after="100"/>
        <w:ind w:hanging="397" w:left="397"/>
      </w:pPr>
      <w:r>
        <w:rPr>
          <w:rFonts w:ascii="Arial" w:hAnsi="Arial" w:eastAsia="Arial"/>
          <w:sz w:val="20"/>
        </w:rPr>
        <w:t>Department of Health and Social Care (n.d.) Handbook to the NHS Constitution for England. Available at: https://www.gov.uk/government/publications/supplements-to-the-nhs-constitution-for-england (Accessed: 12 August 2026).</w:t>
      </w:r>
    </w:p>
    <w:p>
      <w:pPr>
        <w:spacing w:line="276" w:lineRule="auto" w:after="100"/>
        <w:ind w:hanging="397" w:left="397"/>
      </w:pPr>
      <w:r>
        <w:rPr>
          <w:rFonts w:ascii="Arial" w:hAnsi="Arial" w:eastAsia="Arial"/>
          <w:sz w:val="20"/>
        </w:rPr>
        <w:t>Edwards Suarez, L., Lappas, A.S. and Christodoulou, N.G. (2023) ‘Factors associated with non-attendance to outpatient consultation-liaison psychiatry appointments: a retrospective cohort study’, Psychiatria Danubina, 35(4), pp. 535–543. doi: 10.24869/psyd.2023.535.</w:t>
      </w:r>
    </w:p>
    <w:p>
      <w:pPr>
        <w:spacing w:line="276" w:lineRule="auto" w:after="100"/>
        <w:ind w:hanging="397" w:left="397"/>
      </w:pPr>
      <w:r>
        <w:rPr>
          <w:rFonts w:ascii="Arial" w:hAnsi="Arial" w:eastAsia="Arial"/>
          <w:sz w:val="20"/>
        </w:rPr>
        <w:t>Gagliardi, A.R., Yip, C.Y.Y., Irish, J., Wright, F.C., Rubin, B., Ross, H., Green, R., Abbey, S., McAndrews, M.P. and Stewart, D.E. (2021) ‘The psychological burden of waiting for procedures and patient-centred strategies that could support the mental health of wait-listed patients and caregivers during the COVID-19 pandemic: a scoping review’, Health Expectations, 24(3), pp. 978–990. doi: 10.1111/hex.13241.</w:t>
      </w:r>
    </w:p>
    <w:p>
      <w:pPr>
        <w:spacing w:line="276" w:lineRule="auto" w:after="100"/>
        <w:ind w:hanging="397" w:left="397"/>
      </w:pPr>
      <w:r>
        <w:rPr>
          <w:rFonts w:ascii="Arial" w:hAnsi="Arial" w:eastAsia="Arial"/>
          <w:sz w:val="20"/>
        </w:rPr>
        <w:t>Howlett, N.C. and Wood, R.M. (2022) ‘Modeling the recovery of elective waiting lists following COVID-19: scenario projections for England’, Value in Health, 25(11), pp. 1805–1813. doi: 10.1016/j.jval.2022.06.016.</w:t>
      </w:r>
    </w:p>
    <w:p>
      <w:pPr>
        <w:spacing w:line="276" w:lineRule="auto" w:after="100"/>
        <w:ind w:hanging="397" w:left="397"/>
      </w:pPr>
      <w:r>
        <w:rPr>
          <w:rFonts w:ascii="Arial" w:hAnsi="Arial" w:eastAsia="Arial"/>
          <w:sz w:val="20"/>
        </w:rPr>
        <w:t>Maguire, M. and Delahunt, B. (2017) ‘Doing a thematic analysis: a practical, step-by-step guide for learning and teaching scholars’, All Ireland Journal of Teaching and Learning in Higher Education, 9(3), 3351–33514.</w:t>
      </w:r>
    </w:p>
    <w:p>
      <w:pPr>
        <w:spacing w:line="276" w:lineRule="auto" w:after="100"/>
        <w:ind w:hanging="397" w:left="397"/>
      </w:pPr>
      <w:r>
        <w:rPr>
          <w:rFonts w:ascii="Arial" w:hAnsi="Arial" w:eastAsia="Arial"/>
          <w:sz w:val="20"/>
        </w:rPr>
        <w:t>Maringe, C., Spicer, J., Morris, M., Purushotham, A., Nolte, E., Sullivan, R., Rachet, B. et al. (2020) ‘The impact of the COVID-19 pandemic on cancer deaths due to delays in diagnosis in England, UK: a national, population-based, modelling study’, The Lancet Oncology, 21(8), pp. 1023–1034. doi: 10.1016/S1470-2045(20)30388-0.</w:t>
      </w:r>
    </w:p>
    <w:p>
      <w:pPr>
        <w:spacing w:line="276" w:lineRule="auto" w:after="100"/>
        <w:ind w:hanging="397" w:left="397"/>
      </w:pPr>
      <w:r>
        <w:rPr>
          <w:rFonts w:ascii="Arial" w:hAnsi="Arial" w:eastAsia="Arial"/>
          <w:sz w:val="20"/>
        </w:rPr>
        <w:t>Nehme, R., Puchkova, A. and Parlikad, A. (2022) ‘A predictive model for the post-pandemic delay in elective treatment’, Operations Research for Health Care, 34, 100357. doi: 10.1016/j.orhc.2022.100357.</w:t>
      </w:r>
    </w:p>
    <w:p>
      <w:pPr>
        <w:spacing w:line="276" w:lineRule="auto" w:after="100"/>
        <w:ind w:hanging="397" w:left="397"/>
      </w:pPr>
      <w:r>
        <w:rPr>
          <w:rFonts w:ascii="Arial" w:hAnsi="Arial" w:eastAsia="Arial"/>
          <w:sz w:val="20"/>
        </w:rPr>
        <w:t>NHS England (2025a) NHS England’s statement on information on health inequalities. Available at: https://www.england.nhs.uk/long-read/nhs-englands-statement-on-information-on-health-inequalities/ (Accessed: 12 August 2026).</w:t>
      </w:r>
    </w:p>
    <w:p>
      <w:pPr>
        <w:spacing w:line="276" w:lineRule="auto" w:after="100"/>
        <w:ind w:hanging="397" w:left="397"/>
      </w:pPr>
      <w:r>
        <w:rPr>
          <w:rFonts w:ascii="Arial" w:hAnsi="Arial" w:eastAsia="Arial"/>
          <w:sz w:val="20"/>
        </w:rPr>
        <w:t>NHS England (2025b) Reforming elective care for patients. Available at: https://www.england.nhs.uk/publication/reforming-elective-care-for-patients/ (Accessed: 12 August 2026).</w:t>
      </w:r>
    </w:p>
    <w:p>
      <w:pPr>
        <w:spacing w:line="276" w:lineRule="auto" w:after="100"/>
        <w:ind w:hanging="397" w:left="397"/>
      </w:pPr>
      <w:r>
        <w:rPr>
          <w:rFonts w:ascii="Arial" w:hAnsi="Arial" w:eastAsia="Arial"/>
          <w:sz w:val="20"/>
        </w:rPr>
        <w:t>NHS England (2026a) Referral to treatment waiting times: March 2026 statistical press notice. Available at: https://www.england.nhs.uk/statistics/statistical-work-areas/rtt-waiting-times/ (Accessed: 12 August 2026).</w:t>
      </w:r>
    </w:p>
    <w:p>
      <w:pPr>
        <w:spacing w:line="276" w:lineRule="auto" w:after="100"/>
        <w:ind w:hanging="397" w:left="397"/>
      </w:pPr>
      <w:r>
        <w:rPr>
          <w:rFonts w:ascii="Arial" w:hAnsi="Arial" w:eastAsia="Arial"/>
          <w:sz w:val="20"/>
        </w:rPr>
        <w:t>Noble, H. and Smith, J. (2014) ‘Qualitative data analysis: a practical example’, Evidence Based Nursing, 17(1), pp. 2–3. doi: 10.1136/eb-2013-101603.</w:t>
      </w:r>
    </w:p>
    <w:p>
      <w:pPr>
        <w:spacing w:line="276" w:lineRule="auto" w:after="100"/>
        <w:ind w:hanging="397" w:left="397"/>
      </w:pPr>
      <w:r>
        <w:rPr>
          <w:rFonts w:ascii="Arial" w:hAnsi="Arial" w:eastAsia="Arial"/>
          <w:sz w:val="20"/>
        </w:rPr>
        <w:t>Pollock, D., Davies, E.L., Peters, M.D.J., Tricco, A.C., Alexander, L., McInerney, P., Godfrey, C.M., Khalil, H. and Munn, Z. (2021) ‘Undertaking a scoping review: a practical guide for nursing and midwifery students, clinicians, researchers, and academics’, Journal of Advanced Nursing, 77(4), pp. 2102–2113. doi: 10.1111/jan.14743.</w:t>
      </w:r>
    </w:p>
    <w:p>
      <w:pPr>
        <w:spacing w:line="276" w:lineRule="auto" w:after="100"/>
        <w:ind w:hanging="397" w:left="397"/>
      </w:pPr>
      <w:r>
        <w:rPr>
          <w:rFonts w:ascii="Arial" w:hAnsi="Arial" w:eastAsia="Arial"/>
          <w:sz w:val="20"/>
        </w:rPr>
        <w:t>Reichert, A. and Jacobs, R. (2018) ‘The impact of waiting time on patient outcomes: evidence from Early Intervention in Psychosis services in England’, Health Economics, 27(11), pp. 1772–1787. doi: 10.1002/hec.3800.</w:t>
      </w:r>
    </w:p>
    <w:p>
      <w:pPr>
        <w:spacing w:line="276" w:lineRule="auto" w:after="100"/>
        <w:ind w:hanging="397" w:left="397"/>
      </w:pPr>
      <w:r>
        <w:rPr>
          <w:rFonts w:ascii="Arial" w:hAnsi="Arial" w:eastAsia="Arial"/>
          <w:sz w:val="20"/>
        </w:rPr>
        <w:t>Rivas, C. (2025) ‘Towards a better understanding of NHS secondary and social care backlogs: qualitative perspectives on waiting lists, deferrals and delays by disabled people from minoritised ethnic groups’, BMJ Open, 15(4), e091182. doi: 10.1136/bmjopen-2024-091182.</w:t>
      </w:r>
    </w:p>
    <w:p>
      <w:pPr>
        <w:spacing w:line="276" w:lineRule="auto" w:after="100"/>
        <w:ind w:hanging="397" w:left="397"/>
      </w:pPr>
      <w:r>
        <w:rPr>
          <w:rFonts w:ascii="Arial" w:hAnsi="Arial" w:eastAsia="Arial"/>
          <w:sz w:val="20"/>
        </w:rPr>
        <w:t>Russo, M., Richards, K.L., Kumar, R., Burridge, J., Chaplin, H., Chua, K.-C., Hardy, D., Avlonitis, V.S., Baig, K., Bhudia, S., Noorani, A., Khan, H. and Petrou, M. (2026) ‘Patient experience and preference while waiting for elective cardiac surgery: a mixed-methods cross-sectional survey across four major National Health Service hospitals in London’, BMJ Open, 16(1), e102185. doi: 10.1136/bmjopen-2025-102185.</w:t>
      </w:r>
    </w:p>
    <w:p>
      <w:pPr>
        <w:spacing w:line="276" w:lineRule="auto" w:after="100"/>
        <w:ind w:hanging="397" w:left="397"/>
      </w:pPr>
      <w:r>
        <w:rPr>
          <w:rFonts w:ascii="Arial" w:hAnsi="Arial" w:eastAsia="Arial"/>
          <w:sz w:val="20"/>
        </w:rPr>
        <w:t>Sud, A., Torr, B., Jones, M.E., Broggio, J., Scott, S., Loveday, C., Garrett, A., Gronthoud, F., Nicol, D.L., Jhanji, S., Boyce, S.A., Williams, M., Riboli, E., Muller, D.C., Kipps, E., Larkin, J., Navani, N., Swanton, C., Lyratzopoulos, G. and Turnbull, C. (2020) ‘Effect of delays in the 2-week-wait cancer referral pathway during the COVID-19 pandemic on cancer survival in the UK: a modelling study’, The Lancet Oncology, 21(8), pp. 1035–1044. doi: 10.1016/S1470-2045(20)30392-2.</w:t>
      </w:r>
    </w:p>
    <w:p>
      <w:pPr>
        <w:spacing w:line="276" w:lineRule="auto" w:after="100"/>
        <w:ind w:hanging="397" w:left="397"/>
      </w:pPr>
      <w:r>
        <w:rPr>
          <w:rFonts w:ascii="Arial" w:hAnsi="Arial" w:eastAsia="Arial"/>
          <w:sz w:val="20"/>
        </w:rPr>
        <w:t>The Health Foundation (2025) The elective care waiting list: insights from linked data. Available at: https://www.health.org.uk/reports-and-analysis/briefings/the-elective-care-waiting-list-insights-from-linked-data (Accessed: 12 August 2026).</w:t>
      </w:r>
    </w:p>
    <w:p>
      <w:pPr>
        <w:spacing w:line="276" w:lineRule="auto" w:after="100"/>
        <w:ind w:hanging="397" w:left="397"/>
      </w:pPr>
      <w:r>
        <w:rPr>
          <w:rFonts w:ascii="Arial" w:hAnsi="Arial" w:eastAsia="Arial"/>
          <w:sz w:val="20"/>
        </w:rPr>
        <w:t>The Health Foundation (2026) Progress – but is it enough? What the latest NHS waiting times mean for elective recovery. Available at: https://www.health.org.uk/reports-and-analysis/analysis/progress-but-is-it-enough-what-the-latest-nhs-waiting-times-mean-for (Accessed: 12 August 2026).</w:t>
      </w:r>
    </w:p>
    <w:p>
      <w:pPr>
        <w:spacing w:line="276" w:lineRule="auto" w:after="100"/>
        <w:ind w:hanging="397" w:left="397"/>
      </w:pPr>
      <w:r>
        <w:rPr>
          <w:rFonts w:ascii="Arial" w:hAnsi="Arial" w:eastAsia="Arial"/>
          <w:sz w:val="20"/>
        </w:rPr>
        <w:t>Tricco, A.C., Lillie, E., Zarin, W., O’Brien, K.K., Colquhoun, H., Levac, D., Moher, D., Peters, M.D.J., Horsley, T., Weeks, L., Hempel, S., Akl, E.A., Chang, C., McGowan, J., Stewart, L., Hartling, L., Aldcroft, A., Wilson, M.G. and Garritty, C. (2018) ‘PRISMA extension for scoping reviews (PRISMA-ScR): checklist and explanation’, Annals of Internal Medicine, 169(7), pp. 467–473. doi: 10.7326/M18-0850.</w:t>
      </w:r>
    </w:p>
    <w:p>
      <w:pPr>
        <w:spacing w:line="276" w:lineRule="auto" w:after="100"/>
        <w:ind w:hanging="397" w:left="397"/>
      </w:pPr>
      <w:r>
        <w:rPr>
          <w:rFonts w:ascii="Arial" w:hAnsi="Arial" w:eastAsia="Arial"/>
          <w:sz w:val="20"/>
        </w:rPr>
        <w:t>Yates, M.T., Balmforth, D., Kirmani, B.H., Acharya, M., Jeganathan, R., Ngaage, D., Kanani, M., Deglurkar, I., Lopez-Marco, A., Sanders, J. and Ye Oo, A. (2022) ‘A multi-centre prospective cohort study of patients on the elective waiting list for cardiac surgery during the COVID-19 pandemic’, Journal of the Royal Society of Medicine, 115(9), pp. 348–353. doi: 10.1177/01410768221089016.</w:t>
      </w:r>
    </w:p>
    <w:sectPr w:rsidR="001D7C03" w:rsidRPr="00CD33A8" w:rsidSect="00E620E7">
      <w:footerReference w:type="default" r:id="rId8"/>
      <w:pgSz w:w="11906" w:h="16838"/>
      <w:pgMar w:top="1304" w:right="1417" w:bottom="130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EC976" w14:textId="77777777" w:rsidR="00DD109A" w:rsidRDefault="00DD109A" w:rsidP="003E4ECF">
      <w:pPr>
        <w:spacing w:after="0" w:line="240" w:lineRule="auto"/>
      </w:pPr>
      <w:r>
        <w:separator/>
      </w:r>
    </w:p>
  </w:endnote>
  <w:endnote w:type="continuationSeparator" w:id="0">
    <w:p w14:paraId="0ECFF8C5" w14:textId="77777777" w:rsidR="00DD109A" w:rsidRDefault="00DD109A"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1E066" w14:textId="77777777" w:rsidR="00DD109A" w:rsidRDefault="00DD109A" w:rsidP="003E4ECF">
      <w:pPr>
        <w:spacing w:after="0" w:line="240" w:lineRule="auto"/>
      </w:pPr>
      <w:r>
        <w:separator/>
      </w:r>
    </w:p>
  </w:footnote>
  <w:footnote w:type="continuationSeparator" w:id="0">
    <w:p w14:paraId="5AE43561" w14:textId="77777777" w:rsidR="00DD109A" w:rsidRDefault="00DD109A"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64EB8"/>
    <w:rsid w:val="00074402"/>
    <w:rsid w:val="001D7C03"/>
    <w:rsid w:val="00216C85"/>
    <w:rsid w:val="0026393A"/>
    <w:rsid w:val="00273EDD"/>
    <w:rsid w:val="002C1776"/>
    <w:rsid w:val="002C3965"/>
    <w:rsid w:val="00321C4C"/>
    <w:rsid w:val="00392BBC"/>
    <w:rsid w:val="003E4ECF"/>
    <w:rsid w:val="004A736E"/>
    <w:rsid w:val="005601CD"/>
    <w:rsid w:val="006925AA"/>
    <w:rsid w:val="00725177"/>
    <w:rsid w:val="00814A9E"/>
    <w:rsid w:val="0090040D"/>
    <w:rsid w:val="009D052C"/>
    <w:rsid w:val="009D1D1E"/>
    <w:rsid w:val="00A035FD"/>
    <w:rsid w:val="00A6563D"/>
    <w:rsid w:val="00B8304B"/>
    <w:rsid w:val="00B87E75"/>
    <w:rsid w:val="00CA2E7E"/>
    <w:rsid w:val="00CD33A8"/>
    <w:rsid w:val="00DD109A"/>
    <w:rsid w:val="00E569FD"/>
    <w:rsid w:val="00E620E7"/>
    <w:rsid w:val="00F66E1B"/>
    <w:rsid w:val="00FB7B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after="120"/>
    </w:pPr>
    <w:rPr>
      <w:rFonts w:ascii="Arial" w:hAnsi="Arial"/>
      <w:sz w:val="22"/>
    </w:rPr>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26"/>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2"/>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 w:val="22"/>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170</Words>
  <Characters>972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Eleni Koutsogeorgou-Andreou</cp:lastModifiedBy>
  <cp:revision>3</cp:revision>
  <dcterms:created xsi:type="dcterms:W3CDTF">2026-08-07T09:16:00Z</dcterms:created>
  <dcterms:modified xsi:type="dcterms:W3CDTF">2026-08-07T09:17:00Z</dcterms:modified>
</cp:coreProperties>
</file>