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2C20DF" w14:textId="77777777" w:rsidR="00BB4AC1" w:rsidRPr="00A32173" w:rsidRDefault="00BB4AC1" w:rsidP="00BB4AC1">
      <w:pPr>
        <w:jc w:val="center"/>
        <w:rPr>
          <w:sz w:val="40"/>
        </w:rPr>
      </w:pPr>
      <w:r w:rsidRPr="00A32173">
        <w:rPr>
          <w:b/>
          <w:color w:val="1F4E79"/>
          <w:sz w:val="72"/>
        </w:rPr>
        <w:t>LCHS7009 – Component 1 (Blogs)</w:t>
      </w:r>
    </w:p>
    <w:p w14:paraId="55DC1B05" w14:textId="1DDC82FB" w:rsidR="00BB4AC1" w:rsidRPr="00A32173" w:rsidRDefault="00BB4AC1" w:rsidP="00BB4AC1">
      <w:pPr>
        <w:spacing w:after="80"/>
        <w:jc w:val="center"/>
        <w:rPr>
          <w:sz w:val="40"/>
        </w:rPr>
      </w:pPr>
      <w:r w:rsidRPr="00A32173">
        <w:rPr>
          <w:b/>
          <w:color w:val="1F4E79"/>
          <w:sz w:val="40"/>
        </w:rPr>
        <w:t>Student name:</w:t>
      </w:r>
      <w:r w:rsidR="00147542" w:rsidRPr="00147542">
        <w:rPr>
          <w:b/>
          <w:color w:val="1F4E79"/>
          <w:sz w:val="40"/>
        </w:rPr>
        <w:t xml:space="preserve"> </w:t>
      </w:r>
      <w:r w:rsidR="00147542">
        <w:rPr>
          <w:b/>
          <w:color w:val="1F4E79"/>
          <w:sz w:val="40"/>
        </w:rPr>
        <w:t xml:space="preserve"> </w:t>
      </w:r>
      <w:r w:rsidR="00147542" w:rsidRPr="00147542">
        <w:rPr>
          <w:bCs/>
          <w:color w:val="000000" w:themeColor="text1"/>
          <w:sz w:val="40"/>
        </w:rPr>
        <w:t>TAHIA HAQUE</w:t>
      </w:r>
    </w:p>
    <w:p w14:paraId="78056FFF" w14:textId="508A4EBD" w:rsidR="00BB4AC1" w:rsidRPr="00500183" w:rsidRDefault="00BB4AC1" w:rsidP="00BB4AC1">
      <w:pPr>
        <w:spacing w:after="80"/>
        <w:jc w:val="center"/>
        <w:rPr>
          <w:b/>
          <w:color w:val="000000" w:themeColor="text1"/>
          <w:sz w:val="40"/>
        </w:rPr>
      </w:pPr>
      <w:r w:rsidRPr="00A32173">
        <w:rPr>
          <w:b/>
          <w:color w:val="1F4E79"/>
          <w:sz w:val="40"/>
        </w:rPr>
        <w:t>Student ID number:</w:t>
      </w:r>
      <w:r w:rsidR="00147542">
        <w:rPr>
          <w:b/>
          <w:color w:val="1F4E79"/>
          <w:sz w:val="40"/>
        </w:rPr>
        <w:t xml:space="preserve"> </w:t>
      </w:r>
      <w:r w:rsidR="00147542" w:rsidRPr="00147542">
        <w:rPr>
          <w:bCs/>
          <w:color w:val="000000" w:themeColor="text1"/>
          <w:sz w:val="40"/>
        </w:rPr>
        <w:t>2513087</w:t>
      </w:r>
    </w:p>
    <w:p w14:paraId="03A67A08" w14:textId="77777777" w:rsidR="00BB4AC1" w:rsidRPr="00A32173" w:rsidRDefault="00BB4AC1" w:rsidP="00BB4AC1">
      <w:pPr>
        <w:spacing w:after="80"/>
        <w:jc w:val="center"/>
        <w:rPr>
          <w:sz w:val="40"/>
        </w:rPr>
      </w:pPr>
      <w:r w:rsidRPr="00A32173">
        <w:rPr>
          <w:b/>
          <w:color w:val="1F4E79"/>
          <w:sz w:val="40"/>
        </w:rPr>
        <w:t xml:space="preserve">Lecturer: </w:t>
      </w:r>
      <w:r w:rsidRPr="00A32173">
        <w:rPr>
          <w:sz w:val="40"/>
        </w:rPr>
        <w:t>Dr Besty Jose</w:t>
      </w:r>
    </w:p>
    <w:p w14:paraId="24A44A11" w14:textId="77777777" w:rsidR="00BB4AC1" w:rsidRPr="00A32173" w:rsidRDefault="00BB4AC1" w:rsidP="00BB4AC1">
      <w:pPr>
        <w:spacing w:after="80"/>
        <w:jc w:val="center"/>
        <w:rPr>
          <w:sz w:val="40"/>
        </w:rPr>
      </w:pPr>
      <w:r w:rsidRPr="00A32173">
        <w:rPr>
          <w:b/>
          <w:color w:val="1F4E79"/>
          <w:sz w:val="40"/>
        </w:rPr>
        <w:t xml:space="preserve">Assessment: </w:t>
      </w:r>
      <w:r w:rsidRPr="00A32173">
        <w:rPr>
          <w:sz w:val="40"/>
        </w:rPr>
        <w:t>Task 1 – Two blog entries</w:t>
      </w:r>
    </w:p>
    <w:p w14:paraId="4DBA3AC1" w14:textId="38CA7B48" w:rsidR="00BB4AC1" w:rsidRPr="00D546EE" w:rsidRDefault="00BB4AC1" w:rsidP="00BB4AC1">
      <w:pPr>
        <w:spacing w:after="80"/>
        <w:jc w:val="center"/>
        <w:rPr>
          <w:bCs/>
          <w:color w:val="000000" w:themeColor="text1"/>
          <w:sz w:val="40"/>
        </w:rPr>
      </w:pPr>
      <w:r w:rsidRPr="00A32173">
        <w:rPr>
          <w:b/>
          <w:color w:val="1F4E79"/>
          <w:sz w:val="40"/>
        </w:rPr>
        <w:t>Submission deadline:</w:t>
      </w:r>
      <w:r w:rsidR="00D546EE">
        <w:rPr>
          <w:b/>
          <w:color w:val="1F4E79"/>
          <w:sz w:val="40"/>
        </w:rPr>
        <w:t xml:space="preserve"> </w:t>
      </w:r>
      <w:r w:rsidR="00D546EE" w:rsidRPr="00D546EE">
        <w:rPr>
          <w:bCs/>
          <w:color w:val="000000" w:themeColor="text1"/>
          <w:sz w:val="40"/>
        </w:rPr>
        <w:t>6/3/26</w:t>
      </w:r>
    </w:p>
    <w:p w14:paraId="3450E57D" w14:textId="77777777" w:rsidR="00BB4AC1" w:rsidRDefault="00BB4AC1" w:rsidP="00BB4AC1">
      <w:pPr>
        <w:sectPr w:rsidR="00BB4AC1" w:rsidSect="00BB4AC1">
          <w:pgSz w:w="12240" w:h="15840"/>
          <w:pgMar w:top="1440" w:right="1800" w:bottom="1440" w:left="1800" w:header="720" w:footer="720" w:gutter="0"/>
          <w:cols w:space="720"/>
          <w:vAlign w:val="center"/>
          <w:docGrid w:linePitch="360"/>
        </w:sectPr>
      </w:pPr>
    </w:p>
    <w:p w14:paraId="4164FC83" w14:textId="77777777" w:rsidR="00ED352D" w:rsidRPr="00D35C8B" w:rsidRDefault="00000000" w:rsidP="00D35C8B">
      <w:pPr>
        <w:jc w:val="center"/>
        <w:rPr>
          <w:sz w:val="28"/>
          <w:szCs w:val="24"/>
        </w:rPr>
      </w:pPr>
      <w:r w:rsidRPr="00D35C8B">
        <w:rPr>
          <w:b/>
          <w:sz w:val="28"/>
          <w:szCs w:val="24"/>
        </w:rPr>
        <w:lastRenderedPageBreak/>
        <w:t>BLOG 1: Existing digital technology for health promotion</w:t>
      </w:r>
    </w:p>
    <w:p w14:paraId="5A37F60B" w14:textId="77777777" w:rsidR="00ED352D" w:rsidRDefault="00000000">
      <w:r>
        <w:rPr>
          <w:b/>
        </w:rPr>
        <w:t>The NHS App for repeat prescriptions: improving access while managing safety and digital inclusion</w:t>
      </w:r>
    </w:p>
    <w:p w14:paraId="2FE6F6A3" w14:textId="77777777" w:rsidR="00ED352D" w:rsidRDefault="00000000">
      <w:r>
        <w:rPr>
          <w:b/>
        </w:rPr>
        <w:t>Why this public health issue matters</w:t>
      </w:r>
    </w:p>
    <w:p w14:paraId="4A90A19B" w14:textId="44C851CA" w:rsidR="00ED352D" w:rsidRDefault="00237689">
      <w:r w:rsidRPr="00237689">
        <w:t>Non-adherence of medications and the inability to obtain repeat prescriptions on time may aggravate the control of chronic diseases and increase unnecessary health services. It has been demonstrated that the estimated non-adherence depends on the method of measurement, with some studies showing an estimated non-adherence as low as 44% when using electronic monitoring and up to more than 70% when using self-report, which demonstrates the magnitude of the issue and the difficulty of measuring it (Foley et al., 2021). Practically, individuals tend to miss medications due to forgetting, barriers to access or complicated schedules and therefore minor enhancements in ordering and notifications can help promote health using self-management</w:t>
      </w:r>
      <w:r>
        <w:t>.</w:t>
      </w:r>
    </w:p>
    <w:p w14:paraId="5A6F7692" w14:textId="77777777" w:rsidR="00D35C8B" w:rsidRDefault="00D35C8B" w:rsidP="00D35C8B">
      <w:pPr>
        <w:keepNext/>
        <w:jc w:val="center"/>
      </w:pPr>
      <w:r>
        <w:rPr>
          <w:noProof/>
        </w:rPr>
        <w:drawing>
          <wp:inline distT="0" distB="0" distL="0" distR="0" wp14:anchorId="5E94A80D" wp14:editId="07FFE3DA">
            <wp:extent cx="4126230" cy="3094673"/>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hia_adherence_range.png"/>
                    <pic:cNvPicPr/>
                  </pic:nvPicPr>
                  <pic:blipFill>
                    <a:blip r:embed="rId6"/>
                    <a:stretch>
                      <a:fillRect/>
                    </a:stretch>
                  </pic:blipFill>
                  <pic:spPr>
                    <a:xfrm>
                      <a:off x="0" y="0"/>
                      <a:ext cx="4128280" cy="3096210"/>
                    </a:xfrm>
                    <a:prstGeom prst="rect">
                      <a:avLst/>
                    </a:prstGeom>
                  </pic:spPr>
                </pic:pic>
              </a:graphicData>
            </a:graphic>
          </wp:inline>
        </w:drawing>
      </w:r>
    </w:p>
    <w:p w14:paraId="01249BF4" w14:textId="7F529D14" w:rsidR="00D35C8B" w:rsidRPr="00D35C8B" w:rsidRDefault="00D35C8B" w:rsidP="00D35C8B">
      <w:pPr>
        <w:jc w:val="center"/>
        <w:rPr>
          <w:i/>
          <w:iCs/>
          <w:sz w:val="22"/>
          <w:szCs w:val="20"/>
        </w:rPr>
      </w:pPr>
      <w:r w:rsidRPr="00D35C8B">
        <w:rPr>
          <w:i/>
          <w:iCs/>
          <w:sz w:val="22"/>
          <w:szCs w:val="20"/>
        </w:rPr>
        <w:t xml:space="preserve">Figure </w:t>
      </w:r>
      <w:r w:rsidRPr="00D35C8B">
        <w:rPr>
          <w:i/>
          <w:iCs/>
          <w:sz w:val="22"/>
          <w:szCs w:val="20"/>
        </w:rPr>
        <w:fldChar w:fldCharType="begin"/>
      </w:r>
      <w:r w:rsidRPr="00D35C8B">
        <w:rPr>
          <w:i/>
          <w:iCs/>
          <w:sz w:val="22"/>
          <w:szCs w:val="20"/>
        </w:rPr>
        <w:instrText xml:space="preserve"> SEQ Figure \* ARABIC </w:instrText>
      </w:r>
      <w:r w:rsidRPr="00D35C8B">
        <w:rPr>
          <w:i/>
          <w:iCs/>
          <w:sz w:val="22"/>
          <w:szCs w:val="20"/>
        </w:rPr>
        <w:fldChar w:fldCharType="separate"/>
      </w:r>
      <w:r w:rsidR="00237689">
        <w:rPr>
          <w:i/>
          <w:iCs/>
          <w:noProof/>
          <w:sz w:val="22"/>
          <w:szCs w:val="20"/>
        </w:rPr>
        <w:t>1</w:t>
      </w:r>
      <w:r w:rsidRPr="00D35C8B">
        <w:rPr>
          <w:i/>
          <w:iCs/>
          <w:sz w:val="22"/>
          <w:szCs w:val="20"/>
        </w:rPr>
        <w:fldChar w:fldCharType="end"/>
      </w:r>
      <w:r w:rsidRPr="00D35C8B">
        <w:rPr>
          <w:i/>
          <w:iCs/>
          <w:sz w:val="22"/>
          <w:szCs w:val="20"/>
        </w:rPr>
        <w:t>: Reported medication non-adherence varies by measurement method (illustrative chart).</w:t>
      </w:r>
    </w:p>
    <w:p w14:paraId="469B99FE" w14:textId="747F9C1B" w:rsidR="00D35C8B" w:rsidRDefault="00D35C8B" w:rsidP="00D35C8B">
      <w:r w:rsidRPr="00D35C8B">
        <w:rPr>
          <w:b/>
          <w:bCs/>
        </w:rPr>
        <w:lastRenderedPageBreak/>
        <w:t>Source:</w:t>
      </w:r>
      <w:r>
        <w:t xml:space="preserve"> Foley et al. (2021) summary of non-adherence ranges by method.</w:t>
      </w:r>
    </w:p>
    <w:p w14:paraId="2994A1B5" w14:textId="77777777" w:rsidR="00ED352D" w:rsidRDefault="00000000">
      <w:r>
        <w:rPr>
          <w:b/>
        </w:rPr>
        <w:t>How the NHS App is used for health promotion</w:t>
      </w:r>
    </w:p>
    <w:p w14:paraId="460C73E5" w14:textId="2370B50B" w:rsidR="00ED352D" w:rsidRDefault="00237689">
      <w:r w:rsidRPr="00237689">
        <w:t xml:space="preserve">The NHS App is a national digital service, which allows numerous patients to order repeated prescriptions, cheque their prescription status, and nominate or switch pharmacy (NHS, 2024; NHS Digital, 2025). This facilitates health promotion through lessening friction to access the routine medicine and strengthen self-management </w:t>
      </w:r>
      <w:proofErr w:type="spellStart"/>
      <w:r w:rsidRPr="00237689">
        <w:t>behaviours</w:t>
      </w:r>
      <w:proofErr w:type="spellEnd"/>
      <w:r w:rsidRPr="00237689">
        <w:t>: checking a medicine list, planning ahead, and requesting repeat when it is convenient and not in the limited opening hours. NHS instructions also indicate the way to go in case of an urgent need and the reason why certain medicines might not be seen which helps the user navigate the system safely</w:t>
      </w:r>
      <w:r>
        <w:t xml:space="preserve"> (NHS, 2024).</w:t>
      </w:r>
    </w:p>
    <w:p w14:paraId="74F809DA" w14:textId="77777777" w:rsidR="00D35C8B" w:rsidRDefault="00D35C8B" w:rsidP="00D35C8B">
      <w:pPr>
        <w:keepNext/>
        <w:jc w:val="center"/>
      </w:pPr>
      <w:r>
        <w:rPr>
          <w:noProof/>
        </w:rPr>
        <w:drawing>
          <wp:inline distT="0" distB="0" distL="0" distR="0" wp14:anchorId="73C1947A" wp14:editId="6469FF55">
            <wp:extent cx="5030298" cy="247585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hs_app_order_repeats.png"/>
                    <pic:cNvPicPr/>
                  </pic:nvPicPr>
                  <pic:blipFill>
                    <a:blip r:embed="rId7"/>
                    <a:stretch>
                      <a:fillRect/>
                    </a:stretch>
                  </pic:blipFill>
                  <pic:spPr>
                    <a:xfrm>
                      <a:off x="0" y="0"/>
                      <a:ext cx="5041866" cy="2481543"/>
                    </a:xfrm>
                    <a:prstGeom prst="rect">
                      <a:avLst/>
                    </a:prstGeom>
                  </pic:spPr>
                </pic:pic>
              </a:graphicData>
            </a:graphic>
          </wp:inline>
        </w:drawing>
      </w:r>
    </w:p>
    <w:p w14:paraId="6A9EE18F" w14:textId="5725B89F" w:rsidR="00D35C8B" w:rsidRPr="00D35C8B" w:rsidRDefault="00D35C8B" w:rsidP="00D35C8B">
      <w:pPr>
        <w:jc w:val="center"/>
        <w:rPr>
          <w:i/>
          <w:iCs/>
          <w:sz w:val="22"/>
          <w:szCs w:val="20"/>
        </w:rPr>
      </w:pPr>
      <w:r w:rsidRPr="00D35C8B">
        <w:rPr>
          <w:i/>
          <w:iCs/>
          <w:sz w:val="22"/>
          <w:szCs w:val="20"/>
        </w:rPr>
        <w:t xml:space="preserve">Figure </w:t>
      </w:r>
      <w:r w:rsidRPr="00D35C8B">
        <w:rPr>
          <w:i/>
          <w:iCs/>
          <w:sz w:val="22"/>
          <w:szCs w:val="20"/>
        </w:rPr>
        <w:fldChar w:fldCharType="begin"/>
      </w:r>
      <w:r w:rsidRPr="00D35C8B">
        <w:rPr>
          <w:i/>
          <w:iCs/>
          <w:sz w:val="22"/>
          <w:szCs w:val="20"/>
        </w:rPr>
        <w:instrText xml:space="preserve"> SEQ Figure \* ARABIC </w:instrText>
      </w:r>
      <w:r w:rsidRPr="00D35C8B">
        <w:rPr>
          <w:i/>
          <w:iCs/>
          <w:sz w:val="22"/>
          <w:szCs w:val="20"/>
        </w:rPr>
        <w:fldChar w:fldCharType="separate"/>
      </w:r>
      <w:r w:rsidR="00237689">
        <w:rPr>
          <w:i/>
          <w:iCs/>
          <w:noProof/>
          <w:sz w:val="22"/>
          <w:szCs w:val="20"/>
        </w:rPr>
        <w:t>2</w:t>
      </w:r>
      <w:r w:rsidRPr="00D35C8B">
        <w:rPr>
          <w:i/>
          <w:iCs/>
          <w:sz w:val="22"/>
          <w:szCs w:val="20"/>
        </w:rPr>
        <w:fldChar w:fldCharType="end"/>
      </w:r>
      <w:r w:rsidRPr="00D35C8B">
        <w:rPr>
          <w:i/>
          <w:iCs/>
          <w:sz w:val="22"/>
          <w:szCs w:val="20"/>
        </w:rPr>
        <w:t>: Promotional image illustrating ordering repeat prescriptions in the NHS App.</w:t>
      </w:r>
    </w:p>
    <w:p w14:paraId="5C77A4BF" w14:textId="56FBC74D" w:rsidR="00D35C8B" w:rsidRPr="00D35C8B" w:rsidRDefault="00D35C8B">
      <w:r w:rsidRPr="00D35C8B">
        <w:rPr>
          <w:b/>
          <w:bCs/>
        </w:rPr>
        <w:t>Source:</w:t>
      </w:r>
      <w:r>
        <w:t xml:space="preserve"> NHS Digital promotional materials for ordering repeat prescriptions in the NHS App (NHS Digital, 2025).</w:t>
      </w:r>
    </w:p>
    <w:p w14:paraId="66C6FB8B" w14:textId="77777777" w:rsidR="00ED352D" w:rsidRDefault="00000000">
      <w:r>
        <w:rPr>
          <w:b/>
        </w:rPr>
        <w:t>Evidence of impact</w:t>
      </w:r>
    </w:p>
    <w:p w14:paraId="7AACFE27" w14:textId="78D7CD60" w:rsidR="00ED352D" w:rsidRDefault="00237689">
      <w:r w:rsidRPr="00237689">
        <w:t xml:space="preserve">Digital prescription functions can also save time, both on the side of the patient and the staff, as at scale, the number of phone calls can be cut down, and it is easier to track what was issued. Other advantages mentioned by NHS Digital include seeing who </w:t>
      </w:r>
      <w:r w:rsidRPr="00237689">
        <w:lastRenderedPageBreak/>
        <w:t>ordered an item, a barcode to pick up it in certain situations, and switching the nominated pharmacy to accommodate the user</w:t>
      </w:r>
      <w:r>
        <w:t xml:space="preserve"> (NHS Digital, 2025).</w:t>
      </w:r>
    </w:p>
    <w:p w14:paraId="599F0545" w14:textId="77777777" w:rsidR="00ED352D" w:rsidRDefault="00000000">
      <w:r>
        <w:rPr>
          <w:b/>
        </w:rPr>
        <w:t>Critical impact: advantages and shortfalls</w:t>
      </w:r>
    </w:p>
    <w:p w14:paraId="4499FF82" w14:textId="53DE498D" w:rsidR="00ED352D" w:rsidRDefault="00237689">
      <w:r w:rsidRPr="00237689">
        <w:t>The benefits are convenience, increased visibility of status and the possibility of facilitating adherence through ease of repeat ordering. The deficiencies are primarily safety and equity. Status labels are erroneously interpreted to mean that medicines are prepared, however dispensing is based on the processes and stock in the pharmacy. Drug lists may also be disorienting when there is a difference in brand name and generic name. Online access also creates privacy concerns in case of sharing the information about login details, particularly when carers assist. Last but not least, there is the issue of the digital inclusion: accessibility requires an appropriate device, data cost, and the trust to use online services, and they are not evenly distributed</w:t>
      </w:r>
      <w:r>
        <w:t xml:space="preserve"> (NHS England, 2023).</w:t>
      </w:r>
    </w:p>
    <w:p w14:paraId="62EBF717" w14:textId="77777777" w:rsidR="00ED352D" w:rsidRDefault="00000000">
      <w:r>
        <w:rPr>
          <w:b/>
        </w:rPr>
        <w:t>How shortfalls can be addressed</w:t>
      </w:r>
    </w:p>
    <w:p w14:paraId="075A7EA6" w14:textId="19D79F1C" w:rsidR="00ED352D" w:rsidRDefault="00237689">
      <w:r w:rsidRPr="00237689">
        <w:t>Real-world solutions such as making in-app words clearer on the fact that approval and dispensing are not the same, more urgent pathways prompts, and easier to understand medicine descriptions can help. Assisted digital support in GP practices and pharmacies, proxy access that is safe and transparent, and retaining non-digital ways can enhance inclusion because the app will enhance access to it and not substitute access to getting it</w:t>
      </w:r>
      <w:r>
        <w:t xml:space="preserve"> (NHS England, 2023).</w:t>
      </w:r>
    </w:p>
    <w:p w14:paraId="301FFC7E" w14:textId="6F0D9C11" w:rsidR="00ED352D" w:rsidRDefault="00D35C8B">
      <w:r>
        <w:br w:type="page"/>
      </w:r>
    </w:p>
    <w:p w14:paraId="5F60A7BA" w14:textId="2B175A4A" w:rsidR="00ED352D" w:rsidRPr="00D35C8B" w:rsidRDefault="00000000">
      <w:pPr>
        <w:rPr>
          <w:sz w:val="28"/>
          <w:szCs w:val="24"/>
        </w:rPr>
      </w:pPr>
      <w:r w:rsidRPr="00D35C8B">
        <w:rPr>
          <w:b/>
          <w:sz w:val="28"/>
          <w:szCs w:val="24"/>
        </w:rPr>
        <w:lastRenderedPageBreak/>
        <w:t>Reference</w:t>
      </w:r>
      <w:r w:rsidR="00D35C8B" w:rsidRPr="00D35C8B">
        <w:rPr>
          <w:b/>
          <w:sz w:val="28"/>
          <w:szCs w:val="24"/>
        </w:rPr>
        <w:t>s</w:t>
      </w:r>
    </w:p>
    <w:p w14:paraId="7805A6D8" w14:textId="77777777" w:rsidR="00D35C8B" w:rsidRPr="00D35C8B" w:rsidRDefault="00D35C8B" w:rsidP="00D35C8B">
      <w:pPr>
        <w:spacing w:line="276" w:lineRule="auto"/>
      </w:pPr>
      <w:r w:rsidRPr="00D35C8B">
        <w:t xml:space="preserve">Foley, L. </w:t>
      </w:r>
      <w:r w:rsidRPr="00D35C8B">
        <w:rPr>
          <w:i/>
          <w:iCs/>
        </w:rPr>
        <w:t>et al.</w:t>
      </w:r>
      <w:r w:rsidRPr="00D35C8B">
        <w:t xml:space="preserve"> (2021) ‘Prevalence and predictors of medication non-adherence among people living with multimorbidity: a systematic review and meta-analysis’, </w:t>
      </w:r>
      <w:r w:rsidRPr="00D35C8B">
        <w:rPr>
          <w:i/>
          <w:iCs/>
        </w:rPr>
        <w:t>BMJ Open</w:t>
      </w:r>
      <w:r w:rsidRPr="00D35C8B">
        <w:t xml:space="preserve">, 11(9), e044987. Available at: </w:t>
      </w:r>
      <w:hyperlink r:id="rId8" w:history="1">
        <w:r w:rsidRPr="00D35C8B">
          <w:rPr>
            <w:rStyle w:val="Hyperlink"/>
          </w:rPr>
          <w:t>https://bmjopen.bmj.com/content/11/9/e044987</w:t>
        </w:r>
      </w:hyperlink>
      <w:r w:rsidRPr="00D35C8B">
        <w:t xml:space="preserve"> (Accessed: 6 March 2026).</w:t>
      </w:r>
    </w:p>
    <w:p w14:paraId="0BDE91B3" w14:textId="77777777" w:rsidR="00D35C8B" w:rsidRPr="00D35C8B" w:rsidRDefault="00D35C8B" w:rsidP="00D35C8B">
      <w:pPr>
        <w:spacing w:line="276" w:lineRule="auto"/>
      </w:pPr>
      <w:r w:rsidRPr="00D35C8B">
        <w:t xml:space="preserve">National Institute for Health and Care Excellence (NICE) (2022) ‘Evidence standards framework (ESF) for digital health technologies: how to meet the </w:t>
      </w:r>
      <w:proofErr w:type="gramStart"/>
      <w:r w:rsidRPr="00D35C8B">
        <w:t>standards’</w:t>
      </w:r>
      <w:proofErr w:type="gramEnd"/>
      <w:r w:rsidRPr="00D35C8B">
        <w:t xml:space="preserve">. Available at: </w:t>
      </w:r>
      <w:hyperlink r:id="rId9" w:history="1">
        <w:r w:rsidRPr="00D35C8B">
          <w:rPr>
            <w:rStyle w:val="Hyperlink"/>
          </w:rPr>
          <w:t>https://www.nice.org.uk/corporate/ecd7/chapter/how-to-meet-the-standards</w:t>
        </w:r>
      </w:hyperlink>
      <w:r w:rsidRPr="00D35C8B">
        <w:t xml:space="preserve"> (Accessed: 4 March 2026).</w:t>
      </w:r>
    </w:p>
    <w:p w14:paraId="748842C9" w14:textId="77777777" w:rsidR="00D35C8B" w:rsidRPr="00D35C8B" w:rsidRDefault="00D35C8B" w:rsidP="00D35C8B">
      <w:pPr>
        <w:spacing w:line="276" w:lineRule="auto"/>
      </w:pPr>
      <w:r w:rsidRPr="00D35C8B">
        <w:t xml:space="preserve">NHS (2024) ‘Request or view prescriptions in the NHS App’. Available at: </w:t>
      </w:r>
      <w:hyperlink r:id="rId10" w:history="1">
        <w:r w:rsidRPr="00D35C8B">
          <w:rPr>
            <w:rStyle w:val="Hyperlink"/>
          </w:rPr>
          <w:t>https://www.nhs.uk/nhs-app/help/prescriptions-in-the-nhs-app/requesting-a-prescription/</w:t>
        </w:r>
      </w:hyperlink>
      <w:r w:rsidRPr="00D35C8B">
        <w:t xml:space="preserve"> (Accessed: 4 March 2026).</w:t>
      </w:r>
    </w:p>
    <w:p w14:paraId="2A771328" w14:textId="77777777" w:rsidR="00D35C8B" w:rsidRPr="00D35C8B" w:rsidRDefault="00D35C8B" w:rsidP="00D35C8B">
      <w:pPr>
        <w:spacing w:line="276" w:lineRule="auto"/>
      </w:pPr>
      <w:r w:rsidRPr="00D35C8B">
        <w:t xml:space="preserve">NHS Digital (2025) ‘Prescriptions in the NHS App’. Available at: </w:t>
      </w:r>
      <w:hyperlink r:id="rId11" w:history="1">
        <w:r w:rsidRPr="00D35C8B">
          <w:rPr>
            <w:rStyle w:val="Hyperlink"/>
          </w:rPr>
          <w:t>https://digital.nhs.uk/services/nhs-app/nhs-app-features/prescriptions-in-the-nhs-app</w:t>
        </w:r>
      </w:hyperlink>
      <w:r w:rsidRPr="00D35C8B">
        <w:t xml:space="preserve"> (Accessed: 4 March 2026).</w:t>
      </w:r>
    </w:p>
    <w:p w14:paraId="35269C01" w14:textId="5BF26058" w:rsidR="005D0FF0" w:rsidRDefault="00D35C8B" w:rsidP="00D35C8B">
      <w:pPr>
        <w:spacing w:line="276" w:lineRule="auto"/>
      </w:pPr>
      <w:r w:rsidRPr="00D35C8B">
        <w:t xml:space="preserve">NHS England (2023) ‘Inclusive digital healthcare: a framework for NHS action on digital inclusion’. Available at: </w:t>
      </w:r>
      <w:hyperlink r:id="rId12" w:history="1">
        <w:r w:rsidRPr="00D35C8B">
          <w:rPr>
            <w:rStyle w:val="Hyperlink"/>
          </w:rPr>
          <w:t>https://www.england.nhs.uk/long-read/inclusive-digital-healthcare-a-framework-for-nhs-action-on-digital-inclusion/</w:t>
        </w:r>
      </w:hyperlink>
      <w:r w:rsidRPr="00D35C8B">
        <w:t xml:space="preserve"> (Accessed: 4 March 2026).</w:t>
      </w:r>
    </w:p>
    <w:p w14:paraId="58B6128C" w14:textId="17A52804" w:rsidR="00D35C8B" w:rsidRPr="00D35C8B" w:rsidRDefault="005D0FF0" w:rsidP="005D0FF0">
      <w:pPr>
        <w:spacing w:line="276" w:lineRule="auto"/>
        <w:jc w:val="left"/>
      </w:pPr>
      <w:r>
        <w:br w:type="page"/>
      </w:r>
    </w:p>
    <w:p w14:paraId="4AF2AFF8" w14:textId="77777777" w:rsidR="005D0FF0" w:rsidRPr="0027391A" w:rsidRDefault="005D0FF0" w:rsidP="005D0FF0">
      <w:pPr>
        <w:jc w:val="center"/>
        <w:rPr>
          <w:sz w:val="28"/>
          <w:szCs w:val="24"/>
        </w:rPr>
      </w:pPr>
      <w:r w:rsidRPr="0027391A">
        <w:rPr>
          <w:b/>
          <w:sz w:val="28"/>
          <w:szCs w:val="24"/>
        </w:rPr>
        <w:lastRenderedPageBreak/>
        <w:t>BLOG 2: Designed digital technology for health promotion</w:t>
      </w:r>
    </w:p>
    <w:p w14:paraId="5B55AAF0" w14:textId="77777777" w:rsidR="005D0FF0" w:rsidRDefault="005D0FF0" w:rsidP="005D0FF0">
      <w:proofErr w:type="spellStart"/>
      <w:r>
        <w:rPr>
          <w:b/>
        </w:rPr>
        <w:t>CareBridge</w:t>
      </w:r>
      <w:proofErr w:type="spellEnd"/>
      <w:r>
        <w:rPr>
          <w:b/>
        </w:rPr>
        <w:t xml:space="preserve"> BP: inclusive blood pressure self-monitoring with telemonitoring, SMS fallback and pharmacy touchpoints</w:t>
      </w:r>
    </w:p>
    <w:p w14:paraId="008B9DF8" w14:textId="77777777" w:rsidR="005D0FF0" w:rsidRDefault="005D0FF0" w:rsidP="005D0FF0">
      <w:r>
        <w:rPr>
          <w:b/>
        </w:rPr>
        <w:t>Why this public health issue matters</w:t>
      </w:r>
    </w:p>
    <w:p w14:paraId="0737F256" w14:textId="77777777" w:rsidR="005D0FF0" w:rsidRDefault="005D0FF0" w:rsidP="005D0FF0">
      <w:r w:rsidRPr="0027391A">
        <w:t xml:space="preserve">Hypertension is a major preventable heart disease and stroke and most individuals are not aware of their condition since they do not have any symptoms. According to the World Health </w:t>
      </w:r>
      <w:proofErr w:type="spellStart"/>
      <w:r w:rsidRPr="0027391A">
        <w:t>Organisation</w:t>
      </w:r>
      <w:proofErr w:type="spellEnd"/>
      <w:r w:rsidRPr="0027391A">
        <w:t xml:space="preserve">, hypertension is a leading cause of untimely deaths in the world and about 1.4 billion individuals have the condition (World Health </w:t>
      </w:r>
      <w:proofErr w:type="spellStart"/>
      <w:r w:rsidRPr="0027391A">
        <w:t>Organisation</w:t>
      </w:r>
      <w:proofErr w:type="spellEnd"/>
      <w:r w:rsidRPr="0027391A">
        <w:t>, 2025). Due to the infrequent nature of clinic cheques, opportunities to be detected and slow medication titration are frequent</w:t>
      </w:r>
      <w:r>
        <w:t>.</w:t>
      </w:r>
    </w:p>
    <w:p w14:paraId="08588C69" w14:textId="77777777" w:rsidR="005D0FF0" w:rsidRDefault="005D0FF0" w:rsidP="005D0FF0">
      <w:r>
        <w:rPr>
          <w:b/>
        </w:rPr>
        <w:t>The designed technology</w:t>
      </w:r>
    </w:p>
    <w:p w14:paraId="480F5BD8" w14:textId="77777777" w:rsidR="005D0FF0" w:rsidRDefault="005D0FF0" w:rsidP="005D0FF0">
      <w:proofErr w:type="spellStart"/>
      <w:r>
        <w:t>CareBridge</w:t>
      </w:r>
      <w:proofErr w:type="spellEnd"/>
      <w:r>
        <w:t xml:space="preserve"> BP is a designed digital health promotion technology that combines a home blood pressure cuff with a smartphone app and an SMS fallback mode. The app guides correct measurement, stores readings, and uses simple rules to highlight trends that need action. A fictitious demonstration page is provided for engagement: </w:t>
      </w:r>
      <w:proofErr w:type="gramStart"/>
      <w:r w:rsidRPr="00B74A2D">
        <w:t>https://carebridgebp.health/demo</w:t>
      </w:r>
      <w:r>
        <w:t xml:space="preserve"> .</w:t>
      </w:r>
      <w:proofErr w:type="gramEnd"/>
      <w:r>
        <w:t xml:space="preserve"> The design is intentionally low-burden: short prompts, weekly summaries, and clear thresholds for when to seek help.</w:t>
      </w:r>
    </w:p>
    <w:p w14:paraId="10433870" w14:textId="77777777" w:rsidR="005D0FF0" w:rsidRDefault="005D0FF0" w:rsidP="005D0FF0">
      <w:r>
        <w:rPr>
          <w:b/>
        </w:rPr>
        <w:t>How it promotes health</w:t>
      </w:r>
    </w:p>
    <w:p w14:paraId="7DD8DD14" w14:textId="77777777" w:rsidR="005D0FF0" w:rsidRDefault="005D0FF0" w:rsidP="005D0FF0">
      <w:proofErr w:type="spellStart"/>
      <w:r w:rsidRPr="00E46C55">
        <w:t>CareBridge</w:t>
      </w:r>
      <w:proofErr w:type="spellEnd"/>
      <w:r w:rsidRPr="00E46C55">
        <w:t xml:space="preserve"> BP is health-promoting, allowing self-monitoring routinely, developing self-efficacy, and altering treatment on time through telemonitoring. The community pharmacy touchpoints offer effective coaching in cuff technique and lifestyle </w:t>
      </w:r>
      <w:proofErr w:type="spellStart"/>
      <w:r w:rsidRPr="00E46C55">
        <w:t>behaviour</w:t>
      </w:r>
      <w:proofErr w:type="spellEnd"/>
      <w:r w:rsidRPr="00E46C55">
        <w:t>, as well as offer a non-digital channel through which individuals who do not use smartphones can approach it. This method goes hand in hand with the principles of inclusion that the digital options must not eliminate the non-digital access channels</w:t>
      </w:r>
      <w:r>
        <w:t xml:space="preserve"> (NHS England, 2023).</w:t>
      </w:r>
    </w:p>
    <w:p w14:paraId="03A6318B" w14:textId="77777777" w:rsidR="005D0FF0" w:rsidRDefault="005D0FF0" w:rsidP="005D0FF0">
      <w:pPr>
        <w:rPr>
          <w:b/>
        </w:rPr>
      </w:pPr>
    </w:p>
    <w:p w14:paraId="19C75CEB" w14:textId="77777777" w:rsidR="005D0FF0" w:rsidRDefault="005D0FF0" w:rsidP="005D0FF0">
      <w:r>
        <w:rPr>
          <w:b/>
        </w:rPr>
        <w:lastRenderedPageBreak/>
        <w:t>Evidence and expected impact</w:t>
      </w:r>
    </w:p>
    <w:p w14:paraId="1044586C" w14:textId="77777777" w:rsidR="005D0FF0" w:rsidRDefault="005D0FF0" w:rsidP="005D0FF0">
      <w:r w:rsidRPr="00E46C55">
        <w:t xml:space="preserve">Good trial evidence goes in this direction. Self-monitoring, especially in the combination with telemonitoring, also demonstrated better blood pressure control than usual care in TASMINH4, demonstrating that structured home-based measurements can be used to perform more responsive medication adjustments (McManus et al., 2018). </w:t>
      </w:r>
      <w:proofErr w:type="spellStart"/>
      <w:r w:rsidRPr="00E46C55">
        <w:t>CareBridge</w:t>
      </w:r>
      <w:proofErr w:type="spellEnd"/>
      <w:r w:rsidRPr="00E46C55">
        <w:t xml:space="preserve"> BP uses the same logic but has an SMS fallback to </w:t>
      </w:r>
      <w:proofErr w:type="spellStart"/>
      <w:r w:rsidRPr="00E46C55">
        <w:t>minimise</w:t>
      </w:r>
      <w:proofErr w:type="spellEnd"/>
      <w:r w:rsidRPr="00E46C55">
        <w:t xml:space="preserve"> the exclusion cases in which data charges or device limitations make the use of apps impractical</w:t>
      </w:r>
      <w:r>
        <w:t>.</w:t>
      </w:r>
    </w:p>
    <w:p w14:paraId="2900F1CA" w14:textId="77777777" w:rsidR="005D0FF0" w:rsidRDefault="005D0FF0" w:rsidP="005D0FF0">
      <w:pPr>
        <w:keepNext/>
        <w:jc w:val="center"/>
      </w:pPr>
      <w:r>
        <w:rPr>
          <w:noProof/>
        </w:rPr>
        <w:drawing>
          <wp:inline distT="0" distB="0" distL="0" distR="0" wp14:anchorId="1A8C462C" wp14:editId="126CB917">
            <wp:extent cx="3845814" cy="4111338"/>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rotkoff_bp.jpg"/>
                    <pic:cNvPicPr/>
                  </pic:nvPicPr>
                  <pic:blipFill>
                    <a:blip r:embed="rId13"/>
                    <a:stretch>
                      <a:fillRect/>
                    </a:stretch>
                  </pic:blipFill>
                  <pic:spPr>
                    <a:xfrm>
                      <a:off x="0" y="0"/>
                      <a:ext cx="3849545" cy="4115326"/>
                    </a:xfrm>
                    <a:prstGeom prst="rect">
                      <a:avLst/>
                    </a:prstGeom>
                  </pic:spPr>
                </pic:pic>
              </a:graphicData>
            </a:graphic>
          </wp:inline>
        </w:drawing>
      </w:r>
    </w:p>
    <w:p w14:paraId="2448A1F5" w14:textId="77777777" w:rsidR="005D0FF0" w:rsidRPr="0027391A" w:rsidRDefault="005D0FF0" w:rsidP="005D0FF0">
      <w:pPr>
        <w:jc w:val="center"/>
        <w:rPr>
          <w:i/>
          <w:iCs/>
          <w:sz w:val="22"/>
          <w:szCs w:val="20"/>
        </w:rPr>
      </w:pPr>
      <w:r w:rsidRPr="0027391A">
        <w:rPr>
          <w:i/>
          <w:iCs/>
          <w:sz w:val="22"/>
          <w:szCs w:val="20"/>
        </w:rPr>
        <w:t xml:space="preserve">Figure </w:t>
      </w:r>
      <w:r w:rsidRPr="0027391A">
        <w:rPr>
          <w:i/>
          <w:iCs/>
          <w:sz w:val="22"/>
          <w:szCs w:val="20"/>
        </w:rPr>
        <w:fldChar w:fldCharType="begin"/>
      </w:r>
      <w:r w:rsidRPr="0027391A">
        <w:rPr>
          <w:i/>
          <w:iCs/>
          <w:sz w:val="22"/>
          <w:szCs w:val="20"/>
        </w:rPr>
        <w:instrText xml:space="preserve"> SEQ Figure \* ARABIC </w:instrText>
      </w:r>
      <w:r w:rsidRPr="0027391A">
        <w:rPr>
          <w:i/>
          <w:iCs/>
          <w:sz w:val="22"/>
          <w:szCs w:val="20"/>
        </w:rPr>
        <w:fldChar w:fldCharType="separate"/>
      </w:r>
      <w:r w:rsidRPr="0027391A">
        <w:rPr>
          <w:i/>
          <w:iCs/>
          <w:noProof/>
          <w:sz w:val="22"/>
          <w:szCs w:val="20"/>
        </w:rPr>
        <w:t>1</w:t>
      </w:r>
      <w:r w:rsidRPr="0027391A">
        <w:rPr>
          <w:i/>
          <w:iCs/>
          <w:sz w:val="22"/>
          <w:szCs w:val="20"/>
        </w:rPr>
        <w:fldChar w:fldCharType="end"/>
      </w:r>
      <w:r w:rsidRPr="0027391A">
        <w:rPr>
          <w:i/>
          <w:iCs/>
          <w:sz w:val="22"/>
          <w:szCs w:val="20"/>
        </w:rPr>
        <w:t>:. How blood pressure is measured using Korotkoff sounds (educational diagram).</w:t>
      </w:r>
    </w:p>
    <w:p w14:paraId="117A0A1A" w14:textId="77777777" w:rsidR="005D0FF0" w:rsidRPr="0027391A" w:rsidRDefault="005D0FF0" w:rsidP="005D0FF0">
      <w:r w:rsidRPr="0027391A">
        <w:rPr>
          <w:b/>
          <w:bCs/>
        </w:rPr>
        <w:t>Source:</w:t>
      </w:r>
      <w:r>
        <w:t xml:space="preserve"> Wikimedia Commons (</w:t>
      </w:r>
      <w:proofErr w:type="spellStart"/>
      <w:r>
        <w:t>Korotkow</w:t>
      </w:r>
      <w:proofErr w:type="spellEnd"/>
      <w:r>
        <w:t xml:space="preserve"> English.jpg), licensed CC BY-SA 3.0. Available at: https://commons.wikimedia.org/wiki/File:Korotkow_English.jpg (Accessed: 6 March 2026).</w:t>
      </w:r>
    </w:p>
    <w:p w14:paraId="11E22F9C" w14:textId="77777777" w:rsidR="005D0FF0" w:rsidRDefault="005D0FF0" w:rsidP="005D0FF0">
      <w:pPr>
        <w:spacing w:after="160" w:line="278" w:lineRule="auto"/>
        <w:jc w:val="left"/>
        <w:rPr>
          <w:b/>
        </w:rPr>
      </w:pPr>
      <w:r>
        <w:rPr>
          <w:b/>
        </w:rPr>
        <w:br w:type="page"/>
      </w:r>
    </w:p>
    <w:p w14:paraId="2D4934F0" w14:textId="77777777" w:rsidR="005D0FF0" w:rsidRDefault="005D0FF0" w:rsidP="005D0FF0">
      <w:r>
        <w:rPr>
          <w:b/>
        </w:rPr>
        <w:lastRenderedPageBreak/>
        <w:t>Critical impact: advantages and shortfalls</w:t>
      </w:r>
    </w:p>
    <w:p w14:paraId="6C8096AE" w14:textId="77777777" w:rsidR="005D0FF0" w:rsidRDefault="005D0FF0" w:rsidP="005D0FF0">
      <w:r w:rsidRPr="00E46C55">
        <w:t>Some of the benefits are the increased likelihood of timely detecting the existing blood pressure problems that do not need medical intervention, more actionable feedback and reduced medical visits that could only be avoided. The shortfalls are measurement error when the user fails to adhere to the proper technique, alert fatigue when the alerts are too frequent, and the privacy issue when the SMS messages expose the health data on shared phones. Another risk is that workload may also increase in case the clinician review queues are not designed appropriately</w:t>
      </w:r>
      <w:r>
        <w:t>.</w:t>
      </w:r>
    </w:p>
    <w:p w14:paraId="1C217398" w14:textId="77777777" w:rsidR="005D0FF0" w:rsidRDefault="005D0FF0" w:rsidP="005D0FF0">
      <w:r>
        <w:rPr>
          <w:b/>
        </w:rPr>
        <w:t>How shortfalls can be addressed</w:t>
      </w:r>
    </w:p>
    <w:p w14:paraId="4A5C54BA" w14:textId="77777777" w:rsidR="005D0FF0" w:rsidRDefault="005D0FF0" w:rsidP="005D0FF0">
      <w:r w:rsidRPr="00E46C55">
        <w:t>The mitigation measures that are to be implemented are mandatory technique onboarding, simple quiet hours setting, neutral SMS wording and tiered sharing such that only summaries are default. The pharmacist-led coaching and clear escalation rules can be used to control workflow burden since the clinicians will only review high-risk patterns. The equity can be tracked based on uptake and results of dissimilar groups having various digital accessibility</w:t>
      </w:r>
      <w:r>
        <w:t xml:space="preserve"> (NHS England, 2023).</w:t>
      </w:r>
    </w:p>
    <w:p w14:paraId="532B3A7C" w14:textId="77777777" w:rsidR="005D0FF0" w:rsidRDefault="005D0FF0" w:rsidP="005D0FF0"/>
    <w:p w14:paraId="3C6F9BDC" w14:textId="77777777" w:rsidR="005D0FF0" w:rsidRDefault="005D0FF0" w:rsidP="005D0FF0">
      <w:pPr>
        <w:spacing w:after="160" w:line="278" w:lineRule="auto"/>
        <w:jc w:val="left"/>
      </w:pPr>
      <w:r>
        <w:br w:type="page"/>
      </w:r>
    </w:p>
    <w:p w14:paraId="20BB2795" w14:textId="77777777" w:rsidR="005D0FF0" w:rsidRPr="0027391A" w:rsidRDefault="005D0FF0" w:rsidP="005D0FF0">
      <w:pPr>
        <w:rPr>
          <w:b/>
          <w:sz w:val="28"/>
          <w:szCs w:val="24"/>
        </w:rPr>
      </w:pPr>
      <w:r w:rsidRPr="0027391A">
        <w:rPr>
          <w:b/>
          <w:sz w:val="28"/>
          <w:szCs w:val="24"/>
        </w:rPr>
        <w:lastRenderedPageBreak/>
        <w:t>References</w:t>
      </w:r>
    </w:p>
    <w:p w14:paraId="46EA3EBE" w14:textId="77777777" w:rsidR="005D0FF0" w:rsidRPr="0027391A" w:rsidRDefault="005D0FF0" w:rsidP="005D0FF0">
      <w:r w:rsidRPr="0027391A">
        <w:t xml:space="preserve">McManus, R.J. </w:t>
      </w:r>
      <w:r w:rsidRPr="0027391A">
        <w:rPr>
          <w:i/>
          <w:iCs/>
        </w:rPr>
        <w:t>et al.</w:t>
      </w:r>
      <w:r w:rsidRPr="0027391A">
        <w:t xml:space="preserve"> (2018) ‘Efficacy of self-monitored blood pressure, with or without telemonitoring, for titration of antihypertensive medication (TASMINH4): an unmasked </w:t>
      </w:r>
      <w:proofErr w:type="spellStart"/>
      <w:r w:rsidRPr="0027391A">
        <w:t>randomised</w:t>
      </w:r>
      <w:proofErr w:type="spellEnd"/>
      <w:r w:rsidRPr="0027391A">
        <w:t xml:space="preserve"> controlled trial’, </w:t>
      </w:r>
      <w:r w:rsidRPr="0027391A">
        <w:rPr>
          <w:i/>
          <w:iCs/>
        </w:rPr>
        <w:t>The Lancet</w:t>
      </w:r>
      <w:r w:rsidRPr="0027391A">
        <w:t xml:space="preserve">, 391(10124), pp. 949–959. Available at: </w:t>
      </w:r>
      <w:hyperlink r:id="rId14" w:history="1">
        <w:r w:rsidRPr="0027391A">
          <w:rPr>
            <w:rStyle w:val="Hyperlink"/>
          </w:rPr>
          <w:t>https://www.thelancet.com/journals/lancet/article/PIIS0140-6736(18)30309-X/fulltext</w:t>
        </w:r>
      </w:hyperlink>
      <w:r w:rsidRPr="0027391A">
        <w:t xml:space="preserve"> (Accessed: 4 March 2026).</w:t>
      </w:r>
    </w:p>
    <w:p w14:paraId="2375E108" w14:textId="77777777" w:rsidR="005D0FF0" w:rsidRPr="0027391A" w:rsidRDefault="005D0FF0" w:rsidP="005D0FF0">
      <w:r w:rsidRPr="0027391A">
        <w:t xml:space="preserve">NHS England (2023) ‘Inclusive digital healthcare: a framework for NHS action on digital inclusion’. Available at: </w:t>
      </w:r>
      <w:hyperlink r:id="rId15" w:history="1">
        <w:r w:rsidRPr="0027391A">
          <w:rPr>
            <w:rStyle w:val="Hyperlink"/>
          </w:rPr>
          <w:t>https://www.england.nhs.uk/long-read/inclusive-digital-healthcare-a-framework-for-nhs-action-on-digital-inclusion/</w:t>
        </w:r>
      </w:hyperlink>
      <w:r w:rsidRPr="0027391A">
        <w:t xml:space="preserve"> (Accessed: 4 March 2026).</w:t>
      </w:r>
    </w:p>
    <w:p w14:paraId="7C46B9DB" w14:textId="77777777" w:rsidR="005D0FF0" w:rsidRPr="0027391A" w:rsidRDefault="005D0FF0" w:rsidP="005D0FF0">
      <w:r w:rsidRPr="0027391A">
        <w:t xml:space="preserve">World Health Organization (2025) ‘Hypertension’. Available at: </w:t>
      </w:r>
      <w:hyperlink r:id="rId16" w:history="1">
        <w:r w:rsidRPr="0027391A">
          <w:rPr>
            <w:rStyle w:val="Hyperlink"/>
          </w:rPr>
          <w:t>https://www.who.int/health-topics/hypertension/</w:t>
        </w:r>
      </w:hyperlink>
      <w:r w:rsidRPr="0027391A">
        <w:t xml:space="preserve"> (Accessed: 6 March 2026).</w:t>
      </w:r>
    </w:p>
    <w:p w14:paraId="4055117A" w14:textId="77777777" w:rsidR="005D0FF0" w:rsidRPr="0027391A" w:rsidRDefault="005D0FF0" w:rsidP="005D0FF0"/>
    <w:p w14:paraId="251E2828" w14:textId="30E6E549" w:rsidR="00ED352D" w:rsidRDefault="00ED352D"/>
    <w:sectPr w:rsidR="00ED352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96192973">
    <w:abstractNumId w:val="8"/>
  </w:num>
  <w:num w:numId="2" w16cid:durableId="1425490592">
    <w:abstractNumId w:val="6"/>
  </w:num>
  <w:num w:numId="3" w16cid:durableId="380830774">
    <w:abstractNumId w:val="5"/>
  </w:num>
  <w:num w:numId="4" w16cid:durableId="191264744">
    <w:abstractNumId w:val="4"/>
  </w:num>
  <w:num w:numId="5" w16cid:durableId="1715736383">
    <w:abstractNumId w:val="7"/>
  </w:num>
  <w:num w:numId="6" w16cid:durableId="1200974446">
    <w:abstractNumId w:val="3"/>
  </w:num>
  <w:num w:numId="7" w16cid:durableId="256715811">
    <w:abstractNumId w:val="2"/>
  </w:num>
  <w:num w:numId="8" w16cid:durableId="1099368989">
    <w:abstractNumId w:val="1"/>
  </w:num>
  <w:num w:numId="9" w16cid:durableId="12604838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A280D"/>
    <w:rsid w:val="00147542"/>
    <w:rsid w:val="0015074B"/>
    <w:rsid w:val="00237689"/>
    <w:rsid w:val="00246092"/>
    <w:rsid w:val="0029639D"/>
    <w:rsid w:val="002A194B"/>
    <w:rsid w:val="00326F90"/>
    <w:rsid w:val="00553FCA"/>
    <w:rsid w:val="005D0FF0"/>
    <w:rsid w:val="0071372B"/>
    <w:rsid w:val="00AA1D8D"/>
    <w:rsid w:val="00B47730"/>
    <w:rsid w:val="00BB4AC1"/>
    <w:rsid w:val="00CB0664"/>
    <w:rsid w:val="00D35C8B"/>
    <w:rsid w:val="00D546EE"/>
    <w:rsid w:val="00ED352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BC4BB19"/>
  <w14:defaultImageDpi w14:val="300"/>
  <w15:docId w15:val="{EF4BA6AF-E338-48C4-8987-309793CDF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C8B"/>
    <w:pPr>
      <w:spacing w:line="360" w:lineRule="auto"/>
      <w:jc w:val="both"/>
    </w:pPr>
    <w:rPr>
      <w:rFonts w:ascii="Calibri" w:eastAsia="Calibri" w:hAnsi="Calibri"/>
      <w:sz w:val="24"/>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D35C8B"/>
    <w:rPr>
      <w:color w:val="0000FF" w:themeColor="hyperlink"/>
      <w:u w:val="single"/>
    </w:rPr>
  </w:style>
  <w:style w:type="character" w:styleId="UnresolvedMention">
    <w:name w:val="Unresolved Mention"/>
    <w:basedOn w:val="DefaultParagraphFont"/>
    <w:uiPriority w:val="99"/>
    <w:semiHidden/>
    <w:unhideWhenUsed/>
    <w:rsid w:val="00D35C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yperlink" Target="https://bmjopen.bmj.com/content/11/9/e044987" TargetMode="External"/><Relationship Id="rId13" Type="http://schemas.openxmlformats.org/officeDocument/2006/relationships/image" Target="media/image3.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england.nhs.uk/long-read/inclusive-digital-healthcare-a-framework-for-nhs-action-on-digital-inclusio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ho.int/health-topics/hypertension/"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igital.nhs.uk/services/nhs-app/nhs-app-features/prescriptions-in-the-nhs-app" TargetMode="External"/><Relationship Id="rId5" Type="http://schemas.openxmlformats.org/officeDocument/2006/relationships/webSettings" Target="webSettings.xml"/><Relationship Id="rId15" Type="http://schemas.openxmlformats.org/officeDocument/2006/relationships/hyperlink" Target="https://www.england.nhs.uk/long-read/inclusive-digital-healthcare-a-framework-for-nhs-action-on-digital-inclusion/" TargetMode="External"/><Relationship Id="rId10" Type="http://schemas.openxmlformats.org/officeDocument/2006/relationships/hyperlink" Target="https://www.nhs.uk/nhs-app/help/prescriptions-in-the-nhs-app/requesting-a-prescription/" TargetMode="External"/><Relationship Id="rId4" Type="http://schemas.openxmlformats.org/officeDocument/2006/relationships/settings" Target="settings.xml"/><Relationship Id="rId9" Type="http://schemas.openxmlformats.org/officeDocument/2006/relationships/hyperlink" Target="https://www.nice.org.uk/corporate/ecd7/chapter/how-to-meet-the-standards" TargetMode="External"/><Relationship Id="rId14" Type="http://schemas.openxmlformats.org/officeDocument/2006/relationships/hyperlink" Target="https://www.thelancet.com/journals/lancet/article/PIIS0140-6736(18)30309-X/fulltex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TotalTime>
  <Pages>9</Pages>
  <Words>1546</Words>
  <Characters>8814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10340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USER</cp:lastModifiedBy>
  <cp:revision>8</cp:revision>
  <dcterms:created xsi:type="dcterms:W3CDTF">2013-12-23T23:15:00Z</dcterms:created>
  <dcterms:modified xsi:type="dcterms:W3CDTF">2026-03-05T20:26:00Z</dcterms:modified>
  <cp:category/>
</cp:coreProperties>
</file>