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9843A" w14:textId="549DF556" w:rsidR="00A60568" w:rsidRDefault="001034ED" w:rsidP="00A60568">
      <w:pPr>
        <w:jc w:val="center"/>
      </w:pPr>
      <w:r>
        <w:t>Managing People</w:t>
      </w:r>
      <w:r w:rsidR="00A60568">
        <w:t xml:space="preserve"> </w:t>
      </w:r>
    </w:p>
    <w:p w14:paraId="43B07C1F" w14:textId="0F109F01" w:rsidR="001034ED" w:rsidRDefault="001034ED" w:rsidP="001034ED">
      <w:pPr>
        <w:jc w:val="center"/>
        <w:rPr>
          <w:b/>
          <w:bCs/>
          <w:i/>
          <w:iCs/>
        </w:rPr>
      </w:pPr>
      <w:r w:rsidRPr="00A451BE">
        <w:rPr>
          <w:b/>
          <w:bCs/>
          <w:i/>
          <w:iCs/>
        </w:rPr>
        <w:t>Student ID:</w:t>
      </w:r>
      <w:r w:rsidR="00A60568" w:rsidRPr="00A451BE">
        <w:rPr>
          <w:b/>
          <w:bCs/>
          <w:i/>
          <w:iCs/>
        </w:rPr>
        <w:t xml:space="preserve"> 2030045</w:t>
      </w:r>
    </w:p>
    <w:p w14:paraId="0BB099FF" w14:textId="4A72D7E0" w:rsidR="00A658E3" w:rsidRPr="00A451BE" w:rsidRDefault="00A658E3" w:rsidP="001034ED">
      <w:pPr>
        <w:jc w:val="center"/>
        <w:rPr>
          <w:b/>
          <w:bCs/>
          <w:i/>
          <w:iCs/>
        </w:rPr>
      </w:pPr>
      <w:r>
        <w:rPr>
          <w:b/>
          <w:bCs/>
          <w:i/>
          <w:iCs/>
        </w:rPr>
        <w:t xml:space="preserve">Student Name: Anca Georgiana Cretan </w:t>
      </w:r>
    </w:p>
    <w:p w14:paraId="362A87B6" w14:textId="4AD9B829" w:rsidR="001034ED" w:rsidRDefault="001034ED" w:rsidP="001034ED">
      <w:pPr>
        <w:jc w:val="center"/>
        <w:rPr>
          <w:b/>
          <w:bCs/>
          <w:i/>
          <w:iCs/>
        </w:rPr>
      </w:pPr>
      <w:r w:rsidRPr="00A451BE">
        <w:rPr>
          <w:b/>
          <w:bCs/>
          <w:i/>
          <w:iCs/>
        </w:rPr>
        <w:t>Module Code:</w:t>
      </w:r>
      <w:r w:rsidR="00FB60AD" w:rsidRPr="00A451BE">
        <w:rPr>
          <w:b/>
          <w:bCs/>
          <w:i/>
          <w:iCs/>
        </w:rPr>
        <w:t xml:space="preserve"> LCBB</w:t>
      </w:r>
      <w:r w:rsidR="007B69FB" w:rsidRPr="00A451BE">
        <w:rPr>
          <w:b/>
          <w:bCs/>
          <w:i/>
          <w:iCs/>
        </w:rPr>
        <w:t>5004</w:t>
      </w:r>
    </w:p>
    <w:p w14:paraId="1D7AE785" w14:textId="77777777" w:rsidR="00A658E3" w:rsidRPr="00A451BE" w:rsidRDefault="00A658E3" w:rsidP="001034ED">
      <w:pPr>
        <w:jc w:val="center"/>
        <w:rPr>
          <w:b/>
          <w:bCs/>
          <w:i/>
          <w:iCs/>
        </w:rPr>
      </w:pPr>
    </w:p>
    <w:p w14:paraId="0C7878BD" w14:textId="77777777" w:rsidR="004C2EB1" w:rsidRDefault="004C2EB1">
      <w:pPr>
        <w:spacing w:line="259" w:lineRule="auto"/>
        <w:jc w:val="left"/>
        <w:rPr>
          <w:rFonts w:eastAsiaTheme="majorEastAsia" w:cstheme="majorBidi"/>
          <w:b/>
          <w:color w:val="2F5496" w:themeColor="accent1" w:themeShade="BF"/>
          <w:sz w:val="32"/>
          <w:szCs w:val="32"/>
        </w:rPr>
      </w:pPr>
      <w:r>
        <w:br w:type="page"/>
      </w:r>
    </w:p>
    <w:sdt>
      <w:sdtPr>
        <w:rPr>
          <w:rFonts w:ascii="Times New Roman" w:eastAsiaTheme="minorHAnsi" w:hAnsi="Times New Roman" w:cstheme="minorBidi"/>
          <w:color w:val="auto"/>
          <w:sz w:val="24"/>
          <w:szCs w:val="22"/>
        </w:rPr>
        <w:id w:val="-119309309"/>
        <w:docPartObj>
          <w:docPartGallery w:val="Table of Contents"/>
          <w:docPartUnique/>
        </w:docPartObj>
      </w:sdtPr>
      <w:sdtEndPr>
        <w:rPr>
          <w:b/>
          <w:bCs/>
          <w:noProof/>
        </w:rPr>
      </w:sdtEndPr>
      <w:sdtContent>
        <w:p w14:paraId="621F3751" w14:textId="776B7DD0" w:rsidR="009A4413" w:rsidRDefault="009A4413">
          <w:pPr>
            <w:pStyle w:val="Titlucuprins"/>
          </w:pPr>
          <w:r>
            <w:t>Table of Contents</w:t>
          </w:r>
        </w:p>
        <w:p w14:paraId="366E6FB7" w14:textId="74C9AE5A" w:rsidR="004476DE" w:rsidRDefault="009A4413">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3756984" w:history="1">
            <w:r w:rsidR="004476DE" w:rsidRPr="008655E7">
              <w:rPr>
                <w:rStyle w:val="Hyperlink"/>
                <w:noProof/>
              </w:rPr>
              <w:t>Introduction</w:t>
            </w:r>
            <w:r w:rsidR="004476DE">
              <w:rPr>
                <w:noProof/>
                <w:webHidden/>
              </w:rPr>
              <w:tab/>
            </w:r>
            <w:r w:rsidR="004476DE">
              <w:rPr>
                <w:noProof/>
                <w:webHidden/>
              </w:rPr>
              <w:fldChar w:fldCharType="begin"/>
            </w:r>
            <w:r w:rsidR="004476DE">
              <w:rPr>
                <w:noProof/>
                <w:webHidden/>
              </w:rPr>
              <w:instrText xml:space="preserve"> PAGEREF _Toc123756984 \h </w:instrText>
            </w:r>
            <w:r w:rsidR="004476DE">
              <w:rPr>
                <w:noProof/>
                <w:webHidden/>
              </w:rPr>
            </w:r>
            <w:r w:rsidR="004476DE">
              <w:rPr>
                <w:noProof/>
                <w:webHidden/>
              </w:rPr>
              <w:fldChar w:fldCharType="separate"/>
            </w:r>
            <w:r w:rsidR="004476DE">
              <w:rPr>
                <w:noProof/>
                <w:webHidden/>
              </w:rPr>
              <w:t>3</w:t>
            </w:r>
            <w:r w:rsidR="004476DE">
              <w:rPr>
                <w:noProof/>
                <w:webHidden/>
              </w:rPr>
              <w:fldChar w:fldCharType="end"/>
            </w:r>
          </w:hyperlink>
        </w:p>
        <w:p w14:paraId="45C08F34" w14:textId="238DB311" w:rsidR="004476DE" w:rsidRDefault="00000000">
          <w:pPr>
            <w:pStyle w:val="Cuprins1"/>
            <w:tabs>
              <w:tab w:val="right" w:leader="dot" w:pos="9350"/>
            </w:tabs>
            <w:rPr>
              <w:rFonts w:asciiTheme="minorHAnsi" w:eastAsiaTheme="minorEastAsia" w:hAnsiTheme="minorHAnsi"/>
              <w:noProof/>
              <w:sz w:val="22"/>
            </w:rPr>
          </w:pPr>
          <w:hyperlink w:anchor="_Toc123756985" w:history="1">
            <w:r w:rsidR="004476DE" w:rsidRPr="008655E7">
              <w:rPr>
                <w:rStyle w:val="Hyperlink"/>
                <w:noProof/>
              </w:rPr>
              <w:t>Part 1</w:t>
            </w:r>
            <w:r w:rsidR="004476DE">
              <w:rPr>
                <w:noProof/>
                <w:webHidden/>
              </w:rPr>
              <w:tab/>
            </w:r>
            <w:r w:rsidR="004476DE">
              <w:rPr>
                <w:noProof/>
                <w:webHidden/>
              </w:rPr>
              <w:fldChar w:fldCharType="begin"/>
            </w:r>
            <w:r w:rsidR="004476DE">
              <w:rPr>
                <w:noProof/>
                <w:webHidden/>
              </w:rPr>
              <w:instrText xml:space="preserve"> PAGEREF _Toc123756985 \h </w:instrText>
            </w:r>
            <w:r w:rsidR="004476DE">
              <w:rPr>
                <w:noProof/>
                <w:webHidden/>
              </w:rPr>
            </w:r>
            <w:r w:rsidR="004476DE">
              <w:rPr>
                <w:noProof/>
                <w:webHidden/>
              </w:rPr>
              <w:fldChar w:fldCharType="separate"/>
            </w:r>
            <w:r w:rsidR="004476DE">
              <w:rPr>
                <w:noProof/>
                <w:webHidden/>
              </w:rPr>
              <w:t>3</w:t>
            </w:r>
            <w:r w:rsidR="004476DE">
              <w:rPr>
                <w:noProof/>
                <w:webHidden/>
              </w:rPr>
              <w:fldChar w:fldCharType="end"/>
            </w:r>
          </w:hyperlink>
        </w:p>
        <w:p w14:paraId="0742A1EC" w14:textId="3E412CCF" w:rsidR="004476DE" w:rsidRDefault="00000000">
          <w:pPr>
            <w:pStyle w:val="Cuprins2"/>
            <w:tabs>
              <w:tab w:val="right" w:leader="dot" w:pos="9350"/>
            </w:tabs>
            <w:rPr>
              <w:rFonts w:asciiTheme="minorHAnsi" w:eastAsiaTheme="minorEastAsia" w:hAnsiTheme="minorHAnsi"/>
              <w:noProof/>
              <w:sz w:val="22"/>
            </w:rPr>
          </w:pPr>
          <w:hyperlink w:anchor="_Toc123756986" w:history="1">
            <w:r w:rsidR="004476DE" w:rsidRPr="008655E7">
              <w:rPr>
                <w:rStyle w:val="Hyperlink"/>
                <w:noProof/>
              </w:rPr>
              <w:t>a) The way how CIPD behaviors are important for effective HR professionals working in the UK</w:t>
            </w:r>
            <w:r w:rsidR="004476DE">
              <w:rPr>
                <w:noProof/>
                <w:webHidden/>
              </w:rPr>
              <w:tab/>
            </w:r>
            <w:r w:rsidR="004476DE">
              <w:rPr>
                <w:noProof/>
                <w:webHidden/>
              </w:rPr>
              <w:fldChar w:fldCharType="begin"/>
            </w:r>
            <w:r w:rsidR="004476DE">
              <w:rPr>
                <w:noProof/>
                <w:webHidden/>
              </w:rPr>
              <w:instrText xml:space="preserve"> PAGEREF _Toc123756986 \h </w:instrText>
            </w:r>
            <w:r w:rsidR="004476DE">
              <w:rPr>
                <w:noProof/>
                <w:webHidden/>
              </w:rPr>
            </w:r>
            <w:r w:rsidR="004476DE">
              <w:rPr>
                <w:noProof/>
                <w:webHidden/>
              </w:rPr>
              <w:fldChar w:fldCharType="separate"/>
            </w:r>
            <w:r w:rsidR="004476DE">
              <w:rPr>
                <w:noProof/>
                <w:webHidden/>
              </w:rPr>
              <w:t>3</w:t>
            </w:r>
            <w:r w:rsidR="004476DE">
              <w:rPr>
                <w:noProof/>
                <w:webHidden/>
              </w:rPr>
              <w:fldChar w:fldCharType="end"/>
            </w:r>
          </w:hyperlink>
        </w:p>
        <w:p w14:paraId="224AA105" w14:textId="305AF7AB" w:rsidR="004476DE" w:rsidRDefault="00000000">
          <w:pPr>
            <w:pStyle w:val="Cuprins2"/>
            <w:tabs>
              <w:tab w:val="right" w:leader="dot" w:pos="9350"/>
            </w:tabs>
            <w:rPr>
              <w:rFonts w:asciiTheme="minorHAnsi" w:eastAsiaTheme="minorEastAsia" w:hAnsiTheme="minorHAnsi"/>
              <w:noProof/>
              <w:sz w:val="22"/>
            </w:rPr>
          </w:pPr>
          <w:hyperlink w:anchor="_Toc123756987" w:history="1">
            <w:r w:rsidR="004476DE" w:rsidRPr="008655E7">
              <w:rPr>
                <w:rStyle w:val="Hyperlink"/>
                <w:noProof/>
              </w:rPr>
              <w:t>b) Explaining to what extent that the CIPD map could be applied to HR professionals working on a global scale regardless of sectors and sizes of organizations</w:t>
            </w:r>
            <w:r w:rsidR="004476DE">
              <w:rPr>
                <w:noProof/>
                <w:webHidden/>
              </w:rPr>
              <w:tab/>
            </w:r>
            <w:r w:rsidR="004476DE">
              <w:rPr>
                <w:noProof/>
                <w:webHidden/>
              </w:rPr>
              <w:fldChar w:fldCharType="begin"/>
            </w:r>
            <w:r w:rsidR="004476DE">
              <w:rPr>
                <w:noProof/>
                <w:webHidden/>
              </w:rPr>
              <w:instrText xml:space="preserve"> PAGEREF _Toc123756987 \h </w:instrText>
            </w:r>
            <w:r w:rsidR="004476DE">
              <w:rPr>
                <w:noProof/>
                <w:webHidden/>
              </w:rPr>
            </w:r>
            <w:r w:rsidR="004476DE">
              <w:rPr>
                <w:noProof/>
                <w:webHidden/>
              </w:rPr>
              <w:fldChar w:fldCharType="separate"/>
            </w:r>
            <w:r w:rsidR="004476DE">
              <w:rPr>
                <w:noProof/>
                <w:webHidden/>
              </w:rPr>
              <w:t>4</w:t>
            </w:r>
            <w:r w:rsidR="004476DE">
              <w:rPr>
                <w:noProof/>
                <w:webHidden/>
              </w:rPr>
              <w:fldChar w:fldCharType="end"/>
            </w:r>
          </w:hyperlink>
        </w:p>
        <w:p w14:paraId="240FFED5" w14:textId="486E20A8" w:rsidR="004476DE" w:rsidRDefault="00000000">
          <w:pPr>
            <w:pStyle w:val="Cuprins1"/>
            <w:tabs>
              <w:tab w:val="right" w:leader="dot" w:pos="9350"/>
            </w:tabs>
            <w:rPr>
              <w:rFonts w:asciiTheme="minorHAnsi" w:eastAsiaTheme="minorEastAsia" w:hAnsiTheme="minorHAnsi"/>
              <w:noProof/>
              <w:sz w:val="22"/>
            </w:rPr>
          </w:pPr>
          <w:hyperlink w:anchor="_Toc123756988" w:history="1">
            <w:r w:rsidR="004476DE" w:rsidRPr="008655E7">
              <w:rPr>
                <w:rStyle w:val="Hyperlink"/>
                <w:noProof/>
              </w:rPr>
              <w:t>Part 2</w:t>
            </w:r>
            <w:r w:rsidR="004476DE">
              <w:rPr>
                <w:noProof/>
                <w:webHidden/>
              </w:rPr>
              <w:tab/>
            </w:r>
            <w:r w:rsidR="004476DE">
              <w:rPr>
                <w:noProof/>
                <w:webHidden/>
              </w:rPr>
              <w:fldChar w:fldCharType="begin"/>
            </w:r>
            <w:r w:rsidR="004476DE">
              <w:rPr>
                <w:noProof/>
                <w:webHidden/>
              </w:rPr>
              <w:instrText xml:space="preserve"> PAGEREF _Toc123756988 \h </w:instrText>
            </w:r>
            <w:r w:rsidR="004476DE">
              <w:rPr>
                <w:noProof/>
                <w:webHidden/>
              </w:rPr>
            </w:r>
            <w:r w:rsidR="004476DE">
              <w:rPr>
                <w:noProof/>
                <w:webHidden/>
              </w:rPr>
              <w:fldChar w:fldCharType="separate"/>
            </w:r>
            <w:r w:rsidR="004476DE">
              <w:rPr>
                <w:noProof/>
                <w:webHidden/>
              </w:rPr>
              <w:t>6</w:t>
            </w:r>
            <w:r w:rsidR="004476DE">
              <w:rPr>
                <w:noProof/>
                <w:webHidden/>
              </w:rPr>
              <w:fldChar w:fldCharType="end"/>
            </w:r>
          </w:hyperlink>
        </w:p>
        <w:p w14:paraId="14AFE5D5" w14:textId="06A18B1E" w:rsidR="004476DE" w:rsidRDefault="00000000">
          <w:pPr>
            <w:pStyle w:val="Cuprins2"/>
            <w:tabs>
              <w:tab w:val="right" w:leader="dot" w:pos="9350"/>
            </w:tabs>
            <w:rPr>
              <w:rFonts w:asciiTheme="minorHAnsi" w:eastAsiaTheme="minorEastAsia" w:hAnsiTheme="minorHAnsi"/>
              <w:noProof/>
              <w:sz w:val="22"/>
            </w:rPr>
          </w:pPr>
          <w:hyperlink w:anchor="_Toc123756989" w:history="1">
            <w:r w:rsidR="004476DE" w:rsidRPr="008655E7">
              <w:rPr>
                <w:rStyle w:val="Hyperlink"/>
                <w:noProof/>
              </w:rPr>
              <w:t>a) The reasons why do public sector in the UK is facing skills shortages despite the high unemployment rate</w:t>
            </w:r>
            <w:r w:rsidR="004476DE">
              <w:rPr>
                <w:noProof/>
                <w:webHidden/>
              </w:rPr>
              <w:tab/>
            </w:r>
            <w:r w:rsidR="004476DE">
              <w:rPr>
                <w:noProof/>
                <w:webHidden/>
              </w:rPr>
              <w:fldChar w:fldCharType="begin"/>
            </w:r>
            <w:r w:rsidR="004476DE">
              <w:rPr>
                <w:noProof/>
                <w:webHidden/>
              </w:rPr>
              <w:instrText xml:space="preserve"> PAGEREF _Toc123756989 \h </w:instrText>
            </w:r>
            <w:r w:rsidR="004476DE">
              <w:rPr>
                <w:noProof/>
                <w:webHidden/>
              </w:rPr>
            </w:r>
            <w:r w:rsidR="004476DE">
              <w:rPr>
                <w:noProof/>
                <w:webHidden/>
              </w:rPr>
              <w:fldChar w:fldCharType="separate"/>
            </w:r>
            <w:r w:rsidR="004476DE">
              <w:rPr>
                <w:noProof/>
                <w:webHidden/>
              </w:rPr>
              <w:t>6</w:t>
            </w:r>
            <w:r w:rsidR="004476DE">
              <w:rPr>
                <w:noProof/>
                <w:webHidden/>
              </w:rPr>
              <w:fldChar w:fldCharType="end"/>
            </w:r>
          </w:hyperlink>
        </w:p>
        <w:p w14:paraId="3B10D58D" w14:textId="719FD30F" w:rsidR="004476DE" w:rsidRDefault="00000000">
          <w:pPr>
            <w:pStyle w:val="Cuprins2"/>
            <w:tabs>
              <w:tab w:val="right" w:leader="dot" w:pos="9350"/>
            </w:tabs>
            <w:rPr>
              <w:rFonts w:asciiTheme="minorHAnsi" w:eastAsiaTheme="minorEastAsia" w:hAnsiTheme="minorHAnsi"/>
              <w:noProof/>
              <w:sz w:val="22"/>
            </w:rPr>
          </w:pPr>
          <w:hyperlink w:anchor="_Toc123756990" w:history="1">
            <w:r w:rsidR="004476DE" w:rsidRPr="008655E7">
              <w:rPr>
                <w:rStyle w:val="Hyperlink"/>
                <w:noProof/>
              </w:rPr>
              <w:t>b) The long-term labour market developments to address the skills shortages in healthcare sector professions in the UK</w:t>
            </w:r>
            <w:r w:rsidR="004476DE">
              <w:rPr>
                <w:noProof/>
                <w:webHidden/>
              </w:rPr>
              <w:tab/>
            </w:r>
            <w:r w:rsidR="004476DE">
              <w:rPr>
                <w:noProof/>
                <w:webHidden/>
              </w:rPr>
              <w:fldChar w:fldCharType="begin"/>
            </w:r>
            <w:r w:rsidR="004476DE">
              <w:rPr>
                <w:noProof/>
                <w:webHidden/>
              </w:rPr>
              <w:instrText xml:space="preserve"> PAGEREF _Toc123756990 \h </w:instrText>
            </w:r>
            <w:r w:rsidR="004476DE">
              <w:rPr>
                <w:noProof/>
                <w:webHidden/>
              </w:rPr>
            </w:r>
            <w:r w:rsidR="004476DE">
              <w:rPr>
                <w:noProof/>
                <w:webHidden/>
              </w:rPr>
              <w:fldChar w:fldCharType="separate"/>
            </w:r>
            <w:r w:rsidR="004476DE">
              <w:rPr>
                <w:noProof/>
                <w:webHidden/>
              </w:rPr>
              <w:t>7</w:t>
            </w:r>
            <w:r w:rsidR="004476DE">
              <w:rPr>
                <w:noProof/>
                <w:webHidden/>
              </w:rPr>
              <w:fldChar w:fldCharType="end"/>
            </w:r>
          </w:hyperlink>
        </w:p>
        <w:p w14:paraId="0FDD4C68" w14:textId="531D2C6F" w:rsidR="004476DE" w:rsidRDefault="00000000">
          <w:pPr>
            <w:pStyle w:val="Cuprins1"/>
            <w:tabs>
              <w:tab w:val="right" w:leader="dot" w:pos="9350"/>
            </w:tabs>
            <w:rPr>
              <w:rFonts w:asciiTheme="minorHAnsi" w:eastAsiaTheme="minorEastAsia" w:hAnsiTheme="minorHAnsi"/>
              <w:noProof/>
              <w:sz w:val="22"/>
            </w:rPr>
          </w:pPr>
          <w:hyperlink w:anchor="_Toc123756991" w:history="1">
            <w:r w:rsidR="004476DE" w:rsidRPr="008655E7">
              <w:rPr>
                <w:rStyle w:val="Hyperlink"/>
                <w:noProof/>
              </w:rPr>
              <w:t>Conclusion</w:t>
            </w:r>
            <w:r w:rsidR="004476DE">
              <w:rPr>
                <w:noProof/>
                <w:webHidden/>
              </w:rPr>
              <w:tab/>
            </w:r>
            <w:r w:rsidR="004476DE">
              <w:rPr>
                <w:noProof/>
                <w:webHidden/>
              </w:rPr>
              <w:fldChar w:fldCharType="begin"/>
            </w:r>
            <w:r w:rsidR="004476DE">
              <w:rPr>
                <w:noProof/>
                <w:webHidden/>
              </w:rPr>
              <w:instrText xml:space="preserve"> PAGEREF _Toc123756991 \h </w:instrText>
            </w:r>
            <w:r w:rsidR="004476DE">
              <w:rPr>
                <w:noProof/>
                <w:webHidden/>
              </w:rPr>
            </w:r>
            <w:r w:rsidR="004476DE">
              <w:rPr>
                <w:noProof/>
                <w:webHidden/>
              </w:rPr>
              <w:fldChar w:fldCharType="separate"/>
            </w:r>
            <w:r w:rsidR="004476DE">
              <w:rPr>
                <w:noProof/>
                <w:webHidden/>
              </w:rPr>
              <w:t>9</w:t>
            </w:r>
            <w:r w:rsidR="004476DE">
              <w:rPr>
                <w:noProof/>
                <w:webHidden/>
              </w:rPr>
              <w:fldChar w:fldCharType="end"/>
            </w:r>
          </w:hyperlink>
        </w:p>
        <w:p w14:paraId="37C8DE84" w14:textId="2B611412" w:rsidR="004476DE" w:rsidRDefault="00000000">
          <w:pPr>
            <w:pStyle w:val="Cuprins1"/>
            <w:tabs>
              <w:tab w:val="right" w:leader="dot" w:pos="9350"/>
            </w:tabs>
            <w:rPr>
              <w:rFonts w:asciiTheme="minorHAnsi" w:eastAsiaTheme="minorEastAsia" w:hAnsiTheme="minorHAnsi"/>
              <w:noProof/>
              <w:sz w:val="22"/>
            </w:rPr>
          </w:pPr>
          <w:hyperlink w:anchor="_Toc123756992" w:history="1">
            <w:r w:rsidR="004476DE" w:rsidRPr="008655E7">
              <w:rPr>
                <w:rStyle w:val="Hyperlink"/>
                <w:noProof/>
              </w:rPr>
              <w:t>References</w:t>
            </w:r>
            <w:r w:rsidR="004476DE">
              <w:rPr>
                <w:noProof/>
                <w:webHidden/>
              </w:rPr>
              <w:tab/>
            </w:r>
            <w:r w:rsidR="004476DE">
              <w:rPr>
                <w:noProof/>
                <w:webHidden/>
              </w:rPr>
              <w:fldChar w:fldCharType="begin"/>
            </w:r>
            <w:r w:rsidR="004476DE">
              <w:rPr>
                <w:noProof/>
                <w:webHidden/>
              </w:rPr>
              <w:instrText xml:space="preserve"> PAGEREF _Toc123756992 \h </w:instrText>
            </w:r>
            <w:r w:rsidR="004476DE">
              <w:rPr>
                <w:noProof/>
                <w:webHidden/>
              </w:rPr>
            </w:r>
            <w:r w:rsidR="004476DE">
              <w:rPr>
                <w:noProof/>
                <w:webHidden/>
              </w:rPr>
              <w:fldChar w:fldCharType="separate"/>
            </w:r>
            <w:r w:rsidR="004476DE">
              <w:rPr>
                <w:noProof/>
                <w:webHidden/>
              </w:rPr>
              <w:t>10</w:t>
            </w:r>
            <w:r w:rsidR="004476DE">
              <w:rPr>
                <w:noProof/>
                <w:webHidden/>
              </w:rPr>
              <w:fldChar w:fldCharType="end"/>
            </w:r>
          </w:hyperlink>
        </w:p>
        <w:p w14:paraId="629A115D" w14:textId="300D324A" w:rsidR="009A4413" w:rsidRDefault="009A4413">
          <w:r>
            <w:rPr>
              <w:b/>
              <w:bCs/>
              <w:noProof/>
            </w:rPr>
            <w:fldChar w:fldCharType="end"/>
          </w:r>
        </w:p>
      </w:sdtContent>
    </w:sdt>
    <w:p w14:paraId="3BDDC66E" w14:textId="77777777" w:rsidR="009A4413" w:rsidRDefault="009A4413">
      <w:pPr>
        <w:spacing w:line="259" w:lineRule="auto"/>
        <w:jc w:val="left"/>
        <w:rPr>
          <w:rFonts w:eastAsiaTheme="majorEastAsia" w:cstheme="majorBidi"/>
          <w:b/>
          <w:color w:val="2F5496" w:themeColor="accent1" w:themeShade="BF"/>
          <w:sz w:val="32"/>
          <w:szCs w:val="32"/>
        </w:rPr>
      </w:pPr>
      <w:r>
        <w:br w:type="page"/>
      </w:r>
    </w:p>
    <w:p w14:paraId="1349D799" w14:textId="3EBF60D4" w:rsidR="001034ED" w:rsidRDefault="00F96B47" w:rsidP="00F96B47">
      <w:pPr>
        <w:pStyle w:val="Titlu1"/>
      </w:pPr>
      <w:bookmarkStart w:id="0" w:name="_Toc123756984"/>
      <w:r>
        <w:lastRenderedPageBreak/>
        <w:t>Introduction</w:t>
      </w:r>
      <w:bookmarkEnd w:id="0"/>
    </w:p>
    <w:p w14:paraId="4EF27A49" w14:textId="0ED60338" w:rsidR="009D7364" w:rsidRPr="009D7364" w:rsidRDefault="009D7364" w:rsidP="009D7364">
      <w:r w:rsidRPr="009D7364">
        <w:t>Whether or not a company, industry, or economy achieves its goals and objectives depends heavily on the efforts of its personnel</w:t>
      </w:r>
      <w:r w:rsidR="00C81316">
        <w:t xml:space="preserve"> I</w:t>
      </w:r>
      <w:r w:rsidRPr="009D7364">
        <w:t>t is the responsibility of HR to guarantee that all employees, regardless of their area of expertise, adhere to the standards established to encourage professionalism in the workplace. To raise their standards across sectors, HR and L&amp;D professionals can refer to the CIPD professional map, which details the best practices they should adopt.</w:t>
      </w:r>
      <w:r w:rsidR="00C81316">
        <w:t xml:space="preserve"> The report will also cover the reasons behind the skills shortage</w:t>
      </w:r>
      <w:r w:rsidR="00170569">
        <w:t>s</w:t>
      </w:r>
      <w:r w:rsidR="00C81316">
        <w:t xml:space="preserve"> and the developments to address the skills shortages in healthcare in UK.</w:t>
      </w:r>
    </w:p>
    <w:p w14:paraId="0228F0BC" w14:textId="331A2DCB" w:rsidR="00F96B47" w:rsidRDefault="00F96B47" w:rsidP="00F96B47">
      <w:pPr>
        <w:pStyle w:val="Titlu1"/>
      </w:pPr>
      <w:bookmarkStart w:id="1" w:name="_Toc123756985"/>
      <w:r>
        <w:t>Part 1</w:t>
      </w:r>
      <w:bookmarkEnd w:id="1"/>
    </w:p>
    <w:p w14:paraId="12105B6D" w14:textId="22FADCA3" w:rsidR="003B3D96" w:rsidRPr="003B3D96" w:rsidRDefault="00E500BB" w:rsidP="003B3D96">
      <w:pPr>
        <w:pStyle w:val="Titlu2"/>
      </w:pPr>
      <w:bookmarkStart w:id="2" w:name="_Toc123756986"/>
      <w:r w:rsidRPr="00E500BB">
        <w:t>a)</w:t>
      </w:r>
      <w:r>
        <w:t xml:space="preserve"> </w:t>
      </w:r>
      <w:r w:rsidR="003B3D96">
        <w:t>The way how</w:t>
      </w:r>
      <w:r w:rsidR="00072468">
        <w:t xml:space="preserve"> </w:t>
      </w:r>
      <w:r w:rsidR="003B3D96">
        <w:t>CIPD behaviors are</w:t>
      </w:r>
      <w:r w:rsidR="00072468">
        <w:t xml:space="preserve"> important</w:t>
      </w:r>
      <w:r w:rsidR="003B3D96">
        <w:t xml:space="preserve"> for effective HR professionals working in the UK</w:t>
      </w:r>
      <w:bookmarkEnd w:id="2"/>
    </w:p>
    <w:p w14:paraId="74F8100B" w14:textId="33820C5D" w:rsidR="00135248" w:rsidRDefault="00F96B47" w:rsidP="00F96B47">
      <w:r>
        <w:t>Entry-level certifications in human resources (HR) are based on the CIPD's "professional standards," which have served as a reliable groundwork for tens of thousands of persons just starting out in the field</w:t>
      </w:r>
      <w:r w:rsidR="003D7670">
        <w:t xml:space="preserve"> (</w:t>
      </w:r>
      <w:r w:rsidR="003D7670">
        <w:rPr>
          <w:shd w:val="clear" w:color="auto" w:fill="FFFFFF"/>
        </w:rPr>
        <w:t>Armstrong and Brown, 2019)</w:t>
      </w:r>
      <w:r>
        <w:t>.</w:t>
      </w:r>
      <w:r w:rsidR="00723640">
        <w:t xml:space="preserve"> </w:t>
      </w:r>
      <w:r>
        <w:t>However, HR practitioners' roles are evolving so rapidly that the institution has concluded a dramatic re-visioning is required to prepare the profession for the challenges ahead.</w:t>
      </w:r>
      <w:r w:rsidR="00723640">
        <w:t xml:space="preserve"> </w:t>
      </w:r>
    </w:p>
    <w:p w14:paraId="411635F5" w14:textId="7089CBA5" w:rsidR="004B4D0E" w:rsidRDefault="00F96B47" w:rsidP="00F96B47">
      <w:r>
        <w:t>The CIPD commissioned market research last year, and the results dramatically confirmed the shifting business environment. In one of the largest HR surveys ever conducted, 4,500 individuals provided in-depth responses to questions about their work, their requirements at the office, and their career goals</w:t>
      </w:r>
      <w:r w:rsidR="00ED6861">
        <w:t xml:space="preserve"> (</w:t>
      </w:r>
      <w:r w:rsidR="00ED6861">
        <w:rPr>
          <w:shd w:val="clear" w:color="auto" w:fill="FFFFFF"/>
        </w:rPr>
        <w:t>Wadsworth et al., 2016)</w:t>
      </w:r>
      <w:r>
        <w:t>. The findings demonstrate that HR professionals are being asked to do more than ever before, including learning about the factors that influence company success and focusing on how to best equip their workforces for the future.</w:t>
      </w:r>
    </w:p>
    <w:p w14:paraId="2A40576D" w14:textId="79DF63E2" w:rsidR="004B4D0E" w:rsidRDefault="00F96B47" w:rsidP="00F96B47">
      <w:r>
        <w:t>Half of HR professionals consider themselves generalists, while the other half see themselves as specialists in areas like pay, training, and employee relations, as well as more broad areas like acting as a business partner. The basic and advanced training they receive should be more specific and in-depth, according to them.</w:t>
      </w:r>
      <w:r w:rsidR="00D11CBF">
        <w:t xml:space="preserve"> </w:t>
      </w:r>
      <w:r>
        <w:t>Thirty percent of people's jobs involve some sort of foreign component. This is only one example of how the organizations in which they participate are growing increasingly intricate. Human resources experts could better serve their organizations and plot out their careers with a more strategic view of the field.</w:t>
      </w:r>
    </w:p>
    <w:p w14:paraId="01002469" w14:textId="3D689C8C" w:rsidR="00F96B47" w:rsidRPr="00F96B47" w:rsidRDefault="00F96B47" w:rsidP="00F96B47">
      <w:r>
        <w:lastRenderedPageBreak/>
        <w:t>Twenty-nine percent of the population is occupied with education. This includes new hires pursuing CIPD certification, students at all levels of higher education pursuing a wide variety of master's degrees, and professionals who are always learning and growing in their fields</w:t>
      </w:r>
      <w:r w:rsidR="00EA0E7B">
        <w:t xml:space="preserve"> (</w:t>
      </w:r>
      <w:r w:rsidR="00EA0E7B">
        <w:rPr>
          <w:shd w:val="clear" w:color="auto" w:fill="FFFFFF"/>
        </w:rPr>
        <w:t>Armstrong and Brown, 2019)</w:t>
      </w:r>
      <w:r>
        <w:t>. As people advance in their careers, they have a greater need for formal education and certification.</w:t>
      </w:r>
    </w:p>
    <w:p w14:paraId="3BF2B543" w14:textId="77777777" w:rsidR="00C71089" w:rsidRDefault="004B4D0E" w:rsidP="004B4D0E">
      <w:r>
        <w:t>The map is currently undergoing rigorous field testing across a variety of settings, from Shell and Tesco to the Cabinet Office. With its educational partners, who deliver many of the CIPD's certifications, the institution is also planning ways to include the map into courses beginning in the fall of 2019.</w:t>
      </w:r>
      <w:r w:rsidR="00906BAD">
        <w:t xml:space="preserve"> </w:t>
      </w:r>
      <w:r>
        <w:t>Feedback thus far suggests that this is a thorough portrait of HR excellence, that it is accessible, useful, and applicable to the issues that more and more HR practitioners will confront in the future.</w:t>
      </w:r>
      <w:r w:rsidR="00B718CD">
        <w:t xml:space="preserve"> </w:t>
      </w:r>
    </w:p>
    <w:p w14:paraId="045A5D87" w14:textId="5988F3FA" w:rsidR="00F96B47" w:rsidRDefault="00B718CD" w:rsidP="004B4D0E">
      <w:r>
        <w:t xml:space="preserve">Scholars </w:t>
      </w:r>
      <w:r w:rsidR="004B4D0E">
        <w:t>has addressed this difficulty within its own HR professional structure by identifying three tiers of responsibility that include all 1660 graduate HR practitioners across the globe (from entry-level to global vice president) and then offering the necessary skill training for each tier. Programs in "HR strategy" for mid- and upper-level management are taught at prestigious institutions including Cornell, and IMD.</w:t>
      </w:r>
      <w:r w:rsidR="00B81940">
        <w:t xml:space="preserve"> </w:t>
      </w:r>
      <w:r w:rsidR="004B4D0E">
        <w:t>Tesco's in-house retail, logistics, and administrative teams are all well-developed. The CIPD's "professional areas" are comparable to Tesco's "operational skills," its "behaviors" to Tesco's "leadership skills," and its "bands" to Tesco's "work levels</w:t>
      </w:r>
      <w:r w:rsidR="002D52DC">
        <w:t>” (</w:t>
      </w:r>
      <w:r w:rsidR="002D52DC">
        <w:rPr>
          <w:shd w:val="clear" w:color="auto" w:fill="FFFFFF"/>
        </w:rPr>
        <w:t>Wadsworth et al., 2016)</w:t>
      </w:r>
    </w:p>
    <w:p w14:paraId="2653FA2A" w14:textId="1D495FAE" w:rsidR="00933CB7" w:rsidRDefault="00AD4A61" w:rsidP="00AD4A61">
      <w:pPr>
        <w:pStyle w:val="Titlu2"/>
      </w:pPr>
      <w:bookmarkStart w:id="3" w:name="_Toc123756987"/>
      <w:r>
        <w:t>b) Explaining to what extent that the CIPD map could be applied to HR professionals working on a global scale regardless of sectors and sizes of organizations</w:t>
      </w:r>
      <w:bookmarkEnd w:id="3"/>
    </w:p>
    <w:p w14:paraId="0DD626CA" w14:textId="5AF60359" w:rsidR="00D51C6A" w:rsidRDefault="00D51C6A" w:rsidP="00D51C6A">
      <w:r>
        <w:t>Notably, the map defines the foundational elements necessary for excellent HR management in at least ten areas of expertise and supports at least 8 professional behaviors for effective practices, making it a valuable resource for both individuals and businesses</w:t>
      </w:r>
      <w:r w:rsidR="000548F4">
        <w:t xml:space="preserve"> (</w:t>
      </w:r>
      <w:r w:rsidR="000548F4">
        <w:rPr>
          <w:shd w:val="clear" w:color="auto" w:fill="FFFFFF"/>
        </w:rPr>
        <w:t>Maheshwari et al., 2017)</w:t>
      </w:r>
      <w:r>
        <w:t>.</w:t>
      </w:r>
      <w:r w:rsidR="000548F4">
        <w:t xml:space="preserve"> A</w:t>
      </w:r>
      <w:r>
        <w:t>ssesses the definition of a human resources professional and how well the CIPD professional map supports that description. In addition, this article would analyze how these two professions and at least two behaviors contribute to "HR Professionalism." At the end of the presentation, I'll discuss the rationale, significance, and practical applicability of the four CIPD circular pattern of HR professionals.</w:t>
      </w:r>
    </w:p>
    <w:p w14:paraId="49441BC2" w14:textId="6EEE0807" w:rsidR="007E7183" w:rsidRDefault="007E7183" w:rsidP="00D51C6A">
      <w:r>
        <w:rPr>
          <w:noProof/>
        </w:rPr>
        <w:lastRenderedPageBreak/>
        <w:drawing>
          <wp:anchor distT="0" distB="0" distL="114300" distR="114300" simplePos="0" relativeHeight="251658240" behindDoc="0" locked="0" layoutInCell="1" allowOverlap="1" wp14:anchorId="3174EC96" wp14:editId="244A714A">
            <wp:simplePos x="0" y="0"/>
            <wp:positionH relativeFrom="column">
              <wp:posOffset>3012440</wp:posOffset>
            </wp:positionH>
            <wp:positionV relativeFrom="paragraph">
              <wp:posOffset>557530</wp:posOffset>
            </wp:positionV>
            <wp:extent cx="2838450" cy="21558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38450" cy="2155825"/>
                    </a:xfrm>
                    <a:prstGeom prst="rect">
                      <a:avLst/>
                    </a:prstGeom>
                  </pic:spPr>
                </pic:pic>
              </a:graphicData>
            </a:graphic>
            <wp14:sizeRelH relativeFrom="margin">
              <wp14:pctWidth>0</wp14:pctWidth>
            </wp14:sizeRelH>
            <wp14:sizeRelV relativeFrom="margin">
              <wp14:pctHeight>0</wp14:pctHeight>
            </wp14:sizeRelV>
          </wp:anchor>
        </w:drawing>
      </w:r>
      <w:r w:rsidR="00D51C6A">
        <w:t>The Chartered Institute of Personnel and Development (CIPD) equips human resource (HR) and learning and development (L&amp;D) professionals with essential habits that increase their productivity over the course of their careers</w:t>
      </w:r>
      <w:r w:rsidR="00A2694E">
        <w:t xml:space="preserve"> (</w:t>
      </w:r>
      <w:r w:rsidR="00A2694E">
        <w:rPr>
          <w:shd w:val="clear" w:color="auto" w:fill="FFFFFF"/>
        </w:rPr>
        <w:t>Fontaine et al., 2020)</w:t>
      </w:r>
      <w:r w:rsidR="00D51C6A">
        <w:t>. The CIPD professional map includes several helpful behaviors for HR and L&amp;D professionals to exhibit in order to carry out their duties effectively. When people work together and show genuine interest in one another, they are more likely to come up with the innovative ideas, methods, and strategies that will help them and the company succeed</w:t>
      </w:r>
      <w:r w:rsidR="00284C05">
        <w:t xml:space="preserve"> (</w:t>
      </w:r>
      <w:r w:rsidR="00284C05">
        <w:rPr>
          <w:shd w:val="clear" w:color="auto" w:fill="FFFFFF"/>
        </w:rPr>
        <w:t>Maheshwari et al.,</w:t>
      </w:r>
      <w:r w:rsidR="009D6A05">
        <w:rPr>
          <w:shd w:val="clear" w:color="auto" w:fill="FFFFFF"/>
        </w:rPr>
        <w:t xml:space="preserve"> </w:t>
      </w:r>
      <w:r w:rsidR="00284C05">
        <w:rPr>
          <w:shd w:val="clear" w:color="auto" w:fill="FFFFFF"/>
        </w:rPr>
        <w:t>2017)</w:t>
      </w:r>
      <w:r w:rsidR="00D51C6A">
        <w:t>. As a result, the actions elevate the idea of "HR professionalism" throughout all levels of the organization's hierarchy.</w:t>
      </w:r>
    </w:p>
    <w:p w14:paraId="7FBC3475" w14:textId="77D2FD3F" w:rsidR="00D51C6A" w:rsidRDefault="00D51C6A" w:rsidP="00D51C6A">
      <w:r>
        <w:t>By working together, experts can complete their tasks with a wide variety of people both inside and outside the company. HR professionals, for instance, are expected to help out wherever they can, from assisting with paperwork to providing moral support. By working together, they can learn more efficient methods of performing their duties. In addition, L&amp;D experts value reciprocal behavior since it improves band-two contact in a way that pinpoints problems before implementing solutions.</w:t>
      </w:r>
    </w:p>
    <w:p w14:paraId="03B84E9D" w14:textId="0B5591EC" w:rsidR="00D51C6A" w:rsidRDefault="00D51C6A" w:rsidP="00D51C6A">
      <w:r>
        <w:t>The Chartered Institute of Personnel and Development (CIPD) aids workers of all levels of expertise in performing their jobs to the best of their abilities, which in turn satisfies the needs of the many people who have an interest in any given business or economic sector. The CIPD's four concentric circles serve to improve efficiency by outlining where professionals should put their attention</w:t>
      </w:r>
      <w:r w:rsidR="00463468">
        <w:t xml:space="preserve"> (</w:t>
      </w:r>
      <w:r w:rsidR="00463468">
        <w:rPr>
          <w:shd w:val="clear" w:color="auto" w:fill="FFFFFF"/>
        </w:rPr>
        <w:t>Maheshwari et al., 2017)</w:t>
      </w:r>
      <w:r>
        <w:t>. Consequently, the four bands on the map aim to encourage the formation of a clear route while simultaneously persuading the experts to zero in on their own development plans and niche projects within the larger context of the business.</w:t>
      </w:r>
    </w:p>
    <w:p w14:paraId="054DD8FE" w14:textId="5056C418" w:rsidR="00D51C6A" w:rsidRDefault="00D51C6A" w:rsidP="00D51C6A">
      <w:r>
        <w:t xml:space="preserve">In other words, the HR specialist can use the expected standards necessary for their professional engagements and development, as represented by the four concentric circles. As a result, individuals with varied levels of expertise are able to collaborate more effectively across departments and departments to generate more value for the organization as a whole. Therefore, </w:t>
      </w:r>
      <w:r>
        <w:lastRenderedPageBreak/>
        <w:t>employees should maintain an active role throughout their careers to aid in their ongoing development.</w:t>
      </w:r>
    </w:p>
    <w:p w14:paraId="22E85A9F" w14:textId="3C6297FD" w:rsidR="00886A6D" w:rsidRPr="00886A6D" w:rsidRDefault="00D51C6A" w:rsidP="00D51C6A">
      <w:r>
        <w:t>Several areas of expertise are highlighted by the practical implementation of the four bands. To better connect HR professionals with their customers, the circles are set up to do so (</w:t>
      </w:r>
      <w:r w:rsidR="00C12680">
        <w:rPr>
          <w:shd w:val="clear" w:color="auto" w:fill="FFFFFF"/>
        </w:rPr>
        <w:t>Fontaine et al., 2020</w:t>
      </w:r>
      <w:r>
        <w:t>). In addition, the specialists are influenced by the four bands to concentrate on the proper tasks that contribute to their development as professionals. More so, the CIPD's concentric circles highlight where HR experts should focus their efforts. The four rings also make it easier to evaluate and appraise the HR expert's achievements.</w:t>
      </w:r>
    </w:p>
    <w:p w14:paraId="38328ADE" w14:textId="55B67902" w:rsidR="00313925" w:rsidRDefault="00313925" w:rsidP="00313925">
      <w:pPr>
        <w:pStyle w:val="Titlu1"/>
      </w:pPr>
      <w:bookmarkStart w:id="4" w:name="_Toc123756988"/>
      <w:r>
        <w:t>Part 2</w:t>
      </w:r>
      <w:bookmarkEnd w:id="4"/>
    </w:p>
    <w:p w14:paraId="544D1E30" w14:textId="4F2FAE4B" w:rsidR="007A301F" w:rsidRPr="007A301F" w:rsidRDefault="007A301F" w:rsidP="007A301F">
      <w:pPr>
        <w:pStyle w:val="Titlu2"/>
      </w:pPr>
      <w:bookmarkStart w:id="5" w:name="_Toc123756989"/>
      <w:r>
        <w:t>a) The reasons why do public sector in the UK is facing skills shortages despite the high unemployment rate</w:t>
      </w:r>
      <w:bookmarkEnd w:id="5"/>
    </w:p>
    <w:p w14:paraId="23738071" w14:textId="173F58BD" w:rsidR="00B72796" w:rsidRDefault="000F50FE" w:rsidP="00B72796">
      <w:r w:rsidRPr="000F50FE">
        <w:t>An Oxford University study found that workforce shortages in the United Kingdom have become even more severe over the previous year, especially in industries that rely significantly on immigration</w:t>
      </w:r>
      <w:r w:rsidR="005D4CC9">
        <w:t xml:space="preserve"> (</w:t>
      </w:r>
      <w:r w:rsidR="005D4CC9">
        <w:rPr>
          <w:shd w:val="clear" w:color="auto" w:fill="FFFFFF"/>
        </w:rPr>
        <w:t>Mayhew and Anand, 2020)</w:t>
      </w:r>
      <w:r w:rsidRPr="000F50FE">
        <w:t>. The data shows that the number of EU workers in industries like the hotel and corporate support services industries has decreased while the number of job openings has increased, and companies have less opportunities to hire from outside the EU</w:t>
      </w:r>
      <w:r w:rsidR="009C37C7">
        <w:t xml:space="preserve"> (</w:t>
      </w:r>
      <w:r w:rsidR="009C37C7">
        <w:rPr>
          <w:shd w:val="clear" w:color="auto" w:fill="FFFFFF"/>
        </w:rPr>
        <w:t>Brunello and Wruuck, 2019)</w:t>
      </w:r>
      <w:r w:rsidR="00B72796">
        <w:t>.</w:t>
      </w:r>
    </w:p>
    <w:p w14:paraId="433ED6E2" w14:textId="20250574" w:rsidR="00B72796" w:rsidRDefault="00B72796" w:rsidP="00B72796">
      <w:r>
        <w:t>The scholars did not find any indication that businesses have raised pay to compete with the bloc in order to hire persons born in the United Kingdom to fill positions previously filled by EU nationals.</w:t>
      </w:r>
      <w:r w:rsidR="00F41804">
        <w:t xml:space="preserve"> </w:t>
      </w:r>
      <w:r>
        <w:t>The authors of a recent study were careful not to place all of the blame for labor shortages on Brexit, given that many nations still recovering from the pandemic have had trouble filling positions in industries like travel.</w:t>
      </w:r>
      <w:r w:rsidR="00F41804">
        <w:t xml:space="preserve"> </w:t>
      </w:r>
      <w:r>
        <w:t>In addition to Brexit, the early retirement of workers over the age of 50 has wreaked havoc on the UK labor market.</w:t>
      </w:r>
    </w:p>
    <w:p w14:paraId="49E56654" w14:textId="5D9C4F0A" w:rsidR="00B72796" w:rsidRDefault="00B72796" w:rsidP="00B72796">
      <w:r>
        <w:t>Yet the sectors most reliant on EU labor prior to the pandemic experienced the greatest shortages and vacancies in personnel. These industries were unable to take advantage of new visa pathways to hire foreign labor because of low wages.</w:t>
      </w:r>
      <w:r w:rsidR="002128E9">
        <w:t xml:space="preserve"> </w:t>
      </w:r>
      <w:r>
        <w:t>Both the hospitality industry and ancillary services like warehouse and security personnel were represented.</w:t>
      </w:r>
    </w:p>
    <w:p w14:paraId="0A43730D" w14:textId="5CB6AC52" w:rsidR="00313925" w:rsidRDefault="00B72796" w:rsidP="00B72796">
      <w:r>
        <w:t xml:space="preserve">According to the research, there has been a significant change from EU to non-EU migration in the health and agricultural sectors due to access to workers from outside the EU through special </w:t>
      </w:r>
      <w:r>
        <w:lastRenderedPageBreak/>
        <w:t xml:space="preserve">visa </w:t>
      </w:r>
      <w:r w:rsidR="00AE0A79">
        <w:t>programs</w:t>
      </w:r>
      <w:r w:rsidR="000E122D">
        <w:t xml:space="preserve"> (</w:t>
      </w:r>
      <w:r w:rsidR="000E122D">
        <w:rPr>
          <w:shd w:val="clear" w:color="auto" w:fill="FFFFFF"/>
        </w:rPr>
        <w:t>Mayhew and Anand, 2020)</w:t>
      </w:r>
      <w:r>
        <w:t>.</w:t>
      </w:r>
      <w:r w:rsidR="002128E9">
        <w:t xml:space="preserve"> </w:t>
      </w:r>
      <w:r>
        <w:t>The statistics only went up to June 2021, however the percentage of EU people working decreased by 6% compared to the same month two years earlier, while the percentage of non-EU migrants working climbed by 9%</w:t>
      </w:r>
      <w:r w:rsidR="003A1F40">
        <w:t xml:space="preserve"> (</w:t>
      </w:r>
      <w:r w:rsidR="003A1F40">
        <w:rPr>
          <w:shd w:val="clear" w:color="auto" w:fill="FFFFFF"/>
        </w:rPr>
        <w:t>Butterick and Charlwood, 2021)</w:t>
      </w:r>
      <w:r>
        <w:t>.</w:t>
      </w:r>
      <w:r w:rsidR="00381D8D">
        <w:t xml:space="preserve"> </w:t>
      </w:r>
      <w:r>
        <w:t>Statistics demonstrated that "limiting free movement has made it tougher for companies in low-wage industries to recruit personnel," as stated by the report's co-author and director of Oxford University's Migration Observatory</w:t>
      </w:r>
      <w:r w:rsidR="000F52E8">
        <w:t xml:space="preserve"> </w:t>
      </w:r>
      <w:r w:rsidR="00350C7A">
        <w:t>(Sumption, 2019)</w:t>
      </w:r>
      <w:r>
        <w:t>. However, she did warn that increasing the number of visas available to foreign-born employees with lesser skills wasn't always the solution to this problem.</w:t>
      </w:r>
    </w:p>
    <w:p w14:paraId="6CA1072E" w14:textId="6CCA58DE" w:rsidR="00193B1C" w:rsidRDefault="00193B1C" w:rsidP="00193B1C">
      <w:r>
        <w:t>Within a company, adaptability is crucial. It is more likely that shortages will affect companies that have to renegotiate adjustments in staff shortages and wages. One possible explanation is that these businesses are less adaptable. Moreover, businesses with large workforces or that employ part-time workers are less prone to have shortages. This supports the hypothesis that they have the flexibility to fill in where there are vacancies in the workforce. Earlier evidence supports these findings as well; the MSC discovered that demarcation issues exacerbated shortages and larger enterprises were less likely to experience shortages</w:t>
      </w:r>
      <w:r w:rsidR="002E3C8E">
        <w:t xml:space="preserve"> (</w:t>
      </w:r>
      <w:r w:rsidR="002E3C8E">
        <w:rPr>
          <w:shd w:val="clear" w:color="auto" w:fill="FFFFFF"/>
        </w:rPr>
        <w:t>Brunello and Wruuck, 2019)</w:t>
      </w:r>
      <w:r>
        <w:t>. The nature of the company is significant. Employment shortages are less common in places where workers have the option to join a union, receive pay based on performance, or where layoffs have not occurred. The MSC also uncovered evidence of the union effect. Also, businesses that have stronger oligopoly power or that are less vulnerable to international competition are less likely to have shortages.</w:t>
      </w:r>
    </w:p>
    <w:p w14:paraId="5827E9C2" w14:textId="423DCC01" w:rsidR="00AE0A79" w:rsidRDefault="00193B1C" w:rsidP="00193B1C">
      <w:r>
        <w:t>The findings agree with the theoretical framework and the existing evidence about the root causes of shortages. The potential for reverse causality is heightened by the fact that the data are cross-sectional. This situation, though, might not be as dire as it seems. By analyzing cyclical variables, for instance, one can predict that rising shortages would lead to decreased output and, by extension, firm sales. If shortages were to worsen, output would likely fall as a result. Additional shortages may reduce employment, but only if skilled employees are a necessary supplement to the unskilled</w:t>
      </w:r>
      <w:r w:rsidR="00AE0A79">
        <w:t>.</w:t>
      </w:r>
    </w:p>
    <w:p w14:paraId="078536FA" w14:textId="4F3FB465" w:rsidR="00580DE3" w:rsidRDefault="00580DE3" w:rsidP="00C60DBD">
      <w:pPr>
        <w:pStyle w:val="Titlu2"/>
      </w:pPr>
      <w:bookmarkStart w:id="6" w:name="_Toc123756990"/>
      <w:r>
        <w:t>b)</w:t>
      </w:r>
      <w:r w:rsidR="00C60DBD">
        <w:t xml:space="preserve"> The long-term labour market developments to address the skills shortages in healthcare sector professions in the UK</w:t>
      </w:r>
      <w:bookmarkEnd w:id="6"/>
    </w:p>
    <w:p w14:paraId="49C3DD65" w14:textId="7129737F" w:rsidR="00A51C7A" w:rsidRPr="00A51C7A" w:rsidRDefault="00A51C7A" w:rsidP="003B059B">
      <w:pPr>
        <w:rPr>
          <w:shd w:val="clear" w:color="auto" w:fill="FFFFFF"/>
        </w:rPr>
      </w:pPr>
      <w:r w:rsidRPr="00A51C7A">
        <w:rPr>
          <w:shd w:val="clear" w:color="auto" w:fill="FFFFFF"/>
        </w:rPr>
        <w:t xml:space="preserve">New talent strategies should be planned and implemented ahead of time because talent shortages in the healthcare business are only predicted to worsen in the future years. As the baby boomer </w:t>
      </w:r>
      <w:r w:rsidRPr="00A51C7A">
        <w:rPr>
          <w:shd w:val="clear" w:color="auto" w:fill="FFFFFF"/>
        </w:rPr>
        <w:lastRenderedPageBreak/>
        <w:t xml:space="preserve">generation matures, there will be a greater need for medical care. Furthermore, a sizable proportion of the healthcare workforce is approaching retirement age. Younger workers aren't being produced fast enough to meet demand. </w:t>
      </w:r>
      <w:r w:rsidR="009B2BC5">
        <w:rPr>
          <w:shd w:val="clear" w:color="auto" w:fill="FFFFFF"/>
        </w:rPr>
        <w:t xml:space="preserve">According to Duell, Thurau &amp; Vetter, (2016), </w:t>
      </w:r>
      <w:r w:rsidR="00C457A6">
        <w:rPr>
          <w:shd w:val="clear" w:color="auto" w:fill="FFFFFF"/>
        </w:rPr>
        <w:t>c</w:t>
      </w:r>
      <w:r w:rsidRPr="00A51C7A">
        <w:rPr>
          <w:shd w:val="clear" w:color="auto" w:fill="FFFFFF"/>
        </w:rPr>
        <w:t>omprehensive workforce planning, developing a strong talent pipeline, concentrating on retaining current employees, and appealing to youth of today that</w:t>
      </w:r>
      <w:r w:rsidR="00FC27EE">
        <w:rPr>
          <w:shd w:val="clear" w:color="auto" w:fill="FFFFFF"/>
        </w:rPr>
        <w:t xml:space="preserve"> shall </w:t>
      </w:r>
      <w:r w:rsidRPr="00A51C7A">
        <w:rPr>
          <w:shd w:val="clear" w:color="auto" w:fill="FFFFFF"/>
        </w:rPr>
        <w:t>be required to move into those roles are all things health care organizations should be doing now to prepare for the future.</w:t>
      </w:r>
    </w:p>
    <w:p w14:paraId="7A114D9F" w14:textId="0DE1A219" w:rsidR="00A51C7A" w:rsidRPr="00A51C7A" w:rsidRDefault="00A51C7A" w:rsidP="003B059B">
      <w:pPr>
        <w:rPr>
          <w:shd w:val="clear" w:color="auto" w:fill="FFFFFF"/>
        </w:rPr>
      </w:pPr>
      <w:r w:rsidRPr="00A51C7A">
        <w:rPr>
          <w:shd w:val="clear" w:color="auto" w:fill="FFFFFF"/>
        </w:rPr>
        <w:t>Each company will face a unique future. A healthcare provider in a region like Florida or the Southwest, where there are many seniors, will have different staffing demands than one in a hip urban location in the Pacific Northwest or East Coast, where the average age and health of the population is much higher</w:t>
      </w:r>
      <w:r w:rsidR="00E311CA">
        <w:rPr>
          <w:shd w:val="clear" w:color="auto" w:fill="FFFFFF"/>
        </w:rPr>
        <w:t xml:space="preserve"> (Sumption, 2019)</w:t>
      </w:r>
      <w:r w:rsidRPr="00A51C7A">
        <w:rPr>
          <w:shd w:val="clear" w:color="auto" w:fill="FFFFFF"/>
        </w:rPr>
        <w:t xml:space="preserve">. </w:t>
      </w:r>
    </w:p>
    <w:p w14:paraId="176528EC" w14:textId="65AEF8AB" w:rsidR="00E53ADF" w:rsidRDefault="00A51C7A" w:rsidP="003B059B">
      <w:pPr>
        <w:rPr>
          <w:shd w:val="clear" w:color="auto" w:fill="FFFFFF"/>
        </w:rPr>
      </w:pPr>
      <w:r w:rsidRPr="00A51C7A">
        <w:rPr>
          <w:shd w:val="clear" w:color="auto" w:fill="FFFFFF"/>
        </w:rPr>
        <w:t>Workforce planners can benefit greatly from data analytics. The American Hospital Association advises businesses to conduct in-depth analyses of relevant data, such as workforce demographics as they currently stand, projected workforce needs in the future, and the influence of external factors like the rise of independent clinics and emergency rooms and the rise of healthcare delivery platforms like healthcare.gov</w:t>
      </w:r>
      <w:r w:rsidR="001C1803">
        <w:rPr>
          <w:shd w:val="clear" w:color="auto" w:fill="FFFFFF"/>
        </w:rPr>
        <w:t xml:space="preserve"> (Sumption, 2019)</w:t>
      </w:r>
      <w:r w:rsidRPr="00A51C7A">
        <w:rPr>
          <w:shd w:val="clear" w:color="auto" w:fill="FFFFFF"/>
        </w:rPr>
        <w:t xml:space="preserve">. By using predictive and prescriptive analytics, healthcare companies may better anticipate their staffing requirements and assess how potential decisions can affect those requirements. </w:t>
      </w:r>
    </w:p>
    <w:p w14:paraId="04DBB61D" w14:textId="11E42895" w:rsidR="00A51C7A" w:rsidRPr="00A51C7A" w:rsidRDefault="00A51C7A" w:rsidP="003B059B">
      <w:pPr>
        <w:rPr>
          <w:shd w:val="clear" w:color="auto" w:fill="FFFFFF"/>
        </w:rPr>
      </w:pPr>
      <w:r w:rsidRPr="00A51C7A">
        <w:rPr>
          <w:shd w:val="clear" w:color="auto" w:fill="FFFFFF"/>
        </w:rPr>
        <w:t>The Society for Human Resource Management claims that careful workforce planning can cut costs by preventing both under- and overstaffing. Organizations can have a better idea of when and how certain talent gaps will affect them if they use predictions</w:t>
      </w:r>
      <w:r w:rsidR="000022B9">
        <w:rPr>
          <w:shd w:val="clear" w:color="auto" w:fill="FFFFFF"/>
        </w:rPr>
        <w:t xml:space="preserve"> (Duell, Thurau and Vetter, 2016)</w:t>
      </w:r>
      <w:r w:rsidRPr="00A51C7A">
        <w:rPr>
          <w:shd w:val="clear" w:color="auto" w:fill="FFFFFF"/>
        </w:rPr>
        <w:t>. Health care firms may use this data to make educated decisions about how to best cultivate relationships, boost retention, and attract and retain a younger workforce.</w:t>
      </w:r>
    </w:p>
    <w:p w14:paraId="7B34A39E" w14:textId="578C0771" w:rsidR="004E4A0F" w:rsidRPr="00313925" w:rsidRDefault="00A51C7A" w:rsidP="003B059B">
      <w:r w:rsidRPr="00A51C7A">
        <w:rPr>
          <w:shd w:val="clear" w:color="auto" w:fill="FFFFFF"/>
        </w:rPr>
        <w:t>Increasing the number of young people who choose careers in the health care sector is an important strategy for addressing the current lack of qualified health care professionals. Human resources departments tend to have a myopic view of the workforce. They are mostly concerned with those who are already working in the healthcare field and have the necessary training and experience to do such tasks as nursing, medical assisting, and phlebotomy</w:t>
      </w:r>
      <w:r w:rsidR="00062E67">
        <w:rPr>
          <w:shd w:val="clear" w:color="auto" w:fill="FFFFFF"/>
        </w:rPr>
        <w:t xml:space="preserve"> (Butterick and Charlwood, 2021)</w:t>
      </w:r>
      <w:r w:rsidRPr="00A51C7A">
        <w:rPr>
          <w:shd w:val="clear" w:color="auto" w:fill="FFFFFF"/>
        </w:rPr>
        <w:t xml:space="preserve">. Not enough people are now in training or education to meet demand. The health care industry as a </w:t>
      </w:r>
      <w:r w:rsidR="00291358" w:rsidRPr="00A51C7A">
        <w:rPr>
          <w:shd w:val="clear" w:color="auto" w:fill="FFFFFF"/>
        </w:rPr>
        <w:t>whole need</w:t>
      </w:r>
      <w:r w:rsidRPr="00A51C7A">
        <w:rPr>
          <w:shd w:val="clear" w:color="auto" w:fill="FFFFFF"/>
        </w:rPr>
        <w:t xml:space="preserve"> to widen its focus and begin recruiting new talent from the younger generation. They must reach out to these potential employees earlier than ever</w:t>
      </w:r>
      <w:r w:rsidR="004E4A0F">
        <w:rPr>
          <w:shd w:val="clear" w:color="auto" w:fill="FFFFFF"/>
        </w:rPr>
        <w:t>.</w:t>
      </w:r>
    </w:p>
    <w:p w14:paraId="2CC3F15D" w14:textId="7BFE5746" w:rsidR="00F96B47" w:rsidRDefault="00F96B47" w:rsidP="00F96B47">
      <w:pPr>
        <w:pStyle w:val="Titlu1"/>
      </w:pPr>
      <w:bookmarkStart w:id="7" w:name="_Toc123756991"/>
      <w:r>
        <w:lastRenderedPageBreak/>
        <w:t>Conclusion</w:t>
      </w:r>
      <w:bookmarkEnd w:id="7"/>
    </w:p>
    <w:p w14:paraId="67670A65" w14:textId="19E8DAE5" w:rsidR="00B45A30" w:rsidRPr="00B45A30" w:rsidRDefault="007E6D46" w:rsidP="00B45A30">
      <w:r w:rsidRPr="007E6D46">
        <w:t>In conclusion, pay increases should be considered as one component of a comprehensive strategy to deal with labor shortages. While migration and retirement rates among health professionals may help alleviate shortages in the near term, these factors rarely resolve the underlying structural problems that cause them.</w:t>
      </w:r>
      <w:r>
        <w:t xml:space="preserve"> </w:t>
      </w:r>
      <w:r w:rsidR="00B45A30" w:rsidRPr="00B45A30">
        <w:t>Professionals in human resources are aided by the CIPD professional map in contemplating their functions and the core of efficient performance. The HR team uses its expertise to manage its own operations, those of its departments and divisions, and the entire business in order to fulfill the needs of its stakeholders.</w:t>
      </w:r>
      <w:r>
        <w:t xml:space="preserve"> </w:t>
      </w:r>
    </w:p>
    <w:p w14:paraId="6CE12259" w14:textId="77777777" w:rsidR="00B46270" w:rsidRDefault="00B46270">
      <w:pPr>
        <w:spacing w:line="259" w:lineRule="auto"/>
        <w:jc w:val="left"/>
        <w:rPr>
          <w:rFonts w:eastAsiaTheme="majorEastAsia" w:cstheme="majorBidi"/>
          <w:b/>
          <w:color w:val="2F5496" w:themeColor="accent1" w:themeShade="BF"/>
          <w:sz w:val="32"/>
          <w:szCs w:val="32"/>
        </w:rPr>
      </w:pPr>
      <w:r>
        <w:br w:type="page"/>
      </w:r>
    </w:p>
    <w:p w14:paraId="5C1BA474" w14:textId="39116F21" w:rsidR="00F96B47" w:rsidRDefault="00F96B47" w:rsidP="00F96B47">
      <w:pPr>
        <w:pStyle w:val="Titlu1"/>
      </w:pPr>
      <w:bookmarkStart w:id="8" w:name="_Toc123756992"/>
      <w:r>
        <w:lastRenderedPageBreak/>
        <w:t>References</w:t>
      </w:r>
      <w:bookmarkEnd w:id="8"/>
    </w:p>
    <w:p w14:paraId="4F401BC0" w14:textId="77777777" w:rsidR="00711E9D" w:rsidRDefault="00711E9D" w:rsidP="00711E9D">
      <w:pPr>
        <w:rPr>
          <w:shd w:val="clear" w:color="auto" w:fill="FFFFFF"/>
        </w:rPr>
      </w:pPr>
      <w:r>
        <w:rPr>
          <w:shd w:val="clear" w:color="auto" w:fill="FFFFFF"/>
        </w:rPr>
        <w:t>Armstrong, M. and Brown, D., 2019. Strategic Human Resource Management: back to the future. </w:t>
      </w:r>
      <w:r>
        <w:rPr>
          <w:i/>
          <w:iCs/>
          <w:shd w:val="clear" w:color="auto" w:fill="FFFFFF"/>
        </w:rPr>
        <w:t>Institute for Employment Studies reports</w:t>
      </w:r>
      <w:r>
        <w:rPr>
          <w:shd w:val="clear" w:color="auto" w:fill="FFFFFF"/>
        </w:rPr>
        <w:t>, pp.1-36.</w:t>
      </w:r>
    </w:p>
    <w:p w14:paraId="69757D59" w14:textId="77777777" w:rsidR="00711E9D" w:rsidRDefault="00711E9D" w:rsidP="00711E9D">
      <w:pPr>
        <w:rPr>
          <w:shd w:val="clear" w:color="auto" w:fill="FFFFFF"/>
        </w:rPr>
      </w:pPr>
      <w:r>
        <w:rPr>
          <w:shd w:val="clear" w:color="auto" w:fill="FFFFFF"/>
        </w:rPr>
        <w:t>Brunello, G. and Wruuck, P., 2019. Skill shortages and skill mismatch in Europe: A review of the literature.</w:t>
      </w:r>
    </w:p>
    <w:p w14:paraId="5B56AF0C" w14:textId="0A11066E" w:rsidR="00711E9D" w:rsidRDefault="00711E9D" w:rsidP="00711E9D">
      <w:pPr>
        <w:rPr>
          <w:shd w:val="clear" w:color="auto" w:fill="FFFFFF"/>
        </w:rPr>
      </w:pPr>
      <w:r>
        <w:rPr>
          <w:shd w:val="clear" w:color="auto" w:fill="FFFFFF"/>
        </w:rPr>
        <w:t>Butterick, M. and Charlwood, A., 2021. HRM and the COVID</w:t>
      </w:r>
      <w:r>
        <w:rPr>
          <w:rFonts w:ascii="Cambria Math" w:hAnsi="Cambria Math" w:cs="Cambria Math"/>
          <w:shd w:val="clear" w:color="auto" w:fill="FFFFFF"/>
        </w:rPr>
        <w:t>‐</w:t>
      </w:r>
      <w:r>
        <w:rPr>
          <w:shd w:val="clear" w:color="auto" w:fill="FFFFFF"/>
        </w:rPr>
        <w:t xml:space="preserve">19 pandemic: How can we stop making a bad situation </w:t>
      </w:r>
      <w:r w:rsidR="00543B10">
        <w:rPr>
          <w:shd w:val="clear" w:color="auto" w:fill="FFFFFF"/>
        </w:rPr>
        <w:t>worse?</w:t>
      </w:r>
      <w:r>
        <w:rPr>
          <w:shd w:val="clear" w:color="auto" w:fill="FFFFFF"/>
        </w:rPr>
        <w:t> </w:t>
      </w:r>
      <w:r>
        <w:rPr>
          <w:i/>
          <w:iCs/>
          <w:shd w:val="clear" w:color="auto" w:fill="FFFFFF"/>
        </w:rPr>
        <w:t>Human Resource Management Journal</w:t>
      </w:r>
      <w:r>
        <w:rPr>
          <w:shd w:val="clear" w:color="auto" w:fill="FFFFFF"/>
        </w:rPr>
        <w:t>, </w:t>
      </w:r>
      <w:r>
        <w:rPr>
          <w:i/>
          <w:iCs/>
          <w:shd w:val="clear" w:color="auto" w:fill="FFFFFF"/>
        </w:rPr>
        <w:t>31</w:t>
      </w:r>
      <w:r>
        <w:rPr>
          <w:shd w:val="clear" w:color="auto" w:fill="FFFFFF"/>
        </w:rPr>
        <w:t>(4), pp.847-856.</w:t>
      </w:r>
    </w:p>
    <w:p w14:paraId="278658E5" w14:textId="77777777" w:rsidR="00711E9D" w:rsidRPr="00B72796" w:rsidRDefault="00711E9D" w:rsidP="00711E9D">
      <w:r>
        <w:rPr>
          <w:shd w:val="clear" w:color="auto" w:fill="FFFFFF"/>
        </w:rPr>
        <w:t>Dawson, D., 2018. Organisational virtue, moral attentiveness, and the perceived role of ethics and social responsibility in business: The case of UK HR practitioners. </w:t>
      </w:r>
      <w:r>
        <w:rPr>
          <w:i/>
          <w:iCs/>
          <w:shd w:val="clear" w:color="auto" w:fill="FFFFFF"/>
        </w:rPr>
        <w:t>Journal of Business Ethics</w:t>
      </w:r>
      <w:r>
        <w:rPr>
          <w:shd w:val="clear" w:color="auto" w:fill="FFFFFF"/>
        </w:rPr>
        <w:t>, </w:t>
      </w:r>
      <w:r>
        <w:rPr>
          <w:i/>
          <w:iCs/>
          <w:shd w:val="clear" w:color="auto" w:fill="FFFFFF"/>
        </w:rPr>
        <w:t>148</w:t>
      </w:r>
      <w:r>
        <w:rPr>
          <w:shd w:val="clear" w:color="auto" w:fill="FFFFFF"/>
        </w:rPr>
        <w:t>(4), pp.765-781.</w:t>
      </w:r>
    </w:p>
    <w:p w14:paraId="680D147E" w14:textId="59E9D347" w:rsidR="00711E9D" w:rsidRDefault="00711E9D" w:rsidP="00711E9D">
      <w:pPr>
        <w:rPr>
          <w:shd w:val="clear" w:color="auto" w:fill="FFFFFF"/>
        </w:rPr>
      </w:pPr>
      <w:r>
        <w:rPr>
          <w:shd w:val="clear" w:color="auto" w:fill="FFFFFF"/>
        </w:rPr>
        <w:t>Duell, N., Thurau, L. and Vetter, T., 2016. </w:t>
      </w:r>
      <w:r>
        <w:rPr>
          <w:i/>
          <w:iCs/>
          <w:shd w:val="clear" w:color="auto" w:fill="FFFFFF"/>
        </w:rPr>
        <w:t>Long-term unemployment in the EU: Trends and policies</w:t>
      </w:r>
      <w:r>
        <w:rPr>
          <w:shd w:val="clear" w:color="auto" w:fill="FFFFFF"/>
        </w:rPr>
        <w:t xml:space="preserve"> (p. 12). </w:t>
      </w:r>
      <w:r w:rsidR="001B34EF">
        <w:rPr>
          <w:shd w:val="clear" w:color="auto" w:fill="FFFFFF"/>
        </w:rPr>
        <w:t>Gutersloh</w:t>
      </w:r>
      <w:r>
        <w:rPr>
          <w:shd w:val="clear" w:color="auto" w:fill="FFFFFF"/>
        </w:rPr>
        <w:t>: Bertelsmann Stiftung.</w:t>
      </w:r>
    </w:p>
    <w:p w14:paraId="58D814AB" w14:textId="77777777" w:rsidR="00711E9D" w:rsidRDefault="00711E9D" w:rsidP="00711E9D">
      <w:pPr>
        <w:rPr>
          <w:shd w:val="clear" w:color="auto" w:fill="FFFFFF"/>
        </w:rPr>
      </w:pPr>
      <w:r>
        <w:rPr>
          <w:shd w:val="clear" w:color="auto" w:fill="FFFFFF"/>
        </w:rPr>
        <w:t>Fontaine, I., Galvez-Iniesta, I., Gomes, P. and Vila-Martin, D., 2020. Labour market flows: Accounting for the public sector. </w:t>
      </w:r>
      <w:r>
        <w:rPr>
          <w:i/>
          <w:iCs/>
          <w:shd w:val="clear" w:color="auto" w:fill="FFFFFF"/>
        </w:rPr>
        <w:t>Labour Economics</w:t>
      </w:r>
      <w:r>
        <w:rPr>
          <w:shd w:val="clear" w:color="auto" w:fill="FFFFFF"/>
        </w:rPr>
        <w:t>, </w:t>
      </w:r>
      <w:r>
        <w:rPr>
          <w:i/>
          <w:iCs/>
          <w:shd w:val="clear" w:color="auto" w:fill="FFFFFF"/>
        </w:rPr>
        <w:t>62</w:t>
      </w:r>
      <w:r>
        <w:rPr>
          <w:shd w:val="clear" w:color="auto" w:fill="FFFFFF"/>
        </w:rPr>
        <w:t>, p.101770.</w:t>
      </w:r>
    </w:p>
    <w:p w14:paraId="749DB75D" w14:textId="77777777" w:rsidR="00711E9D" w:rsidRDefault="00711E9D" w:rsidP="00711E9D">
      <w:pPr>
        <w:rPr>
          <w:shd w:val="clear" w:color="auto" w:fill="FFFFFF"/>
        </w:rPr>
      </w:pPr>
      <w:r>
        <w:rPr>
          <w:shd w:val="clear" w:color="auto" w:fill="FFFFFF"/>
        </w:rPr>
        <w:t>Maheshwari, V., Gunesh, P., Lodorfos, G. and Konstantopoulou, A., 2017. Exploring HR practitioners’ perspective on employer branding and its role in organisational attractiveness and talent management. </w:t>
      </w:r>
      <w:r>
        <w:rPr>
          <w:i/>
          <w:iCs/>
          <w:shd w:val="clear" w:color="auto" w:fill="FFFFFF"/>
        </w:rPr>
        <w:t>International Journal of Organizational Analysis</w:t>
      </w:r>
      <w:r>
        <w:rPr>
          <w:shd w:val="clear" w:color="auto" w:fill="FFFFFF"/>
        </w:rPr>
        <w:t>, </w:t>
      </w:r>
      <w:r>
        <w:rPr>
          <w:i/>
          <w:iCs/>
          <w:shd w:val="clear" w:color="auto" w:fill="FFFFFF"/>
        </w:rPr>
        <w:t>25</w:t>
      </w:r>
      <w:r>
        <w:rPr>
          <w:shd w:val="clear" w:color="auto" w:fill="FFFFFF"/>
        </w:rPr>
        <w:t>(5), pp.742-761.</w:t>
      </w:r>
    </w:p>
    <w:p w14:paraId="6190636B" w14:textId="2523AB6D" w:rsidR="00711E9D" w:rsidRDefault="00711E9D" w:rsidP="00711E9D">
      <w:pPr>
        <w:rPr>
          <w:shd w:val="clear" w:color="auto" w:fill="FFFFFF"/>
        </w:rPr>
      </w:pPr>
      <w:r>
        <w:rPr>
          <w:shd w:val="clear" w:color="auto" w:fill="FFFFFF"/>
        </w:rPr>
        <w:t>Mayhew, K. and Anand, P., 2020. COVID-19 and the UK labour market. </w:t>
      </w:r>
      <w:r>
        <w:rPr>
          <w:i/>
          <w:iCs/>
          <w:shd w:val="clear" w:color="auto" w:fill="FFFFFF"/>
        </w:rPr>
        <w:t>Oxford Review of Economic Policy</w:t>
      </w:r>
      <w:r>
        <w:rPr>
          <w:shd w:val="clear" w:color="auto" w:fill="FFFFFF"/>
        </w:rPr>
        <w:t>, </w:t>
      </w:r>
      <w:r>
        <w:rPr>
          <w:i/>
          <w:iCs/>
          <w:shd w:val="clear" w:color="auto" w:fill="FFFFFF"/>
        </w:rPr>
        <w:t>36</w:t>
      </w:r>
      <w:r>
        <w:rPr>
          <w:shd w:val="clear" w:color="auto" w:fill="FFFFFF"/>
        </w:rPr>
        <w:t xml:space="preserve">(Supplement_1), </w:t>
      </w:r>
      <w:r w:rsidR="001B34EF">
        <w:rPr>
          <w:shd w:val="clear" w:color="auto" w:fill="FFFFFF"/>
        </w:rPr>
        <w:t>pp. S</w:t>
      </w:r>
      <w:r>
        <w:rPr>
          <w:shd w:val="clear" w:color="auto" w:fill="FFFFFF"/>
        </w:rPr>
        <w:t>215-S224.</w:t>
      </w:r>
    </w:p>
    <w:p w14:paraId="7B42EACA" w14:textId="77777777" w:rsidR="00711E9D" w:rsidRDefault="00711E9D" w:rsidP="00711E9D">
      <w:pPr>
        <w:rPr>
          <w:shd w:val="clear" w:color="auto" w:fill="FFFFFF"/>
        </w:rPr>
      </w:pPr>
      <w:r>
        <w:rPr>
          <w:shd w:val="clear" w:color="auto" w:fill="FFFFFF"/>
        </w:rPr>
        <w:t>Sumption, M., 2019. The Australian Points-based System: What is it and What Would its Impact be in the UK? </w:t>
      </w:r>
      <w:r>
        <w:rPr>
          <w:i/>
          <w:iCs/>
          <w:shd w:val="clear" w:color="auto" w:fill="FFFFFF"/>
        </w:rPr>
        <w:t>Migration Observatory Report</w:t>
      </w:r>
      <w:r>
        <w:rPr>
          <w:shd w:val="clear" w:color="auto" w:fill="FFFFFF"/>
        </w:rPr>
        <w:t>.</w:t>
      </w:r>
    </w:p>
    <w:p w14:paraId="51364F4D" w14:textId="77777777" w:rsidR="00711E9D" w:rsidRDefault="00711E9D" w:rsidP="00711E9D">
      <w:pPr>
        <w:rPr>
          <w:shd w:val="clear" w:color="auto" w:fill="FFFFFF"/>
        </w:rPr>
      </w:pPr>
      <w:r>
        <w:rPr>
          <w:shd w:val="clear" w:color="auto" w:fill="FFFFFF"/>
        </w:rPr>
        <w:t>Wadsworth, J., Dhingra, S., Ottaviano, G. and Van Reenen, J., 2016. Brexit and the Impact of Immigration on the UK. </w:t>
      </w:r>
      <w:r>
        <w:rPr>
          <w:i/>
          <w:iCs/>
          <w:shd w:val="clear" w:color="auto" w:fill="FFFFFF"/>
        </w:rPr>
        <w:t>CEP Brexit Analysis</w:t>
      </w:r>
      <w:r>
        <w:rPr>
          <w:shd w:val="clear" w:color="auto" w:fill="FFFFFF"/>
        </w:rPr>
        <w:t>, </w:t>
      </w:r>
      <w:r>
        <w:rPr>
          <w:i/>
          <w:iCs/>
          <w:shd w:val="clear" w:color="auto" w:fill="FFFFFF"/>
        </w:rPr>
        <w:t>5</w:t>
      </w:r>
      <w:r>
        <w:rPr>
          <w:shd w:val="clear" w:color="auto" w:fill="FFFFFF"/>
        </w:rPr>
        <w:t>, pp.34-53.</w:t>
      </w:r>
    </w:p>
    <w:sectPr w:rsidR="00711E9D" w:rsidSect="009A4413">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2651D" w14:textId="77777777" w:rsidR="0072353E" w:rsidRDefault="0072353E" w:rsidP="009A4413">
      <w:pPr>
        <w:spacing w:after="0" w:line="240" w:lineRule="auto"/>
      </w:pPr>
      <w:r>
        <w:separator/>
      </w:r>
    </w:p>
  </w:endnote>
  <w:endnote w:type="continuationSeparator" w:id="0">
    <w:p w14:paraId="34D86515" w14:textId="77777777" w:rsidR="0072353E" w:rsidRDefault="0072353E" w:rsidP="009A4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41695"/>
      <w:docPartObj>
        <w:docPartGallery w:val="Page Numbers (Bottom of Page)"/>
        <w:docPartUnique/>
      </w:docPartObj>
    </w:sdtPr>
    <w:sdtEndPr>
      <w:rPr>
        <w:noProof/>
      </w:rPr>
    </w:sdtEndPr>
    <w:sdtContent>
      <w:p w14:paraId="0862E78B" w14:textId="13D8E9C1" w:rsidR="009A4413" w:rsidRDefault="009A4413">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50E0631" w14:textId="77777777" w:rsidR="009A4413" w:rsidRDefault="009A441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EDA0E" w14:textId="77777777" w:rsidR="0072353E" w:rsidRDefault="0072353E" w:rsidP="009A4413">
      <w:pPr>
        <w:spacing w:after="0" w:line="240" w:lineRule="auto"/>
      </w:pPr>
      <w:r>
        <w:separator/>
      </w:r>
    </w:p>
  </w:footnote>
  <w:footnote w:type="continuationSeparator" w:id="0">
    <w:p w14:paraId="33FDB884" w14:textId="77777777" w:rsidR="0072353E" w:rsidRDefault="0072353E" w:rsidP="009A44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C47AE"/>
    <w:multiLevelType w:val="hybridMultilevel"/>
    <w:tmpl w:val="3DCC295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6F3FEA"/>
    <w:multiLevelType w:val="hybridMultilevel"/>
    <w:tmpl w:val="DFE0436C"/>
    <w:lvl w:ilvl="0" w:tplc="E9A4E61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271D80"/>
    <w:multiLevelType w:val="hybridMultilevel"/>
    <w:tmpl w:val="029A2D7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3995002">
    <w:abstractNumId w:val="2"/>
  </w:num>
  <w:num w:numId="2" w16cid:durableId="1092899327">
    <w:abstractNumId w:val="1"/>
  </w:num>
  <w:num w:numId="3" w16cid:durableId="1146512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06D"/>
    <w:rsid w:val="000022B9"/>
    <w:rsid w:val="000041BA"/>
    <w:rsid w:val="000548F4"/>
    <w:rsid w:val="00061C9A"/>
    <w:rsid w:val="00062E67"/>
    <w:rsid w:val="00072468"/>
    <w:rsid w:val="000A381A"/>
    <w:rsid w:val="000E122D"/>
    <w:rsid w:val="000F50FE"/>
    <w:rsid w:val="000F52E8"/>
    <w:rsid w:val="001034ED"/>
    <w:rsid w:val="00124DA8"/>
    <w:rsid w:val="00135248"/>
    <w:rsid w:val="00170569"/>
    <w:rsid w:val="00193B1C"/>
    <w:rsid w:val="001B34EF"/>
    <w:rsid w:val="001C1803"/>
    <w:rsid w:val="001D0425"/>
    <w:rsid w:val="001D098D"/>
    <w:rsid w:val="001D1F7C"/>
    <w:rsid w:val="002128E9"/>
    <w:rsid w:val="0025506F"/>
    <w:rsid w:val="00284C05"/>
    <w:rsid w:val="00285BDF"/>
    <w:rsid w:val="00291358"/>
    <w:rsid w:val="002C6769"/>
    <w:rsid w:val="002D52DC"/>
    <w:rsid w:val="002E3C8E"/>
    <w:rsid w:val="003072A2"/>
    <w:rsid w:val="00313925"/>
    <w:rsid w:val="003208CA"/>
    <w:rsid w:val="003361FB"/>
    <w:rsid w:val="00350C7A"/>
    <w:rsid w:val="003570A4"/>
    <w:rsid w:val="00367D91"/>
    <w:rsid w:val="00381D8D"/>
    <w:rsid w:val="003A1F40"/>
    <w:rsid w:val="003B059B"/>
    <w:rsid w:val="003B3D96"/>
    <w:rsid w:val="003C591E"/>
    <w:rsid w:val="003C64BC"/>
    <w:rsid w:val="003D7670"/>
    <w:rsid w:val="004476DE"/>
    <w:rsid w:val="00463468"/>
    <w:rsid w:val="004B4D0E"/>
    <w:rsid w:val="004C2EB1"/>
    <w:rsid w:val="004D19D0"/>
    <w:rsid w:val="004E4A0F"/>
    <w:rsid w:val="00543B10"/>
    <w:rsid w:val="00566826"/>
    <w:rsid w:val="00580DE3"/>
    <w:rsid w:val="005D4CC9"/>
    <w:rsid w:val="006F102A"/>
    <w:rsid w:val="00711E9D"/>
    <w:rsid w:val="0072353E"/>
    <w:rsid w:val="00723640"/>
    <w:rsid w:val="0076325C"/>
    <w:rsid w:val="007A301F"/>
    <w:rsid w:val="007B69FB"/>
    <w:rsid w:val="007E6D46"/>
    <w:rsid w:val="007E7183"/>
    <w:rsid w:val="00886A6D"/>
    <w:rsid w:val="008E6930"/>
    <w:rsid w:val="00906BAD"/>
    <w:rsid w:val="00933CB7"/>
    <w:rsid w:val="00944A2F"/>
    <w:rsid w:val="009A4413"/>
    <w:rsid w:val="009B0AAE"/>
    <w:rsid w:val="009B2BC5"/>
    <w:rsid w:val="009C37C7"/>
    <w:rsid w:val="009D6A05"/>
    <w:rsid w:val="009D7364"/>
    <w:rsid w:val="00A2694E"/>
    <w:rsid w:val="00A451BE"/>
    <w:rsid w:val="00A51C7A"/>
    <w:rsid w:val="00A60568"/>
    <w:rsid w:val="00A658E3"/>
    <w:rsid w:val="00A7176B"/>
    <w:rsid w:val="00AD4A61"/>
    <w:rsid w:val="00AE0A79"/>
    <w:rsid w:val="00B20067"/>
    <w:rsid w:val="00B45A30"/>
    <w:rsid w:val="00B46270"/>
    <w:rsid w:val="00B718CD"/>
    <w:rsid w:val="00B72796"/>
    <w:rsid w:val="00B81940"/>
    <w:rsid w:val="00BE5EF6"/>
    <w:rsid w:val="00C0206D"/>
    <w:rsid w:val="00C12680"/>
    <w:rsid w:val="00C200A2"/>
    <w:rsid w:val="00C457A6"/>
    <w:rsid w:val="00C60DBD"/>
    <w:rsid w:val="00C71089"/>
    <w:rsid w:val="00C81316"/>
    <w:rsid w:val="00CF02C3"/>
    <w:rsid w:val="00D11CBF"/>
    <w:rsid w:val="00D51C6A"/>
    <w:rsid w:val="00D87436"/>
    <w:rsid w:val="00E311CA"/>
    <w:rsid w:val="00E500BB"/>
    <w:rsid w:val="00E53ADF"/>
    <w:rsid w:val="00EA0E7B"/>
    <w:rsid w:val="00ED6861"/>
    <w:rsid w:val="00F41804"/>
    <w:rsid w:val="00F96B47"/>
    <w:rsid w:val="00FB60AD"/>
    <w:rsid w:val="00FC27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2F476"/>
  <w15:chartTrackingRefBased/>
  <w15:docId w15:val="{5EEBC2B9-69B6-433F-97D5-E91410F2F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067"/>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0041BA"/>
    <w:pPr>
      <w:keepNext/>
      <w:keepLines/>
      <w:spacing w:before="240" w:after="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autoRedefine/>
    <w:uiPriority w:val="9"/>
    <w:unhideWhenUsed/>
    <w:qFormat/>
    <w:rsid w:val="00E500BB"/>
    <w:pPr>
      <w:keepNext/>
      <w:keepLines/>
      <w:spacing w:before="40" w:after="0"/>
      <w:outlineLvl w:val="1"/>
    </w:pPr>
    <w:rPr>
      <w:b/>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041BA"/>
    <w:rPr>
      <w:rFonts w:ascii="Times New Roman" w:eastAsiaTheme="majorEastAsia" w:hAnsi="Times New Roman" w:cstheme="majorBidi"/>
      <w:b/>
      <w:color w:val="2F5496" w:themeColor="accent1" w:themeShade="BF"/>
      <w:sz w:val="32"/>
      <w:szCs w:val="32"/>
    </w:rPr>
  </w:style>
  <w:style w:type="character" w:customStyle="1" w:styleId="Titlu2Caracter">
    <w:name w:val="Titlu 2 Caracter"/>
    <w:basedOn w:val="Fontdeparagrafimplicit"/>
    <w:link w:val="Titlu2"/>
    <w:uiPriority w:val="9"/>
    <w:rsid w:val="00E500BB"/>
    <w:rPr>
      <w:rFonts w:ascii="Times New Roman" w:hAnsi="Times New Roman"/>
      <w:b/>
      <w:color w:val="2F5496" w:themeColor="accent1" w:themeShade="BF"/>
      <w:sz w:val="24"/>
    </w:rPr>
  </w:style>
  <w:style w:type="paragraph" w:styleId="Listparagraf">
    <w:name w:val="List Paragraph"/>
    <w:basedOn w:val="Normal"/>
    <w:uiPriority w:val="34"/>
    <w:qFormat/>
    <w:rsid w:val="00F96B47"/>
    <w:pPr>
      <w:ind w:left="720"/>
      <w:contextualSpacing/>
    </w:pPr>
  </w:style>
  <w:style w:type="paragraph" w:styleId="Titlucuprins">
    <w:name w:val="TOC Heading"/>
    <w:basedOn w:val="Titlu1"/>
    <w:next w:val="Normal"/>
    <w:uiPriority w:val="39"/>
    <w:unhideWhenUsed/>
    <w:qFormat/>
    <w:rsid w:val="009A4413"/>
    <w:pPr>
      <w:spacing w:line="259" w:lineRule="auto"/>
      <w:jc w:val="left"/>
      <w:outlineLvl w:val="9"/>
    </w:pPr>
    <w:rPr>
      <w:rFonts w:asciiTheme="majorHAnsi" w:hAnsiTheme="majorHAnsi"/>
      <w:b w:val="0"/>
    </w:rPr>
  </w:style>
  <w:style w:type="paragraph" w:styleId="Cuprins1">
    <w:name w:val="toc 1"/>
    <w:basedOn w:val="Normal"/>
    <w:next w:val="Normal"/>
    <w:autoRedefine/>
    <w:uiPriority w:val="39"/>
    <w:unhideWhenUsed/>
    <w:rsid w:val="009A4413"/>
    <w:pPr>
      <w:spacing w:after="100"/>
    </w:pPr>
  </w:style>
  <w:style w:type="paragraph" w:styleId="Cuprins2">
    <w:name w:val="toc 2"/>
    <w:basedOn w:val="Normal"/>
    <w:next w:val="Normal"/>
    <w:autoRedefine/>
    <w:uiPriority w:val="39"/>
    <w:unhideWhenUsed/>
    <w:rsid w:val="009A4413"/>
    <w:pPr>
      <w:spacing w:after="100"/>
      <w:ind w:left="240"/>
    </w:pPr>
  </w:style>
  <w:style w:type="character" w:styleId="Hyperlink">
    <w:name w:val="Hyperlink"/>
    <w:basedOn w:val="Fontdeparagrafimplicit"/>
    <w:uiPriority w:val="99"/>
    <w:unhideWhenUsed/>
    <w:rsid w:val="009A4413"/>
    <w:rPr>
      <w:color w:val="0563C1" w:themeColor="hyperlink"/>
      <w:u w:val="single"/>
    </w:rPr>
  </w:style>
  <w:style w:type="paragraph" w:styleId="Antet">
    <w:name w:val="header"/>
    <w:basedOn w:val="Normal"/>
    <w:link w:val="AntetCaracter"/>
    <w:uiPriority w:val="99"/>
    <w:unhideWhenUsed/>
    <w:rsid w:val="009A441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A4413"/>
    <w:rPr>
      <w:rFonts w:ascii="Times New Roman" w:hAnsi="Times New Roman"/>
      <w:sz w:val="24"/>
    </w:rPr>
  </w:style>
  <w:style w:type="paragraph" w:styleId="Subsol">
    <w:name w:val="footer"/>
    <w:basedOn w:val="Normal"/>
    <w:link w:val="SubsolCaracter"/>
    <w:uiPriority w:val="99"/>
    <w:unhideWhenUsed/>
    <w:rsid w:val="009A441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A441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570D81-B89B-4347-A335-4D2E791688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2697</Words>
  <Characters>15644</Characters>
  <Application>Microsoft Office Word</Application>
  <DocSecurity>0</DocSecurity>
  <Lines>130</Lines>
  <Paragraphs>36</Paragraphs>
  <ScaleCrop>false</ScaleCrop>
  <Company/>
  <LinksUpToDate>false</LinksUpToDate>
  <CharactersWithSpaces>18305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Talha</dc:creator>
  <cp:keywords/>
  <dc:description/>
  <cp:lastModifiedBy>Anca Georgiana Cretan (2030045)</cp:lastModifiedBy>
  <cp:revision>3</cp:revision>
  <dcterms:created xsi:type="dcterms:W3CDTF">2023-01-07T11:59:00Z</dcterms:created>
  <dcterms:modified xsi:type="dcterms:W3CDTF">2023-01-07T12:04:00Z</dcterms:modified>
</cp:coreProperties>
</file>