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D57A969" wp14:paraId="37BBA328" wp14:textId="2809253D">
      <w:pPr>
        <w:pStyle w:val="Normal"/>
        <w:ind w:left="-20" w:right="-20"/>
        <w:jc w:val="both"/>
      </w:pPr>
      <w:r w:rsidRPr="2D57A969">
        <w:rPr>
          <w:b w:val="1"/>
          <w:bCs w:val="1"/>
        </w:rPr>
        <w:br w:type="page"/>
      </w:r>
      <w:r w:rsidRPr="2D57A969" w:rsidR="3D513135">
        <w:rPr>
          <w:rFonts w:ascii="Arial" w:hAnsi="Arial" w:eastAsia="Arial" w:cs="Arial"/>
          <w:b w:val="1"/>
          <w:bCs w:val="1"/>
          <w:i w:val="0"/>
          <w:iCs w:val="0"/>
          <w:caps w:val="0"/>
          <w:smallCaps w:val="0"/>
          <w:noProof w:val="0"/>
          <w:color w:val="000000" w:themeColor="text1" w:themeTint="FF" w:themeShade="FF"/>
          <w:sz w:val="22"/>
          <w:szCs w:val="22"/>
          <w:lang w:val="en-GB"/>
        </w:rPr>
        <w:t xml:space="preserve">A written assignment critically evaluating how Assessment for Learning can be utilised in a series of learning opportunities to aid progression across chosen areas of learning and experience.  </w:t>
      </w:r>
      <w:r w:rsidRPr="2D57A969" w:rsidR="1BA978A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D57A969" w:rsidR="1BA978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In this assignment I will be evaluating Assessment for Learning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strategies and how they develop learning opportunities, I will be exploring this across three different areas of learning and experience. Assessment for learning is a teaching approach which creates feedback for learners to take on board and use to improve their performance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(Cambridge Assessment International Education, 2014). From the point where Michael Scriven introduced the terms formative and summative assessment in 1967, educators and theorists have developed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greatly on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these terms; in 1994 Caroline Gipps introduced the term Assessment for Learning which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lead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 way for Paul Black and Dylan William to carry out their review of assessment practices.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The group of learners I am focussing on is a year five and six class, of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twenty one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pupils, with one ALN pupil. Due to there being year six pupils in the class, the year five MAT pupils were able to share tasks and part take in peer assessment. The topic of the term was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Ourselves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 pupils were working towards broadening their knowledge on this topic.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AoLEs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 will cover are numeracy and mathematics,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science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technology as well as language,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literacy</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communication (LLC). The pupils needed to develop their knowledge of measure, story writing and start to learn about ratio as well as science knowledge on the topic of Ourselves (the human body).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The what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matters statement covered in numeracy and mathematics was: ‘the number system is used to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represent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compare relationships between numbers and quantities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 lesson was the pupils using measuring devices (rulers, measuring tapes and meter sticks. Some also used a tool to measure their height as it had a slider for accuracy) to measure varying body parts as per the theme ‘Ourselves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They also had the challenge of converting the units of measurement so multiplying by ten, one hundred and one thousand. They used a work sheet and were able to progress as they completed tasks - some pupils managed to measure the body parts of their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choice,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others converted the measurements into other units of measure; this allowed some children to develop their knowledge on decimals. The MAT children then progressed further again to calculating their circumference.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The what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matters statement covered in LLC was: ‘expressing ourselves through languages is key to communication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the planning lesson they were able to start to express themselves through basing their story on a personal experience of their choice. I had positive feedback off the children when they were collaborating as a class to mind map ideas of characters and settings as well as creating a bank of relevant adjectives - this allowed the children with less confidence to branch out their vocabulary as well as a chance for the children with an already expanded vocabulary to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consolidate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their learning. The two what matters statements which were covered in science and technology were as follows: ‘the world around us is full of living things which depend on each other for survival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 first part of the session was learning about and then discussing their knowledge of blood and how it works. They were steered to the point that doctors and other medical professionals help us and can use our blood in a blood test to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 illness for example. The other was: ’being curious and searching for answers is essential to understanding and predicting phenomena’, the initial introduction of “if the answer is ‘blood’, what is the question allowed the children to be curious and creative - there was no limit on the question and they were asked to be as creative as possible e.g. a pupil brought forward the question of “what do vampires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drink?”,the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then sparked other ‘silly’ ideas which got the children engaged almost immediately. The second part of the lesson was progressed into a numeracy and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mathematics based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lesson again with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the what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matters statement of: ‘the number system is used to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represent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compare relationships between numbers and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quantities’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They began to undertake ratio, leading on from the ratio of the contents of blood. This was taught as a whole class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lesson,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they were able to bounce ideas and theories off one another to create an understanding. I created a no-shame environment where the pupils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didn’t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feel put off answering if they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didn’t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know the answer completely, this meant that the lower ability group was able to be lifted by the middle and higher ability group. At the end of the presentation I allowed the pupils to ask me questions in a reverse style of teaching, some asked harder versions of the questions they had received, others ask about the work, and some who were unsure asked me about a question they were particularly stuck on or had difficulty comprehending to go over again for clarity.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strategies helped me gauge their learning whilst helping the learners develop their knowledge with feedback.</w:t>
      </w:r>
    </w:p>
    <w:p xmlns:wp14="http://schemas.microsoft.com/office/word/2010/wordml" w:rsidP="2D57A969" wp14:paraId="411B57BA" wp14:textId="513CC17B">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063C832C" wp14:textId="1E6F824C">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A5EA198" wp14:textId="760C059A">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Without assessment for learning being planned into my lessons I believe that I would have struggled as a student teacher to support the pupils in the correct way. Feedback</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in my opinion, is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crucial when anyone is starting a new profession or even hobby - having someone or a group of people to be critical will show you where you are confident as well as where the work needs to be put in. (Hattie and Timperley, 2007) noted “Feedback is one of the most powerful influences on learning and achievement”. As (William, 2011) says “the most important factor influencing learning is what the learner already knows, the teacher should ascertain this and teach accordingly”. This is an important foundation for assessment for learning, for many years, the word “assessment” was used to describe how the effectiveness of sequences of instructional activities was evaluated when the sequence was completed, and only when it was completed. Coming away from this in recent years, there has been a higher tendency to utilise activities that are intended to guide the learning towards the intended goal, rather than there being an ultimate end. This leads me onto Sadler’s view; the term “feedback” should not be used unless there is an impact on future performance of the student. For feedback to be regarded at good in the opinion of (Black &amp; William, 1998) it needs to have a condition that it will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actually improve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student learning. A study undertaken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by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Bangert-Drowns, Kulik, and Kulik, 1991) who investigated the effects of frequent classroom testing. They found that students who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participated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at least one test over a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15 week</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period scored 0.5 standard deviations higher than those pupils who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didn’t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that a higher frequency of testing was associated with higher levels of achievement. Nevertheless, testing more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than once every two weeks appeared to create no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progress. </w:t>
      </w:r>
    </w:p>
    <w:p xmlns:wp14="http://schemas.microsoft.com/office/word/2010/wordml" w:rsidP="2D57A969" wp14:paraId="701F6CAA" wp14:textId="0BCE34D8">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As said by (Brown, 2005) We also need to consider when is the best time to assess, is it a possibility to give students a choice about when they feel ready to be assessed? Brown researched into further education where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in my opinion, it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quite useful for students to have this approach taken – I believe it would reduce the anxiety and stress around assessment periods. In primary education I feel that this could be a mirrored to ongoing assessment, whereby the pupils are given several challenges and their effort towards the task or completion of the task can be assessed actively. </w:t>
      </w:r>
    </w:p>
    <w:p xmlns:wp14="http://schemas.microsoft.com/office/word/2010/wordml" w:rsidP="2D57A969" wp14:paraId="6C8C145C" wp14:textId="1F3813E9">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ALN children would also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benefit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from this as they are less likely to have a typical day on the day of assessment, thereby not giving fair results as they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weren’t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ready emotionally for it due to outside factors. As the fizzy bottle theory suggests, children are affected by outside forces which might build up and put them into their fight or flight mode. Some ALN children are susceptible to overstimulation which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in itself can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send them to the fight or flight response, with the pupil choosing or parent giving permission for assessment then the child is likely to succeed on a day where they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haven’t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faced many or any of the external challenges to give such a response (Tree Tops, 2021). Considering the above, I would say that the approach of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feedback is crucial to ALN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children,  giving</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immediate and direct feedback accompanied with positive reinforcement has shown to be an effective way of increasing engagement. </w:t>
      </w:r>
    </w:p>
    <w:p xmlns:wp14="http://schemas.microsoft.com/office/word/2010/wordml" w:rsidP="2D57A969" wp14:paraId="2A526737" wp14:textId="65795293">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Assessment for the purpose of improving student learning is best understood as an ongoing process which comes from the flowing overlap of teaching and learning. It involves the focused and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timely</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gathering, analysis, interpretation, and use of data or knowledge that can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provide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evidence of student progression. Much of this evidence occurs in the moment, the analysis and interpretation of the information happens in the mind of the teacher, who then takes steps to shape the way they teach or act when they continue the work with the student (Ministry of Education, 2007)</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Overall,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is a sound way to improve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pupils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confidence and knowledge in the classroom, however as always it relies on the correct application by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practioners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As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Swafiled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 2007) says assessment for learning when the learner is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center</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stage is as much about horizons of possibilities and evaluative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as it is about the tightly specified curriculum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matched to prescribed standards. It is the interpretation of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as a teacher driven mechanism for advancing students up a prescribed ladder of subject achievement that is the issue, nevertheless this is a misinterpretation. A study done by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International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education studies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highlights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how “findings of this study point to the fact that teachers are still practicing teacher-</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centered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syllabus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this meant that the question asking was not for the enhancement of the pupils. Some pupils were even encouraged to not ask questions nor engage in any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self reflection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Sarderah</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2014). If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were used in conjunction with the progression steps and what matters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statements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then a clear framework would be created to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showcase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when used appropriately and effectively. If it is used effectively then “when students become involved in the assessment process, assessment for learning begins to look more like teaching and less like testing” (Davies, 2000).</w:t>
      </w:r>
    </w:p>
    <w:p xmlns:wp14="http://schemas.microsoft.com/office/word/2010/wordml" w:rsidP="2D57A969" wp14:paraId="52E40773" wp14:textId="35B15C58">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When planning lessons this was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taken into account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certain assessment for learning strategies were chosen when the corresponding what matters statements were being focussed on. For example, when creative writing is the task then feedback - on a one-to-one basis, would be what I would opt for. This would allow the children to work at their own pace as well as receiving tailored feedback that they can act on in the session to develop their unique piece of work. Nevertheless, if when doing the rounds of the children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 found that there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was a common issue or misunderstanding then I would pause the learning of the whole class to speak about the problem in further detail. </w:t>
      </w:r>
    </w:p>
    <w:p xmlns:wp14="http://schemas.microsoft.com/office/word/2010/wordml" w:rsidP="2D57A969" wp14:paraId="4DDDFAF0" wp14:textId="580161C3">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Throughout my time in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school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 built on these lessons, the first full week of teaching I planned the lesson mentioned in the introduction to this document (please see appendix for lesson plan documents). Lesson one was on the numeracy and mathematics topic: measure, the lesson intention was for the pupils to measure using millimetres and centimetres for the first ability group, the second ability group measured with millimetres, centimetres and meters, the highest ability group would then measure with all three units but then convert between them. An extension task for the more able children was to find the circumference of their body; I had introduced circumference to the pupils as they were measuring body parts e.g. the circumference of their heads/arms/legs etc. The highest ability group all managed to get to the same point in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task</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so they all gave the extension task a try, this went down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well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pupils enjoyed. During this lesson I found it important to implement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strategies to gauge the pupils learning as the lesson is progressing – this helped me to adapt the lesson mildly to ensure needs of the pupils were met. For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example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 conducted mini plenaries, an example of one is when I noticed a pupil struggling with what equipment to use – this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lead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to conducting another visual demonstration however instead of me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it again, I asked a pupil who I saw as doing it correctly, to model to the group their findings. The pupil was able to give insight into the demonstration of something she had noticed which I had passed over in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initial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demonstration and explanation. Another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strategy used in that lesson was to give immediate feedback with peer assessed work, their partner gave them feedback and as did I at the end of the session. </w:t>
      </w:r>
    </w:p>
    <w:p xmlns:wp14="http://schemas.microsoft.com/office/word/2010/wordml" w:rsidP="2D57A969" wp14:paraId="400C0D26" wp14:textId="7496ED09">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I will firstly focus on peer assessment/feedback. This is most useful in group settings or collaborative work, nonetheless it does need to be structured to be effective. Good instruction needs to be given to the pupils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participating</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in the feedback, this is both for the recipient and the advice giver. The recipient of the feedback needs to take it on board enthusiastically - wanting to develop their piece of work as soon as they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possibly can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best benefit. In turn any tensions or misconceptions about peer feedback ned to be addressed with the pupils beforehand, children need to choose their language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carefully</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so a lot of thought is needed to go into it. In some cases when peer feedback has been given it has been seen to be “superficial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(Banister, 2020) and some learners’ attitudes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weren’t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enthusiastic. The feedback given was brief and mirrored to other responses in the classroom. I experienced this myself where a few children would reiterate the same phrases when peer marking in books or even when giving feedback on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short paired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reading sessions. I needed to highlight this to the class to remind them why peer marking was being done and why their response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didn’t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match up with the reasoning of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(Warner &amp; Miller, 2015). I also found that if the written peer feedback was competed before a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recess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then it was notably short or sometimes it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didn’t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even have a comment. After the class meeting was finished and the pupils who felt they needed to expand on their peer marking did so the overall responses where far better. I did feel that the reminder and explanation of what the terms were was needed and should be implemented on a weekly or biweekly basis (Winstone, Nash, Parker &amp; Rowntree, 2017). </w:t>
      </w:r>
    </w:p>
    <w:p xmlns:wp14="http://schemas.microsoft.com/office/word/2010/wordml" w:rsidP="2D57A969" wp14:paraId="230AFDC8" wp14:textId="20CD335D">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“Feedback is considered as a vital approach to facilitate students’ development as independent learners” (Ferguson, 2011). Moreover, teachers are more effective at spotting mistake or realising there are mistakes in pieces of work in comparison with the class pupils, this means the pupils are provided with quality feedback that ensures the pupils are learning. Feedback from professionals allows the gap on current attainment and desired attainment to close due to the teacher having the knowledge to motivate the pupils in the right way for the correct aims. One of the most important aspects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in my opinion of</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formative assessment is “The only way to tell if learning results from feedback is for students to make some kind of response to complete the feedback loop (Sadler, 1989). Teachers and other professionals returning feedback also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have the ability to</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reinforce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good work</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positively, “it is important that…a student should have a positive feeling about that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feedback”(</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Piccinin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2003).</w:t>
      </w:r>
    </w:p>
    <w:p xmlns:wp14="http://schemas.microsoft.com/office/word/2010/wordml" w:rsidP="2D57A969" wp14:paraId="56C909B4" wp14:textId="24D0BB92">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The second lesson was the LLC lesson with the learning intention to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write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 story based on an experience they have had, the pupils had a success criteria ladder to work from, there were three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difficulties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children chose the ladder they wanted to challenge themselves with</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 found that there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were some children who had experiences that they felt were ‘worthy’ for a story, other felt that they had to delve. Luckily in my plan I had accounted for some of the class to have trouble with creative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writing</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so I had put together jam boards for the class to collaborate on. I used the interactive whiteboard to present the jam board and add ideas from the pupils. This meant that before they had even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started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they plan they had a couple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ideas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to play with, I had two jam boards one for setting ideas and another for character features - I used Lolly Lotto (a way of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 lolly sticks with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pupils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names on it, picked at random out of a pot). Some used the main characters backstory as a starting point for the story. Some pupils found it difficult to adapt their experience with fiction, so I went around the class giving feedback and guidance, encouraging pairs to bounce ideas off each other. The plan was completed for most pupils that session, so I planned for the next weeks LLC session to develop on the planning into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actually writing</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 story. </w:t>
      </w:r>
    </w:p>
    <w:p xmlns:wp14="http://schemas.microsoft.com/office/word/2010/wordml" w:rsidP="2D57A969" wp14:paraId="73370B93" wp14:textId="1430765F">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The first assessment for learning strategy I would like to comment on is sharing criteria, I created a marking/ success criteria ladder where the pupils had space to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self mark</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on the sheet to write down what they felt they had achieved, then a section for a peer to mark the work and provide feedback, as well as a section for teacher feedback. Due to the visual aspect of the marking sheet the children followed it well and I rarely had a question from it, this allowed time for reflection at a halfway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point  of</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 session as well as another point of reflection at the end of the lesson. I would like to note that success criteria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isn’t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applicable to all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AoLEs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to have the same positive outcome, it can sometimes be beneficial for the students to only receive the success criteria at the end of the lesson to fully reflect - especially if the lesson is interpretive. </w:t>
      </w:r>
    </w:p>
    <w:p xmlns:wp14="http://schemas.microsoft.com/office/word/2010/wordml" w:rsidP="2D57A969" wp14:paraId="3CF8CF94" wp14:textId="3ECC8E83">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The second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AfL</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strategy is quality of questioning: “The term ‘questioning’ refers to ‘interrogative utterances’ generally followed by an answer” (Dillon, 1981). It was found that teacher ask three hundred and ninety-five questions on average with all of sixty-five percent being a recall of facts (Stevens, 1912). The quality of the questioning is crucial, questioning pupils on factual recall can pertain to the understanding of the class comprehension;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however</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it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shouldn’t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be the only source of questioning - asking open ended questions allowing the pupils to expand on their knowledge and to convey their true understanding is the best course of action in my view. The Taxonomy of Educational Objectives (Bloom, 1956) addresses the importance of “stimulating higher order thinking” through effective questioning. Bloom’s hierarchy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provides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 scaffolding, research carried out shows that teachers are struggling to develop the techniques of questioning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to not only encourage the pupils to recall information. (Morgan &amp; Saxton, 1991) say that planning questions should: “always involve teachers asking themselves ‘What kind of thinking is this question generating?’”, this would ensure teachers are using their time effectively and again promoting the higher order thinking spoken about previously. </w:t>
      </w:r>
    </w:p>
    <w:p xmlns:wp14="http://schemas.microsoft.com/office/word/2010/wordml" w:rsidP="2D57A969" wp14:paraId="2AF83FA1" wp14:textId="29D707D8">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The science knowledge lesson had the learning intention to learn about how the blood works as well as learning about ratio. I started the lesson with a question on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board:”If</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 answer is blood, what is the question?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this was received well by the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children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they started engagement with the topic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 introduction to how the blood works - this entailed a PowerPoint on the interactive whiteboard, the pupils engaged well as they knew a question and answering session would take place on the content learned. Lolly lotto was used, I found this to be a useful tool which meant high engagement from the pupils due to the unknowing of who was to be the lucky pupil picked to answer the question. The presentation on how the blood works finished on the ratio of the contents of blood; this transitioned into me explaining ratio and putting a few examples into play.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Again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I used a visual presentation so that the pupils could understand, it was a whole class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lesson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so I needed to reach all levels of attainment; having coloured balls or fruit to count meant it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wasn’t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just numbers and they were putting what they were learning into real life scenarios. In the lesson I continued to use Lolly Lotto, when I felt the pupils had seen enough examples to grasp a basic understanding I then asked questions and suggested they to solve it in front of the class, if they were unsure they were then able to ‘phone a friend’, to ask for assistance in solving the mathematical problem. When the questions got more difficult and hence there being more room for error, I found that having the class complete it together meant that all questions would be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aired</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and clarity could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emerge</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questions being asked. </w:t>
      </w:r>
    </w:p>
    <w:p xmlns:wp14="http://schemas.microsoft.com/office/word/2010/wordml" w:rsidP="2D57A969" wp14:paraId="1D7F5942" wp14:textId="15C71327">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D00273F" wp14:textId="0CFBB47E">
      <w:pPr>
        <w:ind w:left="-20" w:right="-20"/>
        <w:jc w:val="both"/>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I feel that assessment for learning is a vital tool to have in the classroom and practitioners should implement it into their practice. I do believe that Assessment for Learning should be given in a clear concise way to practicing teachers to ensure all teachers are at the same level, so it can be used as a doubtless means of assessment. By this I mean that I have read articles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stating</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that assessment for learning is nothing more than teacher aimlessly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pointlessly questioning children - some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teacher</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are well versed in things like Bloom’s Taxonomy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whereas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others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aren’t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so much. I do want to know if the pupils might one day have a say in their assessment, when it happens, where it happens and what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it’s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on? Some teachers that I have seen are leading their teaching with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Donaldson’’s</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curriculum of pupil lead classrooms, which covers the ‘What they are teaching</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the rest I am excited to see what will develop from it.</w:t>
      </w:r>
    </w:p>
    <w:p xmlns:wp14="http://schemas.microsoft.com/office/word/2010/wordml" w:rsidP="2D57A969" wp14:paraId="7F1FFD29" wp14:textId="76072B23">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014CA3E0" wp14:textId="6F1F3240">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74ABB97F" wp14:textId="16A3A892">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400E8BA4" wp14:textId="41F7E720">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5D3FA4DA" wp14:textId="590B634C">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7D942715" wp14:textId="4C22E518">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40E46581" wp14:textId="5357822E">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24F0864B" wp14:textId="60E7C633">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0CF1FBB8" wp14:textId="5F749910">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C819CDF" wp14:textId="1C705308">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32E9176" wp14:textId="7F828D10">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5C080DA8" wp14:textId="4E21D20E">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485B29E5" wp14:textId="186C70DA">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05140D18" wp14:textId="13C02BE4">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406866B7" wp14:textId="54AFBDE5">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BEA38B3" wp14:textId="3052A34A">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6BD87D4" wp14:textId="2AD07381">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32863EA6" wp14:textId="179EE3AD">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4CB732AA" wp14:textId="29FACD09">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213C2248" wp14:textId="3EF663C3">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43536667" wp14:textId="75339614">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4D1B15F2" wp14:textId="3330FE42">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23167357" wp14:textId="7A32E55C">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343CA9F5" wp14:textId="3DDA02E1">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2FDFBA31" wp14:textId="3D913B06">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BD50DEE" wp14:textId="0304357A">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3088875" wp14:textId="361A94A5">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C038B05" wp14:textId="38D1354C">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74B2DF6D" wp14:textId="74993EC9">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40EE50D2" wp14:textId="1AD0EAF8">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References</w:t>
      </w:r>
    </w:p>
    <w:p xmlns:wp14="http://schemas.microsoft.com/office/word/2010/wordml" w:rsidP="2D57A969" wp14:paraId="62C5A772" wp14:textId="21DB8E12">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242E3C17" wp14:textId="133096BE">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Cambridge Assessment International Education, (2014) “Getting started with Assessment for Learning” </w:t>
      </w:r>
      <w:hyperlink w:anchor=":~:text=Assessment%2520for%2520learning%2520(AFL)%2520is,learn%2520and%2520to%2520what%2520standard" r:id="R1449c76ad3814122">
        <w:r w:rsidRPr="2D57A969" w:rsidR="3D513135">
          <w:rPr>
            <w:rStyle w:val="Hyperlink"/>
            <w:rFonts w:ascii="Arial" w:hAnsi="Arial" w:eastAsia="Arial" w:cs="Arial"/>
            <w:b w:val="0"/>
            <w:bCs w:val="0"/>
            <w:i w:val="0"/>
            <w:iCs w:val="0"/>
            <w:caps w:val="0"/>
            <w:smallCaps w:val="0"/>
            <w:strike w:val="0"/>
            <w:dstrike w:val="0"/>
            <w:noProof w:val="0"/>
            <w:color w:val="1155CC"/>
            <w:sz w:val="22"/>
            <w:szCs w:val="22"/>
            <w:u w:val="none"/>
            <w:lang w:val="en-GB"/>
          </w:rPr>
          <w:t>https://cambridge-community.org.uk/professional-development/gswafl/index.html#:~:text=Assessment%20for%20learning%20(AFL)%20is,learn%20and%20to%20what%20standard</w:t>
        </w:r>
      </w:hyperlink>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(Accessed on 05.01.2024)</w:t>
      </w:r>
    </w:p>
    <w:p xmlns:wp14="http://schemas.microsoft.com/office/word/2010/wordml" w:rsidP="2D57A969" wp14:paraId="39CEA998" wp14:textId="7A7498D4">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526FE251" wp14:textId="3E3B6058">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William D, (2011) “Studies in Educational Evaluation”, Volume 37, Issue 1.</w:t>
      </w:r>
    </w:p>
    <w:p xmlns:wp14="http://schemas.microsoft.com/office/word/2010/wordml" w:rsidP="2D57A969" wp14:paraId="0FF560B3" wp14:textId="3B209D8B">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5D206EF5" wp14:textId="7A22D23C">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Robert L. Bangert-Drowns , James A. Kulik &amp; Chen-Lin C. Kulik (1991) Effects of Frequent Classroom Testing, The Journal of Educational Research, 85:2, 89-99, DOI: </w:t>
      </w:r>
      <w:hyperlink r:id="Ra884a12b3f7146fd">
        <w:r w:rsidRPr="2D57A969" w:rsidR="3D513135">
          <w:rPr>
            <w:rStyle w:val="Hyperlink"/>
            <w:rFonts w:ascii="Arial" w:hAnsi="Arial" w:eastAsia="Arial" w:cs="Arial"/>
            <w:b w:val="0"/>
            <w:bCs w:val="0"/>
            <w:i w:val="0"/>
            <w:iCs w:val="0"/>
            <w:caps w:val="0"/>
            <w:smallCaps w:val="0"/>
            <w:strike w:val="0"/>
            <w:dstrike w:val="0"/>
            <w:noProof w:val="0"/>
            <w:color w:val="0000FF"/>
            <w:sz w:val="22"/>
            <w:szCs w:val="22"/>
            <w:u w:val="none"/>
            <w:lang w:val="en-GB"/>
          </w:rPr>
          <w:t>10.1080/00220671.1991.10702818</w:t>
        </w:r>
      </w:hyperlink>
    </w:p>
    <w:p xmlns:wp14="http://schemas.microsoft.com/office/word/2010/wordml" w:rsidP="2D57A969" wp14:paraId="4689DD76" wp14:textId="0F242AC5">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5A7AFC6D" wp14:textId="6363102A">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Brown, Sally (2005) Assessment for Learning. Learning and Teaching in Higher Education (1). pp. 81-89</w:t>
      </w:r>
    </w:p>
    <w:p xmlns:wp14="http://schemas.microsoft.com/office/word/2010/wordml" w:rsidP="2D57A969" wp14:paraId="653ADCA2" wp14:textId="7D11EF2F">
      <w:pPr>
        <w:ind w:left="-20" w:right="-2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D57A969" wp14:paraId="5EDE1C86" wp14:textId="65B59CCC">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Tree Tops, (2021) “The fizzy bottle effect in your child”, </w:t>
      </w:r>
      <w:hyperlink w:anchor=":~:text=The%2520fizzy%2520bottle%2520effect%2520in%2520your%2520child%2520means%2520that%2520your,perceived%2520as%2520" r:id="Re7e46bf5b596460a">
        <w:r w:rsidRPr="2D57A969" w:rsidR="3D513135">
          <w:rPr>
            <w:rStyle w:val="Hyperlink"/>
            <w:rFonts w:ascii="Arial" w:hAnsi="Arial" w:eastAsia="Arial" w:cs="Arial"/>
            <w:b w:val="0"/>
            <w:bCs w:val="0"/>
            <w:i w:val="0"/>
            <w:iCs w:val="0"/>
            <w:caps w:val="0"/>
            <w:smallCaps w:val="0"/>
            <w:strike w:val="0"/>
            <w:dstrike w:val="0"/>
            <w:noProof w:val="0"/>
            <w:color w:val="1155CC"/>
            <w:sz w:val="22"/>
            <w:szCs w:val="22"/>
            <w:u w:val="none"/>
            <w:lang w:val="en-GB"/>
          </w:rPr>
          <w:t>https://www.treetopsoccupationaltherapy.co.uk/the-fizzy-bottle-effect-in-your-child-childrens-occupational-therapy/#:~:text=The%20fizzy%20bottle%20effect%20in%20your%20child%20means%20that%20your,perceived%20as%20“bad%20behaviour</w:t>
        </w:r>
      </w:hyperlink>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(Accessed on 06.01.2024).</w:t>
      </w:r>
    </w:p>
    <w:p xmlns:wp14="http://schemas.microsoft.com/office/word/2010/wordml" w:rsidP="2D57A969" wp14:paraId="7416E7C6" wp14:textId="6478D5C9">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E46B823" wp14:textId="7FC24669">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Ministry of Education (2007). </w:t>
      </w:r>
      <w:r w:rsidRPr="2D57A969" w:rsidR="3D513135">
        <w:rPr>
          <w:rFonts w:ascii="Arial" w:hAnsi="Arial" w:eastAsia="Arial" w:cs="Arial"/>
          <w:b w:val="0"/>
          <w:bCs w:val="0"/>
          <w:i w:val="1"/>
          <w:iCs w:val="1"/>
          <w:caps w:val="0"/>
          <w:smallCaps w:val="0"/>
          <w:noProof w:val="0"/>
          <w:color w:val="000000" w:themeColor="text1" w:themeTint="FF" w:themeShade="FF"/>
          <w:sz w:val="22"/>
          <w:szCs w:val="22"/>
          <w:lang w:val="en-GB"/>
        </w:rPr>
        <w:t>The New Zealand Curriculum for English-Medium Teaching and Learning in Years 1-13</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Wellington, NZ: Learning Media</w:t>
      </w:r>
      <w:r w:rsidRPr="2D57A969" w:rsidR="3D51313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6B97FD4A" wp14:textId="5BBE6323">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60230115" wp14:textId="306FCE53">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Swaffield, S. (2011). Getting to the heart of authentic assessment for learning. </w:t>
      </w:r>
      <w:r w:rsidRPr="2D57A969" w:rsidR="3D513135">
        <w:rPr>
          <w:rFonts w:ascii="Arial" w:hAnsi="Arial" w:eastAsia="Arial" w:cs="Arial"/>
          <w:b w:val="0"/>
          <w:bCs w:val="0"/>
          <w:i w:val="1"/>
          <w:iCs w:val="1"/>
          <w:caps w:val="0"/>
          <w:smallCaps w:val="0"/>
          <w:noProof w:val="0"/>
          <w:color w:val="000000" w:themeColor="text1" w:themeTint="FF" w:themeShade="FF"/>
          <w:sz w:val="22"/>
          <w:szCs w:val="22"/>
          <w:lang w:val="en-GB"/>
        </w:rPr>
        <w:t>Assess. Educ.</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18, 433–449. doi: 10.1080/0969594X.2011.582838 </w:t>
      </w:r>
    </w:p>
    <w:p xmlns:wp14="http://schemas.microsoft.com/office/word/2010/wordml" w:rsidP="2D57A969" wp14:paraId="001484E4" wp14:textId="425C3D6E">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78F6C08" wp14:textId="6E19D34E">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Taras M, (2010) Social and Behavioural Sciences, “Assessment for Learning: assessing the theory and evidence”, Volume 2, Issue 2.</w:t>
      </w:r>
    </w:p>
    <w:p xmlns:wp14="http://schemas.microsoft.com/office/word/2010/wordml" w:rsidP="2D57A969" wp14:paraId="07413935" wp14:textId="7321CA29">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38F5EA55" wp14:textId="4EFE93B4">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Sadler, D.R. Formative assessment and the design of instructional systems. </w:t>
      </w:r>
      <w:r w:rsidRPr="2D57A969" w:rsidR="3D513135">
        <w:rPr>
          <w:rFonts w:ascii="Arial" w:hAnsi="Arial" w:eastAsia="Arial" w:cs="Arial"/>
          <w:b w:val="0"/>
          <w:bCs w:val="0"/>
          <w:i w:val="1"/>
          <w:iCs w:val="1"/>
          <w:caps w:val="0"/>
          <w:smallCaps w:val="0"/>
          <w:noProof w:val="0"/>
          <w:color w:val="000000" w:themeColor="text1" w:themeTint="FF" w:themeShade="FF"/>
          <w:sz w:val="22"/>
          <w:szCs w:val="22"/>
          <w:lang w:val="en-GB"/>
        </w:rPr>
        <w:t>Instr Sci</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(1989). </w:t>
      </w:r>
      <w:hyperlink r:id="R4b6e041ced9a46b0">
        <w:r w:rsidRPr="2D57A969" w:rsidR="3D513135">
          <w:rPr>
            <w:rStyle w:val="Hyperlink"/>
            <w:rFonts w:ascii="Arial" w:hAnsi="Arial" w:eastAsia="Arial" w:cs="Arial"/>
            <w:b w:val="0"/>
            <w:bCs w:val="0"/>
            <w:i w:val="0"/>
            <w:iCs w:val="0"/>
            <w:caps w:val="0"/>
            <w:smallCaps w:val="0"/>
            <w:strike w:val="0"/>
            <w:dstrike w:val="0"/>
            <w:noProof w:val="0"/>
            <w:color w:val="1155CC"/>
            <w:sz w:val="22"/>
            <w:szCs w:val="22"/>
            <w:u w:val="none"/>
            <w:lang w:val="en-GB"/>
          </w:rPr>
          <w:t>https://doi.org/10.1007/BF00117714</w:t>
        </w:r>
      </w:hyperlink>
    </w:p>
    <w:p xmlns:wp14="http://schemas.microsoft.com/office/word/2010/wordml" w:rsidP="2D57A969" wp14:paraId="7022EEDA" wp14:textId="10FFDECE">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Chappuis, S &amp; Stiggins, RJ (2002) “Do students care about learning?”, “Classroom assessment for learning”, Volume 60, Issue 1. </w:t>
      </w:r>
    </w:p>
    <w:p xmlns:wp14="http://schemas.microsoft.com/office/word/2010/wordml" w:rsidP="2D57A969" wp14:paraId="32D8902C" wp14:textId="3E7BD15E">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Davies, A. (2000). Making classroom assessment work. Merville, British Columbia, Canada: Connections Publishing</w:t>
      </w:r>
    </w:p>
    <w:p xmlns:wp14="http://schemas.microsoft.com/office/word/2010/wordml" w:rsidP="2D57A969" wp14:paraId="5C6594AF" wp14:textId="74F67C74">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Sarderah et al. (2014), “Teacher’s questioning technique in an assessment for learning context: promising or problematic?”.</w:t>
      </w:r>
    </w:p>
    <w:p xmlns:wp14="http://schemas.microsoft.com/office/word/2010/wordml" w:rsidP="2D57A969" wp14:paraId="7378FD8D" wp14:textId="4C545587">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Lerchenfeldt, S., Mi, M. &amp; Eng, M. The utilization of peer feedback during collaborative learning in undergraduate medical education: a systematic review. </w:t>
      </w:r>
      <w:r w:rsidRPr="2D57A969" w:rsidR="3D513135">
        <w:rPr>
          <w:rFonts w:ascii="Arial" w:hAnsi="Arial" w:eastAsia="Arial" w:cs="Arial"/>
          <w:b w:val="0"/>
          <w:bCs w:val="0"/>
          <w:i w:val="1"/>
          <w:iCs w:val="1"/>
          <w:caps w:val="0"/>
          <w:smallCaps w:val="0"/>
          <w:noProof w:val="0"/>
          <w:color w:val="000000" w:themeColor="text1" w:themeTint="FF" w:themeShade="FF"/>
          <w:sz w:val="22"/>
          <w:szCs w:val="22"/>
          <w:lang w:val="en-GB"/>
        </w:rPr>
        <w:t>BMC Med Educ</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7A969" w:rsidR="3D513135">
        <w:rPr>
          <w:rFonts w:ascii="Arial" w:hAnsi="Arial" w:eastAsia="Arial" w:cs="Arial"/>
          <w:b w:val="1"/>
          <w:bCs w:val="1"/>
          <w:i w:val="0"/>
          <w:iCs w:val="0"/>
          <w:caps w:val="0"/>
          <w:smallCaps w:val="0"/>
          <w:noProof w:val="0"/>
          <w:color w:val="000000" w:themeColor="text1" w:themeTint="FF" w:themeShade="FF"/>
          <w:sz w:val="22"/>
          <w:szCs w:val="22"/>
          <w:lang w:val="en-GB"/>
        </w:rPr>
        <w:t>19</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321 (2019). </w:t>
      </w:r>
      <w:hyperlink r:id="Re5c09336870f4189">
        <w:r w:rsidRPr="2D57A969" w:rsidR="3D513135">
          <w:rPr>
            <w:rStyle w:val="Hyperlink"/>
            <w:rFonts w:ascii="Arial" w:hAnsi="Arial" w:eastAsia="Arial" w:cs="Arial"/>
            <w:b w:val="0"/>
            <w:bCs w:val="0"/>
            <w:i w:val="0"/>
            <w:iCs w:val="0"/>
            <w:caps w:val="0"/>
            <w:smallCaps w:val="0"/>
            <w:strike w:val="0"/>
            <w:dstrike w:val="0"/>
            <w:noProof w:val="0"/>
            <w:color w:val="1155CC"/>
            <w:sz w:val="22"/>
            <w:szCs w:val="22"/>
            <w:u w:val="none"/>
            <w:lang w:val="en-GB"/>
          </w:rPr>
          <w:t>https://doi.org/10.1186/s12909-019-1755-z</w:t>
        </w:r>
      </w:hyperlink>
    </w:p>
    <w:p xmlns:wp14="http://schemas.microsoft.com/office/word/2010/wordml" w:rsidP="2D57A969" wp14:paraId="191992F0" wp14:textId="2F2C57E9">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Banister, C (2020), “Exploring peer feedback processes and peer feedback meta-dialogues with learners of academic and business English”, Volume 27, Issue 3.</w:t>
      </w:r>
    </w:p>
    <w:p xmlns:wp14="http://schemas.microsoft.com/office/word/2010/wordml" w:rsidP="2D57A969" wp14:paraId="0C5FEE76" wp14:textId="4F9F87D7">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Winstone N., Nash R., Parker M., Rowntree J. (2017). Supporting learners’ agentic engagement with feedback: A systematic review and a taxonomy of recipience processes. </w:t>
      </w:r>
      <w:r w:rsidRPr="2D57A969" w:rsidR="3D513135">
        <w:rPr>
          <w:rFonts w:ascii="Arial" w:hAnsi="Arial" w:eastAsia="Arial" w:cs="Arial"/>
          <w:b w:val="0"/>
          <w:bCs w:val="0"/>
          <w:i w:val="1"/>
          <w:iCs w:val="1"/>
          <w:caps w:val="0"/>
          <w:smallCaps w:val="0"/>
          <w:noProof w:val="0"/>
          <w:color w:val="000000" w:themeColor="text1" w:themeTint="FF" w:themeShade="FF"/>
          <w:sz w:val="22"/>
          <w:szCs w:val="22"/>
          <w:lang w:val="en-GB"/>
        </w:rPr>
        <w:t>Educational Psychologist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52, 17–37.</w:t>
      </w:r>
    </w:p>
    <w:p xmlns:wp14="http://schemas.microsoft.com/office/word/2010/wordml" w:rsidP="2D57A969" wp14:paraId="7FC817DA" wp14:textId="707B50B7">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6D2CBF76" wp14:textId="46110336">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Bashir MA., Kabir R.,Rahman I, (2016) “The effectiveness of feedback in improving students’ learning and professionalizing teaching in higher education”, </w:t>
      </w:r>
      <w:hyperlink r:id="R7a18ad9b1e514e5a">
        <w:r w:rsidRPr="2D57A969" w:rsidR="3D513135">
          <w:rPr>
            <w:rStyle w:val="Hyperlink"/>
            <w:rFonts w:ascii="Arial" w:hAnsi="Arial" w:eastAsia="Arial" w:cs="Arial"/>
            <w:b w:val="0"/>
            <w:bCs w:val="0"/>
            <w:i w:val="0"/>
            <w:iCs w:val="0"/>
            <w:caps w:val="0"/>
            <w:smallCaps w:val="0"/>
            <w:strike w:val="0"/>
            <w:dstrike w:val="0"/>
            <w:noProof w:val="0"/>
            <w:color w:val="1155CC"/>
            <w:sz w:val="22"/>
            <w:szCs w:val="22"/>
            <w:u w:val="none"/>
            <w:lang w:val="en-GB"/>
          </w:rPr>
          <w:t>https://files.eric.ed.gov/fulltext/EJ1105282.pdf</w:t>
        </w:r>
      </w:hyperlink>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06.01.24).</w:t>
      </w:r>
    </w:p>
    <w:p xmlns:wp14="http://schemas.microsoft.com/office/word/2010/wordml" w:rsidP="2D57A969" wp14:paraId="567CAFB6" wp14:textId="47189E97">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53A50A41" wp14:textId="163D45B9">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Warner R., Miller J. (2015). Cultural dimensions of feedback at an Australian university: A study of international students with English as an additional language. </w:t>
      </w:r>
      <w:r w:rsidRPr="2D57A969" w:rsidR="3D513135">
        <w:rPr>
          <w:rFonts w:ascii="Arial" w:hAnsi="Arial" w:eastAsia="Arial" w:cs="Arial"/>
          <w:b w:val="0"/>
          <w:bCs w:val="0"/>
          <w:i w:val="1"/>
          <w:iCs w:val="1"/>
          <w:caps w:val="0"/>
          <w:smallCaps w:val="0"/>
          <w:noProof w:val="0"/>
          <w:color w:val="000000" w:themeColor="text1" w:themeTint="FF" w:themeShade="FF"/>
          <w:sz w:val="22"/>
          <w:szCs w:val="22"/>
          <w:lang w:val="en-GB"/>
        </w:rPr>
        <w:t>Higher Education Research &amp; Development</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34, 420–435.</w:t>
      </w:r>
    </w:p>
    <w:p xmlns:wp14="http://schemas.microsoft.com/office/word/2010/wordml" w:rsidP="2D57A969" wp14:paraId="1EAA54AC" wp14:textId="7C29C8FA">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1450FD57" wp14:textId="0ADAA18C">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 J. (2003) Feedback: Key to learning. Halifax, NS: Society for Teaching and Learning in Higher</w:t>
      </w:r>
    </w:p>
    <w:p xmlns:wp14="http://schemas.microsoft.com/office/word/2010/wordml" w:rsidP="2D57A969" wp14:paraId="402A0271" wp14:textId="2711769C">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Education.</w:t>
      </w:r>
    </w:p>
    <w:p xmlns:wp14="http://schemas.microsoft.com/office/word/2010/wordml" w:rsidP="2D57A969" wp14:paraId="7D4CC087" wp14:textId="5744D700">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7F7AA7C5" wp14:textId="4BE43F19">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Vale, E (2019), “An examination of teacher questioning in a year 8 classics class”, Cambridge University Press.</w:t>
      </w:r>
    </w:p>
    <w:p xmlns:wp14="http://schemas.microsoft.com/office/word/2010/wordml" w:rsidP="2D57A969" wp14:paraId="093D180F" wp14:textId="4C8B2A6F">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397EEA68" wp14:textId="7B6D634B">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Dillon, J. T. (1981), “</w:t>
      </w:r>
      <w:r w:rsidRPr="2D57A969" w:rsidR="3D513135">
        <w:rPr>
          <w:rFonts w:ascii="Arial" w:hAnsi="Arial" w:eastAsia="Arial" w:cs="Arial"/>
          <w:b w:val="0"/>
          <w:bCs w:val="0"/>
          <w:i w:val="1"/>
          <w:iCs w:val="1"/>
          <w:caps w:val="0"/>
          <w:smallCaps w:val="0"/>
          <w:noProof w:val="0"/>
          <w:color w:val="000000" w:themeColor="text1" w:themeTint="FF" w:themeShade="FF"/>
          <w:sz w:val="22"/>
          <w:szCs w:val="22"/>
          <w:lang w:val="en-GB"/>
        </w:rPr>
        <w:t>To Question and Not To Question During Discussion”, “Questioning and Discussion</w:t>
      </w: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Potpourri”, Volume 32, Issue 5.</w:t>
      </w:r>
    </w:p>
    <w:p xmlns:wp14="http://schemas.microsoft.com/office/word/2010/wordml" w:rsidP="2D57A969" wp14:paraId="4D00FCC2" wp14:textId="25843B5F">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57A969" wp14:paraId="0710502F" wp14:textId="5CD491F8">
      <w:pPr>
        <w:ind w:left="-20" w:right="-20"/>
      </w:pPr>
      <w:r w:rsidRPr="2D57A969" w:rsidR="3D513135">
        <w:rPr>
          <w:rFonts w:ascii="Arial" w:hAnsi="Arial" w:eastAsia="Arial" w:cs="Arial"/>
          <w:b w:val="0"/>
          <w:bCs w:val="0"/>
          <w:i w:val="0"/>
          <w:iCs w:val="0"/>
          <w:caps w:val="0"/>
          <w:smallCaps w:val="0"/>
          <w:noProof w:val="0"/>
          <w:color w:val="000000" w:themeColor="text1" w:themeTint="FF" w:themeShade="FF"/>
          <w:sz w:val="22"/>
          <w:szCs w:val="22"/>
          <w:lang w:val="en-GB"/>
        </w:rPr>
        <w:t>Stevens, R. (1912). The question as a measure of efficiency in instruction: A critical study of classroom practice, New York: Teachers College Press</w:t>
      </w:r>
    </w:p>
    <w:p xmlns:wp14="http://schemas.microsoft.com/office/word/2010/wordml" w:rsidP="2D57A969" wp14:paraId="3751A795" wp14:textId="5A038F4E">
      <w:pPr>
        <w:ind w:left="-20" w:right="-2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D57A969" wp14:paraId="72FC3A3C" wp14:textId="1207B994">
      <w:pPr>
        <w:pStyle w:val="Normal"/>
      </w:pPr>
    </w:p>
    <w:p xmlns:wp14="http://schemas.microsoft.com/office/word/2010/wordml" w:rsidP="2D57A969" wp14:paraId="308C26F4" wp14:textId="4DE76108">
      <w:pPr>
        <w:pStyle w:val="Normal"/>
      </w:pPr>
    </w:p>
    <w:p xmlns:wp14="http://schemas.microsoft.com/office/word/2010/wordml" w:rsidP="2D57A969" wp14:paraId="011D76DE" wp14:textId="2B498121">
      <w:pPr>
        <w:pStyle w:val="Normal"/>
      </w:pPr>
    </w:p>
    <w:p xmlns:wp14="http://schemas.microsoft.com/office/word/2010/wordml" w:rsidP="2D57A969" wp14:paraId="25868DAC" wp14:textId="1E10892C">
      <w:pPr>
        <w:pStyle w:val="Normal"/>
      </w:pPr>
    </w:p>
    <w:p xmlns:wp14="http://schemas.microsoft.com/office/word/2010/wordml" w:rsidP="2D57A969" wp14:paraId="1C6D7E34" wp14:textId="45E212B9">
      <w:pPr>
        <w:pStyle w:val="Normal"/>
      </w:pPr>
    </w:p>
    <w:p xmlns:wp14="http://schemas.microsoft.com/office/word/2010/wordml" w:rsidP="2D57A969" wp14:paraId="0B01D26F" wp14:textId="009BCC6B">
      <w:pPr>
        <w:pStyle w:val="Normal"/>
      </w:pPr>
    </w:p>
    <w:p xmlns:wp14="http://schemas.microsoft.com/office/word/2010/wordml" w:rsidP="2D57A969" wp14:paraId="371C521B" wp14:textId="4A84D543">
      <w:pPr>
        <w:pStyle w:val="Normal"/>
      </w:pPr>
    </w:p>
    <w:p xmlns:wp14="http://schemas.microsoft.com/office/word/2010/wordml" w:rsidP="2D57A969" wp14:paraId="0194FB12" wp14:textId="3E118B2C">
      <w:pPr>
        <w:pStyle w:val="Normal"/>
      </w:pPr>
    </w:p>
    <w:p xmlns:wp14="http://schemas.microsoft.com/office/word/2010/wordml" w:rsidP="2D57A969" wp14:paraId="6BCAEB96" wp14:textId="31FA14E0">
      <w:pPr>
        <w:pStyle w:val="Normal"/>
      </w:pPr>
    </w:p>
    <w:p xmlns:wp14="http://schemas.microsoft.com/office/word/2010/wordml" w:rsidP="2D57A969" wp14:paraId="70EF1097" wp14:textId="63AE4892">
      <w:pPr>
        <w:pStyle w:val="Normal"/>
      </w:pPr>
    </w:p>
    <w:p xmlns:wp14="http://schemas.microsoft.com/office/word/2010/wordml" w:rsidP="2D57A969" wp14:paraId="7AD22C52" wp14:textId="4402A7D6">
      <w:pPr>
        <w:pStyle w:val="Normal"/>
      </w:pPr>
    </w:p>
    <w:p xmlns:wp14="http://schemas.microsoft.com/office/word/2010/wordml" w:rsidP="2D57A969" wp14:paraId="4E679E7E" wp14:textId="1E838142">
      <w:pPr>
        <w:pStyle w:val="Normal"/>
      </w:pPr>
    </w:p>
    <w:p xmlns:wp14="http://schemas.microsoft.com/office/word/2010/wordml" w:rsidP="2D57A969" wp14:paraId="45660C9F" wp14:textId="661EE624">
      <w:pPr>
        <w:pStyle w:val="Normal"/>
      </w:pPr>
    </w:p>
    <w:p xmlns:wp14="http://schemas.microsoft.com/office/word/2010/wordml" w:rsidP="2D57A969" wp14:paraId="36860B86" wp14:textId="062493FC">
      <w:pPr>
        <w:pStyle w:val="Normal"/>
      </w:pPr>
    </w:p>
    <w:p xmlns:wp14="http://schemas.microsoft.com/office/word/2010/wordml" w:rsidP="2D57A969" wp14:paraId="151E4776" wp14:textId="1E8DA316">
      <w:pPr>
        <w:pStyle w:val="Normal"/>
      </w:pPr>
    </w:p>
    <w:p xmlns:wp14="http://schemas.microsoft.com/office/word/2010/wordml" w:rsidP="2D57A969" wp14:paraId="6BEC2579" wp14:textId="62892894">
      <w:pPr>
        <w:pStyle w:val="Normal"/>
        <w:rPr>
          <w:b w:val="1"/>
          <w:bCs w:val="1"/>
          <w:sz w:val="40"/>
          <w:szCs w:val="40"/>
        </w:rPr>
      </w:pPr>
      <w:r w:rsidRPr="2D57A969" w:rsidR="016281A1">
        <w:rPr>
          <w:b w:val="1"/>
          <w:bCs w:val="1"/>
          <w:sz w:val="36"/>
          <w:szCs w:val="36"/>
        </w:rPr>
        <w:t>Appendix</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616"/>
        <w:gridCol w:w="4124"/>
        <w:gridCol w:w="2370"/>
        <w:gridCol w:w="1345"/>
      </w:tblGrid>
      <w:tr w:rsidR="2D57A969" w:rsidTr="2D57A969" w14:paraId="0F6F87C3">
        <w:trPr>
          <w:trHeight w:val="225"/>
        </w:trPr>
        <w:tc>
          <w:tcPr>
            <w:tcW w:w="2616" w:type="dxa"/>
            <w:tcBorders>
              <w:top w:val="single" w:sz="6"/>
              <w:left w:val="single" w:sz="6"/>
              <w:bottom w:val="single" w:sz="6"/>
              <w:right w:val="single" w:sz="6"/>
            </w:tcBorders>
            <w:shd w:val="clear" w:color="auto" w:fill="94BAD6"/>
            <w:tcMar>
              <w:left w:w="105" w:type="dxa"/>
              <w:right w:w="105" w:type="dxa"/>
            </w:tcMar>
            <w:vAlign w:val="top"/>
          </w:tcPr>
          <w:p w:rsidR="2D57A969" w:rsidP="2D57A969" w:rsidRDefault="2D57A969" w14:paraId="050329EE" w14:textId="3058754A">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Student-teacher:</w:t>
            </w:r>
          </w:p>
        </w:tc>
        <w:tc>
          <w:tcPr>
            <w:tcW w:w="4124" w:type="dxa"/>
            <w:tcBorders>
              <w:top w:val="single" w:sz="6"/>
              <w:left w:val="single" w:sz="6"/>
              <w:bottom w:val="single" w:sz="6"/>
              <w:right w:val="single" w:sz="6"/>
            </w:tcBorders>
            <w:tcMar>
              <w:left w:w="105" w:type="dxa"/>
              <w:right w:w="105" w:type="dxa"/>
            </w:tcMar>
            <w:vAlign w:val="top"/>
          </w:tcPr>
          <w:p w:rsidR="2D57A969" w:rsidP="2D57A969" w:rsidRDefault="2D57A969" w14:paraId="2508EC0E" w14:textId="353F974A">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Emily Gregory</w:t>
            </w:r>
          </w:p>
        </w:tc>
        <w:tc>
          <w:tcPr>
            <w:tcW w:w="2370" w:type="dxa"/>
            <w:tcBorders>
              <w:top w:val="single" w:sz="6"/>
              <w:left w:val="single" w:sz="6"/>
              <w:bottom w:val="single" w:sz="6"/>
              <w:right w:val="single" w:sz="6"/>
            </w:tcBorders>
            <w:tcMar>
              <w:left w:w="105" w:type="dxa"/>
              <w:right w:w="105" w:type="dxa"/>
            </w:tcMar>
            <w:vAlign w:val="top"/>
          </w:tcPr>
          <w:p w:rsidR="2D57A969" w:rsidP="2D57A969" w:rsidRDefault="2D57A969" w14:paraId="30A113C2" w14:textId="22E29F6E">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Class / Group:</w:t>
            </w:r>
          </w:p>
        </w:tc>
        <w:tc>
          <w:tcPr>
            <w:tcW w:w="1345" w:type="dxa"/>
            <w:tcBorders>
              <w:top w:val="single" w:sz="6"/>
              <w:left w:val="single" w:sz="6"/>
              <w:bottom w:val="single" w:sz="6"/>
              <w:right w:val="single" w:sz="6"/>
            </w:tcBorders>
            <w:tcMar>
              <w:left w:w="105" w:type="dxa"/>
              <w:right w:w="105" w:type="dxa"/>
            </w:tcMar>
            <w:vAlign w:val="top"/>
          </w:tcPr>
          <w:p w:rsidR="2D57A969" w:rsidP="2D57A969" w:rsidRDefault="2D57A969" w14:paraId="71ED3817" w14:textId="3D98D2EF">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Year 5/6</w:t>
            </w:r>
          </w:p>
        </w:tc>
      </w:tr>
      <w:tr w:rsidR="2D57A969" w:rsidTr="2D57A969" w14:paraId="6B64CCFA">
        <w:trPr>
          <w:trHeight w:val="225"/>
        </w:trPr>
        <w:tc>
          <w:tcPr>
            <w:tcW w:w="2616" w:type="dxa"/>
            <w:tcBorders>
              <w:top w:val="single" w:sz="6"/>
            </w:tcBorders>
            <w:shd w:val="clear" w:color="auto" w:fill="94BAD6"/>
            <w:tcMar>
              <w:left w:w="105" w:type="dxa"/>
              <w:right w:w="105" w:type="dxa"/>
            </w:tcMar>
            <w:vAlign w:val="top"/>
          </w:tcPr>
          <w:p w:rsidR="2D57A969" w:rsidP="2D57A969" w:rsidRDefault="2D57A969" w14:paraId="24FD73C1" w14:textId="50AE9F4F">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AoLE or Subject:</w:t>
            </w:r>
          </w:p>
        </w:tc>
        <w:tc>
          <w:tcPr>
            <w:tcW w:w="4124" w:type="dxa"/>
            <w:tcBorders>
              <w:top w:val="single" w:sz="6"/>
            </w:tcBorders>
            <w:tcMar>
              <w:left w:w="105" w:type="dxa"/>
              <w:right w:w="105" w:type="dxa"/>
            </w:tcMar>
            <w:vAlign w:val="top"/>
          </w:tcPr>
          <w:p w:rsidR="2D57A969" w:rsidP="2D57A969" w:rsidRDefault="2D57A969" w14:paraId="6E5874FD" w14:textId="199887DE">
            <w:pP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0"/>
                <w:bCs w:val="0"/>
                <w:i w:val="0"/>
                <w:iCs w:val="0"/>
                <w:caps w:val="0"/>
                <w:smallCaps w:val="0"/>
                <w:color w:val="000000" w:themeColor="text1" w:themeTint="FF" w:themeShade="FF"/>
                <w:sz w:val="22"/>
                <w:szCs w:val="22"/>
                <w:lang w:val="en-GB"/>
              </w:rPr>
              <w:t>Mathematics and numeracy</w:t>
            </w:r>
          </w:p>
          <w:p w:rsidR="2D57A969" w:rsidP="2D57A969" w:rsidRDefault="2D57A969" w14:paraId="55F834EE" w14:textId="5D5CD414">
            <w:pPr>
              <w:rPr>
                <w:rFonts w:ascii="Calibri" w:hAnsi="Calibri" w:eastAsia="Calibri" w:cs="Calibri"/>
                <w:b w:val="0"/>
                <w:bCs w:val="0"/>
                <w:i w:val="0"/>
                <w:iCs w:val="0"/>
                <w:caps w:val="0"/>
                <w:smallCaps w:val="0"/>
                <w:color w:val="000000" w:themeColor="text1" w:themeTint="FF" w:themeShade="FF"/>
                <w:sz w:val="22"/>
                <w:szCs w:val="22"/>
              </w:rPr>
            </w:pPr>
          </w:p>
        </w:tc>
        <w:tc>
          <w:tcPr>
            <w:tcW w:w="2370" w:type="dxa"/>
            <w:tcBorders>
              <w:top w:val="single" w:sz="6"/>
            </w:tcBorders>
            <w:tcMar>
              <w:left w:w="105" w:type="dxa"/>
              <w:right w:w="105" w:type="dxa"/>
            </w:tcMar>
            <w:vAlign w:val="top"/>
          </w:tcPr>
          <w:p w:rsidR="2D57A969" w:rsidP="2D57A969" w:rsidRDefault="2D57A969" w14:paraId="746D4B4A" w14:textId="11B5D07E">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Date </w:t>
            </w: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(please note that this may be a continuous session)</w:t>
            </w: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w:t>
            </w:r>
          </w:p>
        </w:tc>
        <w:tc>
          <w:tcPr>
            <w:tcW w:w="1345" w:type="dxa"/>
            <w:tcBorders>
              <w:top w:val="single" w:sz="6"/>
            </w:tcBorders>
            <w:tcMar>
              <w:left w:w="105" w:type="dxa"/>
              <w:right w:w="105" w:type="dxa"/>
            </w:tcMar>
            <w:vAlign w:val="top"/>
          </w:tcPr>
          <w:p w:rsidR="2D57A969" w:rsidP="2D57A969" w:rsidRDefault="2D57A969" w14:paraId="438FA484" w14:textId="7AE2EF93">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20.11.23</w:t>
            </w:r>
          </w:p>
        </w:tc>
      </w:tr>
      <w:tr w:rsidR="2D57A969" w:rsidTr="2D57A969" w14:paraId="58715D79">
        <w:trPr>
          <w:trHeight w:val="885"/>
        </w:trPr>
        <w:tc>
          <w:tcPr>
            <w:tcW w:w="2616" w:type="dxa"/>
            <w:shd w:val="clear" w:color="auto" w:fill="94BAD6"/>
            <w:tcMar>
              <w:left w:w="105" w:type="dxa"/>
              <w:right w:w="105" w:type="dxa"/>
            </w:tcMar>
            <w:vAlign w:val="top"/>
          </w:tcPr>
          <w:p w:rsidR="2D57A969" w:rsidP="2D57A969" w:rsidRDefault="2D57A969" w14:paraId="6C11B851" w14:textId="7957E79E">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Meaningful links to</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Curriculum</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(What Matters Statements, Descriptions of learning, ‘previous’ curriculum...)</w:t>
            </w:r>
          </w:p>
        </w:tc>
        <w:tc>
          <w:tcPr>
            <w:tcW w:w="7839" w:type="dxa"/>
            <w:gridSpan w:val="3"/>
            <w:tcMar>
              <w:left w:w="105" w:type="dxa"/>
              <w:right w:w="105" w:type="dxa"/>
            </w:tcMar>
            <w:vAlign w:val="top"/>
          </w:tcPr>
          <w:p w:rsidR="2D57A969" w:rsidP="2D57A969" w:rsidRDefault="2D57A969" w14:paraId="4F648A30" w14:textId="6A63F90A">
            <w:pPr>
              <w:rPr>
                <w:rFonts w:ascii="Calibri" w:hAnsi="Calibri" w:eastAsia="Calibri" w:cs="Calibri"/>
                <w:b w:val="0"/>
                <w:bCs w:val="0"/>
                <w:i w:val="0"/>
                <w:iCs w:val="0"/>
                <w:caps w:val="0"/>
                <w:smallCaps w:val="0"/>
                <w:color w:val="1F1F1F"/>
                <w:sz w:val="20"/>
                <w:szCs w:val="20"/>
              </w:rPr>
            </w:pPr>
            <w:r w:rsidRPr="2D57A969" w:rsidR="2D57A969">
              <w:rPr>
                <w:rFonts w:ascii="Calibri" w:hAnsi="Calibri" w:eastAsia="Calibri" w:cs="Calibri"/>
                <w:b w:val="0"/>
                <w:bCs w:val="0"/>
                <w:i w:val="0"/>
                <w:iCs w:val="0"/>
                <w:caps w:val="0"/>
                <w:smallCaps w:val="0"/>
                <w:color w:val="1F1F1F"/>
                <w:sz w:val="20"/>
                <w:szCs w:val="20"/>
                <w:lang w:val="en-GB"/>
              </w:rPr>
              <w:t>The number system is used to represent and compare relationships between numbers and quantities</w:t>
            </w:r>
          </w:p>
        </w:tc>
      </w:tr>
      <w:tr w:rsidR="2D57A969" w:rsidTr="2D57A969" w14:paraId="0672626B">
        <w:trPr>
          <w:trHeight w:val="870"/>
        </w:trPr>
        <w:tc>
          <w:tcPr>
            <w:tcW w:w="2616" w:type="dxa"/>
            <w:shd w:val="clear" w:color="auto" w:fill="94BAD6"/>
            <w:tcMar>
              <w:left w:w="105" w:type="dxa"/>
              <w:right w:w="105" w:type="dxa"/>
            </w:tcMar>
            <w:vAlign w:val="top"/>
          </w:tcPr>
          <w:p w:rsidR="2D57A969" w:rsidP="2D57A969" w:rsidRDefault="2D57A969" w14:paraId="0ED148AA" w14:textId="330892E6">
            <w:pP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Meaningful links across the curriculum </w:t>
            </w:r>
            <w:r>
              <w:br/>
            </w: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 xml:space="preserve">Links to other AoLEs or the  </w:t>
            </w:r>
            <w:hyperlink w:anchor="overview" r:id="Rff9d0543d0a74021">
              <w:r w:rsidRPr="2D57A969" w:rsidR="2D57A969">
                <w:rPr>
                  <w:rStyle w:val="Hyperlink"/>
                  <w:rFonts w:ascii="Calibri" w:hAnsi="Calibri" w:eastAsia="Calibri" w:cs="Calibri"/>
                  <w:b w:val="0"/>
                  <w:bCs w:val="0"/>
                  <w:i w:val="0"/>
                  <w:iCs w:val="0"/>
                  <w:caps w:val="0"/>
                  <w:smallCaps w:val="0"/>
                  <w:strike w:val="0"/>
                  <w:dstrike w:val="0"/>
                  <w:sz w:val="20"/>
                  <w:szCs w:val="20"/>
                  <w:lang w:val="en-GB"/>
                </w:rPr>
                <w:t>Cross-curricular skills frameworks)</w:t>
              </w:r>
            </w:hyperlink>
          </w:p>
        </w:tc>
        <w:tc>
          <w:tcPr>
            <w:tcW w:w="7839" w:type="dxa"/>
            <w:gridSpan w:val="3"/>
            <w:tcMar>
              <w:left w:w="105" w:type="dxa"/>
              <w:right w:w="105" w:type="dxa"/>
            </w:tcMar>
            <w:vAlign w:val="top"/>
          </w:tcPr>
          <w:p w:rsidR="2D57A969" w:rsidP="2D57A969" w:rsidRDefault="2D57A969" w14:paraId="6CA7DD2E" w14:textId="53DEE819">
            <w:pPr>
              <w:rPr>
                <w:rFonts w:ascii="Calibri" w:hAnsi="Calibri" w:eastAsia="Calibri" w:cs="Calibri"/>
                <w:b w:val="0"/>
                <w:bCs w:val="0"/>
                <w:i w:val="0"/>
                <w:iCs w:val="0"/>
                <w:caps w:val="0"/>
                <w:smallCaps w:val="0"/>
                <w:color w:val="1F1F1F"/>
                <w:sz w:val="22"/>
                <w:szCs w:val="22"/>
              </w:rPr>
            </w:pPr>
            <w:r w:rsidRPr="2D57A969" w:rsidR="2D57A969">
              <w:rPr>
                <w:rFonts w:ascii="Calibri" w:hAnsi="Calibri" w:eastAsia="Calibri" w:cs="Calibri"/>
                <w:b w:val="0"/>
                <w:bCs w:val="0"/>
                <w:i w:val="0"/>
                <w:iCs w:val="0"/>
                <w:caps w:val="0"/>
                <w:smallCaps w:val="0"/>
                <w:color w:val="1F1F1F"/>
                <w:sz w:val="22"/>
                <w:szCs w:val="22"/>
                <w:lang w:val="en-GB"/>
              </w:rPr>
              <w:t xml:space="preserve">Digital competency </w:t>
            </w:r>
          </w:p>
        </w:tc>
      </w:tr>
      <w:tr w:rsidR="2D57A969" w:rsidTr="2D57A969" w14:paraId="2163D6FF">
        <w:trPr>
          <w:trHeight w:val="780"/>
        </w:trPr>
        <w:tc>
          <w:tcPr>
            <w:tcW w:w="10455" w:type="dxa"/>
            <w:gridSpan w:val="4"/>
            <w:tcMar>
              <w:left w:w="105" w:type="dxa"/>
              <w:right w:w="105" w:type="dxa"/>
            </w:tcMar>
            <w:vAlign w:val="top"/>
          </w:tcPr>
          <w:p w:rsidR="2D57A969" w:rsidP="2D57A969" w:rsidRDefault="2D57A969" w14:paraId="09A76E9D" w14:textId="4A6CFAE7">
            <w:pPr>
              <w:rPr>
                <w:rFonts w:ascii="Calibri" w:hAnsi="Calibri" w:eastAsia="Calibri" w:cs="Calibri"/>
                <w:b w:val="0"/>
                <w:bCs w:val="0"/>
                <w:i w:val="0"/>
                <w:iCs w:val="0"/>
                <w:caps w:val="0"/>
                <w:smallCaps w:val="0"/>
                <w:color w:val="333333"/>
                <w:sz w:val="20"/>
                <w:szCs w:val="20"/>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Personal Targets</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w:t>
            </w:r>
            <w:r w:rsidRPr="2D57A969" w:rsidR="2D57A969">
              <w:rPr>
                <w:rFonts w:ascii="Calibri" w:hAnsi="Calibri" w:eastAsia="Calibri" w:cs="Calibri"/>
                <w:b w:val="0"/>
                <w:bCs w:val="0"/>
                <w:i w:val="0"/>
                <w:iCs w:val="0"/>
                <w:caps w:val="0"/>
                <w:smallCaps w:val="0"/>
                <w:color w:val="333333"/>
                <w:sz w:val="20"/>
                <w:szCs w:val="20"/>
                <w:lang w:val="en-GB"/>
              </w:rPr>
              <w:t>targets and consequent impact on learning - refer to any targets that have been identified in learning journal or weekly reflection meeting and describe the desired impact on learning)</w:t>
            </w:r>
          </w:p>
          <w:p w:rsidR="2D57A969" w:rsidP="2D57A969" w:rsidRDefault="2D57A969" w14:paraId="165CBEC6" w14:textId="65DEC79C">
            <w:pPr>
              <w:rPr>
                <w:rFonts w:ascii="Calibri" w:hAnsi="Calibri" w:eastAsia="Calibri" w:cs="Calibri"/>
                <w:b w:val="0"/>
                <w:bCs w:val="0"/>
                <w:i w:val="0"/>
                <w:iCs w:val="0"/>
                <w:caps w:val="0"/>
                <w:smallCaps w:val="0"/>
                <w:color w:val="333333"/>
                <w:sz w:val="20"/>
                <w:szCs w:val="20"/>
              </w:rPr>
            </w:pPr>
          </w:p>
          <w:p w:rsidR="2D57A969" w:rsidP="2D57A969" w:rsidRDefault="2D57A969" w14:paraId="523D8FA4" w14:textId="37E3B5B9">
            <w:pPr>
              <w:ind w:left="720"/>
              <w:rPr>
                <w:rFonts w:ascii="Segoe UI" w:hAnsi="Segoe UI" w:eastAsia="Segoe UI" w:cs="Segoe UI"/>
                <w:b w:val="0"/>
                <w:bCs w:val="0"/>
                <w:i w:val="0"/>
                <w:iCs w:val="0"/>
                <w:caps w:val="0"/>
                <w:smallCaps w:val="0"/>
                <w:color w:val="333333"/>
                <w:sz w:val="18"/>
                <w:szCs w:val="18"/>
              </w:rPr>
            </w:pPr>
            <w:r w:rsidRPr="2D57A969" w:rsidR="2D57A969">
              <w:rPr>
                <w:rFonts w:ascii="Segoe UI" w:hAnsi="Segoe UI" w:eastAsia="Segoe UI" w:cs="Segoe UI"/>
                <w:b w:val="0"/>
                <w:bCs w:val="0"/>
                <w:i w:val="0"/>
                <w:iCs w:val="0"/>
                <w:caps w:val="0"/>
                <w:smallCaps w:val="0"/>
                <w:color w:val="333333"/>
                <w:sz w:val="18"/>
                <w:szCs w:val="18"/>
                <w:lang w:val="en-GB"/>
              </w:rPr>
              <w:t xml:space="preserve">To find out what the learners have been studying and build on previous learning in your planning </w:t>
            </w:r>
          </w:p>
          <w:p w:rsidR="2D57A969" w:rsidP="2D57A969" w:rsidRDefault="2D57A969" w14:paraId="0ADB7E2E" w14:textId="369C23C7">
            <w:pPr>
              <w:ind w:left="720"/>
              <w:rPr>
                <w:rFonts w:ascii="Segoe UI" w:hAnsi="Segoe UI" w:eastAsia="Segoe UI" w:cs="Segoe UI"/>
                <w:b w:val="0"/>
                <w:bCs w:val="0"/>
                <w:i w:val="0"/>
                <w:iCs w:val="0"/>
                <w:caps w:val="0"/>
                <w:smallCaps w:val="0"/>
                <w:color w:val="333333"/>
                <w:sz w:val="18"/>
                <w:szCs w:val="18"/>
              </w:rPr>
            </w:pPr>
            <w:r w:rsidRPr="2D57A969" w:rsidR="2D57A969">
              <w:rPr>
                <w:rFonts w:ascii="Segoe UI" w:hAnsi="Segoe UI" w:eastAsia="Segoe UI" w:cs="Segoe UI"/>
                <w:b w:val="0"/>
                <w:bCs w:val="0"/>
                <w:i w:val="0"/>
                <w:iCs w:val="0"/>
                <w:caps w:val="0"/>
                <w:smallCaps w:val="0"/>
                <w:color w:val="333333"/>
                <w:sz w:val="18"/>
                <w:szCs w:val="18"/>
                <w:lang w:val="en-GB"/>
              </w:rPr>
              <w:t>To differentiate for the three main groups within the class. To show the range of learning within the class in the tasks you set.</w:t>
            </w:r>
          </w:p>
          <w:p w:rsidR="2D57A969" w:rsidP="2D57A969" w:rsidRDefault="2D57A969" w14:paraId="7CD7C5B6" w14:textId="2AA3497B">
            <w:pPr>
              <w:ind w:left="720"/>
              <w:rPr>
                <w:rFonts w:ascii="Segoe UI" w:hAnsi="Segoe UI" w:eastAsia="Segoe UI" w:cs="Segoe UI"/>
                <w:b w:val="0"/>
                <w:bCs w:val="0"/>
                <w:i w:val="0"/>
                <w:iCs w:val="0"/>
                <w:caps w:val="0"/>
                <w:smallCaps w:val="0"/>
                <w:color w:val="333333"/>
                <w:sz w:val="18"/>
                <w:szCs w:val="18"/>
              </w:rPr>
            </w:pPr>
          </w:p>
        </w:tc>
      </w:tr>
      <w:tr w:rsidR="2D57A969" w:rsidTr="2D57A969" w14:paraId="1E127472">
        <w:trPr>
          <w:trHeight w:val="300"/>
        </w:trPr>
        <w:tc>
          <w:tcPr>
            <w:tcW w:w="10455" w:type="dxa"/>
            <w:gridSpan w:val="4"/>
            <w:shd w:val="clear" w:color="auto" w:fill="94BAD6"/>
            <w:tcMar>
              <w:left w:w="105" w:type="dxa"/>
              <w:right w:w="105" w:type="dxa"/>
            </w:tcMar>
            <w:vAlign w:val="top"/>
          </w:tcPr>
          <w:p w:rsidR="2D57A969" w:rsidP="2D57A969" w:rsidRDefault="2D57A969" w14:paraId="426BAA07" w14:textId="145F745B">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Learning Intention</w:t>
            </w:r>
          </w:p>
          <w:p w:rsidR="2D57A969" w:rsidP="2D57A969" w:rsidRDefault="2D57A969" w14:paraId="1FD4DAAB" w14:textId="61A7C3CB">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‘This should focus on the pupils’ learning during the lesson, rather than what they will be doing, and should be short, achievable and measurable.’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Crichton, H., and Mcdaid, A. 2016 p. 196)</w:t>
            </w:r>
          </w:p>
        </w:tc>
      </w:tr>
      <w:tr w:rsidR="2D57A969" w:rsidTr="2D57A969" w14:paraId="572C2AD1">
        <w:trPr>
          <w:trHeight w:val="300"/>
        </w:trPr>
        <w:tc>
          <w:tcPr>
            <w:tcW w:w="10455" w:type="dxa"/>
            <w:gridSpan w:val="4"/>
            <w:tcMar>
              <w:left w:w="105" w:type="dxa"/>
              <w:right w:w="105" w:type="dxa"/>
            </w:tcMar>
            <w:vAlign w:val="top"/>
          </w:tcPr>
          <w:p w:rsidR="2D57A969" w:rsidP="2D57A969" w:rsidRDefault="2D57A969" w14:paraId="745E3EEB" w14:textId="4FB551A7">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Learning intention: to measure the body with your partner using appropriate units. </w:t>
            </w:r>
          </w:p>
          <w:p w:rsidR="2D57A969" w:rsidP="2D57A969" w:rsidRDefault="2D57A969" w14:paraId="742F3D7D" w14:textId="381CE24B">
            <w:pPr>
              <w:rPr>
                <w:rFonts w:ascii="Calibri" w:hAnsi="Calibri" w:eastAsia="Calibri" w:cs="Calibri"/>
                <w:b w:val="0"/>
                <w:bCs w:val="0"/>
                <w:i w:val="0"/>
                <w:iCs w:val="0"/>
                <w:caps w:val="0"/>
                <w:smallCaps w:val="0"/>
                <w:color w:val="000000" w:themeColor="text1" w:themeTint="FF" w:themeShade="FF"/>
                <w:sz w:val="24"/>
                <w:szCs w:val="24"/>
              </w:rPr>
            </w:pPr>
          </w:p>
        </w:tc>
      </w:tr>
      <w:tr w:rsidR="2D57A969" w:rsidTr="2D57A969" w14:paraId="3B90B1E5">
        <w:trPr>
          <w:trHeight w:val="555"/>
        </w:trPr>
        <w:tc>
          <w:tcPr>
            <w:tcW w:w="10455" w:type="dxa"/>
            <w:gridSpan w:val="4"/>
            <w:shd w:val="clear" w:color="auto" w:fill="94BAD6"/>
            <w:tcMar>
              <w:left w:w="105" w:type="dxa"/>
              <w:right w:w="105" w:type="dxa"/>
            </w:tcMar>
            <w:vAlign w:val="top"/>
          </w:tcPr>
          <w:p w:rsidR="2D57A969" w:rsidP="2D57A969" w:rsidRDefault="2D57A969" w14:paraId="647E579A" w14:textId="1962A9D7">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Success Criteria </w:t>
            </w:r>
          </w:p>
          <w:p w:rsidR="2D57A969" w:rsidP="2D57A969" w:rsidRDefault="2D57A969" w14:paraId="1300E79D" w14:textId="0F876719">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What the pupils need to demonstrate to successfully meet the Learning Intention.</w:t>
            </w:r>
          </w:p>
        </w:tc>
      </w:tr>
      <w:tr w:rsidR="2D57A969" w:rsidTr="2D57A969" w14:paraId="7DDFBE22">
        <w:trPr>
          <w:trHeight w:val="690"/>
        </w:trPr>
        <w:tc>
          <w:tcPr>
            <w:tcW w:w="10455" w:type="dxa"/>
            <w:gridSpan w:val="4"/>
            <w:tcMar>
              <w:left w:w="105" w:type="dxa"/>
              <w:right w:w="105" w:type="dxa"/>
            </w:tcMar>
            <w:vAlign w:val="top"/>
          </w:tcPr>
          <w:p w:rsidR="2D57A969" w:rsidP="2D57A969" w:rsidRDefault="2D57A969" w14:paraId="4EDBBD01" w14:textId="7DD21D08">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The pupils need to:</w:t>
            </w:r>
          </w:p>
          <w:p w:rsidR="2D57A969" w:rsidP="2D57A969" w:rsidRDefault="2D57A969" w14:paraId="2944430D" w14:textId="6595C61A">
            <w:pPr>
              <w:pStyle w:val="ListParagraph"/>
              <w:numPr>
                <w:ilvl w:val="0"/>
                <w:numId w:val="14"/>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Measure a variety of body parts using the appropriate instrument (e.g. ruler, tape measure, metre stick)</w:t>
            </w:r>
          </w:p>
          <w:p w:rsidR="2D57A969" w:rsidP="2D57A969" w:rsidRDefault="2D57A969" w14:paraId="19073B3C" w14:textId="2F980DBA">
            <w:pPr>
              <w:pStyle w:val="ListParagraph"/>
              <w:numPr>
                <w:ilvl w:val="0"/>
                <w:numId w:val="14"/>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pupils need to measure in cm as well as m</w:t>
            </w:r>
          </w:p>
          <w:p w:rsidR="2D57A969" w:rsidP="2D57A969" w:rsidRDefault="2D57A969" w14:paraId="6E3326F5" w14:textId="19B21FCB">
            <w:pPr>
              <w:pStyle w:val="ListParagraph"/>
              <w:numPr>
                <w:ilvl w:val="0"/>
                <w:numId w:val="14"/>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pupils will need to measure body parts in mm, cm and m; they should measure body parts appropriate to the units. Pupils can also start to compare different body measures like height and reach of arm span.</w:t>
            </w:r>
          </w:p>
          <w:p w:rsidR="2D57A969" w:rsidP="2D57A969" w:rsidRDefault="2D57A969" w14:paraId="4E7D9C46" w14:textId="671B5AEA">
            <w:pPr>
              <w:pStyle w:val="ListParagraph"/>
              <w:numPr>
                <w:ilvl w:val="0"/>
                <w:numId w:val="14"/>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pupils should measure the body in mm, cm, m and incorporate decimals into their answers. Pupils will also look at working out the circumference of their body.</w:t>
            </w:r>
          </w:p>
        </w:tc>
      </w:tr>
      <w:tr w:rsidR="2D57A969" w:rsidTr="2D57A969" w14:paraId="71D8FC6F">
        <w:trPr>
          <w:trHeight w:val="540"/>
        </w:trPr>
        <w:tc>
          <w:tcPr>
            <w:tcW w:w="10455" w:type="dxa"/>
            <w:gridSpan w:val="4"/>
            <w:shd w:val="clear" w:color="auto" w:fill="94BAD6"/>
            <w:tcMar>
              <w:left w:w="105" w:type="dxa"/>
              <w:right w:w="105" w:type="dxa"/>
            </w:tcMar>
            <w:vAlign w:val="top"/>
          </w:tcPr>
          <w:p w:rsidR="2D57A969" w:rsidP="2D57A969" w:rsidRDefault="2D57A969" w14:paraId="739213EB" w14:textId="716D2C18">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Planning for misconceptions:</w:t>
            </w:r>
          </w:p>
          <w:p w:rsidR="2D57A969" w:rsidP="2D57A969" w:rsidRDefault="2D57A969" w14:paraId="2594D60C" w14:textId="1F1B608E">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Use this section to anticipate pupil errors and misunderstandings and your planned responses to them.</w:t>
            </w:r>
          </w:p>
        </w:tc>
      </w:tr>
      <w:tr w:rsidR="2D57A969" w:rsidTr="2D57A969" w14:paraId="4FBA8C87">
        <w:trPr>
          <w:trHeight w:val="690"/>
        </w:trPr>
        <w:tc>
          <w:tcPr>
            <w:tcW w:w="10455" w:type="dxa"/>
            <w:gridSpan w:val="4"/>
            <w:tcMar>
              <w:left w:w="105" w:type="dxa"/>
              <w:right w:w="105" w:type="dxa"/>
            </w:tcMar>
            <w:vAlign w:val="top"/>
          </w:tcPr>
          <w:p w:rsidR="2D57A969" w:rsidP="2D57A969" w:rsidRDefault="2D57A969" w14:paraId="36402F09" w14:textId="453688C7">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Pupils may not understand he conversion of units, mm to cm, or cm to m. There may be some misunderstanding when it comes to the *** group encountering Pi, I will ensure to be as clear and concise as possible not to confuse them by delving too deeply into the concept. Some pupils may struggle with choosing which instrument of measure to use, this is why I chose the task to be in pairs; to try to mitigate any confusion.</w:t>
            </w:r>
          </w:p>
        </w:tc>
      </w:tr>
    </w:tbl>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861"/>
        <w:gridCol w:w="2665"/>
        <w:gridCol w:w="3045"/>
        <w:gridCol w:w="1988"/>
        <w:gridCol w:w="1896"/>
      </w:tblGrid>
      <w:tr w:rsidR="2D57A969" w:rsidTr="2D57A969" w14:paraId="5603AC24">
        <w:trPr>
          <w:trHeight w:val="825"/>
        </w:trPr>
        <w:tc>
          <w:tcPr>
            <w:tcW w:w="10455" w:type="dxa"/>
            <w:gridSpan w:val="5"/>
            <w:shd w:val="clear" w:color="auto" w:fill="94BAD6"/>
            <w:tcMar>
              <w:left w:w="105" w:type="dxa"/>
              <w:right w:w="105" w:type="dxa"/>
            </w:tcMar>
            <w:vAlign w:val="top"/>
          </w:tcPr>
          <w:p w:rsidR="2D57A969" w:rsidP="2D57A969" w:rsidRDefault="2D57A969" w14:paraId="6FCB73E3" w14:textId="4185540F">
            <w:pPr>
              <w:jc w:val="center"/>
              <w:rPr>
                <w:rFonts w:ascii="Calibri" w:hAnsi="Calibri" w:eastAsia="Calibri" w:cs="Calibri"/>
                <w:b w:val="0"/>
                <w:bCs w:val="0"/>
                <w:i w:val="0"/>
                <w:iCs w:val="0"/>
                <w:caps w:val="0"/>
                <w:smallCaps w:val="0"/>
                <w:color w:val="000000" w:themeColor="text1" w:themeTint="FF" w:themeShade="FF"/>
                <w:sz w:val="24"/>
                <w:szCs w:val="24"/>
              </w:rPr>
            </w:pPr>
          </w:p>
          <w:p w:rsidR="2D57A969" w:rsidP="2D57A969" w:rsidRDefault="2D57A969" w14:paraId="319BCE4F" w14:textId="238BDDEA">
            <w:pPr>
              <w:pStyle w:val="NoSpacing"/>
              <w:jc w:val="center"/>
              <w:rPr>
                <w:rFonts w:ascii="Calibri" w:hAnsi="Calibri" w:eastAsia="Calibri" w:cs="Calibri"/>
                <w:b w:val="0"/>
                <w:bCs w:val="0"/>
                <w:i w:val="0"/>
                <w:iCs w:val="0"/>
                <w:caps w:val="0"/>
                <w:smallCaps w:val="0"/>
                <w:color w:val="000000" w:themeColor="text1" w:themeTint="FF" w:themeShade="FF"/>
                <w:sz w:val="22"/>
                <w:szCs w:val="22"/>
              </w:rPr>
            </w:pPr>
            <w:r w:rsidR="2D57A969">
              <w:rPr/>
              <w:t>SEQUENCE OF TEACHING &amp; LEARNING</w:t>
            </w:r>
            <w:r>
              <w:br/>
            </w:r>
            <w:r w:rsidR="2D57A969">
              <w:rPr/>
              <w:t>(Add or remove rows below as appropriate)</w:t>
            </w:r>
          </w:p>
          <w:p w:rsidR="2D57A969" w:rsidP="2D57A969" w:rsidRDefault="2D57A969" w14:paraId="5932ED50" w14:textId="1D5F0137">
            <w:pPr>
              <w:jc w:val="center"/>
              <w:rPr>
                <w:rFonts w:ascii="Calibri" w:hAnsi="Calibri" w:eastAsia="Calibri" w:cs="Calibri"/>
                <w:b w:val="0"/>
                <w:bCs w:val="0"/>
                <w:i w:val="0"/>
                <w:iCs w:val="0"/>
                <w:caps w:val="0"/>
                <w:smallCaps w:val="0"/>
                <w:color w:val="000000" w:themeColor="text1" w:themeTint="FF" w:themeShade="FF"/>
                <w:sz w:val="24"/>
                <w:szCs w:val="24"/>
              </w:rPr>
            </w:pPr>
          </w:p>
        </w:tc>
      </w:tr>
      <w:tr w:rsidR="2D57A969" w:rsidTr="2D57A969" w14:paraId="6733E75F">
        <w:trPr>
          <w:trHeight w:val="2265"/>
        </w:trPr>
        <w:tc>
          <w:tcPr>
            <w:tcW w:w="861" w:type="dxa"/>
            <w:tcMar>
              <w:left w:w="105" w:type="dxa"/>
              <w:right w:w="105" w:type="dxa"/>
            </w:tcMar>
            <w:vAlign w:val="top"/>
          </w:tcPr>
          <w:p w:rsidR="2D57A969" w:rsidP="2D57A969" w:rsidRDefault="2D57A969" w14:paraId="341A4F04" w14:textId="49720E82">
            <w:pPr>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2C48DD18" w14:textId="64C56AA2">
            <w:pPr>
              <w:jc w:val="cente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2"/>
                <w:szCs w:val="22"/>
                <w:lang w:val="en-GB"/>
              </w:rPr>
              <w:t>Timing:</w:t>
            </w:r>
          </w:p>
          <w:p w:rsidR="2D57A969" w:rsidP="2D57A969" w:rsidRDefault="2D57A969" w14:paraId="464A71BF" w14:textId="28269172">
            <w:pPr>
              <w:jc w:val="center"/>
              <w:rPr>
                <w:rFonts w:ascii="Calibri" w:hAnsi="Calibri" w:eastAsia="Calibri" w:cs="Calibri"/>
                <w:b w:val="0"/>
                <w:bCs w:val="0"/>
                <w:i w:val="0"/>
                <w:iCs w:val="0"/>
                <w:caps w:val="0"/>
                <w:smallCaps w:val="0"/>
                <w:color w:val="000000" w:themeColor="text1" w:themeTint="FF" w:themeShade="FF"/>
                <w:sz w:val="16"/>
                <w:szCs w:val="16"/>
              </w:rPr>
            </w:pPr>
            <w:r w:rsidRPr="2D57A969" w:rsidR="2D57A969">
              <w:rPr>
                <w:rFonts w:ascii="Calibri" w:hAnsi="Calibri" w:eastAsia="Calibri" w:cs="Calibri"/>
                <w:b w:val="0"/>
                <w:bCs w:val="0"/>
                <w:i w:val="1"/>
                <w:iCs w:val="1"/>
                <w:caps w:val="0"/>
                <w:smallCaps w:val="0"/>
                <w:color w:val="000000" w:themeColor="text1" w:themeTint="FF" w:themeShade="FF"/>
                <w:sz w:val="16"/>
                <w:szCs w:val="16"/>
                <w:lang w:val="en-GB"/>
              </w:rPr>
              <w:t>Break down timings into groups if appropriate. ensure pupils are ‘doing’ quickly and that transitions are taken into account</w:t>
            </w:r>
          </w:p>
          <w:p w:rsidR="2D57A969" w:rsidP="2D57A969" w:rsidRDefault="2D57A969" w14:paraId="60380BED" w14:textId="68637634">
            <w:pPr>
              <w:jc w:val="center"/>
              <w:rPr>
                <w:rFonts w:ascii="Calibri" w:hAnsi="Calibri" w:eastAsia="Calibri" w:cs="Calibri"/>
                <w:b w:val="0"/>
                <w:bCs w:val="0"/>
                <w:i w:val="0"/>
                <w:iCs w:val="0"/>
                <w:caps w:val="0"/>
                <w:smallCaps w:val="0"/>
                <w:color w:val="000000" w:themeColor="text1" w:themeTint="FF" w:themeShade="FF"/>
                <w:sz w:val="24"/>
                <w:szCs w:val="24"/>
              </w:rPr>
            </w:pPr>
          </w:p>
        </w:tc>
        <w:tc>
          <w:tcPr>
            <w:tcW w:w="2665" w:type="dxa"/>
            <w:tcMar>
              <w:left w:w="105" w:type="dxa"/>
              <w:right w:w="105" w:type="dxa"/>
            </w:tcMar>
            <w:vAlign w:val="top"/>
          </w:tcPr>
          <w:p w:rsidR="2D57A969" w:rsidP="2D57A969" w:rsidRDefault="2D57A969" w14:paraId="767F503F" w14:textId="6352EC8B">
            <w:pPr>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43F63991" w14:textId="388236B1">
            <w:pPr>
              <w:jc w:val="cente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2"/>
                <w:szCs w:val="22"/>
                <w:lang w:val="en-GB"/>
              </w:rPr>
              <w:t>Role of the teacher &amp; support staff:</w:t>
            </w:r>
          </w:p>
          <w:p w:rsidR="2D57A969" w:rsidP="2D57A969" w:rsidRDefault="2D57A969" w14:paraId="1A3763F7" w14:textId="79CA99DC">
            <w:pPr>
              <w:jc w:val="center"/>
              <w:rPr>
                <w:rFonts w:ascii="Calibri" w:hAnsi="Calibri" w:eastAsia="Calibri" w:cs="Calibri"/>
                <w:b w:val="0"/>
                <w:bCs w:val="0"/>
                <w:i w:val="0"/>
                <w:iCs w:val="0"/>
                <w:caps w:val="0"/>
                <w:smallCaps w:val="0"/>
                <w:color w:val="000000" w:themeColor="text1" w:themeTint="FF" w:themeShade="FF"/>
                <w:sz w:val="18"/>
                <w:szCs w:val="18"/>
              </w:rPr>
            </w:pPr>
            <w:r w:rsidRPr="2D57A969" w:rsidR="2D57A969">
              <w:rPr>
                <w:rFonts w:ascii="Calibri" w:hAnsi="Calibri" w:eastAsia="Calibri" w:cs="Calibri"/>
                <w:b w:val="0"/>
                <w:bCs w:val="0"/>
                <w:i w:val="1"/>
                <w:iCs w:val="1"/>
                <w:caps w:val="0"/>
                <w:smallCaps w:val="0"/>
                <w:color w:val="000000" w:themeColor="text1" w:themeTint="FF" w:themeShade="FF"/>
                <w:sz w:val="18"/>
                <w:szCs w:val="18"/>
                <w:lang w:val="en-GB"/>
              </w:rPr>
              <w:t xml:space="preserve">e.g., key questions, retrieval of prior learning, modelling and explanations, checking understanding, planned use of additional adults. </w:t>
            </w:r>
          </w:p>
          <w:p w:rsidR="2D57A969" w:rsidP="2D57A969" w:rsidRDefault="2D57A969" w14:paraId="06A5C3B9" w14:textId="4F72DA8E">
            <w:pPr>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3129816F" w14:textId="0C4C483B">
            <w:pPr>
              <w:jc w:val="center"/>
              <w:rPr>
                <w:rFonts w:ascii="Calibri" w:hAnsi="Calibri" w:eastAsia="Calibri" w:cs="Calibri"/>
                <w:b w:val="0"/>
                <w:bCs w:val="0"/>
                <w:i w:val="0"/>
                <w:iCs w:val="0"/>
                <w:caps w:val="0"/>
                <w:smallCaps w:val="0"/>
                <w:color w:val="000000" w:themeColor="text1" w:themeTint="FF" w:themeShade="FF"/>
                <w:sz w:val="18"/>
                <w:szCs w:val="18"/>
              </w:rPr>
            </w:pPr>
            <w:r w:rsidRPr="2D57A969" w:rsidR="2D57A969">
              <w:rPr>
                <w:rFonts w:ascii="Calibri" w:hAnsi="Calibri" w:eastAsia="Calibri" w:cs="Calibri"/>
                <w:b w:val="0"/>
                <w:bCs w:val="0"/>
                <w:i w:val="1"/>
                <w:iCs w:val="1"/>
                <w:caps w:val="0"/>
                <w:smallCaps w:val="0"/>
                <w:color w:val="000000" w:themeColor="text1" w:themeTint="FF" w:themeShade="FF"/>
                <w:sz w:val="18"/>
                <w:szCs w:val="18"/>
                <w:lang w:val="en-GB"/>
              </w:rPr>
              <w:t>Choice of pedagogical model or of the 12 pedagogical principles</w:t>
            </w:r>
          </w:p>
        </w:tc>
        <w:tc>
          <w:tcPr>
            <w:tcW w:w="3045" w:type="dxa"/>
            <w:tcMar>
              <w:left w:w="105" w:type="dxa"/>
              <w:right w:w="105" w:type="dxa"/>
            </w:tcMar>
            <w:vAlign w:val="top"/>
          </w:tcPr>
          <w:p w:rsidR="2D57A969" w:rsidP="2D57A969" w:rsidRDefault="2D57A969" w14:paraId="168FF632" w14:textId="5873BF69">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7339626E" w14:textId="71D5C6B2">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Pupils’ learning and activities:</w:t>
            </w:r>
          </w:p>
          <w:p w:rsidR="2D57A969" w:rsidP="2D57A969" w:rsidRDefault="2D57A969" w14:paraId="0C07A953" w14:textId="237A2861">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What will the pupils be learning to do and what activities / resources will facilitate this?</w:t>
            </w:r>
          </w:p>
          <w:p w:rsidR="2D57A969" w:rsidP="2D57A969" w:rsidRDefault="2D57A969" w14:paraId="206C696D" w14:textId="4D0D48B3">
            <w:pPr>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04BCC817" w14:textId="5F53173F">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Please refer to Foundation Learning planning document for details of continuous provision.</w:t>
            </w:r>
          </w:p>
        </w:tc>
        <w:tc>
          <w:tcPr>
            <w:tcW w:w="1988" w:type="dxa"/>
            <w:tcMar>
              <w:left w:w="105" w:type="dxa"/>
              <w:right w:w="105" w:type="dxa"/>
            </w:tcMar>
            <w:vAlign w:val="top"/>
          </w:tcPr>
          <w:p w:rsidR="2D57A969" w:rsidP="2D57A969" w:rsidRDefault="2D57A969" w14:paraId="324E0A88" w14:textId="1625BD92">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16E35740" w14:textId="5A07A385">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Inclusive Strategies (including differentiation):</w:t>
            </w:r>
          </w:p>
          <w:p w:rsidR="2D57A969" w:rsidP="2D57A969" w:rsidRDefault="2D57A969" w14:paraId="590A044A" w14:textId="27112981">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08DC206E" w14:textId="5B05EBEB">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2D57A969">
              <w:rPr/>
              <w:t>Reasons for and details of scaffolding.</w:t>
            </w:r>
          </w:p>
          <w:p w:rsidR="2D57A969" w:rsidP="2D57A969" w:rsidRDefault="2D57A969" w14:paraId="340EB0C3" w14:textId="7F7B185F">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37BF88FA" w14:textId="3E3AEE49">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2D57A969">
              <w:rPr/>
              <w:t>Types of representation in tasks.</w:t>
            </w:r>
          </w:p>
        </w:tc>
        <w:tc>
          <w:tcPr>
            <w:tcW w:w="1896" w:type="dxa"/>
            <w:tcMar>
              <w:left w:w="105" w:type="dxa"/>
              <w:right w:w="105" w:type="dxa"/>
            </w:tcMar>
            <w:vAlign w:val="top"/>
          </w:tcPr>
          <w:p w:rsidR="2D57A969" w:rsidP="2D57A969" w:rsidRDefault="2D57A969" w14:paraId="22529BE5" w14:textId="2440089D">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5BA1CE30" w14:textId="33F7F9E1">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Check what pupils know, understand, and can do:</w:t>
            </w:r>
          </w:p>
          <w:p w:rsidR="2D57A969" w:rsidP="2D57A969" w:rsidRDefault="2D57A969" w14:paraId="208501D0" w14:textId="0C0E44B1">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Key questions, types of retrieval practices, self and peer assessment opportunities, purposeful AfL strategies, live marking opportunities, planned feedback.</w:t>
            </w:r>
          </w:p>
          <w:p w:rsidR="2D57A969" w:rsidP="2D57A969" w:rsidRDefault="2D57A969" w14:paraId="05119DC2" w14:textId="15B25C9F">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0BBC9609" w14:textId="452D7C8E">
            <w:pPr>
              <w:jc w:val="center"/>
              <w:rPr>
                <w:rFonts w:ascii="Calibri" w:hAnsi="Calibri" w:eastAsia="Calibri" w:cs="Calibri"/>
                <w:b w:val="0"/>
                <w:bCs w:val="0"/>
                <w:i w:val="0"/>
                <w:iCs w:val="0"/>
                <w:caps w:val="0"/>
                <w:smallCaps w:val="0"/>
                <w:color w:val="000000" w:themeColor="text1" w:themeTint="FF" w:themeShade="FF"/>
                <w:sz w:val="16"/>
                <w:szCs w:val="16"/>
              </w:rPr>
            </w:pPr>
          </w:p>
        </w:tc>
      </w:tr>
      <w:tr w:rsidR="2D57A969" w:rsidTr="2D57A969" w14:paraId="034B5B65">
        <w:trPr>
          <w:trHeight w:val="1035"/>
        </w:trPr>
        <w:tc>
          <w:tcPr>
            <w:tcW w:w="861" w:type="dxa"/>
            <w:tcMar>
              <w:left w:w="105" w:type="dxa"/>
              <w:right w:w="105" w:type="dxa"/>
            </w:tcMar>
            <w:vAlign w:val="top"/>
          </w:tcPr>
          <w:p w:rsidR="2D57A969" w:rsidP="2D57A969" w:rsidRDefault="2D57A969" w14:paraId="1A512A29" w14:textId="7FE0524C">
            <w:pPr>
              <w:pStyle w:val="NoSpacing"/>
              <w:rPr>
                <w:rFonts w:ascii="Arial" w:hAnsi="Arial" w:eastAsia="Arial" w:cs="Arial"/>
                <w:b w:val="0"/>
                <w:bCs w:val="0"/>
                <w:i w:val="0"/>
                <w:iCs w:val="0"/>
                <w:caps w:val="0"/>
                <w:smallCaps w:val="0"/>
                <w:color w:val="000000" w:themeColor="text1" w:themeTint="FF" w:themeShade="FF"/>
                <w:sz w:val="24"/>
                <w:szCs w:val="24"/>
              </w:rPr>
            </w:pPr>
            <w:r w:rsidR="2D57A969">
              <w:rPr/>
              <w:t>Group *</w:t>
            </w:r>
          </w:p>
          <w:p w:rsidR="2D57A969" w:rsidP="2D57A969" w:rsidRDefault="2D57A969" w14:paraId="4810F47E" w14:textId="01EA6D35">
            <w:pPr>
              <w:rPr>
                <w:rFonts w:ascii="Arial" w:hAnsi="Arial" w:eastAsia="Arial" w:cs="Arial"/>
                <w:b w:val="0"/>
                <w:bCs w:val="0"/>
                <w:i w:val="0"/>
                <w:iCs w:val="0"/>
                <w:caps w:val="0"/>
                <w:smallCaps w:val="0"/>
                <w:color w:val="000000" w:themeColor="text1" w:themeTint="FF" w:themeShade="FF"/>
                <w:sz w:val="24"/>
                <w:szCs w:val="24"/>
              </w:rPr>
            </w:pPr>
          </w:p>
        </w:tc>
        <w:tc>
          <w:tcPr>
            <w:tcW w:w="2665" w:type="dxa"/>
            <w:tcMar>
              <w:left w:w="105" w:type="dxa"/>
              <w:right w:w="105" w:type="dxa"/>
            </w:tcMar>
            <w:vAlign w:val="top"/>
          </w:tcPr>
          <w:p w:rsidR="2D57A969" w:rsidP="2D57A969" w:rsidRDefault="2D57A969" w14:paraId="192F16D3" w14:textId="46E61701">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Introduction: teacher should encourage the pupils to engage in the song. </w:t>
            </w:r>
          </w:p>
          <w:p w:rsidR="2D57A969" w:rsidP="2D57A969" w:rsidRDefault="2D57A969" w14:paraId="0B6FC3CE" w14:textId="460645B5">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Teacher then moves on the slide to the task: to measure the body. </w:t>
            </w:r>
          </w:p>
          <w:p w:rsidR="2D57A969" w:rsidP="2D57A969" w:rsidRDefault="2D57A969" w14:paraId="7B52732C" w14:textId="281B6095">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The teacher will be helping with any questions and prompting the pupils to use the appropriate tools. </w:t>
            </w:r>
          </w:p>
        </w:tc>
        <w:tc>
          <w:tcPr>
            <w:tcW w:w="3045" w:type="dxa"/>
            <w:tcMar>
              <w:left w:w="105" w:type="dxa"/>
              <w:right w:w="105" w:type="dxa"/>
            </w:tcMar>
            <w:vAlign w:val="top"/>
          </w:tcPr>
          <w:p w:rsidR="2D57A969" w:rsidP="2D57A969" w:rsidRDefault="2D57A969" w14:paraId="5FE9FF14" w14:textId="25855D65">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Introduction: the pupils will start with a multiplication song to aid them to learn their timetables. </w:t>
            </w:r>
          </w:p>
          <w:p w:rsidR="2D57A969" w:rsidP="2D57A969" w:rsidRDefault="2D57A969" w14:paraId="6F6E78BF" w14:textId="2ECF89BE">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Pupils listening and engaging with questions asked. Pupils will then take the equipment and carry out the task.</w:t>
            </w:r>
          </w:p>
        </w:tc>
        <w:tc>
          <w:tcPr>
            <w:tcW w:w="1988" w:type="dxa"/>
            <w:tcMar>
              <w:left w:w="105" w:type="dxa"/>
              <w:right w:w="105" w:type="dxa"/>
            </w:tcMar>
            <w:vAlign w:val="top"/>
          </w:tcPr>
          <w:p w:rsidR="2D57A969" w:rsidP="2D57A969" w:rsidRDefault="2D57A969" w14:paraId="02B1BAB2" w14:textId="30D36185">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Differentiation is in the groups, I have created a separate sheet to fill in a level below this group for an individual. </w:t>
            </w:r>
          </w:p>
        </w:tc>
        <w:tc>
          <w:tcPr>
            <w:tcW w:w="1896" w:type="dxa"/>
            <w:tcMar>
              <w:left w:w="105" w:type="dxa"/>
              <w:right w:w="105" w:type="dxa"/>
            </w:tcMar>
            <w:vAlign w:val="top"/>
          </w:tcPr>
          <w:p w:rsidR="2D57A969" w:rsidP="2D57A969" w:rsidRDefault="2D57A969" w14:paraId="30039C90" w14:textId="765DA225">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How to use a ruler </w:t>
            </w:r>
          </w:p>
          <w:p w:rsidR="2D57A969" w:rsidP="2D57A969" w:rsidRDefault="2D57A969" w14:paraId="6F6C8D6E" w14:textId="1E82692B">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use a measuring tape</w:t>
            </w:r>
          </w:p>
          <w:p w:rsidR="2D57A969" w:rsidP="2D57A969" w:rsidRDefault="2D57A969" w14:paraId="07B6492D" w14:textId="1793F8A7">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do the above safely in pairs.</w:t>
            </w:r>
          </w:p>
        </w:tc>
      </w:tr>
      <w:tr w:rsidR="2D57A969" w:rsidTr="2D57A969" w14:paraId="2B13039F">
        <w:trPr>
          <w:trHeight w:val="1020"/>
        </w:trPr>
        <w:tc>
          <w:tcPr>
            <w:tcW w:w="861" w:type="dxa"/>
            <w:tcMar>
              <w:left w:w="105" w:type="dxa"/>
              <w:right w:w="105" w:type="dxa"/>
            </w:tcMar>
            <w:vAlign w:val="top"/>
          </w:tcPr>
          <w:p w:rsidR="2D57A969" w:rsidP="2D57A969" w:rsidRDefault="2D57A969" w14:paraId="0476D3CE" w14:textId="553C405B">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5D992ECC" w14:textId="3AD1973C">
            <w:pPr>
              <w:pStyle w:val="NoSpacing"/>
              <w:rPr>
                <w:rFonts w:ascii="Arial" w:hAnsi="Arial" w:eastAsia="Arial" w:cs="Arial"/>
                <w:b w:val="0"/>
                <w:bCs w:val="0"/>
                <w:i w:val="0"/>
                <w:iCs w:val="0"/>
                <w:caps w:val="0"/>
                <w:smallCaps w:val="0"/>
                <w:color w:val="000000" w:themeColor="text1" w:themeTint="FF" w:themeShade="FF"/>
                <w:sz w:val="24"/>
                <w:szCs w:val="24"/>
              </w:rPr>
            </w:pPr>
            <w:r w:rsidR="2D57A969">
              <w:rPr/>
              <w:t>Group **</w:t>
            </w:r>
          </w:p>
          <w:p w:rsidR="2D57A969" w:rsidP="2D57A969" w:rsidRDefault="2D57A969" w14:paraId="45BD1E56" w14:textId="6CE3149A">
            <w:pPr>
              <w:rPr>
                <w:rFonts w:ascii="Arial" w:hAnsi="Arial" w:eastAsia="Arial" w:cs="Arial"/>
                <w:b w:val="0"/>
                <w:bCs w:val="0"/>
                <w:i w:val="0"/>
                <w:iCs w:val="0"/>
                <w:caps w:val="0"/>
                <w:smallCaps w:val="0"/>
                <w:color w:val="000000" w:themeColor="text1" w:themeTint="FF" w:themeShade="FF"/>
                <w:sz w:val="24"/>
                <w:szCs w:val="24"/>
              </w:rPr>
            </w:pPr>
          </w:p>
        </w:tc>
        <w:tc>
          <w:tcPr>
            <w:tcW w:w="2665" w:type="dxa"/>
            <w:tcMar>
              <w:left w:w="105" w:type="dxa"/>
              <w:right w:w="105" w:type="dxa"/>
            </w:tcMar>
            <w:vAlign w:val="top"/>
          </w:tcPr>
          <w:p w:rsidR="2D57A969" w:rsidP="2D57A969" w:rsidRDefault="2D57A969" w14:paraId="5835C570" w14:textId="7CD4BDAB">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Introduction: teacher should encourage the pupils to engage in the song. </w:t>
            </w:r>
          </w:p>
          <w:p w:rsidR="2D57A969" w:rsidP="2D57A969" w:rsidRDefault="2D57A969" w14:paraId="1755C323" w14:textId="401EE553">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Teacher then moves on the slide to the task: to measure the body. </w:t>
            </w:r>
          </w:p>
          <w:p w:rsidR="2D57A969" w:rsidP="2D57A969" w:rsidRDefault="2D57A969" w14:paraId="0A990DC3" w14:textId="682DA9BA">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The teacher will be helping with any questions and prompting the pupils to use the appropriate tools</w:t>
            </w:r>
          </w:p>
        </w:tc>
        <w:tc>
          <w:tcPr>
            <w:tcW w:w="3045" w:type="dxa"/>
            <w:tcMar>
              <w:left w:w="105" w:type="dxa"/>
              <w:right w:w="105" w:type="dxa"/>
            </w:tcMar>
            <w:vAlign w:val="top"/>
          </w:tcPr>
          <w:p w:rsidR="2D57A969" w:rsidP="2D57A969" w:rsidRDefault="2D57A969" w14:paraId="7C8DB4A8" w14:textId="1BC1528F">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Introduction: the pupils will start with a multiplication song to aid them to learn their timetables. </w:t>
            </w:r>
          </w:p>
          <w:p w:rsidR="2D57A969" w:rsidP="2D57A969" w:rsidRDefault="2D57A969" w14:paraId="01F74AFE" w14:textId="7F363FC0">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Pupils listening and engaging with questions asked. Pupils will then take the equipment and carry out the task. They will also need to use different units mm, cm and meters. </w:t>
            </w:r>
          </w:p>
          <w:p w:rsidR="2D57A969" w:rsidP="2D57A969" w:rsidRDefault="2D57A969" w14:paraId="577C800F" w14:textId="673D7DB9">
            <w:pPr>
              <w:rPr>
                <w:rFonts w:ascii="Arial" w:hAnsi="Arial" w:eastAsia="Arial" w:cs="Arial"/>
                <w:b w:val="0"/>
                <w:bCs w:val="0"/>
                <w:i w:val="0"/>
                <w:iCs w:val="0"/>
                <w:caps w:val="0"/>
                <w:smallCaps w:val="0"/>
                <w:color w:val="000000" w:themeColor="text1" w:themeTint="FF" w:themeShade="FF"/>
                <w:sz w:val="24"/>
                <w:szCs w:val="24"/>
              </w:rPr>
            </w:pPr>
          </w:p>
        </w:tc>
        <w:tc>
          <w:tcPr>
            <w:tcW w:w="1988" w:type="dxa"/>
            <w:tcMar>
              <w:left w:w="105" w:type="dxa"/>
              <w:right w:w="105" w:type="dxa"/>
            </w:tcMar>
            <w:vAlign w:val="top"/>
          </w:tcPr>
          <w:p w:rsidR="2D57A969" w:rsidP="2D57A969" w:rsidRDefault="2D57A969" w14:paraId="713D2618" w14:textId="6B57E05C">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Pupils in this group could be encouraged to use decimals with using meters when measuring. </w:t>
            </w:r>
          </w:p>
        </w:tc>
        <w:tc>
          <w:tcPr>
            <w:tcW w:w="1896" w:type="dxa"/>
            <w:tcMar>
              <w:left w:w="105" w:type="dxa"/>
              <w:right w:w="105" w:type="dxa"/>
            </w:tcMar>
            <w:vAlign w:val="top"/>
          </w:tcPr>
          <w:p w:rsidR="2D57A969" w:rsidP="2D57A969" w:rsidRDefault="2D57A969" w14:paraId="4CD8E9A5" w14:textId="2FFC5597">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How to use a ruler </w:t>
            </w:r>
          </w:p>
          <w:p w:rsidR="2D57A969" w:rsidP="2D57A969" w:rsidRDefault="2D57A969" w14:paraId="2F8A0B03" w14:textId="2EB339EF">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use a measuring tape</w:t>
            </w:r>
          </w:p>
          <w:p w:rsidR="2D57A969" w:rsidP="2D57A969" w:rsidRDefault="2D57A969" w14:paraId="666EBBC5" w14:textId="0D12E52E">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do the above safely in pairs</w:t>
            </w:r>
          </w:p>
          <w:p w:rsidR="2D57A969" w:rsidP="2D57A969" w:rsidRDefault="2D57A969" w14:paraId="6A14FB12" w14:textId="0549C0A9">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convert units.</w:t>
            </w:r>
          </w:p>
        </w:tc>
      </w:tr>
      <w:tr w:rsidR="2D57A969" w:rsidTr="2D57A969" w14:paraId="64675E98">
        <w:trPr>
          <w:trHeight w:val="1035"/>
        </w:trPr>
        <w:tc>
          <w:tcPr>
            <w:tcW w:w="861" w:type="dxa"/>
            <w:tcMar>
              <w:left w:w="105" w:type="dxa"/>
              <w:right w:w="105" w:type="dxa"/>
            </w:tcMar>
            <w:vAlign w:val="top"/>
          </w:tcPr>
          <w:p w:rsidR="2D57A969" w:rsidP="2D57A969" w:rsidRDefault="2D57A969" w14:paraId="657756D8" w14:textId="6D55CE2C">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2D82335E" w14:textId="3D8A57C4">
            <w:pPr>
              <w:pStyle w:val="NoSpacing"/>
              <w:rPr>
                <w:rFonts w:ascii="Arial" w:hAnsi="Arial" w:eastAsia="Arial" w:cs="Arial"/>
                <w:b w:val="0"/>
                <w:bCs w:val="0"/>
                <w:i w:val="0"/>
                <w:iCs w:val="0"/>
                <w:caps w:val="0"/>
                <w:smallCaps w:val="0"/>
                <w:color w:val="000000" w:themeColor="text1" w:themeTint="FF" w:themeShade="FF"/>
                <w:sz w:val="24"/>
                <w:szCs w:val="24"/>
              </w:rPr>
            </w:pPr>
            <w:r w:rsidR="2D57A969">
              <w:rPr/>
              <w:t>Group ***</w:t>
            </w:r>
          </w:p>
          <w:p w:rsidR="2D57A969" w:rsidP="2D57A969" w:rsidRDefault="2D57A969" w14:paraId="6E729D7F" w14:textId="6E07B0A0">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1DE4D09C" w14:textId="00BF8864">
            <w:pPr>
              <w:rPr>
                <w:rFonts w:ascii="Arial" w:hAnsi="Arial" w:eastAsia="Arial" w:cs="Arial"/>
                <w:b w:val="0"/>
                <w:bCs w:val="0"/>
                <w:i w:val="0"/>
                <w:iCs w:val="0"/>
                <w:caps w:val="0"/>
                <w:smallCaps w:val="0"/>
                <w:color w:val="000000" w:themeColor="text1" w:themeTint="FF" w:themeShade="FF"/>
                <w:sz w:val="24"/>
                <w:szCs w:val="24"/>
              </w:rPr>
            </w:pPr>
          </w:p>
        </w:tc>
        <w:tc>
          <w:tcPr>
            <w:tcW w:w="2665" w:type="dxa"/>
            <w:tcMar>
              <w:left w:w="105" w:type="dxa"/>
              <w:right w:w="105" w:type="dxa"/>
            </w:tcMar>
            <w:vAlign w:val="top"/>
          </w:tcPr>
          <w:p w:rsidR="2D57A969" w:rsidP="2D57A969" w:rsidRDefault="2D57A969" w14:paraId="38C7DB47" w14:textId="15E16D95">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Introduction: teacher should encourage the pupils to engage in the song. </w:t>
            </w:r>
          </w:p>
          <w:p w:rsidR="2D57A969" w:rsidP="2D57A969" w:rsidRDefault="2D57A969" w14:paraId="7330339A" w14:textId="0526DEF8">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Teacher then moves on the slide to the task: to measure the body. </w:t>
            </w:r>
          </w:p>
          <w:p w:rsidR="2D57A969" w:rsidP="2D57A969" w:rsidRDefault="2D57A969" w14:paraId="55DC808E" w14:textId="005F58A2">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The teacher will be helping with any questions and prompting the pupils to use the appropriate tools</w:t>
            </w:r>
          </w:p>
          <w:p w:rsidR="2D57A969" w:rsidP="2D57A969" w:rsidRDefault="2D57A969" w14:paraId="78ACDA41" w14:textId="024064D0">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Teacher will need to explain how to find the circumference.</w:t>
            </w:r>
          </w:p>
          <w:p w:rsidR="2D57A969" w:rsidP="2D57A969" w:rsidRDefault="2D57A969" w14:paraId="78069DE7" w14:textId="664A5D3F">
            <w:pPr>
              <w:rPr>
                <w:rFonts w:ascii="Arial" w:hAnsi="Arial" w:eastAsia="Arial" w:cs="Arial"/>
                <w:b w:val="0"/>
                <w:bCs w:val="0"/>
                <w:i w:val="0"/>
                <w:iCs w:val="0"/>
                <w:caps w:val="0"/>
                <w:smallCaps w:val="0"/>
                <w:color w:val="000000" w:themeColor="text1" w:themeTint="FF" w:themeShade="FF"/>
                <w:sz w:val="24"/>
                <w:szCs w:val="24"/>
              </w:rPr>
            </w:pPr>
          </w:p>
        </w:tc>
        <w:tc>
          <w:tcPr>
            <w:tcW w:w="3045" w:type="dxa"/>
            <w:tcMar>
              <w:left w:w="105" w:type="dxa"/>
              <w:right w:w="105" w:type="dxa"/>
            </w:tcMar>
            <w:vAlign w:val="top"/>
          </w:tcPr>
          <w:p w:rsidR="2D57A969" w:rsidP="2D57A969" w:rsidRDefault="2D57A969" w14:paraId="5C804CC7" w14:textId="5DD87216">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Introduction: the pupils will start with a multiplication song to aid them to learn their timetables. </w:t>
            </w:r>
          </w:p>
          <w:p w:rsidR="2D57A969" w:rsidP="2D57A969" w:rsidRDefault="2D57A969" w14:paraId="2039B62B" w14:textId="65A2CFF6">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Pupils listening and engaging with questions asked. Pupils will then take the equipment and carry out the task. They will also need to use different units mm, cm and meters.</w:t>
            </w:r>
          </w:p>
          <w:p w:rsidR="2D57A969" w:rsidP="2D57A969" w:rsidRDefault="2D57A969" w14:paraId="00CFBFE9" w14:textId="0B6BD769">
            <w:pPr>
              <w:pStyle w:val="NoSpacing"/>
              <w:rPr>
                <w:rFonts w:ascii="Arial" w:hAnsi="Arial" w:eastAsia="Arial" w:cs="Arial"/>
                <w:b w:val="0"/>
                <w:bCs w:val="0"/>
                <w:i w:val="0"/>
                <w:iCs w:val="0"/>
                <w:caps w:val="0"/>
                <w:smallCaps w:val="0"/>
                <w:color w:val="000000" w:themeColor="text1" w:themeTint="FF" w:themeShade="FF"/>
                <w:sz w:val="24"/>
                <w:szCs w:val="24"/>
              </w:rPr>
            </w:pPr>
            <w:r w:rsidR="2D57A969">
              <w:rPr/>
              <w:t>Pupils should try to engage with learning how to find the circumference.</w:t>
            </w:r>
          </w:p>
        </w:tc>
        <w:tc>
          <w:tcPr>
            <w:tcW w:w="1988" w:type="dxa"/>
            <w:tcMar>
              <w:left w:w="105" w:type="dxa"/>
              <w:right w:w="105" w:type="dxa"/>
            </w:tcMar>
            <w:vAlign w:val="top"/>
          </w:tcPr>
          <w:p w:rsidR="2D57A969" w:rsidP="2D57A969" w:rsidRDefault="2D57A969" w14:paraId="1922FA01" w14:textId="202A5686">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Pupils don’t need to progress to circumference if it is beyond their current level in mathematics.</w:t>
            </w:r>
          </w:p>
        </w:tc>
        <w:tc>
          <w:tcPr>
            <w:tcW w:w="1896" w:type="dxa"/>
            <w:tcMar>
              <w:left w:w="105" w:type="dxa"/>
              <w:right w:w="105" w:type="dxa"/>
            </w:tcMar>
            <w:vAlign w:val="top"/>
          </w:tcPr>
          <w:p w:rsidR="2D57A969" w:rsidP="2D57A969" w:rsidRDefault="2D57A969" w14:paraId="034277C2" w14:textId="7F88480B">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How to use a ruler </w:t>
            </w:r>
          </w:p>
          <w:p w:rsidR="2D57A969" w:rsidP="2D57A969" w:rsidRDefault="2D57A969" w14:paraId="4DE79AE4" w14:textId="00FF972C">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use a measuring tape</w:t>
            </w:r>
          </w:p>
          <w:p w:rsidR="2D57A969" w:rsidP="2D57A969" w:rsidRDefault="2D57A969" w14:paraId="22170946" w14:textId="0EBEE9BB">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do the above safely in pairs</w:t>
            </w:r>
          </w:p>
          <w:p w:rsidR="2D57A969" w:rsidP="2D57A969" w:rsidRDefault="2D57A969" w14:paraId="16A829A8" w14:textId="0A32D215">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convert units.</w:t>
            </w:r>
          </w:p>
          <w:p w:rsidR="2D57A969" w:rsidP="2D57A969" w:rsidRDefault="2D57A969" w14:paraId="283A620C" w14:textId="0C472199">
            <w:pPr>
              <w:pStyle w:val="NoSpacing"/>
              <w:rPr>
                <w:rFonts w:ascii="Arial" w:hAnsi="Arial" w:eastAsia="Arial" w:cs="Arial"/>
                <w:b w:val="0"/>
                <w:bCs w:val="0"/>
                <w:i w:val="0"/>
                <w:iCs w:val="0"/>
                <w:caps w:val="0"/>
                <w:smallCaps w:val="0"/>
                <w:color w:val="000000" w:themeColor="text1" w:themeTint="FF" w:themeShade="FF"/>
                <w:sz w:val="24"/>
                <w:szCs w:val="24"/>
              </w:rPr>
            </w:pPr>
            <w:r w:rsidR="2D57A969">
              <w:rPr/>
              <w:t>How to work out the circumference.</w:t>
            </w:r>
          </w:p>
          <w:p w:rsidR="2D57A969" w:rsidP="2D57A969" w:rsidRDefault="2D57A969" w14:paraId="31CD3D4E" w14:textId="00A16B32">
            <w:pPr>
              <w:rPr>
                <w:rFonts w:ascii="Arial" w:hAnsi="Arial" w:eastAsia="Arial" w:cs="Arial"/>
                <w:b w:val="0"/>
                <w:bCs w:val="0"/>
                <w:i w:val="0"/>
                <w:iCs w:val="0"/>
                <w:caps w:val="0"/>
                <w:smallCaps w:val="0"/>
                <w:color w:val="000000" w:themeColor="text1" w:themeTint="FF" w:themeShade="FF"/>
                <w:sz w:val="24"/>
                <w:szCs w:val="24"/>
              </w:rPr>
            </w:pPr>
          </w:p>
        </w:tc>
      </w:tr>
    </w:tbl>
    <w:p xmlns:wp14="http://schemas.microsoft.com/office/word/2010/wordml" w:rsidP="2D57A969" wp14:paraId="6949E2D8" wp14:textId="184D0340">
      <w:pPr>
        <w:pStyle w:val="Normal"/>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56"/>
        <w:gridCol w:w="3556"/>
        <w:gridCol w:w="3450"/>
        <w:gridCol w:w="1277"/>
      </w:tblGrid>
      <w:tr w:rsidR="2D57A969" w:rsidTr="2D57A969" w14:paraId="0B1880BA">
        <w:trPr>
          <w:trHeight w:val="225"/>
        </w:trPr>
        <w:tc>
          <w:tcPr>
            <w:tcW w:w="2256" w:type="dxa"/>
            <w:tcBorders>
              <w:top w:val="single" w:sz="6"/>
              <w:left w:val="single" w:sz="6"/>
              <w:bottom w:val="single" w:sz="6"/>
              <w:right w:val="single" w:sz="6"/>
            </w:tcBorders>
            <w:shd w:val="clear" w:color="auto" w:fill="94BAD6"/>
            <w:tcMar>
              <w:left w:w="105" w:type="dxa"/>
              <w:right w:w="105" w:type="dxa"/>
            </w:tcMar>
            <w:vAlign w:val="top"/>
          </w:tcPr>
          <w:p w:rsidR="2D57A969" w:rsidP="2D57A969" w:rsidRDefault="2D57A969" w14:paraId="74E0AB4E" w14:textId="7E911F2C">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Student-teacher:</w:t>
            </w:r>
          </w:p>
        </w:tc>
        <w:tc>
          <w:tcPr>
            <w:tcW w:w="3556" w:type="dxa"/>
            <w:tcBorders>
              <w:top w:val="single" w:sz="6"/>
              <w:left w:val="single" w:sz="6"/>
              <w:bottom w:val="single" w:sz="6"/>
              <w:right w:val="single" w:sz="6"/>
            </w:tcBorders>
            <w:tcMar>
              <w:left w:w="105" w:type="dxa"/>
              <w:right w:w="105" w:type="dxa"/>
            </w:tcMar>
            <w:vAlign w:val="top"/>
          </w:tcPr>
          <w:p w:rsidR="2D57A969" w:rsidP="2D57A969" w:rsidRDefault="2D57A969" w14:paraId="53036596" w14:textId="1E7C1137">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 xml:space="preserve">Emily Gregory </w:t>
            </w:r>
          </w:p>
        </w:tc>
        <w:tc>
          <w:tcPr>
            <w:tcW w:w="3450" w:type="dxa"/>
            <w:tcBorders>
              <w:top w:val="single" w:sz="6"/>
              <w:left w:val="single" w:sz="6"/>
              <w:bottom w:val="single" w:sz="6"/>
              <w:right w:val="single" w:sz="6"/>
            </w:tcBorders>
            <w:tcMar>
              <w:left w:w="105" w:type="dxa"/>
              <w:right w:w="105" w:type="dxa"/>
            </w:tcMar>
            <w:vAlign w:val="top"/>
          </w:tcPr>
          <w:p w:rsidR="2D57A969" w:rsidP="2D57A969" w:rsidRDefault="2D57A969" w14:paraId="571E7E51" w14:textId="05BDBDBF">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Class / Group:</w:t>
            </w:r>
          </w:p>
        </w:tc>
        <w:tc>
          <w:tcPr>
            <w:tcW w:w="1277" w:type="dxa"/>
            <w:tcBorders>
              <w:top w:val="single" w:sz="6"/>
              <w:left w:val="single" w:sz="6"/>
              <w:bottom w:val="single" w:sz="6"/>
              <w:right w:val="single" w:sz="6"/>
            </w:tcBorders>
            <w:tcMar>
              <w:left w:w="105" w:type="dxa"/>
              <w:right w:w="105" w:type="dxa"/>
            </w:tcMar>
            <w:vAlign w:val="top"/>
          </w:tcPr>
          <w:p w:rsidR="2D57A969" w:rsidP="2D57A969" w:rsidRDefault="2D57A969" w14:paraId="6F0EFD96" w14:textId="25F8008D">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Year 5/6</w:t>
            </w:r>
          </w:p>
        </w:tc>
      </w:tr>
      <w:tr w:rsidR="2D57A969" w:rsidTr="2D57A969" w14:paraId="37BFECA8">
        <w:trPr>
          <w:trHeight w:val="225"/>
        </w:trPr>
        <w:tc>
          <w:tcPr>
            <w:tcW w:w="2256" w:type="dxa"/>
            <w:tcBorders>
              <w:top w:val="single" w:sz="6"/>
            </w:tcBorders>
            <w:shd w:val="clear" w:color="auto" w:fill="94BAD6"/>
            <w:tcMar>
              <w:left w:w="105" w:type="dxa"/>
              <w:right w:w="105" w:type="dxa"/>
            </w:tcMar>
            <w:vAlign w:val="top"/>
          </w:tcPr>
          <w:p w:rsidR="2D57A969" w:rsidP="2D57A969" w:rsidRDefault="2D57A969" w14:paraId="5207385A" w14:textId="6906BB5A">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AoLE or Subject:</w:t>
            </w:r>
          </w:p>
        </w:tc>
        <w:tc>
          <w:tcPr>
            <w:tcW w:w="3556" w:type="dxa"/>
            <w:tcBorders>
              <w:top w:val="single" w:sz="6"/>
            </w:tcBorders>
            <w:tcMar>
              <w:left w:w="105" w:type="dxa"/>
              <w:right w:w="105" w:type="dxa"/>
            </w:tcMar>
            <w:vAlign w:val="top"/>
          </w:tcPr>
          <w:p w:rsidR="2D57A969" w:rsidP="2D57A969" w:rsidRDefault="2D57A969" w14:paraId="14E02DBF" w14:textId="16F20E4F">
            <w:pP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0"/>
                <w:bCs w:val="0"/>
                <w:i w:val="0"/>
                <w:iCs w:val="0"/>
                <w:caps w:val="0"/>
                <w:smallCaps w:val="0"/>
                <w:color w:val="000000" w:themeColor="text1" w:themeTint="FF" w:themeShade="FF"/>
                <w:sz w:val="22"/>
                <w:szCs w:val="22"/>
                <w:lang w:val="en-GB"/>
              </w:rPr>
              <w:t>LLC</w:t>
            </w:r>
          </w:p>
        </w:tc>
        <w:tc>
          <w:tcPr>
            <w:tcW w:w="3450" w:type="dxa"/>
            <w:tcBorders>
              <w:top w:val="single" w:sz="6"/>
            </w:tcBorders>
            <w:tcMar>
              <w:left w:w="105" w:type="dxa"/>
              <w:right w:w="105" w:type="dxa"/>
            </w:tcMar>
            <w:vAlign w:val="top"/>
          </w:tcPr>
          <w:p w:rsidR="2D57A969" w:rsidP="2D57A969" w:rsidRDefault="2D57A969" w14:paraId="71CADE34" w14:textId="79CA1A6A">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Date </w:t>
            </w: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(please note that this may be a continuous session)</w:t>
            </w: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w:t>
            </w:r>
          </w:p>
        </w:tc>
        <w:tc>
          <w:tcPr>
            <w:tcW w:w="1277" w:type="dxa"/>
            <w:tcBorders>
              <w:top w:val="single" w:sz="6"/>
            </w:tcBorders>
            <w:tcMar>
              <w:left w:w="105" w:type="dxa"/>
              <w:right w:w="105" w:type="dxa"/>
            </w:tcMar>
            <w:vAlign w:val="top"/>
          </w:tcPr>
          <w:p w:rsidR="2D57A969" w:rsidP="2D57A969" w:rsidRDefault="2D57A969" w14:paraId="48958952" w14:textId="146F0C7A">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22.11.23</w:t>
            </w:r>
          </w:p>
        </w:tc>
      </w:tr>
      <w:tr w:rsidR="2D57A969" w:rsidTr="2D57A969" w14:paraId="5ACB04CD">
        <w:trPr>
          <w:trHeight w:val="885"/>
        </w:trPr>
        <w:tc>
          <w:tcPr>
            <w:tcW w:w="2256" w:type="dxa"/>
            <w:shd w:val="clear" w:color="auto" w:fill="94BAD6"/>
            <w:tcMar>
              <w:left w:w="105" w:type="dxa"/>
              <w:right w:w="105" w:type="dxa"/>
            </w:tcMar>
            <w:vAlign w:val="top"/>
          </w:tcPr>
          <w:p w:rsidR="2D57A969" w:rsidP="2D57A969" w:rsidRDefault="2D57A969" w14:paraId="50A8EDA3" w14:textId="553E534C">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Meaningful links to</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Curriculum</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(What Matters Statements, Descriptions of learning, ‘previous’ curriculum...)</w:t>
            </w:r>
          </w:p>
        </w:tc>
        <w:tc>
          <w:tcPr>
            <w:tcW w:w="8283" w:type="dxa"/>
            <w:gridSpan w:val="3"/>
            <w:tcMar>
              <w:left w:w="105" w:type="dxa"/>
              <w:right w:w="105" w:type="dxa"/>
            </w:tcMar>
            <w:vAlign w:val="top"/>
          </w:tcPr>
          <w:p w:rsidR="2D57A969" w:rsidP="2D57A969" w:rsidRDefault="2D57A969" w14:paraId="084820A3" w14:textId="752BAA41">
            <w:pPr>
              <w:rPr>
                <w:rFonts w:ascii="Calibri" w:hAnsi="Calibri" w:eastAsia="Calibri" w:cs="Calibri"/>
                <w:b w:val="0"/>
                <w:bCs w:val="0"/>
                <w:i w:val="0"/>
                <w:iCs w:val="0"/>
                <w:caps w:val="0"/>
                <w:smallCaps w:val="0"/>
                <w:color w:val="1F1F1F"/>
                <w:sz w:val="20"/>
                <w:szCs w:val="20"/>
              </w:rPr>
            </w:pPr>
            <w:r w:rsidRPr="2D57A969" w:rsidR="2D57A969">
              <w:rPr>
                <w:rFonts w:ascii="Calibri" w:hAnsi="Calibri" w:eastAsia="Calibri" w:cs="Calibri"/>
                <w:b w:val="0"/>
                <w:bCs w:val="0"/>
                <w:i w:val="0"/>
                <w:iCs w:val="0"/>
                <w:caps w:val="0"/>
                <w:smallCaps w:val="0"/>
                <w:color w:val="1F1F1F"/>
                <w:sz w:val="20"/>
                <w:szCs w:val="20"/>
                <w:lang w:val="en-GB"/>
              </w:rPr>
              <w:t>Literature fires imagination and inspires creativity.</w:t>
            </w:r>
          </w:p>
          <w:p w:rsidR="2D57A969" w:rsidP="2D57A969" w:rsidRDefault="2D57A969" w14:paraId="3738AFF6" w14:textId="6E47D0DC">
            <w:pPr>
              <w:rPr>
                <w:rFonts w:ascii="Calibri" w:hAnsi="Calibri" w:eastAsia="Calibri" w:cs="Calibri"/>
                <w:b w:val="0"/>
                <w:bCs w:val="0"/>
                <w:i w:val="0"/>
                <w:iCs w:val="0"/>
                <w:caps w:val="0"/>
                <w:smallCaps w:val="0"/>
                <w:color w:val="1F1F1F"/>
                <w:sz w:val="20"/>
                <w:szCs w:val="20"/>
              </w:rPr>
            </w:pPr>
            <w:r w:rsidRPr="2D57A969" w:rsidR="2D57A969">
              <w:rPr>
                <w:rFonts w:ascii="Calibri" w:hAnsi="Calibri" w:eastAsia="Calibri" w:cs="Calibri"/>
                <w:b w:val="0"/>
                <w:bCs w:val="0"/>
                <w:i w:val="0"/>
                <w:iCs w:val="0"/>
                <w:caps w:val="0"/>
                <w:smallCaps w:val="0"/>
                <w:color w:val="1F1F1F"/>
                <w:sz w:val="20"/>
                <w:szCs w:val="20"/>
                <w:lang w:val="en-GB"/>
              </w:rPr>
              <w:t>Expressing ourselves through language is key to communication.</w:t>
            </w:r>
          </w:p>
        </w:tc>
      </w:tr>
      <w:tr w:rsidR="2D57A969" w:rsidTr="2D57A969" w14:paraId="6BEA960D">
        <w:trPr>
          <w:trHeight w:val="870"/>
        </w:trPr>
        <w:tc>
          <w:tcPr>
            <w:tcW w:w="2256" w:type="dxa"/>
            <w:shd w:val="clear" w:color="auto" w:fill="94BAD6"/>
            <w:tcMar>
              <w:left w:w="105" w:type="dxa"/>
              <w:right w:w="105" w:type="dxa"/>
            </w:tcMar>
            <w:vAlign w:val="top"/>
          </w:tcPr>
          <w:p w:rsidR="2D57A969" w:rsidP="2D57A969" w:rsidRDefault="2D57A969" w14:paraId="20613784" w14:textId="60500B47">
            <w:pP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Meaningful links across the curriculum </w:t>
            </w:r>
            <w:r>
              <w:br/>
            </w: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 xml:space="preserve">Links to other AoLEs or the  </w:t>
            </w:r>
            <w:hyperlink w:anchor="overview" r:id="R98c2203bfcf9479d">
              <w:r w:rsidRPr="2D57A969" w:rsidR="2D57A969">
                <w:rPr>
                  <w:rStyle w:val="Hyperlink"/>
                  <w:rFonts w:ascii="Calibri" w:hAnsi="Calibri" w:eastAsia="Calibri" w:cs="Calibri"/>
                  <w:b w:val="0"/>
                  <w:bCs w:val="0"/>
                  <w:i w:val="0"/>
                  <w:iCs w:val="0"/>
                  <w:caps w:val="0"/>
                  <w:smallCaps w:val="0"/>
                  <w:strike w:val="0"/>
                  <w:dstrike w:val="0"/>
                  <w:sz w:val="20"/>
                  <w:szCs w:val="20"/>
                  <w:lang w:val="en-GB"/>
                </w:rPr>
                <w:t>Cross-curricular skills frameworks)</w:t>
              </w:r>
            </w:hyperlink>
          </w:p>
        </w:tc>
        <w:tc>
          <w:tcPr>
            <w:tcW w:w="8283" w:type="dxa"/>
            <w:gridSpan w:val="3"/>
            <w:tcMar>
              <w:left w:w="105" w:type="dxa"/>
              <w:right w:w="105" w:type="dxa"/>
            </w:tcMar>
            <w:vAlign w:val="top"/>
          </w:tcPr>
          <w:p w:rsidR="2D57A969" w:rsidP="2D57A969" w:rsidRDefault="2D57A969" w14:paraId="3CBF4D26" w14:textId="36FC359A">
            <w:pPr>
              <w:rPr>
                <w:rFonts w:ascii="Calibri" w:hAnsi="Calibri" w:eastAsia="Calibri" w:cs="Calibri"/>
                <w:b w:val="0"/>
                <w:bCs w:val="0"/>
                <w:i w:val="0"/>
                <w:iCs w:val="0"/>
                <w:caps w:val="0"/>
                <w:smallCaps w:val="0"/>
                <w:color w:val="1F1F1F"/>
                <w:sz w:val="22"/>
                <w:szCs w:val="22"/>
              </w:rPr>
            </w:pPr>
            <w:r w:rsidRPr="2D57A969" w:rsidR="2D57A969">
              <w:rPr>
                <w:rFonts w:ascii="Calibri" w:hAnsi="Calibri" w:eastAsia="Calibri" w:cs="Calibri"/>
                <w:b w:val="0"/>
                <w:bCs w:val="0"/>
                <w:i w:val="0"/>
                <w:iCs w:val="0"/>
                <w:caps w:val="0"/>
                <w:smallCaps w:val="0"/>
                <w:color w:val="1F1F1F"/>
                <w:sz w:val="22"/>
                <w:szCs w:val="22"/>
                <w:lang w:val="en-GB"/>
              </w:rPr>
              <w:t xml:space="preserve">Expressive arts </w:t>
            </w:r>
          </w:p>
          <w:p w:rsidR="2D57A969" w:rsidP="2D57A969" w:rsidRDefault="2D57A969" w14:paraId="694EC8BF" w14:textId="6480F1D5">
            <w:pPr>
              <w:rPr>
                <w:rFonts w:ascii="Calibri" w:hAnsi="Calibri" w:eastAsia="Calibri" w:cs="Calibri"/>
                <w:b w:val="0"/>
                <w:bCs w:val="0"/>
                <w:i w:val="0"/>
                <w:iCs w:val="0"/>
                <w:caps w:val="0"/>
                <w:smallCaps w:val="0"/>
                <w:color w:val="1F1F1F"/>
                <w:sz w:val="22"/>
                <w:szCs w:val="22"/>
              </w:rPr>
            </w:pPr>
            <w:r w:rsidRPr="2D57A969" w:rsidR="2D57A969">
              <w:rPr>
                <w:rFonts w:ascii="Calibri" w:hAnsi="Calibri" w:eastAsia="Calibri" w:cs="Calibri"/>
                <w:b w:val="0"/>
                <w:bCs w:val="0"/>
                <w:i w:val="0"/>
                <w:iCs w:val="0"/>
                <w:caps w:val="0"/>
                <w:smallCaps w:val="0"/>
                <w:color w:val="1F1F1F"/>
                <w:sz w:val="22"/>
                <w:szCs w:val="22"/>
                <w:lang w:val="en-GB"/>
              </w:rPr>
              <w:t>Health and wellbeing.</w:t>
            </w:r>
          </w:p>
        </w:tc>
      </w:tr>
      <w:tr w:rsidR="2D57A969" w:rsidTr="2D57A969" w14:paraId="2C1A743B">
        <w:trPr>
          <w:trHeight w:val="780"/>
        </w:trPr>
        <w:tc>
          <w:tcPr>
            <w:tcW w:w="10539" w:type="dxa"/>
            <w:gridSpan w:val="4"/>
            <w:tcMar>
              <w:left w:w="105" w:type="dxa"/>
              <w:right w:w="105" w:type="dxa"/>
            </w:tcMar>
            <w:vAlign w:val="top"/>
          </w:tcPr>
          <w:p w:rsidR="2D57A969" w:rsidP="2D57A969" w:rsidRDefault="2D57A969" w14:paraId="286E0DF0" w14:textId="4B9B7299">
            <w:pPr>
              <w:rPr>
                <w:rFonts w:ascii="Calibri" w:hAnsi="Calibri" w:eastAsia="Calibri" w:cs="Calibri"/>
                <w:b w:val="0"/>
                <w:bCs w:val="0"/>
                <w:i w:val="0"/>
                <w:iCs w:val="0"/>
                <w:caps w:val="0"/>
                <w:smallCaps w:val="0"/>
                <w:color w:val="333333"/>
                <w:sz w:val="20"/>
                <w:szCs w:val="20"/>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Personal Targets</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w:t>
            </w:r>
            <w:r w:rsidRPr="2D57A969" w:rsidR="2D57A969">
              <w:rPr>
                <w:rFonts w:ascii="Calibri" w:hAnsi="Calibri" w:eastAsia="Calibri" w:cs="Calibri"/>
                <w:b w:val="0"/>
                <w:bCs w:val="0"/>
                <w:i w:val="0"/>
                <w:iCs w:val="0"/>
                <w:caps w:val="0"/>
                <w:smallCaps w:val="0"/>
                <w:color w:val="333333"/>
                <w:sz w:val="20"/>
                <w:szCs w:val="20"/>
                <w:lang w:val="en-GB"/>
              </w:rPr>
              <w:t>targets and consequent impact on learning - refer to any targets that have been identified in learning journal or weekly reflection meeting and describe the desired impact on learning)</w:t>
            </w:r>
          </w:p>
          <w:p w:rsidR="2D57A969" w:rsidP="2D57A969" w:rsidRDefault="2D57A969" w14:paraId="57707E7F" w14:textId="7BFC2D81">
            <w:pPr>
              <w:ind w:left="720"/>
              <w:rPr>
                <w:rFonts w:ascii="Segoe UI" w:hAnsi="Segoe UI" w:eastAsia="Segoe UI" w:cs="Segoe UI"/>
                <w:b w:val="0"/>
                <w:bCs w:val="0"/>
                <w:i w:val="0"/>
                <w:iCs w:val="0"/>
                <w:caps w:val="0"/>
                <w:smallCaps w:val="0"/>
                <w:color w:val="333333"/>
                <w:sz w:val="18"/>
                <w:szCs w:val="18"/>
              </w:rPr>
            </w:pPr>
            <w:r w:rsidRPr="2D57A969" w:rsidR="2D57A969">
              <w:rPr>
                <w:rFonts w:ascii="Segoe UI" w:hAnsi="Segoe UI" w:eastAsia="Segoe UI" w:cs="Segoe UI"/>
                <w:b w:val="0"/>
                <w:bCs w:val="0"/>
                <w:i w:val="0"/>
                <w:iCs w:val="0"/>
                <w:caps w:val="0"/>
                <w:smallCaps w:val="0"/>
                <w:color w:val="333333"/>
                <w:sz w:val="18"/>
                <w:szCs w:val="18"/>
                <w:lang w:val="en-GB"/>
              </w:rPr>
              <w:t xml:space="preserve">To find out what the learners have been studying and build on previous learning in your planning. </w:t>
            </w:r>
          </w:p>
          <w:p w:rsidR="2D57A969" w:rsidP="2D57A969" w:rsidRDefault="2D57A969" w14:paraId="485ED099" w14:textId="47EBF543">
            <w:pPr>
              <w:ind w:left="720"/>
              <w:rPr>
                <w:rFonts w:ascii="Segoe UI" w:hAnsi="Segoe UI" w:eastAsia="Segoe UI" w:cs="Segoe UI"/>
                <w:b w:val="0"/>
                <w:bCs w:val="0"/>
                <w:i w:val="0"/>
                <w:iCs w:val="0"/>
                <w:caps w:val="0"/>
                <w:smallCaps w:val="0"/>
                <w:color w:val="333333"/>
                <w:sz w:val="18"/>
                <w:szCs w:val="18"/>
              </w:rPr>
            </w:pPr>
            <w:r w:rsidRPr="2D57A969" w:rsidR="2D57A969">
              <w:rPr>
                <w:rFonts w:ascii="Segoe UI" w:hAnsi="Segoe UI" w:eastAsia="Segoe UI" w:cs="Segoe UI"/>
                <w:b w:val="0"/>
                <w:bCs w:val="0"/>
                <w:i w:val="0"/>
                <w:iCs w:val="0"/>
                <w:caps w:val="0"/>
                <w:smallCaps w:val="0"/>
                <w:color w:val="333333"/>
                <w:sz w:val="18"/>
                <w:szCs w:val="18"/>
                <w:lang w:val="en-GB"/>
              </w:rPr>
              <w:t>To differentiate for the three main groups within the class. To show the range of learning within the class in the tasks you set.</w:t>
            </w:r>
          </w:p>
          <w:p w:rsidR="2D57A969" w:rsidP="2D57A969" w:rsidRDefault="2D57A969" w14:paraId="06E9EC00" w14:textId="0CF861E4">
            <w:pPr>
              <w:ind w:left="720"/>
              <w:rPr>
                <w:rFonts w:ascii="Segoe UI" w:hAnsi="Segoe UI" w:eastAsia="Segoe UI" w:cs="Segoe UI"/>
                <w:b w:val="0"/>
                <w:bCs w:val="0"/>
                <w:i w:val="0"/>
                <w:iCs w:val="0"/>
                <w:caps w:val="0"/>
                <w:smallCaps w:val="0"/>
                <w:color w:val="333333"/>
                <w:sz w:val="18"/>
                <w:szCs w:val="18"/>
              </w:rPr>
            </w:pPr>
          </w:p>
        </w:tc>
      </w:tr>
      <w:tr w:rsidR="2D57A969" w:rsidTr="2D57A969" w14:paraId="3E4348F3">
        <w:trPr>
          <w:trHeight w:val="300"/>
        </w:trPr>
        <w:tc>
          <w:tcPr>
            <w:tcW w:w="10539" w:type="dxa"/>
            <w:gridSpan w:val="4"/>
            <w:shd w:val="clear" w:color="auto" w:fill="94BAD6"/>
            <w:tcMar>
              <w:left w:w="105" w:type="dxa"/>
              <w:right w:w="105" w:type="dxa"/>
            </w:tcMar>
            <w:vAlign w:val="top"/>
          </w:tcPr>
          <w:p w:rsidR="2D57A969" w:rsidP="2D57A969" w:rsidRDefault="2D57A969" w14:paraId="0D1E5CA9" w14:textId="1AD7D46C">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Learning Intention</w:t>
            </w:r>
          </w:p>
          <w:p w:rsidR="2D57A969" w:rsidP="2D57A969" w:rsidRDefault="2D57A969" w14:paraId="4E48E243" w14:textId="156EE770">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‘This should focus on the pupils’ learning during the lesson, rather than what they will be doing, and should be short, achievable and measurable.’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Crichton, H., and Mcdaid, A. 2016 p. 196)</w:t>
            </w:r>
          </w:p>
        </w:tc>
      </w:tr>
      <w:tr w:rsidR="2D57A969" w:rsidTr="2D57A969" w14:paraId="08481135">
        <w:trPr>
          <w:trHeight w:val="300"/>
        </w:trPr>
        <w:tc>
          <w:tcPr>
            <w:tcW w:w="10539" w:type="dxa"/>
            <w:gridSpan w:val="4"/>
            <w:tcMar>
              <w:left w:w="105" w:type="dxa"/>
              <w:right w:w="105" w:type="dxa"/>
            </w:tcMar>
            <w:vAlign w:val="top"/>
          </w:tcPr>
          <w:p w:rsidR="2D57A969" w:rsidP="2D57A969" w:rsidRDefault="2D57A969" w14:paraId="37F8AA61" w14:textId="758530A6">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LI: to plan a story using the WAGOLL, within the topic of ourselves; about an experience that happened to them.</w:t>
            </w:r>
          </w:p>
          <w:p w:rsidR="2D57A969" w:rsidP="2D57A969" w:rsidRDefault="2D57A969" w14:paraId="2C2C9085" w14:textId="0CA6F900">
            <w:pPr>
              <w:rPr>
                <w:rFonts w:ascii="Calibri" w:hAnsi="Calibri" w:eastAsia="Calibri" w:cs="Calibri"/>
                <w:b w:val="0"/>
                <w:bCs w:val="0"/>
                <w:i w:val="0"/>
                <w:iCs w:val="0"/>
                <w:caps w:val="0"/>
                <w:smallCaps w:val="0"/>
                <w:color w:val="000000" w:themeColor="text1" w:themeTint="FF" w:themeShade="FF"/>
                <w:sz w:val="24"/>
                <w:szCs w:val="24"/>
              </w:rPr>
            </w:pPr>
          </w:p>
        </w:tc>
      </w:tr>
      <w:tr w:rsidR="2D57A969" w:rsidTr="2D57A969" w14:paraId="2F4CDD33">
        <w:trPr>
          <w:trHeight w:val="555"/>
        </w:trPr>
        <w:tc>
          <w:tcPr>
            <w:tcW w:w="10539" w:type="dxa"/>
            <w:gridSpan w:val="4"/>
            <w:shd w:val="clear" w:color="auto" w:fill="94BAD6"/>
            <w:tcMar>
              <w:left w:w="105" w:type="dxa"/>
              <w:right w:w="105" w:type="dxa"/>
            </w:tcMar>
            <w:vAlign w:val="top"/>
          </w:tcPr>
          <w:p w:rsidR="2D57A969" w:rsidP="2D57A969" w:rsidRDefault="2D57A969" w14:paraId="63BE1320" w14:textId="740975E8">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Success Criteria </w:t>
            </w:r>
          </w:p>
          <w:p w:rsidR="2D57A969" w:rsidP="2D57A969" w:rsidRDefault="2D57A969" w14:paraId="6C18BA70" w14:textId="446CBA7B">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What the pupils need to demonstrate to successfully meet the Learning Intention.</w:t>
            </w:r>
          </w:p>
        </w:tc>
      </w:tr>
      <w:tr w:rsidR="2D57A969" w:rsidTr="2D57A969" w14:paraId="47B4FCC1">
        <w:trPr>
          <w:trHeight w:val="690"/>
        </w:trPr>
        <w:tc>
          <w:tcPr>
            <w:tcW w:w="10539" w:type="dxa"/>
            <w:gridSpan w:val="4"/>
            <w:tcMar>
              <w:left w:w="105" w:type="dxa"/>
              <w:right w:w="105" w:type="dxa"/>
            </w:tcMar>
            <w:vAlign w:val="top"/>
          </w:tcPr>
          <w:p w:rsidR="2D57A969" w:rsidP="2D57A969" w:rsidRDefault="2D57A969" w14:paraId="5578997A" w14:textId="264D81A0">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w:t>
            </w:r>
          </w:p>
          <w:p w:rsidR="2D57A969" w:rsidP="2D57A969" w:rsidRDefault="2D57A969" w14:paraId="503F0AA6" w14:textId="3846DBCE">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to use capital letters and full stops. </w:t>
            </w:r>
          </w:p>
          <w:p w:rsidR="2D57A969" w:rsidP="2D57A969" w:rsidRDefault="2D57A969" w14:paraId="64E4BF94" w14:textId="304D576E">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to use descriptive language </w:t>
            </w:r>
          </w:p>
          <w:p w:rsidR="2D57A969" w:rsidP="2D57A969" w:rsidRDefault="2D57A969" w14:paraId="5EF70D75" w14:textId="45B137BB">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to use the plan to include a beginning, middle and end. </w:t>
            </w:r>
          </w:p>
          <w:p w:rsidR="2D57A969" w:rsidP="2D57A969" w:rsidRDefault="2D57A969" w14:paraId="2B20819F" w14:textId="2A3351BA">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-use the WAGOLL</w:t>
            </w:r>
          </w:p>
          <w:p w:rsidR="2D57A969" w:rsidP="2D57A969" w:rsidRDefault="2D57A969" w14:paraId="6A4D862F" w14:textId="2C829BBC">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w:t>
            </w:r>
          </w:p>
          <w:p w:rsidR="2D57A969" w:rsidP="2D57A969" w:rsidRDefault="2D57A969" w14:paraId="2897800E" w14:textId="41239683">
            <w:pPr>
              <w:pStyle w:val="ListParagraph"/>
              <w:numPr>
                <w:ilvl w:val="0"/>
                <w:numId w:val="5"/>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To use appropriate language</w:t>
            </w:r>
          </w:p>
          <w:p w:rsidR="2D57A969" w:rsidP="2D57A969" w:rsidRDefault="2D57A969" w14:paraId="71EDAE09" w14:textId="1B4EB79C">
            <w:pPr>
              <w:pStyle w:val="ListParagraph"/>
              <w:numPr>
                <w:ilvl w:val="0"/>
                <w:numId w:val="5"/>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To use the appropriate grammar (e.g. . , ? ! “”)</w:t>
            </w:r>
          </w:p>
          <w:p w:rsidR="2D57A969" w:rsidP="2D57A969" w:rsidRDefault="2D57A969" w14:paraId="1EA11415" w14:textId="43160B8D">
            <w:pPr>
              <w:pStyle w:val="ListParagraph"/>
              <w:numPr>
                <w:ilvl w:val="0"/>
                <w:numId w:val="5"/>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To write the story using paragraphs</w:t>
            </w:r>
          </w:p>
          <w:p w:rsidR="2D57A969" w:rsidP="2D57A969" w:rsidRDefault="2D57A969" w14:paraId="1A6F796F" w14:textId="162DE09C">
            <w:pPr>
              <w:pStyle w:val="ListParagraph"/>
              <w:numPr>
                <w:ilvl w:val="0"/>
                <w:numId w:val="5"/>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Try to use a simile </w:t>
            </w:r>
          </w:p>
          <w:p w:rsidR="2D57A969" w:rsidP="2D57A969" w:rsidRDefault="2D57A969" w14:paraId="2CE06AE6" w14:textId="5835F2D8">
            <w:pPr>
              <w:pStyle w:val="ListParagraph"/>
              <w:numPr>
                <w:ilvl w:val="0"/>
                <w:numId w:val="5"/>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Use the WAGOLL</w:t>
            </w:r>
          </w:p>
          <w:p w:rsidR="2D57A969" w:rsidP="2D57A969" w:rsidRDefault="2D57A969" w14:paraId="34493078" w14:textId="6B9824A4">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w:t>
            </w:r>
          </w:p>
          <w:p w:rsidR="2D57A969" w:rsidP="2D57A969" w:rsidRDefault="2D57A969" w14:paraId="5F35AC87" w14:textId="66D7EDBA">
            <w:pPr>
              <w:pStyle w:val="ListParagraph"/>
              <w:numPr>
                <w:ilvl w:val="0"/>
                <w:numId w:val="10"/>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Use paragraphs and grammar correctly</w:t>
            </w:r>
          </w:p>
          <w:p w:rsidR="2D57A969" w:rsidP="2D57A969" w:rsidRDefault="2D57A969" w14:paraId="4C03DED0" w14:textId="69F4DDD5">
            <w:pPr>
              <w:pStyle w:val="ListParagraph"/>
              <w:numPr>
                <w:ilvl w:val="0"/>
                <w:numId w:val="10"/>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Use a similie </w:t>
            </w:r>
          </w:p>
          <w:p w:rsidR="2D57A969" w:rsidP="2D57A969" w:rsidRDefault="2D57A969" w14:paraId="27C496F2" w14:textId="0A0D9795">
            <w:pPr>
              <w:pStyle w:val="ListParagraph"/>
              <w:numPr>
                <w:ilvl w:val="0"/>
                <w:numId w:val="10"/>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Use a metaphor </w:t>
            </w:r>
          </w:p>
          <w:p w:rsidR="2D57A969" w:rsidP="2D57A969" w:rsidRDefault="2D57A969" w14:paraId="3FE7F8E7" w14:textId="29F33FED">
            <w:pPr>
              <w:pStyle w:val="ListParagraph"/>
              <w:numPr>
                <w:ilvl w:val="0"/>
                <w:numId w:val="10"/>
              </w:num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Use the WAGOLL</w:t>
            </w:r>
          </w:p>
        </w:tc>
      </w:tr>
      <w:tr w:rsidR="2D57A969" w:rsidTr="2D57A969" w14:paraId="74FF1138">
        <w:trPr>
          <w:trHeight w:val="540"/>
        </w:trPr>
        <w:tc>
          <w:tcPr>
            <w:tcW w:w="10539" w:type="dxa"/>
            <w:gridSpan w:val="4"/>
            <w:shd w:val="clear" w:color="auto" w:fill="94BAD6"/>
            <w:tcMar>
              <w:left w:w="105" w:type="dxa"/>
              <w:right w:w="105" w:type="dxa"/>
            </w:tcMar>
            <w:vAlign w:val="top"/>
          </w:tcPr>
          <w:p w:rsidR="2D57A969" w:rsidP="2D57A969" w:rsidRDefault="2D57A969" w14:paraId="12523223" w14:textId="0D51667F">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Planning for misconceptions:</w:t>
            </w:r>
          </w:p>
          <w:p w:rsidR="2D57A969" w:rsidP="2D57A969" w:rsidRDefault="2D57A969" w14:paraId="4FF9AB24" w14:textId="4705B573">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Use this section to anticipate pupil errors and misunderstandings and your planned responses to them.</w:t>
            </w:r>
          </w:p>
        </w:tc>
      </w:tr>
      <w:tr w:rsidR="2D57A969" w:rsidTr="2D57A969" w14:paraId="43CF66EE">
        <w:trPr>
          <w:trHeight w:val="690"/>
        </w:trPr>
        <w:tc>
          <w:tcPr>
            <w:tcW w:w="10539" w:type="dxa"/>
            <w:gridSpan w:val="4"/>
            <w:tcMar>
              <w:left w:w="105" w:type="dxa"/>
              <w:right w:w="105" w:type="dxa"/>
            </w:tcMar>
            <w:vAlign w:val="top"/>
          </w:tcPr>
          <w:p w:rsidR="2D57A969" w:rsidP="2D57A969" w:rsidRDefault="2D57A969" w14:paraId="6C3E5987" w14:textId="79044F5E">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The pupils might struggle with the language in the story mountain, I will need to work through this using simpler synonyms.</w:t>
            </w:r>
          </w:p>
        </w:tc>
      </w:tr>
    </w:tbl>
    <w:p xmlns:wp14="http://schemas.microsoft.com/office/word/2010/wordml" wp14:paraId="68F8FB80" wp14:textId="6D8340D6"/>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004"/>
        <w:gridCol w:w="2910"/>
        <w:gridCol w:w="2220"/>
        <w:gridCol w:w="2445"/>
        <w:gridCol w:w="1876"/>
      </w:tblGrid>
      <w:tr w:rsidR="2D57A969" w:rsidTr="2D57A969" w14:paraId="02A9BCD6">
        <w:trPr>
          <w:trHeight w:val="825"/>
        </w:trPr>
        <w:tc>
          <w:tcPr>
            <w:tcW w:w="10455" w:type="dxa"/>
            <w:gridSpan w:val="5"/>
            <w:shd w:val="clear" w:color="auto" w:fill="94BAD6"/>
            <w:tcMar>
              <w:left w:w="105" w:type="dxa"/>
              <w:right w:w="105" w:type="dxa"/>
            </w:tcMar>
            <w:vAlign w:val="top"/>
          </w:tcPr>
          <w:p w:rsidR="2D57A969" w:rsidP="2D57A969" w:rsidRDefault="2D57A969" w14:paraId="30330EDB" w14:textId="54C51674">
            <w:pPr>
              <w:jc w:val="center"/>
              <w:rPr>
                <w:rFonts w:ascii="Calibri" w:hAnsi="Calibri" w:eastAsia="Calibri" w:cs="Calibri"/>
                <w:b w:val="0"/>
                <w:bCs w:val="0"/>
                <w:i w:val="0"/>
                <w:iCs w:val="0"/>
                <w:caps w:val="0"/>
                <w:smallCaps w:val="0"/>
                <w:color w:val="000000" w:themeColor="text1" w:themeTint="FF" w:themeShade="FF"/>
                <w:sz w:val="24"/>
                <w:szCs w:val="24"/>
              </w:rPr>
            </w:pPr>
          </w:p>
          <w:p w:rsidR="2D57A969" w:rsidP="2D57A969" w:rsidRDefault="2D57A969" w14:paraId="051C3C0F" w14:textId="333FAAC0">
            <w:pPr>
              <w:pStyle w:val="NoSpacing"/>
              <w:jc w:val="center"/>
              <w:rPr>
                <w:rFonts w:ascii="Calibri" w:hAnsi="Calibri" w:eastAsia="Calibri" w:cs="Calibri"/>
                <w:b w:val="0"/>
                <w:bCs w:val="0"/>
                <w:i w:val="0"/>
                <w:iCs w:val="0"/>
                <w:caps w:val="0"/>
                <w:smallCaps w:val="0"/>
                <w:color w:val="000000" w:themeColor="text1" w:themeTint="FF" w:themeShade="FF"/>
                <w:sz w:val="22"/>
                <w:szCs w:val="22"/>
              </w:rPr>
            </w:pPr>
            <w:r w:rsidR="2D57A969">
              <w:rPr/>
              <w:t>SEQUENCE OF TEACHING &amp; LEARNING</w:t>
            </w:r>
            <w:r>
              <w:br/>
            </w:r>
            <w:r w:rsidR="2D57A969">
              <w:rPr/>
              <w:t>(Add or remove rows below as appropriate)</w:t>
            </w:r>
          </w:p>
          <w:p w:rsidR="2D57A969" w:rsidP="2D57A969" w:rsidRDefault="2D57A969" w14:paraId="59A4E97D" w14:textId="3B5E7D6B">
            <w:pPr>
              <w:jc w:val="center"/>
              <w:rPr>
                <w:rFonts w:ascii="Calibri" w:hAnsi="Calibri" w:eastAsia="Calibri" w:cs="Calibri"/>
                <w:b w:val="0"/>
                <w:bCs w:val="0"/>
                <w:i w:val="0"/>
                <w:iCs w:val="0"/>
                <w:caps w:val="0"/>
                <w:smallCaps w:val="0"/>
                <w:color w:val="000000" w:themeColor="text1" w:themeTint="FF" w:themeShade="FF"/>
                <w:sz w:val="24"/>
                <w:szCs w:val="24"/>
              </w:rPr>
            </w:pPr>
          </w:p>
        </w:tc>
      </w:tr>
      <w:tr w:rsidR="2D57A969" w:rsidTr="2D57A969" w14:paraId="272169F2">
        <w:trPr>
          <w:trHeight w:val="2265"/>
        </w:trPr>
        <w:tc>
          <w:tcPr>
            <w:tcW w:w="1004" w:type="dxa"/>
            <w:tcMar>
              <w:left w:w="105" w:type="dxa"/>
              <w:right w:w="105" w:type="dxa"/>
            </w:tcMar>
            <w:vAlign w:val="top"/>
          </w:tcPr>
          <w:p w:rsidR="2D57A969" w:rsidP="2D57A969" w:rsidRDefault="2D57A969" w14:paraId="49A63C4D" w14:textId="1CAC407A">
            <w:pPr>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4D53EC1B" w14:textId="7E82274B">
            <w:pPr>
              <w:jc w:val="cente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2"/>
                <w:szCs w:val="22"/>
                <w:lang w:val="en-GB"/>
              </w:rPr>
              <w:t>Timing:</w:t>
            </w:r>
          </w:p>
          <w:p w:rsidR="2D57A969" w:rsidP="2D57A969" w:rsidRDefault="2D57A969" w14:paraId="13062553" w14:textId="41F84EB2">
            <w:pPr>
              <w:jc w:val="center"/>
              <w:rPr>
                <w:rFonts w:ascii="Calibri" w:hAnsi="Calibri" w:eastAsia="Calibri" w:cs="Calibri"/>
                <w:b w:val="0"/>
                <w:bCs w:val="0"/>
                <w:i w:val="0"/>
                <w:iCs w:val="0"/>
                <w:caps w:val="0"/>
                <w:smallCaps w:val="0"/>
                <w:color w:val="000000" w:themeColor="text1" w:themeTint="FF" w:themeShade="FF"/>
                <w:sz w:val="16"/>
                <w:szCs w:val="16"/>
              </w:rPr>
            </w:pPr>
            <w:r w:rsidRPr="2D57A969" w:rsidR="2D57A969">
              <w:rPr>
                <w:rFonts w:ascii="Calibri" w:hAnsi="Calibri" w:eastAsia="Calibri" w:cs="Calibri"/>
                <w:b w:val="0"/>
                <w:bCs w:val="0"/>
                <w:i w:val="1"/>
                <w:iCs w:val="1"/>
                <w:caps w:val="0"/>
                <w:smallCaps w:val="0"/>
                <w:color w:val="000000" w:themeColor="text1" w:themeTint="FF" w:themeShade="FF"/>
                <w:sz w:val="16"/>
                <w:szCs w:val="16"/>
                <w:lang w:val="en-GB"/>
              </w:rPr>
              <w:t>Break down timings into groups if appropriate. ensure pupils are ‘doing’ quickly and that transitions are taken into account</w:t>
            </w:r>
          </w:p>
          <w:p w:rsidR="2D57A969" w:rsidP="2D57A969" w:rsidRDefault="2D57A969" w14:paraId="24FB5EC9" w14:textId="1BD78933">
            <w:pPr>
              <w:jc w:val="center"/>
              <w:rPr>
                <w:rFonts w:ascii="Calibri" w:hAnsi="Calibri" w:eastAsia="Calibri" w:cs="Calibri"/>
                <w:b w:val="0"/>
                <w:bCs w:val="0"/>
                <w:i w:val="0"/>
                <w:iCs w:val="0"/>
                <w:caps w:val="0"/>
                <w:smallCaps w:val="0"/>
                <w:color w:val="000000" w:themeColor="text1" w:themeTint="FF" w:themeShade="FF"/>
                <w:sz w:val="24"/>
                <w:szCs w:val="24"/>
              </w:rPr>
            </w:pPr>
          </w:p>
        </w:tc>
        <w:tc>
          <w:tcPr>
            <w:tcW w:w="2910" w:type="dxa"/>
            <w:tcMar>
              <w:left w:w="105" w:type="dxa"/>
              <w:right w:w="105" w:type="dxa"/>
            </w:tcMar>
            <w:vAlign w:val="top"/>
          </w:tcPr>
          <w:p w:rsidR="2D57A969" w:rsidP="2D57A969" w:rsidRDefault="2D57A969" w14:paraId="7CC49521" w14:textId="735BF8F0">
            <w:pPr>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6F1165FC" w14:textId="3C5BD50A">
            <w:pPr>
              <w:jc w:val="cente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2"/>
                <w:szCs w:val="22"/>
                <w:lang w:val="en-GB"/>
              </w:rPr>
              <w:t>Role of the teacher &amp; support staff:</w:t>
            </w:r>
          </w:p>
          <w:p w:rsidR="2D57A969" w:rsidP="2D57A969" w:rsidRDefault="2D57A969" w14:paraId="414DBC95" w14:textId="0C064C1E">
            <w:pPr>
              <w:jc w:val="center"/>
              <w:rPr>
                <w:rFonts w:ascii="Calibri" w:hAnsi="Calibri" w:eastAsia="Calibri" w:cs="Calibri"/>
                <w:b w:val="0"/>
                <w:bCs w:val="0"/>
                <w:i w:val="0"/>
                <w:iCs w:val="0"/>
                <w:caps w:val="0"/>
                <w:smallCaps w:val="0"/>
                <w:color w:val="000000" w:themeColor="text1" w:themeTint="FF" w:themeShade="FF"/>
                <w:sz w:val="18"/>
                <w:szCs w:val="18"/>
              </w:rPr>
            </w:pPr>
            <w:r w:rsidRPr="2D57A969" w:rsidR="2D57A969">
              <w:rPr>
                <w:rFonts w:ascii="Calibri" w:hAnsi="Calibri" w:eastAsia="Calibri" w:cs="Calibri"/>
                <w:b w:val="0"/>
                <w:bCs w:val="0"/>
                <w:i w:val="1"/>
                <w:iCs w:val="1"/>
                <w:caps w:val="0"/>
                <w:smallCaps w:val="0"/>
                <w:color w:val="000000" w:themeColor="text1" w:themeTint="FF" w:themeShade="FF"/>
                <w:sz w:val="18"/>
                <w:szCs w:val="18"/>
                <w:lang w:val="en-GB"/>
              </w:rPr>
              <w:t xml:space="preserve">e.g., key questions, retrieval of prior learning, modelling and explanations, checking understanding, planned use of additional adults. </w:t>
            </w:r>
          </w:p>
          <w:p w:rsidR="2D57A969" w:rsidP="2D57A969" w:rsidRDefault="2D57A969" w14:paraId="08200FB6" w14:textId="30F84F8B">
            <w:pPr>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74C469B8" w14:textId="22551D8A">
            <w:pPr>
              <w:jc w:val="center"/>
              <w:rPr>
                <w:rFonts w:ascii="Calibri" w:hAnsi="Calibri" w:eastAsia="Calibri" w:cs="Calibri"/>
                <w:b w:val="0"/>
                <w:bCs w:val="0"/>
                <w:i w:val="0"/>
                <w:iCs w:val="0"/>
                <w:caps w:val="0"/>
                <w:smallCaps w:val="0"/>
                <w:color w:val="000000" w:themeColor="text1" w:themeTint="FF" w:themeShade="FF"/>
                <w:sz w:val="18"/>
                <w:szCs w:val="18"/>
              </w:rPr>
            </w:pPr>
            <w:r w:rsidRPr="2D57A969" w:rsidR="2D57A969">
              <w:rPr>
                <w:rFonts w:ascii="Calibri" w:hAnsi="Calibri" w:eastAsia="Calibri" w:cs="Calibri"/>
                <w:b w:val="0"/>
                <w:bCs w:val="0"/>
                <w:i w:val="1"/>
                <w:iCs w:val="1"/>
                <w:caps w:val="0"/>
                <w:smallCaps w:val="0"/>
                <w:color w:val="000000" w:themeColor="text1" w:themeTint="FF" w:themeShade="FF"/>
                <w:sz w:val="18"/>
                <w:szCs w:val="18"/>
                <w:lang w:val="en-GB"/>
              </w:rPr>
              <w:t>Choice of pedagogical model or of the 12 pedagogical principles</w:t>
            </w:r>
          </w:p>
        </w:tc>
        <w:tc>
          <w:tcPr>
            <w:tcW w:w="2220" w:type="dxa"/>
            <w:tcMar>
              <w:left w:w="105" w:type="dxa"/>
              <w:right w:w="105" w:type="dxa"/>
            </w:tcMar>
            <w:vAlign w:val="top"/>
          </w:tcPr>
          <w:p w:rsidR="2D57A969" w:rsidP="2D57A969" w:rsidRDefault="2D57A969" w14:paraId="310628B7" w14:textId="18B2B75B">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0E5B0D18" w14:textId="4529DF55">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Pupils’ learning and activities:</w:t>
            </w:r>
          </w:p>
          <w:p w:rsidR="2D57A969" w:rsidP="2D57A969" w:rsidRDefault="2D57A969" w14:paraId="2236E4F8" w14:textId="26A34B36">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What will the pupils be learning to do and what activities / resources will facilitate this?</w:t>
            </w:r>
          </w:p>
          <w:p w:rsidR="2D57A969" w:rsidP="2D57A969" w:rsidRDefault="2D57A969" w14:paraId="74893D3C" w14:textId="2171FA12">
            <w:pPr>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4495E9B3" w14:textId="57420CAD">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Please refer to Foundation Learning planning document for details of continuous provision.</w:t>
            </w:r>
          </w:p>
        </w:tc>
        <w:tc>
          <w:tcPr>
            <w:tcW w:w="2445" w:type="dxa"/>
            <w:tcMar>
              <w:left w:w="105" w:type="dxa"/>
              <w:right w:w="105" w:type="dxa"/>
            </w:tcMar>
            <w:vAlign w:val="top"/>
          </w:tcPr>
          <w:p w:rsidR="2D57A969" w:rsidP="2D57A969" w:rsidRDefault="2D57A969" w14:paraId="14E4C6F4" w14:textId="160C8DF2">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430677BB" w14:textId="05265CC9">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Inclusive Strategies (including differentiation):</w:t>
            </w:r>
          </w:p>
          <w:p w:rsidR="2D57A969" w:rsidP="2D57A969" w:rsidRDefault="2D57A969" w14:paraId="0C5B95AC" w14:textId="15E8A97D">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080A8036" w14:textId="4F4C691C">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2D57A969">
              <w:rPr/>
              <w:t>Reasons for and details of scaffolding.</w:t>
            </w:r>
          </w:p>
          <w:p w:rsidR="2D57A969" w:rsidP="2D57A969" w:rsidRDefault="2D57A969" w14:paraId="79665C31" w14:textId="3FCC8F5B">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7FFA2402" w14:textId="5583C0D1">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2D57A969">
              <w:rPr/>
              <w:t>Types of representation in tasks.</w:t>
            </w:r>
          </w:p>
        </w:tc>
        <w:tc>
          <w:tcPr>
            <w:tcW w:w="1876" w:type="dxa"/>
            <w:tcMar>
              <w:left w:w="105" w:type="dxa"/>
              <w:right w:w="105" w:type="dxa"/>
            </w:tcMar>
            <w:vAlign w:val="top"/>
          </w:tcPr>
          <w:p w:rsidR="2D57A969" w:rsidP="2D57A969" w:rsidRDefault="2D57A969" w14:paraId="14790AA6" w14:textId="178E5636">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719E4A18" w14:textId="2397C96A">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Check what pupils know, understand, and can do:</w:t>
            </w:r>
          </w:p>
          <w:p w:rsidR="2D57A969" w:rsidP="2D57A969" w:rsidRDefault="2D57A969" w14:paraId="09F28903" w14:textId="0DF978BD">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Key questions, types of retrieval practices, self and peer assessment opportunities, purposeful AfL strategies, live marking opportunities, planned feedback.</w:t>
            </w:r>
          </w:p>
          <w:p w:rsidR="2D57A969" w:rsidP="2D57A969" w:rsidRDefault="2D57A969" w14:paraId="03418A99" w14:textId="7A6536A2">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50D4ED37" w14:textId="29B63D5E">
            <w:pPr>
              <w:jc w:val="center"/>
              <w:rPr>
                <w:rFonts w:ascii="Calibri" w:hAnsi="Calibri" w:eastAsia="Calibri" w:cs="Calibri"/>
                <w:b w:val="0"/>
                <w:bCs w:val="0"/>
                <w:i w:val="0"/>
                <w:iCs w:val="0"/>
                <w:caps w:val="0"/>
                <w:smallCaps w:val="0"/>
                <w:color w:val="000000" w:themeColor="text1" w:themeTint="FF" w:themeShade="FF"/>
                <w:sz w:val="16"/>
                <w:szCs w:val="16"/>
              </w:rPr>
            </w:pPr>
          </w:p>
        </w:tc>
      </w:tr>
      <w:tr w:rsidR="2D57A969" w:rsidTr="2D57A969" w14:paraId="59B7FEF8">
        <w:trPr>
          <w:trHeight w:val="1035"/>
        </w:trPr>
        <w:tc>
          <w:tcPr>
            <w:tcW w:w="1004" w:type="dxa"/>
            <w:tcMar>
              <w:left w:w="105" w:type="dxa"/>
              <w:right w:w="105" w:type="dxa"/>
            </w:tcMar>
            <w:vAlign w:val="top"/>
          </w:tcPr>
          <w:p w:rsidR="2D57A969" w:rsidP="2D57A969" w:rsidRDefault="2D57A969" w14:paraId="18A55528" w14:textId="6E9A1F8A">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47C46D60" w14:textId="0F07FE03">
            <w:pPr>
              <w:pStyle w:val="NoSpacing"/>
              <w:rPr>
                <w:rFonts w:ascii="Arial" w:hAnsi="Arial" w:eastAsia="Arial" w:cs="Arial"/>
                <w:b w:val="0"/>
                <w:bCs w:val="0"/>
                <w:i w:val="0"/>
                <w:iCs w:val="0"/>
                <w:caps w:val="0"/>
                <w:smallCaps w:val="0"/>
                <w:color w:val="000000" w:themeColor="text1" w:themeTint="FF" w:themeShade="FF"/>
                <w:sz w:val="24"/>
                <w:szCs w:val="24"/>
              </w:rPr>
            </w:pPr>
            <w:r w:rsidR="2D57A969">
              <w:rPr/>
              <w:t>Introduction</w:t>
            </w:r>
          </w:p>
        </w:tc>
        <w:tc>
          <w:tcPr>
            <w:tcW w:w="2910" w:type="dxa"/>
            <w:tcMar>
              <w:left w:w="105" w:type="dxa"/>
              <w:right w:w="105" w:type="dxa"/>
            </w:tcMar>
            <w:vAlign w:val="top"/>
          </w:tcPr>
          <w:p w:rsidR="2D57A969" w:rsidP="2D57A969" w:rsidRDefault="2D57A969" w14:paraId="3622DF58" w14:textId="545C63E5">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Introduction: teacher will read the story to the class. The teacher will then encourage the class to engage by opening Jamboard and asking the class to contribute their ideas of settings and character description.</w:t>
            </w:r>
          </w:p>
          <w:p w:rsidR="2D57A969" w:rsidP="2D57A969" w:rsidRDefault="2D57A969" w14:paraId="171F6478" w14:textId="7A80F879">
            <w:pPr>
              <w:rPr>
                <w:rFonts w:ascii="Calibri" w:hAnsi="Calibri" w:eastAsia="Calibri" w:cs="Calibri"/>
                <w:b w:val="0"/>
                <w:bCs w:val="0"/>
                <w:i w:val="0"/>
                <w:iCs w:val="0"/>
                <w:caps w:val="0"/>
                <w:smallCaps w:val="0"/>
                <w:color w:val="000000" w:themeColor="text1" w:themeTint="FF" w:themeShade="FF"/>
                <w:sz w:val="24"/>
                <w:szCs w:val="24"/>
              </w:rPr>
            </w:pPr>
          </w:p>
        </w:tc>
        <w:tc>
          <w:tcPr>
            <w:tcW w:w="2220" w:type="dxa"/>
            <w:tcMar>
              <w:left w:w="105" w:type="dxa"/>
              <w:right w:w="105" w:type="dxa"/>
            </w:tcMar>
            <w:vAlign w:val="top"/>
          </w:tcPr>
          <w:p w:rsidR="2D57A969" w:rsidP="2D57A969" w:rsidRDefault="2D57A969" w14:paraId="7F2258D8" w14:textId="254E6577">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Pupils will listen to the story, they will then engage in a Jamboard session as a group to create ideas for a setting and for a character as a class. </w:t>
            </w:r>
          </w:p>
        </w:tc>
        <w:tc>
          <w:tcPr>
            <w:tcW w:w="2445" w:type="dxa"/>
            <w:tcMar>
              <w:left w:w="105" w:type="dxa"/>
              <w:right w:w="105" w:type="dxa"/>
            </w:tcMar>
            <w:vAlign w:val="top"/>
          </w:tcPr>
          <w:p w:rsidR="2D57A969" w:rsidP="2D57A969" w:rsidRDefault="2D57A969" w14:paraId="2985A53F" w14:textId="6041082A">
            <w:pPr>
              <w:pStyle w:val="NoSpacing"/>
              <w:rPr>
                <w:rFonts w:ascii="Arial" w:hAnsi="Arial" w:eastAsia="Arial" w:cs="Arial"/>
                <w:b w:val="0"/>
                <w:bCs w:val="0"/>
                <w:i w:val="0"/>
                <w:iCs w:val="0"/>
                <w:caps w:val="0"/>
                <w:smallCaps w:val="0"/>
                <w:color w:val="000000" w:themeColor="text1" w:themeTint="FF" w:themeShade="FF"/>
                <w:sz w:val="24"/>
                <w:szCs w:val="24"/>
              </w:rPr>
            </w:pPr>
            <w:r w:rsidR="2D57A969">
              <w:rPr/>
              <w:t>The story is being read so there should be no difficulty in reading, however pupils in group * may struggle with vocabulary of the book.</w:t>
            </w:r>
          </w:p>
        </w:tc>
        <w:tc>
          <w:tcPr>
            <w:tcW w:w="1876" w:type="dxa"/>
            <w:tcMar>
              <w:left w:w="105" w:type="dxa"/>
              <w:right w:w="105" w:type="dxa"/>
            </w:tcMar>
            <w:vAlign w:val="top"/>
          </w:tcPr>
          <w:p w:rsidR="2D57A969" w:rsidP="2D57A969" w:rsidRDefault="2D57A969" w14:paraId="2214E168" w14:textId="025BDC96">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Ensure the vocabulary in the story is understood. </w:t>
            </w:r>
          </w:p>
        </w:tc>
      </w:tr>
      <w:tr w:rsidR="2D57A969" w:rsidTr="2D57A969" w14:paraId="4022817D">
        <w:trPr>
          <w:trHeight w:val="1020"/>
        </w:trPr>
        <w:tc>
          <w:tcPr>
            <w:tcW w:w="1004" w:type="dxa"/>
            <w:tcMar>
              <w:left w:w="105" w:type="dxa"/>
              <w:right w:w="105" w:type="dxa"/>
            </w:tcMar>
            <w:vAlign w:val="top"/>
          </w:tcPr>
          <w:p w:rsidR="2D57A969" w:rsidP="2D57A969" w:rsidRDefault="2D57A969" w14:paraId="5734BBB5" w14:textId="066605BE">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Focus task </w:t>
            </w:r>
          </w:p>
          <w:p w:rsidR="2D57A969" w:rsidP="2D57A969" w:rsidRDefault="2D57A969" w14:paraId="4350D2B4" w14:textId="0BF389D2">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74A4874F" w14:textId="762557BA">
            <w:pPr>
              <w:rPr>
                <w:rFonts w:ascii="Arial" w:hAnsi="Arial" w:eastAsia="Arial" w:cs="Arial"/>
                <w:b w:val="0"/>
                <w:bCs w:val="0"/>
                <w:i w:val="0"/>
                <w:iCs w:val="0"/>
                <w:caps w:val="0"/>
                <w:smallCaps w:val="0"/>
                <w:color w:val="000000" w:themeColor="text1" w:themeTint="FF" w:themeShade="FF"/>
                <w:sz w:val="24"/>
                <w:szCs w:val="24"/>
              </w:rPr>
            </w:pPr>
          </w:p>
        </w:tc>
        <w:tc>
          <w:tcPr>
            <w:tcW w:w="2910" w:type="dxa"/>
            <w:tcMar>
              <w:left w:w="105" w:type="dxa"/>
              <w:right w:w="105" w:type="dxa"/>
            </w:tcMar>
            <w:vAlign w:val="top"/>
          </w:tcPr>
          <w:p w:rsidR="2D57A969" w:rsidP="2D57A969" w:rsidRDefault="2D57A969" w14:paraId="0277EB21" w14:textId="64177248">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The teacher then introduces the story mountain and WAGOLL, potentially writing ideas from the group on the whiteboard in class.</w:t>
            </w:r>
          </w:p>
          <w:p w:rsidR="2D57A969" w:rsidP="2D57A969" w:rsidRDefault="2D57A969" w14:paraId="37B86217" w14:textId="448AEF7A">
            <w:pPr>
              <w:rPr>
                <w:rFonts w:ascii="Calibri" w:hAnsi="Calibri" w:eastAsia="Calibri" w:cs="Calibri"/>
                <w:b w:val="0"/>
                <w:bCs w:val="0"/>
                <w:i w:val="0"/>
                <w:iCs w:val="0"/>
                <w:caps w:val="0"/>
                <w:smallCaps w:val="0"/>
                <w:color w:val="000000" w:themeColor="text1" w:themeTint="FF" w:themeShade="FF"/>
                <w:sz w:val="24"/>
                <w:szCs w:val="24"/>
              </w:rPr>
            </w:pPr>
          </w:p>
        </w:tc>
        <w:tc>
          <w:tcPr>
            <w:tcW w:w="2220" w:type="dxa"/>
            <w:tcMar>
              <w:left w:w="105" w:type="dxa"/>
              <w:right w:w="105" w:type="dxa"/>
            </w:tcMar>
            <w:vAlign w:val="top"/>
          </w:tcPr>
          <w:p w:rsidR="2D57A969" w:rsidP="2D57A969" w:rsidRDefault="2D57A969" w14:paraId="444F48D2" w14:textId="37280C0E">
            <w:pPr>
              <w:pStyle w:val="NoSpacing"/>
              <w:rPr>
                <w:rFonts w:ascii="Arial" w:hAnsi="Arial" w:eastAsia="Arial" w:cs="Arial"/>
                <w:b w:val="0"/>
                <w:bCs w:val="0"/>
                <w:i w:val="0"/>
                <w:iCs w:val="0"/>
                <w:caps w:val="0"/>
                <w:smallCaps w:val="0"/>
                <w:color w:val="000000" w:themeColor="text1" w:themeTint="FF" w:themeShade="FF"/>
                <w:sz w:val="24"/>
                <w:szCs w:val="24"/>
              </w:rPr>
            </w:pPr>
            <w:r w:rsidR="2D57A969">
              <w:rPr/>
              <w:t>Pupils will listen to the story, they will then engage in a Jamboard session as a group to create ideas for a setting and for a character as a class.</w:t>
            </w:r>
          </w:p>
          <w:p w:rsidR="2D57A969" w:rsidP="2D57A969" w:rsidRDefault="2D57A969" w14:paraId="68BE6B4B" w14:textId="676A3EDE">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Pupils to fill in the sheet using creativity and some of the answers on the jamboard if needed. </w:t>
            </w:r>
          </w:p>
        </w:tc>
        <w:tc>
          <w:tcPr>
            <w:tcW w:w="2445" w:type="dxa"/>
            <w:tcMar>
              <w:left w:w="105" w:type="dxa"/>
              <w:right w:w="105" w:type="dxa"/>
            </w:tcMar>
            <w:vAlign w:val="top"/>
          </w:tcPr>
          <w:p w:rsidR="2D57A969" w:rsidP="2D57A969" w:rsidRDefault="2D57A969" w14:paraId="6A05F38B" w14:textId="65ADC87A">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Instead of a story mountain the pupils in group * will fill out a story map (beginning, middle and end). The sheet is open for interpretation, the pupils can write as little or as much as they feel they can. The same can be said for the story mountain, however due to it having more sections it does encourage the pupils to write more.  </w:t>
            </w:r>
          </w:p>
        </w:tc>
        <w:tc>
          <w:tcPr>
            <w:tcW w:w="1876" w:type="dxa"/>
            <w:tcMar>
              <w:left w:w="105" w:type="dxa"/>
              <w:right w:w="105" w:type="dxa"/>
            </w:tcMar>
            <w:vAlign w:val="top"/>
          </w:tcPr>
          <w:p w:rsidR="2D57A969" w:rsidP="2D57A969" w:rsidRDefault="2D57A969" w14:paraId="44152E47" w14:textId="67FF144F">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The teacher should be checking for the understanding of the success criteria. For example checking the pupils know what a simile is and feels confident in using one. </w:t>
            </w:r>
          </w:p>
        </w:tc>
      </w:tr>
      <w:tr w:rsidR="2D57A969" w:rsidTr="2D57A969" w14:paraId="4950E4A1">
        <w:trPr>
          <w:trHeight w:val="1035"/>
        </w:trPr>
        <w:tc>
          <w:tcPr>
            <w:tcW w:w="1004" w:type="dxa"/>
            <w:tcMar>
              <w:left w:w="105" w:type="dxa"/>
              <w:right w:w="105" w:type="dxa"/>
            </w:tcMar>
            <w:vAlign w:val="top"/>
          </w:tcPr>
          <w:p w:rsidR="2D57A969" w:rsidP="2D57A969" w:rsidRDefault="2D57A969" w14:paraId="41BE4111" w14:textId="2C6C2440">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Plenary </w:t>
            </w:r>
          </w:p>
          <w:p w:rsidR="2D57A969" w:rsidP="2D57A969" w:rsidRDefault="2D57A969" w14:paraId="2674899D" w14:textId="5C1BB973">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0C931693" w14:textId="00430686">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0DC085BA" w14:textId="111C0398">
            <w:pPr>
              <w:rPr>
                <w:rFonts w:ascii="Arial" w:hAnsi="Arial" w:eastAsia="Arial" w:cs="Arial"/>
                <w:b w:val="0"/>
                <w:bCs w:val="0"/>
                <w:i w:val="0"/>
                <w:iCs w:val="0"/>
                <w:caps w:val="0"/>
                <w:smallCaps w:val="0"/>
                <w:color w:val="000000" w:themeColor="text1" w:themeTint="FF" w:themeShade="FF"/>
                <w:sz w:val="24"/>
                <w:szCs w:val="24"/>
              </w:rPr>
            </w:pPr>
          </w:p>
        </w:tc>
        <w:tc>
          <w:tcPr>
            <w:tcW w:w="2910" w:type="dxa"/>
            <w:tcMar>
              <w:left w:w="105" w:type="dxa"/>
              <w:right w:w="105" w:type="dxa"/>
            </w:tcMar>
            <w:vAlign w:val="top"/>
          </w:tcPr>
          <w:p w:rsidR="2D57A969" w:rsidP="2D57A969" w:rsidRDefault="2D57A969" w14:paraId="252805CA" w14:textId="4BE2B9EE">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Instead of just conducting a final plenary at the end of the lesson the teacher will conduct mini plenaries throughout the task where they feel appropriate. The teacher should ask how the pupils feel they are getting along as well as judging how the pupils are actually progressing through the task – if it is within the same timescale which had been planned. If not this would be an indicator of the task not being understood by the pupil throughly. </w:t>
            </w:r>
          </w:p>
          <w:p w:rsidR="2D57A969" w:rsidP="2D57A969" w:rsidRDefault="2D57A969" w14:paraId="4564D74A" w14:textId="33A00E4D">
            <w:pPr>
              <w:rPr>
                <w:rFonts w:ascii="Arial" w:hAnsi="Arial" w:eastAsia="Arial" w:cs="Arial"/>
                <w:b w:val="0"/>
                <w:bCs w:val="0"/>
                <w:i w:val="0"/>
                <w:iCs w:val="0"/>
                <w:caps w:val="0"/>
                <w:smallCaps w:val="0"/>
                <w:color w:val="000000" w:themeColor="text1" w:themeTint="FF" w:themeShade="FF"/>
                <w:sz w:val="24"/>
                <w:szCs w:val="24"/>
              </w:rPr>
            </w:pPr>
          </w:p>
        </w:tc>
        <w:tc>
          <w:tcPr>
            <w:tcW w:w="2220" w:type="dxa"/>
            <w:tcMar>
              <w:left w:w="105" w:type="dxa"/>
              <w:right w:w="105" w:type="dxa"/>
            </w:tcMar>
            <w:vAlign w:val="top"/>
          </w:tcPr>
          <w:p w:rsidR="2D57A969" w:rsidP="2D57A969" w:rsidRDefault="2D57A969" w14:paraId="5C731DFA" w14:textId="5AFEECE0">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475B3BEF" w14:textId="6799CF51">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 Ask questions</w:t>
            </w:r>
          </w:p>
          <w:p w:rsidR="2D57A969" w:rsidP="2D57A969" w:rsidRDefault="2D57A969" w14:paraId="43AB4F17" w14:textId="07AB98C5">
            <w:pPr>
              <w:pStyle w:val="NoSpacing"/>
              <w:rPr>
                <w:rFonts w:ascii="Arial" w:hAnsi="Arial" w:eastAsia="Arial" w:cs="Arial"/>
                <w:b w:val="0"/>
                <w:bCs w:val="0"/>
                <w:i w:val="0"/>
                <w:iCs w:val="0"/>
                <w:caps w:val="0"/>
                <w:smallCaps w:val="0"/>
                <w:color w:val="000000" w:themeColor="text1" w:themeTint="FF" w:themeShade="FF"/>
                <w:sz w:val="24"/>
                <w:szCs w:val="24"/>
              </w:rPr>
            </w:pPr>
            <w:r w:rsidR="2D57A969">
              <w:rPr/>
              <w:t>Give feedback</w:t>
            </w:r>
          </w:p>
          <w:p w:rsidR="2D57A969" w:rsidP="2D57A969" w:rsidRDefault="2D57A969" w14:paraId="2D6CCFDC" w14:textId="41DA69B4">
            <w:pPr>
              <w:pStyle w:val="NoSpacing"/>
              <w:rPr>
                <w:rFonts w:ascii="Arial" w:hAnsi="Arial" w:eastAsia="Arial" w:cs="Arial"/>
                <w:b w:val="0"/>
                <w:bCs w:val="0"/>
                <w:i w:val="0"/>
                <w:iCs w:val="0"/>
                <w:caps w:val="0"/>
                <w:smallCaps w:val="0"/>
                <w:color w:val="000000" w:themeColor="text1" w:themeTint="FF" w:themeShade="FF"/>
                <w:sz w:val="24"/>
                <w:szCs w:val="24"/>
              </w:rPr>
            </w:pPr>
            <w:r w:rsidR="2D57A969">
              <w:rPr/>
              <w:t>Peer assessment</w:t>
            </w:r>
          </w:p>
        </w:tc>
        <w:tc>
          <w:tcPr>
            <w:tcW w:w="2445" w:type="dxa"/>
            <w:tcMar>
              <w:left w:w="105" w:type="dxa"/>
              <w:right w:w="105" w:type="dxa"/>
            </w:tcMar>
            <w:vAlign w:val="top"/>
          </w:tcPr>
          <w:p w:rsidR="2D57A969" w:rsidP="2D57A969" w:rsidRDefault="2D57A969" w14:paraId="0E5959CF" w14:textId="0CE7BA26">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The mini plenaries are appropriate for all learning levels. </w:t>
            </w:r>
          </w:p>
          <w:p w:rsidR="2D57A969" w:rsidP="2D57A969" w:rsidRDefault="2D57A969" w14:paraId="3038D75D" w14:textId="03C1EED4">
            <w:pPr>
              <w:rPr>
                <w:rFonts w:ascii="Arial" w:hAnsi="Arial" w:eastAsia="Arial" w:cs="Arial"/>
                <w:b w:val="0"/>
                <w:bCs w:val="0"/>
                <w:i w:val="0"/>
                <w:iCs w:val="0"/>
                <w:caps w:val="0"/>
                <w:smallCaps w:val="0"/>
                <w:color w:val="000000" w:themeColor="text1" w:themeTint="FF" w:themeShade="FF"/>
                <w:sz w:val="24"/>
                <w:szCs w:val="24"/>
              </w:rPr>
            </w:pPr>
          </w:p>
        </w:tc>
        <w:tc>
          <w:tcPr>
            <w:tcW w:w="1876" w:type="dxa"/>
            <w:tcMar>
              <w:left w:w="105" w:type="dxa"/>
              <w:right w:w="105" w:type="dxa"/>
            </w:tcMar>
            <w:vAlign w:val="top"/>
          </w:tcPr>
          <w:p w:rsidR="2D57A969" w:rsidP="2D57A969" w:rsidRDefault="2D57A969" w14:paraId="419E04FC" w14:textId="65BFB398">
            <w:pPr>
              <w:pStyle w:val="NoSpacing"/>
              <w:rPr>
                <w:rFonts w:ascii="Arial" w:hAnsi="Arial" w:eastAsia="Arial" w:cs="Arial"/>
                <w:b w:val="0"/>
                <w:bCs w:val="0"/>
                <w:i w:val="0"/>
                <w:iCs w:val="0"/>
                <w:caps w:val="0"/>
                <w:smallCaps w:val="0"/>
                <w:color w:val="000000" w:themeColor="text1" w:themeTint="FF" w:themeShade="FF"/>
                <w:sz w:val="24"/>
                <w:szCs w:val="24"/>
              </w:rPr>
            </w:pPr>
            <w:r w:rsidR="2D57A969">
              <w:rPr/>
              <w:t>Students get a chance to feedback on their understanding.</w:t>
            </w:r>
          </w:p>
        </w:tc>
      </w:tr>
    </w:tbl>
    <w:p xmlns:wp14="http://schemas.microsoft.com/office/word/2010/wordml" w:rsidP="2D57A969" wp14:paraId="71C8E716" wp14:textId="6F9FBF43">
      <w:pPr>
        <w:pStyle w:val="Normal"/>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56"/>
        <w:gridCol w:w="3556"/>
        <w:gridCol w:w="3300"/>
        <w:gridCol w:w="1454"/>
      </w:tblGrid>
      <w:tr w:rsidR="2D57A969" w:rsidTr="2D57A969" w14:paraId="32220CED">
        <w:trPr>
          <w:trHeight w:val="225"/>
        </w:trPr>
        <w:tc>
          <w:tcPr>
            <w:tcW w:w="2256" w:type="dxa"/>
            <w:tcBorders>
              <w:top w:val="single" w:sz="6"/>
              <w:left w:val="single" w:sz="6"/>
              <w:bottom w:val="single" w:sz="6"/>
              <w:right w:val="single" w:sz="6"/>
            </w:tcBorders>
            <w:shd w:val="clear" w:color="auto" w:fill="94BAD6"/>
            <w:tcMar>
              <w:left w:w="105" w:type="dxa"/>
              <w:right w:w="105" w:type="dxa"/>
            </w:tcMar>
            <w:vAlign w:val="top"/>
          </w:tcPr>
          <w:p w:rsidR="2D57A969" w:rsidP="2D57A969" w:rsidRDefault="2D57A969" w14:paraId="2E7F7370" w14:textId="01ADAC94">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Student-teacher:</w:t>
            </w:r>
          </w:p>
        </w:tc>
        <w:tc>
          <w:tcPr>
            <w:tcW w:w="3556" w:type="dxa"/>
            <w:tcBorders>
              <w:top w:val="single" w:sz="6"/>
              <w:left w:val="single" w:sz="6"/>
              <w:bottom w:val="single" w:sz="6"/>
              <w:right w:val="single" w:sz="6"/>
            </w:tcBorders>
            <w:tcMar>
              <w:left w:w="105" w:type="dxa"/>
              <w:right w:w="105" w:type="dxa"/>
            </w:tcMar>
            <w:vAlign w:val="top"/>
          </w:tcPr>
          <w:p w:rsidR="2D57A969" w:rsidP="2D57A969" w:rsidRDefault="2D57A969" w14:paraId="32896041" w14:textId="2D3F06D5">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Emily Gregory</w:t>
            </w:r>
          </w:p>
        </w:tc>
        <w:tc>
          <w:tcPr>
            <w:tcW w:w="3300" w:type="dxa"/>
            <w:tcBorders>
              <w:top w:val="single" w:sz="6"/>
              <w:left w:val="single" w:sz="6"/>
              <w:bottom w:val="single" w:sz="6"/>
              <w:right w:val="single" w:sz="6"/>
            </w:tcBorders>
            <w:tcMar>
              <w:left w:w="105" w:type="dxa"/>
              <w:right w:w="105" w:type="dxa"/>
            </w:tcMar>
            <w:vAlign w:val="top"/>
          </w:tcPr>
          <w:p w:rsidR="2D57A969" w:rsidP="2D57A969" w:rsidRDefault="2D57A969" w14:paraId="08ABA653" w14:textId="7411649E">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Class / Group:</w:t>
            </w:r>
          </w:p>
        </w:tc>
        <w:tc>
          <w:tcPr>
            <w:tcW w:w="1454" w:type="dxa"/>
            <w:tcBorders>
              <w:top w:val="single" w:sz="6"/>
              <w:left w:val="single" w:sz="6"/>
              <w:bottom w:val="single" w:sz="6"/>
              <w:right w:val="single" w:sz="6"/>
            </w:tcBorders>
            <w:tcMar>
              <w:left w:w="105" w:type="dxa"/>
              <w:right w:w="105" w:type="dxa"/>
            </w:tcMar>
            <w:vAlign w:val="top"/>
          </w:tcPr>
          <w:p w:rsidR="2D57A969" w:rsidP="2D57A969" w:rsidRDefault="2D57A969" w14:paraId="4EBB6BE6" w14:textId="34529739">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Year 5/6</w:t>
            </w:r>
          </w:p>
        </w:tc>
      </w:tr>
      <w:tr w:rsidR="2D57A969" w:rsidTr="2D57A969" w14:paraId="73AD0A09">
        <w:trPr>
          <w:trHeight w:val="225"/>
        </w:trPr>
        <w:tc>
          <w:tcPr>
            <w:tcW w:w="2256" w:type="dxa"/>
            <w:tcBorders>
              <w:top w:val="single" w:sz="6"/>
            </w:tcBorders>
            <w:shd w:val="clear" w:color="auto" w:fill="94BAD6"/>
            <w:tcMar>
              <w:left w:w="105" w:type="dxa"/>
              <w:right w:w="105" w:type="dxa"/>
            </w:tcMar>
            <w:vAlign w:val="top"/>
          </w:tcPr>
          <w:p w:rsidR="2D57A969" w:rsidP="2D57A969" w:rsidRDefault="2D57A969" w14:paraId="656967FD" w14:textId="2FE697AA">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AoLE or Subject:</w:t>
            </w:r>
          </w:p>
        </w:tc>
        <w:tc>
          <w:tcPr>
            <w:tcW w:w="3556" w:type="dxa"/>
            <w:tcBorders>
              <w:top w:val="single" w:sz="6"/>
            </w:tcBorders>
            <w:tcMar>
              <w:left w:w="105" w:type="dxa"/>
              <w:right w:w="105" w:type="dxa"/>
            </w:tcMar>
            <w:vAlign w:val="top"/>
          </w:tcPr>
          <w:p w:rsidR="2D57A969" w:rsidP="2D57A969" w:rsidRDefault="2D57A969" w14:paraId="2E48CFE8" w14:textId="292EE9B6">
            <w:pP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0"/>
                <w:bCs w:val="0"/>
                <w:i w:val="0"/>
                <w:iCs w:val="0"/>
                <w:caps w:val="0"/>
                <w:smallCaps w:val="0"/>
                <w:color w:val="000000" w:themeColor="text1" w:themeTint="FF" w:themeShade="FF"/>
                <w:sz w:val="22"/>
                <w:szCs w:val="22"/>
                <w:lang w:val="en-GB"/>
              </w:rPr>
              <w:t>Science and Technology</w:t>
            </w:r>
          </w:p>
          <w:p w:rsidR="2D57A969" w:rsidP="2D57A969" w:rsidRDefault="2D57A969" w14:paraId="13C51814" w14:textId="2C57817B">
            <w:pPr>
              <w:rPr>
                <w:rFonts w:ascii="Calibri" w:hAnsi="Calibri" w:eastAsia="Calibri" w:cs="Calibri"/>
                <w:b w:val="0"/>
                <w:bCs w:val="0"/>
                <w:i w:val="0"/>
                <w:iCs w:val="0"/>
                <w:caps w:val="0"/>
                <w:smallCaps w:val="0"/>
                <w:color w:val="000000" w:themeColor="text1" w:themeTint="FF" w:themeShade="FF"/>
                <w:sz w:val="22"/>
                <w:szCs w:val="22"/>
              </w:rPr>
            </w:pPr>
          </w:p>
        </w:tc>
        <w:tc>
          <w:tcPr>
            <w:tcW w:w="3300" w:type="dxa"/>
            <w:tcBorders>
              <w:top w:val="single" w:sz="6"/>
            </w:tcBorders>
            <w:tcMar>
              <w:left w:w="105" w:type="dxa"/>
              <w:right w:w="105" w:type="dxa"/>
            </w:tcMar>
            <w:vAlign w:val="top"/>
          </w:tcPr>
          <w:p w:rsidR="2D57A969" w:rsidP="2D57A969" w:rsidRDefault="2D57A969" w14:paraId="368EB505" w14:textId="70C8100A">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Date </w:t>
            </w: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(please note that this may be a continuous session)</w:t>
            </w: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w:t>
            </w:r>
          </w:p>
        </w:tc>
        <w:tc>
          <w:tcPr>
            <w:tcW w:w="1454" w:type="dxa"/>
            <w:tcBorders>
              <w:top w:val="single" w:sz="6"/>
            </w:tcBorders>
            <w:tcMar>
              <w:left w:w="105" w:type="dxa"/>
              <w:right w:w="105" w:type="dxa"/>
            </w:tcMar>
            <w:vAlign w:val="top"/>
          </w:tcPr>
          <w:p w:rsidR="2D57A969" w:rsidP="2D57A969" w:rsidRDefault="2D57A969" w14:paraId="38B5EC08" w14:textId="5BC63710">
            <w:pPr>
              <w:rPr>
                <w:rFonts w:ascii="Calibri" w:hAnsi="Calibri" w:eastAsia="Calibri" w:cs="Calibri"/>
                <w:b w:val="0"/>
                <w:bCs w:val="0"/>
                <w:i w:val="0"/>
                <w:iCs w:val="0"/>
                <w:caps w:val="0"/>
                <w:smallCaps w:val="0"/>
                <w:color w:val="000000" w:themeColor="text1" w:themeTint="FF" w:themeShade="FF"/>
                <w:sz w:val="28"/>
                <w:szCs w:val="28"/>
              </w:rPr>
            </w:pPr>
            <w:r w:rsidRPr="2D57A969" w:rsidR="2D57A969">
              <w:rPr>
                <w:rFonts w:ascii="Calibri" w:hAnsi="Calibri" w:eastAsia="Calibri" w:cs="Calibri"/>
                <w:b w:val="0"/>
                <w:bCs w:val="0"/>
                <w:i w:val="0"/>
                <w:iCs w:val="0"/>
                <w:caps w:val="0"/>
                <w:smallCaps w:val="0"/>
                <w:color w:val="000000" w:themeColor="text1" w:themeTint="FF" w:themeShade="FF"/>
                <w:sz w:val="28"/>
                <w:szCs w:val="28"/>
                <w:lang w:val="en-GB"/>
              </w:rPr>
              <w:t>23.11.23</w:t>
            </w:r>
          </w:p>
        </w:tc>
      </w:tr>
      <w:tr w:rsidR="2D57A969" w:rsidTr="2D57A969" w14:paraId="5A416637">
        <w:trPr>
          <w:trHeight w:val="885"/>
        </w:trPr>
        <w:tc>
          <w:tcPr>
            <w:tcW w:w="2256" w:type="dxa"/>
            <w:shd w:val="clear" w:color="auto" w:fill="94BAD6"/>
            <w:tcMar>
              <w:left w:w="105" w:type="dxa"/>
              <w:right w:w="105" w:type="dxa"/>
            </w:tcMar>
            <w:vAlign w:val="top"/>
          </w:tcPr>
          <w:p w:rsidR="2D57A969" w:rsidP="2D57A969" w:rsidRDefault="2D57A969" w14:paraId="43D82C55" w14:textId="254981E9">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Meaningful links to</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Curriculum</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(What Matters Statements, Descriptions of learning, ‘previous’ curriculum...)</w:t>
            </w:r>
          </w:p>
        </w:tc>
        <w:tc>
          <w:tcPr>
            <w:tcW w:w="8310" w:type="dxa"/>
            <w:gridSpan w:val="3"/>
            <w:tcMar>
              <w:left w:w="105" w:type="dxa"/>
              <w:right w:w="105" w:type="dxa"/>
            </w:tcMar>
            <w:vAlign w:val="top"/>
          </w:tcPr>
          <w:p w:rsidR="2D57A969" w:rsidP="2D57A969" w:rsidRDefault="2D57A969" w14:paraId="0111B6EF" w14:textId="1F1E3F5F">
            <w:pPr>
              <w:rPr>
                <w:rFonts w:ascii="Calibri" w:hAnsi="Calibri" w:eastAsia="Calibri" w:cs="Calibri"/>
                <w:b w:val="0"/>
                <w:bCs w:val="0"/>
                <w:i w:val="0"/>
                <w:iCs w:val="0"/>
                <w:caps w:val="0"/>
                <w:smallCaps w:val="0"/>
                <w:color w:val="1F1F1F"/>
                <w:sz w:val="20"/>
                <w:szCs w:val="20"/>
              </w:rPr>
            </w:pPr>
            <w:r w:rsidRPr="2D57A969" w:rsidR="2D57A969">
              <w:rPr>
                <w:rFonts w:ascii="Calibri" w:hAnsi="Calibri" w:eastAsia="Calibri" w:cs="Calibri"/>
                <w:b w:val="0"/>
                <w:bCs w:val="0"/>
                <w:i w:val="0"/>
                <w:iCs w:val="0"/>
                <w:caps w:val="0"/>
                <w:smallCaps w:val="0"/>
                <w:color w:val="1F1F1F"/>
                <w:sz w:val="20"/>
                <w:szCs w:val="20"/>
                <w:lang w:val="en-GB"/>
              </w:rPr>
              <w:t xml:space="preserve">The world around us is full of living things that depend on each other for survival. </w:t>
            </w:r>
          </w:p>
          <w:p w:rsidR="2D57A969" w:rsidP="2D57A969" w:rsidRDefault="2D57A969" w14:paraId="21126551" w14:textId="6FC368F7">
            <w:pPr>
              <w:rPr>
                <w:rFonts w:ascii="Calibri" w:hAnsi="Calibri" w:eastAsia="Calibri" w:cs="Calibri"/>
                <w:b w:val="0"/>
                <w:bCs w:val="0"/>
                <w:i w:val="0"/>
                <w:iCs w:val="0"/>
                <w:caps w:val="0"/>
                <w:smallCaps w:val="0"/>
                <w:color w:val="1F1F1F"/>
                <w:sz w:val="20"/>
                <w:szCs w:val="20"/>
              </w:rPr>
            </w:pPr>
            <w:r w:rsidRPr="2D57A969" w:rsidR="2D57A969">
              <w:rPr>
                <w:rFonts w:ascii="Calibri" w:hAnsi="Calibri" w:eastAsia="Calibri" w:cs="Calibri"/>
                <w:b w:val="0"/>
                <w:bCs w:val="0"/>
                <w:i w:val="0"/>
                <w:iCs w:val="0"/>
                <w:caps w:val="0"/>
                <w:smallCaps w:val="0"/>
                <w:color w:val="1F1F1F"/>
                <w:sz w:val="20"/>
                <w:szCs w:val="20"/>
                <w:lang w:val="en-GB"/>
              </w:rPr>
              <w:t xml:space="preserve">Being curious and searching for answers is essential to understanding and predicting phenomena. </w:t>
            </w:r>
          </w:p>
        </w:tc>
      </w:tr>
      <w:tr w:rsidR="2D57A969" w:rsidTr="2D57A969" w14:paraId="379F223D">
        <w:trPr>
          <w:trHeight w:val="870"/>
        </w:trPr>
        <w:tc>
          <w:tcPr>
            <w:tcW w:w="2256" w:type="dxa"/>
            <w:shd w:val="clear" w:color="auto" w:fill="94BAD6"/>
            <w:tcMar>
              <w:left w:w="105" w:type="dxa"/>
              <w:right w:w="105" w:type="dxa"/>
            </w:tcMar>
            <w:vAlign w:val="top"/>
          </w:tcPr>
          <w:p w:rsidR="2D57A969" w:rsidP="2D57A969" w:rsidRDefault="2D57A969" w14:paraId="4033F213" w14:textId="4952717B">
            <w:pP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Meaningful links across the curriculum </w:t>
            </w:r>
            <w:r>
              <w:br/>
            </w: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 xml:space="preserve">Links to other AoLEs or the  </w:t>
            </w:r>
            <w:hyperlink w:anchor="overview" r:id="R8f2bdc14c29a4d64">
              <w:r w:rsidRPr="2D57A969" w:rsidR="2D57A969">
                <w:rPr>
                  <w:rStyle w:val="Hyperlink"/>
                  <w:rFonts w:ascii="Calibri" w:hAnsi="Calibri" w:eastAsia="Calibri" w:cs="Calibri"/>
                  <w:b w:val="0"/>
                  <w:bCs w:val="0"/>
                  <w:i w:val="0"/>
                  <w:iCs w:val="0"/>
                  <w:caps w:val="0"/>
                  <w:smallCaps w:val="0"/>
                  <w:strike w:val="0"/>
                  <w:dstrike w:val="0"/>
                  <w:sz w:val="20"/>
                  <w:szCs w:val="20"/>
                  <w:lang w:val="en-GB"/>
                </w:rPr>
                <w:t>Cross-curricular skills frameworks)</w:t>
              </w:r>
            </w:hyperlink>
          </w:p>
        </w:tc>
        <w:tc>
          <w:tcPr>
            <w:tcW w:w="8310" w:type="dxa"/>
            <w:gridSpan w:val="3"/>
            <w:tcMar>
              <w:left w:w="105" w:type="dxa"/>
              <w:right w:w="105" w:type="dxa"/>
            </w:tcMar>
            <w:vAlign w:val="top"/>
          </w:tcPr>
          <w:p w:rsidR="2D57A969" w:rsidP="2D57A969" w:rsidRDefault="2D57A969" w14:paraId="075FF533" w14:textId="0B931262">
            <w:pPr>
              <w:rPr>
                <w:rFonts w:ascii="Calibri" w:hAnsi="Calibri" w:eastAsia="Calibri" w:cs="Calibri"/>
                <w:b w:val="0"/>
                <w:bCs w:val="0"/>
                <w:i w:val="0"/>
                <w:iCs w:val="0"/>
                <w:caps w:val="0"/>
                <w:smallCaps w:val="0"/>
                <w:color w:val="1F1F1F"/>
                <w:sz w:val="22"/>
                <w:szCs w:val="22"/>
              </w:rPr>
            </w:pPr>
            <w:r w:rsidRPr="2D57A969" w:rsidR="2D57A969">
              <w:rPr>
                <w:rFonts w:ascii="Calibri" w:hAnsi="Calibri" w:eastAsia="Calibri" w:cs="Calibri"/>
                <w:b w:val="0"/>
                <w:bCs w:val="0"/>
                <w:i w:val="0"/>
                <w:iCs w:val="0"/>
                <w:caps w:val="0"/>
                <w:smallCaps w:val="0"/>
                <w:color w:val="1F1F1F"/>
                <w:sz w:val="22"/>
                <w:szCs w:val="22"/>
                <w:lang w:val="en-GB"/>
              </w:rPr>
              <w:t>Mathematics and numeracy</w:t>
            </w:r>
          </w:p>
        </w:tc>
      </w:tr>
      <w:tr w:rsidR="2D57A969" w:rsidTr="2D57A969" w14:paraId="7B94762C">
        <w:trPr>
          <w:trHeight w:val="780"/>
        </w:trPr>
        <w:tc>
          <w:tcPr>
            <w:tcW w:w="10566" w:type="dxa"/>
            <w:gridSpan w:val="4"/>
            <w:tcMar>
              <w:left w:w="105" w:type="dxa"/>
              <w:right w:w="105" w:type="dxa"/>
            </w:tcMar>
            <w:vAlign w:val="top"/>
          </w:tcPr>
          <w:p w:rsidR="2D57A969" w:rsidP="2D57A969" w:rsidRDefault="2D57A969" w14:paraId="0544D4FB" w14:textId="487D8131">
            <w:pPr>
              <w:rPr>
                <w:rFonts w:ascii="Calibri" w:hAnsi="Calibri" w:eastAsia="Calibri" w:cs="Calibri"/>
                <w:b w:val="0"/>
                <w:bCs w:val="0"/>
                <w:i w:val="0"/>
                <w:iCs w:val="0"/>
                <w:caps w:val="0"/>
                <w:smallCaps w:val="0"/>
                <w:color w:val="333333"/>
                <w:sz w:val="20"/>
                <w:szCs w:val="20"/>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Personal Targets</w:t>
            </w: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w:t>
            </w:r>
            <w:r w:rsidRPr="2D57A969" w:rsidR="2D57A969">
              <w:rPr>
                <w:rFonts w:ascii="Calibri" w:hAnsi="Calibri" w:eastAsia="Calibri" w:cs="Calibri"/>
                <w:b w:val="0"/>
                <w:bCs w:val="0"/>
                <w:i w:val="0"/>
                <w:iCs w:val="0"/>
                <w:caps w:val="0"/>
                <w:smallCaps w:val="0"/>
                <w:color w:val="333333"/>
                <w:sz w:val="20"/>
                <w:szCs w:val="20"/>
                <w:lang w:val="en-GB"/>
              </w:rPr>
              <w:t>targets and consequent impact on learning - refer to any targets that have been identified in learning journal or weekly reflection meeting and describe the desired impact on learning)</w:t>
            </w:r>
          </w:p>
          <w:p w:rsidR="2D57A969" w:rsidP="2D57A969" w:rsidRDefault="2D57A969" w14:paraId="6B0E68DD" w14:textId="57A0827F">
            <w:pPr>
              <w:ind w:left="720"/>
              <w:rPr>
                <w:rFonts w:ascii="Segoe UI" w:hAnsi="Segoe UI" w:eastAsia="Segoe UI" w:cs="Segoe UI"/>
                <w:b w:val="0"/>
                <w:bCs w:val="0"/>
                <w:i w:val="0"/>
                <w:iCs w:val="0"/>
                <w:caps w:val="0"/>
                <w:smallCaps w:val="0"/>
                <w:color w:val="333333"/>
                <w:sz w:val="18"/>
                <w:szCs w:val="18"/>
              </w:rPr>
            </w:pPr>
            <w:r w:rsidRPr="2D57A969" w:rsidR="2D57A969">
              <w:rPr>
                <w:rFonts w:ascii="Segoe UI" w:hAnsi="Segoe UI" w:eastAsia="Segoe UI" w:cs="Segoe UI"/>
                <w:b w:val="0"/>
                <w:bCs w:val="0"/>
                <w:i w:val="0"/>
                <w:iCs w:val="0"/>
                <w:caps w:val="0"/>
                <w:smallCaps w:val="0"/>
                <w:color w:val="333333"/>
                <w:sz w:val="18"/>
                <w:szCs w:val="18"/>
                <w:lang w:val="en-GB"/>
              </w:rPr>
              <w:t xml:space="preserve">To find out what the learners have been studying and build on previous learning in your planning </w:t>
            </w:r>
          </w:p>
          <w:p w:rsidR="2D57A969" w:rsidP="2D57A969" w:rsidRDefault="2D57A969" w14:paraId="5E259519" w14:textId="7E29F5C7">
            <w:pPr>
              <w:ind w:left="720"/>
              <w:rPr>
                <w:rFonts w:ascii="Segoe UI" w:hAnsi="Segoe UI" w:eastAsia="Segoe UI" w:cs="Segoe UI"/>
                <w:b w:val="0"/>
                <w:bCs w:val="0"/>
                <w:i w:val="0"/>
                <w:iCs w:val="0"/>
                <w:caps w:val="0"/>
                <w:smallCaps w:val="0"/>
                <w:color w:val="333333"/>
                <w:sz w:val="18"/>
                <w:szCs w:val="18"/>
              </w:rPr>
            </w:pPr>
            <w:r w:rsidRPr="2D57A969" w:rsidR="2D57A969">
              <w:rPr>
                <w:rFonts w:ascii="Segoe UI" w:hAnsi="Segoe UI" w:eastAsia="Segoe UI" w:cs="Segoe UI"/>
                <w:b w:val="0"/>
                <w:bCs w:val="0"/>
                <w:i w:val="0"/>
                <w:iCs w:val="0"/>
                <w:caps w:val="0"/>
                <w:smallCaps w:val="0"/>
                <w:color w:val="333333"/>
                <w:sz w:val="18"/>
                <w:szCs w:val="18"/>
                <w:lang w:val="en-GB"/>
              </w:rPr>
              <w:t>To differentiate for the three main groups within the class. To show the range of learning within the class in the tasks you set.</w:t>
            </w:r>
          </w:p>
        </w:tc>
      </w:tr>
      <w:tr w:rsidR="2D57A969" w:rsidTr="2D57A969" w14:paraId="5D6EA023">
        <w:trPr>
          <w:trHeight w:val="300"/>
        </w:trPr>
        <w:tc>
          <w:tcPr>
            <w:tcW w:w="10566" w:type="dxa"/>
            <w:gridSpan w:val="4"/>
            <w:shd w:val="clear" w:color="auto" w:fill="94BAD6"/>
            <w:tcMar>
              <w:left w:w="105" w:type="dxa"/>
              <w:right w:w="105" w:type="dxa"/>
            </w:tcMar>
            <w:vAlign w:val="top"/>
          </w:tcPr>
          <w:p w:rsidR="2D57A969" w:rsidP="2D57A969" w:rsidRDefault="2D57A969" w14:paraId="6507E508" w14:textId="4F97B2A0">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Learning Intention</w:t>
            </w:r>
          </w:p>
          <w:p w:rsidR="2D57A969" w:rsidP="2D57A969" w:rsidRDefault="2D57A969" w14:paraId="0E927E92" w14:textId="49F86ACA">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‘This should focus on the pupils’ learning during the lesson, rather than what they will be doing, and should be short, achievable and measurable.’ (</w:t>
            </w:r>
            <w:r w:rsidRPr="2D57A969" w:rsidR="2D57A969">
              <w:rPr>
                <w:rFonts w:ascii="Calibri" w:hAnsi="Calibri" w:eastAsia="Calibri" w:cs="Calibri"/>
                <w:b w:val="0"/>
                <w:bCs w:val="0"/>
                <w:i w:val="0"/>
                <w:iCs w:val="0"/>
                <w:caps w:val="0"/>
                <w:smallCaps w:val="0"/>
                <w:color w:val="000000" w:themeColor="text1" w:themeTint="FF" w:themeShade="FF"/>
                <w:sz w:val="20"/>
                <w:szCs w:val="20"/>
                <w:lang w:val="en-GB"/>
              </w:rPr>
              <w:t>Crichton, H., and Mcdaid, A. 2016 p. 196)</w:t>
            </w:r>
          </w:p>
        </w:tc>
      </w:tr>
      <w:tr w:rsidR="2D57A969" w:rsidTr="2D57A969" w14:paraId="6C591E95">
        <w:trPr>
          <w:trHeight w:val="300"/>
        </w:trPr>
        <w:tc>
          <w:tcPr>
            <w:tcW w:w="10566" w:type="dxa"/>
            <w:gridSpan w:val="4"/>
            <w:tcMar>
              <w:left w:w="105" w:type="dxa"/>
              <w:right w:w="105" w:type="dxa"/>
            </w:tcMar>
            <w:vAlign w:val="top"/>
          </w:tcPr>
          <w:p w:rsidR="2D57A969" w:rsidP="2D57A969" w:rsidRDefault="2D57A969" w14:paraId="7D043BA4" w14:textId="704D60FA">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LI: to gain knowledge on the way which blood works and to develop numeracy skills regarding ratio.</w:t>
            </w:r>
          </w:p>
          <w:p w:rsidR="2D57A969" w:rsidP="2D57A969" w:rsidRDefault="2D57A969" w14:paraId="3C46AC33" w14:textId="217DEA06">
            <w:pPr>
              <w:rPr>
                <w:rFonts w:ascii="Calibri" w:hAnsi="Calibri" w:eastAsia="Calibri" w:cs="Calibri"/>
                <w:b w:val="0"/>
                <w:bCs w:val="0"/>
                <w:i w:val="0"/>
                <w:iCs w:val="0"/>
                <w:caps w:val="0"/>
                <w:smallCaps w:val="0"/>
                <w:color w:val="000000" w:themeColor="text1" w:themeTint="FF" w:themeShade="FF"/>
                <w:sz w:val="24"/>
                <w:szCs w:val="24"/>
              </w:rPr>
            </w:pPr>
          </w:p>
        </w:tc>
      </w:tr>
      <w:tr w:rsidR="2D57A969" w:rsidTr="2D57A969" w14:paraId="3B8AF49C">
        <w:trPr>
          <w:trHeight w:val="555"/>
        </w:trPr>
        <w:tc>
          <w:tcPr>
            <w:tcW w:w="10566" w:type="dxa"/>
            <w:gridSpan w:val="4"/>
            <w:shd w:val="clear" w:color="auto" w:fill="94BAD6"/>
            <w:tcMar>
              <w:left w:w="105" w:type="dxa"/>
              <w:right w:w="105" w:type="dxa"/>
            </w:tcMar>
            <w:vAlign w:val="top"/>
          </w:tcPr>
          <w:p w:rsidR="2D57A969" w:rsidP="2D57A969" w:rsidRDefault="2D57A969" w14:paraId="63D59D84" w14:textId="3BFA7655">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 xml:space="preserve">Success Criteria </w:t>
            </w:r>
          </w:p>
          <w:p w:rsidR="2D57A969" w:rsidP="2D57A969" w:rsidRDefault="2D57A969" w14:paraId="46AE22B5" w14:textId="0771C7B3">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What the pupils need to demonstrate to successfully meet the Learning Intention.</w:t>
            </w:r>
          </w:p>
        </w:tc>
      </w:tr>
      <w:tr w:rsidR="2D57A969" w:rsidTr="2D57A969" w14:paraId="3F7EDA22">
        <w:trPr>
          <w:trHeight w:val="690"/>
        </w:trPr>
        <w:tc>
          <w:tcPr>
            <w:tcW w:w="10566" w:type="dxa"/>
            <w:gridSpan w:val="4"/>
            <w:tcMar>
              <w:left w:w="105" w:type="dxa"/>
              <w:right w:w="105" w:type="dxa"/>
            </w:tcMar>
            <w:vAlign w:val="top"/>
          </w:tcPr>
          <w:p w:rsidR="2D57A969" w:rsidP="2D57A969" w:rsidRDefault="2D57A969" w14:paraId="0C830DA8" w14:textId="196D5F15">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 xml:space="preserve">Pupils need to show and understanding of knowledge being taught – confirmed through AfL </w:t>
            </w:r>
          </w:p>
          <w:p w:rsidR="2D57A969" w:rsidP="2D57A969" w:rsidRDefault="2D57A969" w14:paraId="5A0E4813" w14:textId="2924A17C">
            <w:pPr>
              <w:rPr>
                <w:rFonts w:ascii="Calibri" w:hAnsi="Calibri" w:eastAsia="Calibri" w:cs="Calibri"/>
                <w:b w:val="0"/>
                <w:bCs w:val="0"/>
                <w:i w:val="0"/>
                <w:iCs w:val="0"/>
                <w:caps w:val="0"/>
                <w:smallCaps w:val="0"/>
                <w:color w:val="000000" w:themeColor="text1" w:themeTint="FF" w:themeShade="FF"/>
                <w:sz w:val="24"/>
                <w:szCs w:val="24"/>
              </w:rPr>
            </w:pPr>
          </w:p>
          <w:p w:rsidR="2D57A969" w:rsidP="2D57A969" w:rsidRDefault="2D57A969" w14:paraId="3C5C723B" w14:textId="296AE640">
            <w:pPr>
              <w:rPr>
                <w:rFonts w:ascii="Calibri" w:hAnsi="Calibri" w:eastAsia="Calibri" w:cs="Calibri"/>
                <w:b w:val="0"/>
                <w:bCs w:val="0"/>
                <w:i w:val="0"/>
                <w:iCs w:val="0"/>
                <w:caps w:val="0"/>
                <w:smallCaps w:val="0"/>
                <w:color w:val="000000" w:themeColor="text1" w:themeTint="FF" w:themeShade="FF"/>
                <w:sz w:val="24"/>
                <w:szCs w:val="24"/>
              </w:rPr>
            </w:pPr>
          </w:p>
        </w:tc>
      </w:tr>
      <w:tr w:rsidR="2D57A969" w:rsidTr="2D57A969" w14:paraId="377DBE67">
        <w:trPr>
          <w:trHeight w:val="540"/>
        </w:trPr>
        <w:tc>
          <w:tcPr>
            <w:tcW w:w="10566" w:type="dxa"/>
            <w:gridSpan w:val="4"/>
            <w:shd w:val="clear" w:color="auto" w:fill="94BAD6"/>
            <w:tcMar>
              <w:left w:w="105" w:type="dxa"/>
              <w:right w:w="105" w:type="dxa"/>
            </w:tcMar>
            <w:vAlign w:val="top"/>
          </w:tcPr>
          <w:p w:rsidR="2D57A969" w:rsidP="2D57A969" w:rsidRDefault="2D57A969" w14:paraId="4C1E1CC9" w14:textId="4BB24B30">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1"/>
                <w:bCs w:val="1"/>
                <w:i w:val="0"/>
                <w:iCs w:val="0"/>
                <w:caps w:val="0"/>
                <w:smallCaps w:val="0"/>
                <w:color w:val="000000" w:themeColor="text1" w:themeTint="FF" w:themeShade="FF"/>
                <w:sz w:val="24"/>
                <w:szCs w:val="24"/>
                <w:lang w:val="en-GB"/>
              </w:rPr>
              <w:t>Planning for misconceptions:</w:t>
            </w:r>
          </w:p>
          <w:p w:rsidR="2D57A969" w:rsidP="2D57A969" w:rsidRDefault="2D57A969" w14:paraId="37ECFF24" w14:textId="1A064B63">
            <w:pPr>
              <w:rPr>
                <w:rFonts w:ascii="Calibri" w:hAnsi="Calibri" w:eastAsia="Calibri" w:cs="Calibri"/>
                <w:b w:val="0"/>
                <w:bCs w:val="0"/>
                <w:i w:val="0"/>
                <w:iCs w:val="0"/>
                <w:caps w:val="0"/>
                <w:smallCaps w:val="0"/>
                <w:color w:val="000000" w:themeColor="text1" w:themeTint="FF" w:themeShade="FF"/>
                <w:sz w:val="20"/>
                <w:szCs w:val="20"/>
              </w:rPr>
            </w:pPr>
            <w:r w:rsidRPr="2D57A969" w:rsidR="2D57A969">
              <w:rPr>
                <w:rFonts w:ascii="Calibri" w:hAnsi="Calibri" w:eastAsia="Calibri" w:cs="Calibri"/>
                <w:b w:val="0"/>
                <w:bCs w:val="0"/>
                <w:i w:val="1"/>
                <w:iCs w:val="1"/>
                <w:caps w:val="0"/>
                <w:smallCaps w:val="0"/>
                <w:color w:val="000000" w:themeColor="text1" w:themeTint="FF" w:themeShade="FF"/>
                <w:sz w:val="20"/>
                <w:szCs w:val="20"/>
                <w:lang w:val="en-GB"/>
              </w:rPr>
              <w:t>Use this section to anticipate pupil errors and misunderstandings and your planned responses to them.</w:t>
            </w:r>
          </w:p>
        </w:tc>
      </w:tr>
      <w:tr w:rsidR="2D57A969" w:rsidTr="2D57A969" w14:paraId="54473EB8">
        <w:trPr>
          <w:trHeight w:val="690"/>
        </w:trPr>
        <w:tc>
          <w:tcPr>
            <w:tcW w:w="10566" w:type="dxa"/>
            <w:gridSpan w:val="4"/>
            <w:tcMar>
              <w:left w:w="105" w:type="dxa"/>
              <w:right w:w="105" w:type="dxa"/>
            </w:tcMar>
            <w:vAlign w:val="top"/>
          </w:tcPr>
          <w:p w:rsidR="2D57A969" w:rsidP="2D57A969" w:rsidRDefault="2D57A969" w14:paraId="72BC8E06" w14:textId="5B5EBDCE">
            <w:pPr>
              <w:rPr>
                <w:rFonts w:ascii="Calibri" w:hAnsi="Calibri" w:eastAsia="Calibri" w:cs="Calibri"/>
                <w:b w:val="0"/>
                <w:bCs w:val="0"/>
                <w:i w:val="0"/>
                <w:iCs w:val="0"/>
                <w:caps w:val="0"/>
                <w:smallCaps w:val="0"/>
                <w:color w:val="000000" w:themeColor="text1" w:themeTint="FF" w:themeShade="FF"/>
                <w:sz w:val="24"/>
                <w:szCs w:val="24"/>
              </w:rPr>
            </w:pPr>
            <w:r w:rsidRPr="2D57A969" w:rsidR="2D57A969">
              <w:rPr>
                <w:rFonts w:ascii="Calibri" w:hAnsi="Calibri" w:eastAsia="Calibri" w:cs="Calibri"/>
                <w:b w:val="0"/>
                <w:bCs w:val="0"/>
                <w:i w:val="0"/>
                <w:iCs w:val="0"/>
                <w:caps w:val="0"/>
                <w:smallCaps w:val="0"/>
                <w:color w:val="000000" w:themeColor="text1" w:themeTint="FF" w:themeShade="FF"/>
                <w:sz w:val="24"/>
                <w:szCs w:val="24"/>
                <w:lang w:val="en-GB"/>
              </w:rPr>
              <w:t>The pupils might have trouble with the language used, so a clear explanation is needed.</w:t>
            </w:r>
          </w:p>
        </w:tc>
      </w:tr>
    </w:tbl>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004"/>
        <w:gridCol w:w="3090"/>
        <w:gridCol w:w="2640"/>
        <w:gridCol w:w="1848"/>
        <w:gridCol w:w="1874"/>
      </w:tblGrid>
      <w:tr w:rsidR="2D57A969" w:rsidTr="2D57A969" w14:paraId="17045FCB">
        <w:trPr>
          <w:trHeight w:val="825"/>
        </w:trPr>
        <w:tc>
          <w:tcPr>
            <w:tcW w:w="10456" w:type="dxa"/>
            <w:gridSpan w:val="5"/>
            <w:shd w:val="clear" w:color="auto" w:fill="94BAD6"/>
            <w:tcMar>
              <w:left w:w="105" w:type="dxa"/>
              <w:right w:w="105" w:type="dxa"/>
            </w:tcMar>
            <w:vAlign w:val="top"/>
          </w:tcPr>
          <w:p w:rsidR="2D57A969" w:rsidP="2D57A969" w:rsidRDefault="2D57A969" w14:paraId="507C8393" w14:textId="273B8E54">
            <w:pPr>
              <w:jc w:val="center"/>
              <w:rPr>
                <w:rFonts w:ascii="Calibri" w:hAnsi="Calibri" w:eastAsia="Calibri" w:cs="Calibri"/>
                <w:b w:val="0"/>
                <w:bCs w:val="0"/>
                <w:i w:val="0"/>
                <w:iCs w:val="0"/>
                <w:caps w:val="0"/>
                <w:smallCaps w:val="0"/>
                <w:color w:val="000000" w:themeColor="text1" w:themeTint="FF" w:themeShade="FF"/>
                <w:sz w:val="24"/>
                <w:szCs w:val="24"/>
              </w:rPr>
            </w:pPr>
          </w:p>
          <w:p w:rsidR="2D57A969" w:rsidP="2D57A969" w:rsidRDefault="2D57A969" w14:paraId="5A0DECB6" w14:textId="680BC3B5">
            <w:pPr>
              <w:pStyle w:val="NoSpacing"/>
              <w:jc w:val="center"/>
              <w:rPr>
                <w:rFonts w:ascii="Calibri" w:hAnsi="Calibri" w:eastAsia="Calibri" w:cs="Calibri"/>
                <w:b w:val="0"/>
                <w:bCs w:val="0"/>
                <w:i w:val="0"/>
                <w:iCs w:val="0"/>
                <w:caps w:val="0"/>
                <w:smallCaps w:val="0"/>
                <w:color w:val="000000" w:themeColor="text1" w:themeTint="FF" w:themeShade="FF"/>
                <w:sz w:val="22"/>
                <w:szCs w:val="22"/>
              </w:rPr>
            </w:pPr>
            <w:r w:rsidR="2D57A969">
              <w:rPr/>
              <w:t>SEQUENCE OF TEACHING &amp; LEARNING</w:t>
            </w:r>
            <w:r>
              <w:br/>
            </w:r>
            <w:r w:rsidR="2D57A969">
              <w:rPr/>
              <w:t>(Add or remove rows below as appropriate)</w:t>
            </w:r>
          </w:p>
          <w:p w:rsidR="2D57A969" w:rsidP="2D57A969" w:rsidRDefault="2D57A969" w14:paraId="5E3AA570" w14:textId="40488416">
            <w:pPr>
              <w:jc w:val="center"/>
              <w:rPr>
                <w:rFonts w:ascii="Calibri" w:hAnsi="Calibri" w:eastAsia="Calibri" w:cs="Calibri"/>
                <w:b w:val="0"/>
                <w:bCs w:val="0"/>
                <w:i w:val="0"/>
                <w:iCs w:val="0"/>
                <w:caps w:val="0"/>
                <w:smallCaps w:val="0"/>
                <w:color w:val="000000" w:themeColor="text1" w:themeTint="FF" w:themeShade="FF"/>
                <w:sz w:val="24"/>
                <w:szCs w:val="24"/>
              </w:rPr>
            </w:pPr>
          </w:p>
        </w:tc>
      </w:tr>
      <w:tr w:rsidR="2D57A969" w:rsidTr="2D57A969" w14:paraId="6EB43CFD">
        <w:trPr>
          <w:trHeight w:val="2265"/>
        </w:trPr>
        <w:tc>
          <w:tcPr>
            <w:tcW w:w="1004" w:type="dxa"/>
            <w:tcMar>
              <w:left w:w="105" w:type="dxa"/>
              <w:right w:w="105" w:type="dxa"/>
            </w:tcMar>
            <w:vAlign w:val="top"/>
          </w:tcPr>
          <w:p w:rsidR="2D57A969" w:rsidP="2D57A969" w:rsidRDefault="2D57A969" w14:paraId="3AC4AC6A" w14:textId="6222DEDE">
            <w:pPr>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13352A58" w14:textId="576C6FA2">
            <w:pPr>
              <w:jc w:val="cente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2"/>
                <w:szCs w:val="22"/>
                <w:lang w:val="en-GB"/>
              </w:rPr>
              <w:t>Timing:</w:t>
            </w:r>
          </w:p>
          <w:p w:rsidR="2D57A969" w:rsidP="2D57A969" w:rsidRDefault="2D57A969" w14:paraId="207E0E33" w14:textId="643985F4">
            <w:pPr>
              <w:jc w:val="center"/>
              <w:rPr>
                <w:rFonts w:ascii="Calibri" w:hAnsi="Calibri" w:eastAsia="Calibri" w:cs="Calibri"/>
                <w:b w:val="0"/>
                <w:bCs w:val="0"/>
                <w:i w:val="0"/>
                <w:iCs w:val="0"/>
                <w:caps w:val="0"/>
                <w:smallCaps w:val="0"/>
                <w:color w:val="000000" w:themeColor="text1" w:themeTint="FF" w:themeShade="FF"/>
                <w:sz w:val="16"/>
                <w:szCs w:val="16"/>
              </w:rPr>
            </w:pPr>
            <w:r w:rsidRPr="2D57A969" w:rsidR="2D57A969">
              <w:rPr>
                <w:rFonts w:ascii="Calibri" w:hAnsi="Calibri" w:eastAsia="Calibri" w:cs="Calibri"/>
                <w:b w:val="0"/>
                <w:bCs w:val="0"/>
                <w:i w:val="1"/>
                <w:iCs w:val="1"/>
                <w:caps w:val="0"/>
                <w:smallCaps w:val="0"/>
                <w:color w:val="000000" w:themeColor="text1" w:themeTint="FF" w:themeShade="FF"/>
                <w:sz w:val="16"/>
                <w:szCs w:val="16"/>
                <w:lang w:val="en-GB"/>
              </w:rPr>
              <w:t>Break down timings into groups if appropriate. ensure pupils are ‘doing’ quickly and that transitions are taken into account</w:t>
            </w:r>
          </w:p>
          <w:p w:rsidR="2D57A969" w:rsidP="2D57A969" w:rsidRDefault="2D57A969" w14:paraId="07EDA8D9" w14:textId="5A64F625">
            <w:pPr>
              <w:jc w:val="center"/>
              <w:rPr>
                <w:rFonts w:ascii="Calibri" w:hAnsi="Calibri" w:eastAsia="Calibri" w:cs="Calibri"/>
                <w:b w:val="0"/>
                <w:bCs w:val="0"/>
                <w:i w:val="0"/>
                <w:iCs w:val="0"/>
                <w:caps w:val="0"/>
                <w:smallCaps w:val="0"/>
                <w:color w:val="000000" w:themeColor="text1" w:themeTint="FF" w:themeShade="FF"/>
                <w:sz w:val="24"/>
                <w:szCs w:val="24"/>
              </w:rPr>
            </w:pPr>
          </w:p>
        </w:tc>
        <w:tc>
          <w:tcPr>
            <w:tcW w:w="3090" w:type="dxa"/>
            <w:tcMar>
              <w:left w:w="105" w:type="dxa"/>
              <w:right w:w="105" w:type="dxa"/>
            </w:tcMar>
            <w:vAlign w:val="top"/>
          </w:tcPr>
          <w:p w:rsidR="2D57A969" w:rsidP="2D57A969" w:rsidRDefault="2D57A969" w14:paraId="2BD17BC1" w14:textId="6E35E0B9">
            <w:pPr>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6403BEA8" w14:textId="23B74285">
            <w:pPr>
              <w:jc w:val="center"/>
              <w:rPr>
                <w:rFonts w:ascii="Calibri" w:hAnsi="Calibri" w:eastAsia="Calibri" w:cs="Calibri"/>
                <w:b w:val="0"/>
                <w:bCs w:val="0"/>
                <w:i w:val="0"/>
                <w:iCs w:val="0"/>
                <w:caps w:val="0"/>
                <w:smallCaps w:val="0"/>
                <w:color w:val="000000" w:themeColor="text1" w:themeTint="FF" w:themeShade="FF"/>
                <w:sz w:val="22"/>
                <w:szCs w:val="22"/>
              </w:rPr>
            </w:pPr>
            <w:r w:rsidRPr="2D57A969" w:rsidR="2D57A969">
              <w:rPr>
                <w:rFonts w:ascii="Calibri" w:hAnsi="Calibri" w:eastAsia="Calibri" w:cs="Calibri"/>
                <w:b w:val="1"/>
                <w:bCs w:val="1"/>
                <w:i w:val="0"/>
                <w:iCs w:val="0"/>
                <w:caps w:val="0"/>
                <w:smallCaps w:val="0"/>
                <w:color w:val="000000" w:themeColor="text1" w:themeTint="FF" w:themeShade="FF"/>
                <w:sz w:val="22"/>
                <w:szCs w:val="22"/>
                <w:lang w:val="en-GB"/>
              </w:rPr>
              <w:t>Role of the teacher &amp; support staff:</w:t>
            </w:r>
          </w:p>
          <w:p w:rsidR="2D57A969" w:rsidP="2D57A969" w:rsidRDefault="2D57A969" w14:paraId="1C0996B2" w14:textId="3FAD9860">
            <w:pPr>
              <w:jc w:val="center"/>
              <w:rPr>
                <w:rFonts w:ascii="Calibri" w:hAnsi="Calibri" w:eastAsia="Calibri" w:cs="Calibri"/>
                <w:b w:val="0"/>
                <w:bCs w:val="0"/>
                <w:i w:val="0"/>
                <w:iCs w:val="0"/>
                <w:caps w:val="0"/>
                <w:smallCaps w:val="0"/>
                <w:color w:val="000000" w:themeColor="text1" w:themeTint="FF" w:themeShade="FF"/>
                <w:sz w:val="18"/>
                <w:szCs w:val="18"/>
              </w:rPr>
            </w:pPr>
            <w:r w:rsidRPr="2D57A969" w:rsidR="2D57A969">
              <w:rPr>
                <w:rFonts w:ascii="Calibri" w:hAnsi="Calibri" w:eastAsia="Calibri" w:cs="Calibri"/>
                <w:b w:val="0"/>
                <w:bCs w:val="0"/>
                <w:i w:val="1"/>
                <w:iCs w:val="1"/>
                <w:caps w:val="0"/>
                <w:smallCaps w:val="0"/>
                <w:color w:val="000000" w:themeColor="text1" w:themeTint="FF" w:themeShade="FF"/>
                <w:sz w:val="18"/>
                <w:szCs w:val="18"/>
                <w:lang w:val="en-GB"/>
              </w:rPr>
              <w:t xml:space="preserve">e.g., key questions, retrieval of prior learning, modelling and explanations, checking understanding, planned use of additional adults. </w:t>
            </w:r>
          </w:p>
          <w:p w:rsidR="2D57A969" w:rsidP="2D57A969" w:rsidRDefault="2D57A969" w14:paraId="29C2184C" w14:textId="503CA467">
            <w:pPr>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31F4607A" w14:textId="0DA120B4">
            <w:pPr>
              <w:jc w:val="center"/>
              <w:rPr>
                <w:rFonts w:ascii="Calibri" w:hAnsi="Calibri" w:eastAsia="Calibri" w:cs="Calibri"/>
                <w:b w:val="0"/>
                <w:bCs w:val="0"/>
                <w:i w:val="0"/>
                <w:iCs w:val="0"/>
                <w:caps w:val="0"/>
                <w:smallCaps w:val="0"/>
                <w:color w:val="000000" w:themeColor="text1" w:themeTint="FF" w:themeShade="FF"/>
                <w:sz w:val="18"/>
                <w:szCs w:val="18"/>
              </w:rPr>
            </w:pPr>
            <w:r w:rsidRPr="2D57A969" w:rsidR="2D57A969">
              <w:rPr>
                <w:rFonts w:ascii="Calibri" w:hAnsi="Calibri" w:eastAsia="Calibri" w:cs="Calibri"/>
                <w:b w:val="0"/>
                <w:bCs w:val="0"/>
                <w:i w:val="1"/>
                <w:iCs w:val="1"/>
                <w:caps w:val="0"/>
                <w:smallCaps w:val="0"/>
                <w:color w:val="000000" w:themeColor="text1" w:themeTint="FF" w:themeShade="FF"/>
                <w:sz w:val="18"/>
                <w:szCs w:val="18"/>
                <w:lang w:val="en-GB"/>
              </w:rPr>
              <w:t>Choice of pedagogical model or of the 12 pedagogical principles</w:t>
            </w:r>
          </w:p>
        </w:tc>
        <w:tc>
          <w:tcPr>
            <w:tcW w:w="2640" w:type="dxa"/>
            <w:tcMar>
              <w:left w:w="105" w:type="dxa"/>
              <w:right w:w="105" w:type="dxa"/>
            </w:tcMar>
            <w:vAlign w:val="top"/>
          </w:tcPr>
          <w:p w:rsidR="2D57A969" w:rsidP="2D57A969" w:rsidRDefault="2D57A969" w14:paraId="296BF98C" w14:textId="5370D04B">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2AF38A16" w14:textId="09628F76">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Pupils’ learning and activities:</w:t>
            </w:r>
          </w:p>
          <w:p w:rsidR="2D57A969" w:rsidP="2D57A969" w:rsidRDefault="2D57A969" w14:paraId="0B0F2F39" w14:textId="1667DDC5">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What will the pupils be learning to do and what activities / resources will facilitate this?</w:t>
            </w:r>
          </w:p>
          <w:p w:rsidR="2D57A969" w:rsidP="2D57A969" w:rsidRDefault="2D57A969" w14:paraId="6D851367" w14:textId="442F6282">
            <w:pPr>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63278775" w14:textId="574DDA1C">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Please refer to Foundation Learning planning document for details of continuous provision.</w:t>
            </w:r>
          </w:p>
        </w:tc>
        <w:tc>
          <w:tcPr>
            <w:tcW w:w="1848" w:type="dxa"/>
            <w:tcMar>
              <w:left w:w="105" w:type="dxa"/>
              <w:right w:w="105" w:type="dxa"/>
            </w:tcMar>
            <w:vAlign w:val="top"/>
          </w:tcPr>
          <w:p w:rsidR="2D57A969" w:rsidP="2D57A969" w:rsidRDefault="2D57A969" w14:paraId="79E4A322" w14:textId="47BFE45E">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26818C23" w14:textId="32ECAE16">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Inclusive Strategies (including differentiation):</w:t>
            </w:r>
          </w:p>
          <w:p w:rsidR="2D57A969" w:rsidP="2D57A969" w:rsidRDefault="2D57A969" w14:paraId="5B5AD770" w14:textId="57B9A8C9">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16FBC070" w14:textId="1F843823">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2D57A969">
              <w:rPr/>
              <w:t>Reasons for and details of scaffolding.</w:t>
            </w:r>
          </w:p>
          <w:p w:rsidR="2D57A969" w:rsidP="2D57A969" w:rsidRDefault="2D57A969" w14:paraId="3CB3655E" w14:textId="761A3F96">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2D4DED4D" w14:textId="3ABF8FB8">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2D57A969">
              <w:rPr/>
              <w:t>Types of representation in tasks.</w:t>
            </w:r>
          </w:p>
        </w:tc>
        <w:tc>
          <w:tcPr>
            <w:tcW w:w="1874" w:type="dxa"/>
            <w:tcMar>
              <w:left w:w="105" w:type="dxa"/>
              <w:right w:w="105" w:type="dxa"/>
            </w:tcMar>
            <w:vAlign w:val="top"/>
          </w:tcPr>
          <w:p w:rsidR="2D57A969" w:rsidP="2D57A969" w:rsidRDefault="2D57A969" w14:paraId="69C56D4B" w14:textId="0C3CE19E">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2D57A969" w:rsidP="2D57A969" w:rsidRDefault="2D57A969" w14:paraId="361D17D3" w14:textId="0B39D5BB">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2D57A969">
              <w:rPr/>
              <w:t>Check what pupils know, understand, and can do:</w:t>
            </w:r>
          </w:p>
          <w:p w:rsidR="2D57A969" w:rsidP="2D57A969" w:rsidRDefault="2D57A969" w14:paraId="3DCCE30F" w14:textId="0D71F3D4">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2D57A969">
              <w:rPr/>
              <w:t>Key questions, types of retrieval practices, self and peer assessment opportunities, purposeful AfL strategies, live marking opportunities, planned feedback.</w:t>
            </w:r>
          </w:p>
          <w:p w:rsidR="2D57A969" w:rsidP="2D57A969" w:rsidRDefault="2D57A969" w14:paraId="43ADD82A" w14:textId="351B46AD">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2D57A969" w:rsidP="2D57A969" w:rsidRDefault="2D57A969" w14:paraId="7F2C631E" w14:textId="7B05FB67">
            <w:pPr>
              <w:jc w:val="center"/>
              <w:rPr>
                <w:rFonts w:ascii="Calibri" w:hAnsi="Calibri" w:eastAsia="Calibri" w:cs="Calibri"/>
                <w:b w:val="0"/>
                <w:bCs w:val="0"/>
                <w:i w:val="0"/>
                <w:iCs w:val="0"/>
                <w:caps w:val="0"/>
                <w:smallCaps w:val="0"/>
                <w:color w:val="000000" w:themeColor="text1" w:themeTint="FF" w:themeShade="FF"/>
                <w:sz w:val="16"/>
                <w:szCs w:val="16"/>
              </w:rPr>
            </w:pPr>
          </w:p>
        </w:tc>
      </w:tr>
      <w:tr w:rsidR="2D57A969" w:rsidTr="2D57A969" w14:paraId="52956256">
        <w:trPr>
          <w:trHeight w:val="1035"/>
        </w:trPr>
        <w:tc>
          <w:tcPr>
            <w:tcW w:w="1004" w:type="dxa"/>
            <w:tcMar>
              <w:left w:w="105" w:type="dxa"/>
              <w:right w:w="105" w:type="dxa"/>
            </w:tcMar>
            <w:vAlign w:val="top"/>
          </w:tcPr>
          <w:p w:rsidR="2D57A969" w:rsidP="2D57A969" w:rsidRDefault="2D57A969" w14:paraId="68ED352D" w14:textId="776FF6B0">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Introduction </w:t>
            </w:r>
          </w:p>
        </w:tc>
        <w:tc>
          <w:tcPr>
            <w:tcW w:w="3090" w:type="dxa"/>
            <w:tcMar>
              <w:left w:w="105" w:type="dxa"/>
              <w:right w:w="105" w:type="dxa"/>
            </w:tcMar>
            <w:vAlign w:val="top"/>
          </w:tcPr>
          <w:p w:rsidR="2D57A969" w:rsidP="2D57A969" w:rsidRDefault="2D57A969" w14:paraId="4C43CEED" w14:textId="2725D962">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Teacher will introduce the lesson with a question “how does blood work?”, they will be given a short task to discuss in pairs their knowledge.</w:t>
            </w:r>
          </w:p>
          <w:p w:rsidR="2D57A969" w:rsidP="2D57A969" w:rsidRDefault="2D57A969" w14:paraId="2B79E5C4" w14:textId="79A0E77C">
            <w:pPr>
              <w:rPr>
                <w:rFonts w:ascii="Calibri" w:hAnsi="Calibri" w:eastAsia="Calibri" w:cs="Calibri"/>
                <w:b w:val="0"/>
                <w:bCs w:val="0"/>
                <w:i w:val="0"/>
                <w:iCs w:val="0"/>
                <w:caps w:val="0"/>
                <w:smallCaps w:val="0"/>
                <w:color w:val="000000" w:themeColor="text1" w:themeTint="FF" w:themeShade="FF"/>
                <w:sz w:val="24"/>
                <w:szCs w:val="24"/>
              </w:rPr>
            </w:pPr>
          </w:p>
        </w:tc>
        <w:tc>
          <w:tcPr>
            <w:tcW w:w="2640" w:type="dxa"/>
            <w:tcMar>
              <w:left w:w="105" w:type="dxa"/>
              <w:right w:w="105" w:type="dxa"/>
            </w:tcMar>
            <w:vAlign w:val="top"/>
          </w:tcPr>
          <w:p w:rsidR="2D57A969" w:rsidP="2D57A969" w:rsidRDefault="2D57A969" w14:paraId="1435953B" w14:textId="3A3400BE">
            <w:pPr>
              <w:pStyle w:val="NoSpacing"/>
              <w:rPr>
                <w:rFonts w:ascii="Arial" w:hAnsi="Arial" w:eastAsia="Arial" w:cs="Arial"/>
                <w:b w:val="0"/>
                <w:bCs w:val="0"/>
                <w:i w:val="0"/>
                <w:iCs w:val="0"/>
                <w:caps w:val="0"/>
                <w:smallCaps w:val="0"/>
                <w:color w:val="000000" w:themeColor="text1" w:themeTint="FF" w:themeShade="FF"/>
                <w:sz w:val="24"/>
                <w:szCs w:val="24"/>
              </w:rPr>
            </w:pPr>
            <w:r w:rsidR="2D57A969">
              <w:rPr/>
              <w:t>The pupils will be recapping on any prior knowledge of the topic.</w:t>
            </w:r>
          </w:p>
        </w:tc>
        <w:tc>
          <w:tcPr>
            <w:tcW w:w="1848" w:type="dxa"/>
            <w:tcMar>
              <w:left w:w="105" w:type="dxa"/>
              <w:right w:w="105" w:type="dxa"/>
            </w:tcMar>
            <w:vAlign w:val="top"/>
          </w:tcPr>
          <w:p w:rsidR="2D57A969" w:rsidP="2D57A969" w:rsidRDefault="2D57A969" w14:paraId="482AD9AA" w14:textId="68A6EE88">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 The task is suitable for all abilities.</w:t>
            </w:r>
          </w:p>
        </w:tc>
        <w:tc>
          <w:tcPr>
            <w:tcW w:w="1874" w:type="dxa"/>
            <w:tcMar>
              <w:left w:w="105" w:type="dxa"/>
              <w:right w:w="105" w:type="dxa"/>
            </w:tcMar>
            <w:vAlign w:val="top"/>
          </w:tcPr>
          <w:p w:rsidR="2D57A969" w:rsidP="2D57A969" w:rsidRDefault="2D57A969" w14:paraId="3DB905B5" w14:textId="63290091">
            <w:pPr>
              <w:pStyle w:val="NoSpacing"/>
              <w:rPr>
                <w:rFonts w:ascii="Arial" w:hAnsi="Arial" w:eastAsia="Arial" w:cs="Arial"/>
                <w:b w:val="0"/>
                <w:bCs w:val="0"/>
                <w:i w:val="0"/>
                <w:iCs w:val="0"/>
                <w:caps w:val="0"/>
                <w:smallCaps w:val="0"/>
                <w:color w:val="000000" w:themeColor="text1" w:themeTint="FF" w:themeShade="FF"/>
                <w:sz w:val="24"/>
                <w:szCs w:val="24"/>
              </w:rPr>
            </w:pPr>
            <w:r w:rsidR="2D57A969">
              <w:rPr/>
              <w:t>Question asking</w:t>
            </w:r>
          </w:p>
          <w:p w:rsidR="2D57A969" w:rsidP="2D57A969" w:rsidRDefault="2D57A969" w14:paraId="63CB5FAA" w14:textId="3089B1BD">
            <w:pPr>
              <w:rPr>
                <w:rFonts w:ascii="Arial" w:hAnsi="Arial" w:eastAsia="Arial" w:cs="Arial"/>
                <w:b w:val="0"/>
                <w:bCs w:val="0"/>
                <w:i w:val="0"/>
                <w:iCs w:val="0"/>
                <w:caps w:val="0"/>
                <w:smallCaps w:val="0"/>
                <w:color w:val="000000" w:themeColor="text1" w:themeTint="FF" w:themeShade="FF"/>
                <w:sz w:val="24"/>
                <w:szCs w:val="24"/>
              </w:rPr>
            </w:pPr>
          </w:p>
        </w:tc>
      </w:tr>
      <w:tr w:rsidR="2D57A969" w:rsidTr="2D57A969" w14:paraId="13D98660">
        <w:trPr>
          <w:trHeight w:val="1020"/>
        </w:trPr>
        <w:tc>
          <w:tcPr>
            <w:tcW w:w="1004" w:type="dxa"/>
            <w:tcMar>
              <w:left w:w="105" w:type="dxa"/>
              <w:right w:w="105" w:type="dxa"/>
            </w:tcMar>
            <w:vAlign w:val="top"/>
          </w:tcPr>
          <w:p w:rsidR="2D57A969" w:rsidP="2D57A969" w:rsidRDefault="2D57A969" w14:paraId="305F91A7" w14:textId="2E5CD2D2">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02A188F4" w14:textId="68D2BAAE">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Focus </w:t>
            </w:r>
          </w:p>
          <w:p w:rsidR="2D57A969" w:rsidP="2D57A969" w:rsidRDefault="2D57A969" w14:paraId="2FC89EA9" w14:textId="31954CFD">
            <w:pPr>
              <w:rPr>
                <w:rFonts w:ascii="Arial" w:hAnsi="Arial" w:eastAsia="Arial" w:cs="Arial"/>
                <w:b w:val="0"/>
                <w:bCs w:val="0"/>
                <w:i w:val="0"/>
                <w:iCs w:val="0"/>
                <w:caps w:val="0"/>
                <w:smallCaps w:val="0"/>
                <w:color w:val="000000" w:themeColor="text1" w:themeTint="FF" w:themeShade="FF"/>
                <w:sz w:val="24"/>
                <w:szCs w:val="24"/>
              </w:rPr>
            </w:pPr>
          </w:p>
        </w:tc>
        <w:tc>
          <w:tcPr>
            <w:tcW w:w="3090" w:type="dxa"/>
            <w:tcMar>
              <w:left w:w="105" w:type="dxa"/>
              <w:right w:w="105" w:type="dxa"/>
            </w:tcMar>
            <w:vAlign w:val="top"/>
          </w:tcPr>
          <w:p w:rsidR="2D57A969" w:rsidP="2D57A969" w:rsidRDefault="2D57A969" w14:paraId="31A23EB4" w14:textId="3FCEDE39">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 xml:space="preserve">The teacher will then introduce the powerpoint. A small question and answer session for the pupils to consolidate their learning and gain further insight. The pupils will then be encouraged to make a poster on their knowledge of blood in groups/pairs whichever is applicable – this will be a 20 minute activity. The pupils can choose the medium. Posters will be shown by each group, this will lead on to a short session on the introduction of ratio (linking with the contents of blood). A powerpoint will be shown and worksheets given to be completed. </w:t>
            </w:r>
          </w:p>
          <w:p w:rsidR="2D57A969" w:rsidP="2D57A969" w:rsidRDefault="2D57A969" w14:paraId="1A638890" w14:textId="1F643334">
            <w:pPr>
              <w:rPr>
                <w:rFonts w:ascii="Calibri" w:hAnsi="Calibri" w:eastAsia="Calibri" w:cs="Calibri"/>
                <w:b w:val="0"/>
                <w:bCs w:val="0"/>
                <w:i w:val="0"/>
                <w:iCs w:val="0"/>
                <w:caps w:val="0"/>
                <w:smallCaps w:val="0"/>
                <w:color w:val="000000" w:themeColor="text1" w:themeTint="FF" w:themeShade="FF"/>
                <w:sz w:val="24"/>
                <w:szCs w:val="24"/>
              </w:rPr>
            </w:pPr>
          </w:p>
        </w:tc>
        <w:tc>
          <w:tcPr>
            <w:tcW w:w="2640" w:type="dxa"/>
            <w:tcMar>
              <w:left w:w="105" w:type="dxa"/>
              <w:right w:w="105" w:type="dxa"/>
            </w:tcMar>
            <w:vAlign w:val="top"/>
          </w:tcPr>
          <w:p w:rsidR="2D57A969" w:rsidP="2D57A969" w:rsidRDefault="2D57A969" w14:paraId="35B925F4" w14:textId="25E9CEE0">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The pupils will participate in a question and answer session, the pupils will expand their knowledge on the topic of blood. They will develop their creativeness when they make the poster, as its in groups they will also be developing their communication skills within a team. </w:t>
            </w:r>
          </w:p>
          <w:p w:rsidR="2D57A969" w:rsidP="2D57A969" w:rsidRDefault="2D57A969" w14:paraId="130BB38A" w14:textId="6289269A">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The pupils will then start to learn a new topic of ratio. </w:t>
            </w:r>
          </w:p>
        </w:tc>
        <w:tc>
          <w:tcPr>
            <w:tcW w:w="1848" w:type="dxa"/>
            <w:tcMar>
              <w:left w:w="105" w:type="dxa"/>
              <w:right w:w="105" w:type="dxa"/>
            </w:tcMar>
            <w:vAlign w:val="top"/>
          </w:tcPr>
          <w:p w:rsidR="2D57A969" w:rsidP="2D57A969" w:rsidRDefault="2D57A969" w14:paraId="5CC8A93A" w14:textId="6B63D703">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The poster will be inclusive to all abilities. </w:t>
            </w:r>
          </w:p>
          <w:p w:rsidR="2D57A969" w:rsidP="2D57A969" w:rsidRDefault="2D57A969" w14:paraId="7DA3CD78" w14:textId="5B94AD02">
            <w:pPr>
              <w:pStyle w:val="NoSpacing"/>
              <w:rPr>
                <w:rFonts w:ascii="Arial" w:hAnsi="Arial" w:eastAsia="Arial" w:cs="Arial"/>
                <w:b w:val="0"/>
                <w:bCs w:val="0"/>
                <w:i w:val="0"/>
                <w:iCs w:val="0"/>
                <w:caps w:val="0"/>
                <w:smallCaps w:val="0"/>
                <w:color w:val="000000" w:themeColor="text1" w:themeTint="FF" w:themeShade="FF"/>
                <w:sz w:val="24"/>
                <w:szCs w:val="24"/>
              </w:rPr>
            </w:pPr>
            <w:r w:rsidR="2D57A969">
              <w:rPr/>
              <w:t>The worksheets are differentiated to accommodate the needs of the learners in the class.</w:t>
            </w:r>
          </w:p>
        </w:tc>
        <w:tc>
          <w:tcPr>
            <w:tcW w:w="1874" w:type="dxa"/>
            <w:tcMar>
              <w:left w:w="105" w:type="dxa"/>
              <w:right w:w="105" w:type="dxa"/>
            </w:tcMar>
            <w:vAlign w:val="top"/>
          </w:tcPr>
          <w:p w:rsidR="2D57A969" w:rsidP="2D57A969" w:rsidRDefault="2D57A969" w14:paraId="33078249" w14:textId="3689F007">
            <w:pPr>
              <w:pStyle w:val="NoSpacing"/>
              <w:rPr>
                <w:rFonts w:ascii="Arial" w:hAnsi="Arial" w:eastAsia="Arial" w:cs="Arial"/>
                <w:b w:val="0"/>
                <w:bCs w:val="0"/>
                <w:i w:val="0"/>
                <w:iCs w:val="0"/>
                <w:caps w:val="0"/>
                <w:smallCaps w:val="0"/>
                <w:color w:val="000000" w:themeColor="text1" w:themeTint="FF" w:themeShade="FF"/>
                <w:sz w:val="24"/>
                <w:szCs w:val="24"/>
              </w:rPr>
            </w:pPr>
            <w:r w:rsidR="2D57A969">
              <w:rPr/>
              <w:t>Question asking – feedback.</w:t>
            </w:r>
          </w:p>
          <w:p w:rsidR="2D57A969" w:rsidP="2D57A969" w:rsidRDefault="2D57A969" w14:paraId="64576013" w14:textId="32DF02B4">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12FACB9D" w14:textId="546B49D8">
            <w:pPr>
              <w:rPr>
                <w:rFonts w:ascii="Arial" w:hAnsi="Arial" w:eastAsia="Arial" w:cs="Arial"/>
                <w:b w:val="0"/>
                <w:bCs w:val="0"/>
                <w:i w:val="0"/>
                <w:iCs w:val="0"/>
                <w:caps w:val="0"/>
                <w:smallCaps w:val="0"/>
                <w:color w:val="000000" w:themeColor="text1" w:themeTint="FF" w:themeShade="FF"/>
                <w:sz w:val="24"/>
                <w:szCs w:val="24"/>
              </w:rPr>
            </w:pPr>
          </w:p>
        </w:tc>
      </w:tr>
      <w:tr w:rsidR="2D57A969" w:rsidTr="2D57A969" w14:paraId="3D62E5F8">
        <w:trPr>
          <w:trHeight w:val="1035"/>
        </w:trPr>
        <w:tc>
          <w:tcPr>
            <w:tcW w:w="1004" w:type="dxa"/>
            <w:tcMar>
              <w:left w:w="105" w:type="dxa"/>
              <w:right w:w="105" w:type="dxa"/>
            </w:tcMar>
            <w:vAlign w:val="top"/>
          </w:tcPr>
          <w:p w:rsidR="2D57A969" w:rsidP="2D57A969" w:rsidRDefault="2D57A969" w14:paraId="621A94BC" w14:textId="67B7F3A8">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197AE25F" w14:textId="5D595A51">
            <w:pPr>
              <w:rPr>
                <w:rFonts w:ascii="Arial" w:hAnsi="Arial" w:eastAsia="Arial" w:cs="Arial"/>
                <w:b w:val="0"/>
                <w:bCs w:val="0"/>
                <w:i w:val="0"/>
                <w:iCs w:val="0"/>
                <w:caps w:val="0"/>
                <w:smallCaps w:val="0"/>
                <w:color w:val="000000" w:themeColor="text1" w:themeTint="FF" w:themeShade="FF"/>
                <w:sz w:val="24"/>
                <w:szCs w:val="24"/>
              </w:rPr>
            </w:pPr>
          </w:p>
          <w:p w:rsidR="2D57A969" w:rsidP="2D57A969" w:rsidRDefault="2D57A969" w14:paraId="61F2BD1E" w14:textId="33AD86C4">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Plenary </w:t>
            </w:r>
          </w:p>
          <w:p w:rsidR="2D57A969" w:rsidP="2D57A969" w:rsidRDefault="2D57A969" w14:paraId="62A5EEA2" w14:textId="33AAF9E6">
            <w:pPr>
              <w:rPr>
                <w:rFonts w:ascii="Arial" w:hAnsi="Arial" w:eastAsia="Arial" w:cs="Arial"/>
                <w:b w:val="0"/>
                <w:bCs w:val="0"/>
                <w:i w:val="0"/>
                <w:iCs w:val="0"/>
                <w:caps w:val="0"/>
                <w:smallCaps w:val="0"/>
                <w:color w:val="000000" w:themeColor="text1" w:themeTint="FF" w:themeShade="FF"/>
                <w:sz w:val="24"/>
                <w:szCs w:val="24"/>
              </w:rPr>
            </w:pPr>
          </w:p>
        </w:tc>
        <w:tc>
          <w:tcPr>
            <w:tcW w:w="3090" w:type="dxa"/>
            <w:tcMar>
              <w:left w:w="105" w:type="dxa"/>
              <w:right w:w="105" w:type="dxa"/>
            </w:tcMar>
            <w:vAlign w:val="top"/>
          </w:tcPr>
          <w:p w:rsidR="2D57A969" w:rsidP="2D57A969" w:rsidRDefault="2D57A969" w14:paraId="7AC6566E" w14:textId="373F82C1">
            <w:pPr>
              <w:pStyle w:val="NoSpacing"/>
              <w:rPr>
                <w:rFonts w:ascii="Calibri" w:hAnsi="Calibri" w:eastAsia="Calibri" w:cs="Calibri"/>
                <w:b w:val="0"/>
                <w:bCs w:val="0"/>
                <w:i w:val="0"/>
                <w:iCs w:val="0"/>
                <w:caps w:val="0"/>
                <w:smallCaps w:val="0"/>
                <w:color w:val="000000" w:themeColor="text1" w:themeTint="FF" w:themeShade="FF"/>
                <w:sz w:val="24"/>
                <w:szCs w:val="24"/>
              </w:rPr>
            </w:pPr>
            <w:r w:rsidR="2D57A969">
              <w:rPr/>
              <w:t>Peer marking each other's ratio worksheets with the answers on the boards.</w:t>
            </w:r>
          </w:p>
        </w:tc>
        <w:tc>
          <w:tcPr>
            <w:tcW w:w="2640" w:type="dxa"/>
            <w:tcMar>
              <w:left w:w="105" w:type="dxa"/>
              <w:right w:w="105" w:type="dxa"/>
            </w:tcMar>
            <w:vAlign w:val="top"/>
          </w:tcPr>
          <w:p w:rsidR="2D57A969" w:rsidP="2D57A969" w:rsidRDefault="2D57A969" w14:paraId="6EE6EDFB" w14:textId="555EC196">
            <w:pPr>
              <w:pStyle w:val="NoSpacing"/>
              <w:rPr>
                <w:rFonts w:ascii="Arial" w:hAnsi="Arial" w:eastAsia="Arial" w:cs="Arial"/>
                <w:b w:val="0"/>
                <w:bCs w:val="0"/>
                <w:i w:val="0"/>
                <w:iCs w:val="0"/>
                <w:caps w:val="0"/>
                <w:smallCaps w:val="0"/>
                <w:color w:val="000000" w:themeColor="text1" w:themeTint="FF" w:themeShade="FF"/>
                <w:sz w:val="24"/>
                <w:szCs w:val="24"/>
              </w:rPr>
            </w:pPr>
            <w:r w:rsidR="2D57A969">
              <w:rPr/>
              <w:t xml:space="preserve">The pupils will be consolidating their learning by marking each other’s worksheets. </w:t>
            </w:r>
          </w:p>
        </w:tc>
        <w:tc>
          <w:tcPr>
            <w:tcW w:w="1848" w:type="dxa"/>
            <w:tcMar>
              <w:left w:w="105" w:type="dxa"/>
              <w:right w:w="105" w:type="dxa"/>
            </w:tcMar>
            <w:vAlign w:val="top"/>
          </w:tcPr>
          <w:p w:rsidR="2D57A969" w:rsidP="2D57A969" w:rsidRDefault="2D57A969" w14:paraId="2A1F67F4" w14:textId="45228510">
            <w:pPr>
              <w:pStyle w:val="NoSpacing"/>
              <w:rPr>
                <w:rFonts w:ascii="Arial" w:hAnsi="Arial" w:eastAsia="Arial" w:cs="Arial"/>
                <w:b w:val="0"/>
                <w:bCs w:val="0"/>
                <w:i w:val="0"/>
                <w:iCs w:val="0"/>
                <w:caps w:val="0"/>
                <w:smallCaps w:val="0"/>
                <w:color w:val="000000" w:themeColor="text1" w:themeTint="FF" w:themeShade="FF"/>
                <w:sz w:val="24"/>
                <w:szCs w:val="24"/>
              </w:rPr>
            </w:pPr>
            <w:r w:rsidR="2D57A969">
              <w:rPr/>
              <w:t>As they are grouped in tables of ability, they would be able to peer mark work with minimal assistance as their partner is likely to work at the same level.</w:t>
            </w:r>
          </w:p>
        </w:tc>
        <w:tc>
          <w:tcPr>
            <w:tcW w:w="1874" w:type="dxa"/>
            <w:tcMar>
              <w:left w:w="105" w:type="dxa"/>
              <w:right w:w="105" w:type="dxa"/>
            </w:tcMar>
            <w:vAlign w:val="top"/>
          </w:tcPr>
          <w:p w:rsidR="2D57A969" w:rsidP="2D57A969" w:rsidRDefault="2D57A969" w14:paraId="0CB70C48" w14:textId="14ABC7A5">
            <w:pPr>
              <w:pStyle w:val="NoSpacing"/>
              <w:rPr>
                <w:rFonts w:ascii="Arial" w:hAnsi="Arial" w:eastAsia="Arial" w:cs="Arial"/>
                <w:b w:val="0"/>
                <w:bCs w:val="0"/>
                <w:i w:val="0"/>
                <w:iCs w:val="0"/>
                <w:caps w:val="0"/>
                <w:smallCaps w:val="0"/>
                <w:color w:val="000000" w:themeColor="text1" w:themeTint="FF" w:themeShade="FF"/>
                <w:sz w:val="24"/>
                <w:szCs w:val="24"/>
              </w:rPr>
            </w:pPr>
            <w:r w:rsidR="2D57A969">
              <w:rPr/>
              <w:t>Peer assessment.</w:t>
            </w:r>
          </w:p>
        </w:tc>
      </w:tr>
    </w:tbl>
    <w:p xmlns:wp14="http://schemas.microsoft.com/office/word/2010/wordml" w:rsidP="2D57A969" wp14:paraId="5E5787A5" wp14:textId="081FE79D">
      <w:pPr>
        <w:pStyle w:val="Normal"/>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9">
    <w:nsid w:val="5abcd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76d09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8584e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4ced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9e15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d42e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5c159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3268b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56dec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18be1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fde8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a8e5f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cfec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26719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3d4a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6679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5166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ec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e3861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92b73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bbbb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7e04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1c6e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897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af5a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a862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ef2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8156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6aa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A0D059"/>
    <w:rsid w:val="016281A1"/>
    <w:rsid w:val="05F2C092"/>
    <w:rsid w:val="092A6154"/>
    <w:rsid w:val="0C620216"/>
    <w:rsid w:val="0F99A2D8"/>
    <w:rsid w:val="10964E75"/>
    <w:rsid w:val="1BA978A4"/>
    <w:rsid w:val="1D52C076"/>
    <w:rsid w:val="26F9A2BC"/>
    <w:rsid w:val="26F9A2BC"/>
    <w:rsid w:val="289D60A3"/>
    <w:rsid w:val="2B3FC265"/>
    <w:rsid w:val="2BD50165"/>
    <w:rsid w:val="2BD50165"/>
    <w:rsid w:val="2CDB92C6"/>
    <w:rsid w:val="2D57A969"/>
    <w:rsid w:val="2F04B4A1"/>
    <w:rsid w:val="2F04B4A1"/>
    <w:rsid w:val="30A87288"/>
    <w:rsid w:val="357BE3AB"/>
    <w:rsid w:val="357BE3AB"/>
    <w:rsid w:val="38B3846D"/>
    <w:rsid w:val="3D513135"/>
    <w:rsid w:val="425A66B3"/>
    <w:rsid w:val="47EF4A0F"/>
    <w:rsid w:val="498B1A70"/>
    <w:rsid w:val="498B1A70"/>
    <w:rsid w:val="4B26EAD1"/>
    <w:rsid w:val="581E9636"/>
    <w:rsid w:val="7C4BDE4B"/>
    <w:rsid w:val="7CA0D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E2312"/>
  <w15:chartTrackingRefBased/>
  <w15:docId w15:val="{BEEBB4ED-3B48-4081-8D79-8B7393406B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xmsonospacing" w:customStyle="true">
    <w:uiPriority w:val="1"/>
    <w:name w:val="x_msonospacing"/>
    <w:basedOn w:val="Normal"/>
    <w:rsid w:val="2D57A969"/>
    <w:rPr>
      <w:rFonts w:ascii="Times New Roman" w:hAnsi="Times New Roman" w:eastAsia="Times New Roman" w:cs="Times New Roman"/>
      <w:lang w:eastAsia="en-GB"/>
    </w:rPr>
    <w:pPr>
      <w:spacing w:beforeAutospacing="on" w:afterAutospacing="o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mbridge-community.org.uk/professional-development/gswafl/index.html" TargetMode="External" Id="R1449c76ad3814122" /><Relationship Type="http://schemas.openxmlformats.org/officeDocument/2006/relationships/hyperlink" Target="https://doi.org/10.1080/00220671.1991.10702818" TargetMode="External" Id="Ra884a12b3f7146fd" /><Relationship Type="http://schemas.openxmlformats.org/officeDocument/2006/relationships/hyperlink" Target="https://www.treetopsoccupationaltherapy.co.uk/the-fizzy-bottle-effect-in-your-child-childrens-occupational-therapy/" TargetMode="External" Id="Re7e46bf5b596460a" /><Relationship Type="http://schemas.openxmlformats.org/officeDocument/2006/relationships/hyperlink" Target="https://doi.org/10.1007/BF00117714" TargetMode="External" Id="R4b6e041ced9a46b0" /><Relationship Type="http://schemas.openxmlformats.org/officeDocument/2006/relationships/hyperlink" Target="https://doi.org/10.1186/s12909-019-1755-z" TargetMode="External" Id="Re5c09336870f4189" /><Relationship Type="http://schemas.openxmlformats.org/officeDocument/2006/relationships/hyperlink" Target="https://files.eric.ed.gov/fulltext/EJ1105282.pdf" TargetMode="External" Id="R7a18ad9b1e514e5a" /><Relationship Type="http://schemas.openxmlformats.org/officeDocument/2006/relationships/hyperlink" Target="https://hwb.gov.wales/curriculum-for-wales/cross-curricular-skills-frameworks/" TargetMode="External" Id="Rff9d0543d0a74021" /><Relationship Type="http://schemas.openxmlformats.org/officeDocument/2006/relationships/hyperlink" Target="https://hwb.gov.wales/curriculum-for-wales/cross-curricular-skills-frameworks/" TargetMode="External" Id="R98c2203bfcf9479d" /><Relationship Type="http://schemas.openxmlformats.org/officeDocument/2006/relationships/hyperlink" Target="https://hwb.gov.wales/curriculum-for-wales/cross-curricular-skills-frameworks/" TargetMode="External" Id="R8f2bdc14c29a4d64" /><Relationship Type="http://schemas.openxmlformats.org/officeDocument/2006/relationships/numbering" Target="/word/numbering.xml" Id="Rb4c5dc44789c48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Gregory (2103784)</dc:creator>
  <keywords/>
  <dc:description/>
  <lastModifiedBy>Emily Gregory (2103784)</lastModifiedBy>
  <revision>2</revision>
  <dcterms:created xsi:type="dcterms:W3CDTF">2024-01-09T20:08:44.9325417Z</dcterms:created>
  <dcterms:modified xsi:type="dcterms:W3CDTF">2024-01-09T20:32:50.7502682Z</dcterms:modified>
</coreProperties>
</file>