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D261F6" w14:textId="695462AE" w:rsidR="003E690E" w:rsidRPr="003E690E" w:rsidRDefault="002E5C19" w:rsidP="006A7E89">
      <w:pPr>
        <w:spacing w:line="360" w:lineRule="auto"/>
        <w:rPr>
          <w:rFonts w:ascii="Times New Roman" w:hAnsi="Times New Roman" w:cs="Times New Roman"/>
          <w:b/>
          <w:bCs/>
        </w:rPr>
      </w:pPr>
      <w:r>
        <w:rPr>
          <w:rFonts w:ascii="Times New Roman" w:hAnsi="Times New Roman" w:cs="Times New Roman"/>
          <w:b/>
          <w:bCs/>
        </w:rPr>
        <w:t>Self-Reflection on Professional Compet</w:t>
      </w:r>
      <w:r w:rsidR="001112F2">
        <w:rPr>
          <w:rFonts w:ascii="Times New Roman" w:hAnsi="Times New Roman" w:cs="Times New Roman"/>
          <w:b/>
          <w:bCs/>
        </w:rPr>
        <w:t xml:space="preserve">encies </w:t>
      </w:r>
    </w:p>
    <w:p w14:paraId="6C0DE8F8" w14:textId="780C801D" w:rsidR="00592C27" w:rsidRDefault="00DA3050" w:rsidP="00A47B86">
      <w:pPr>
        <w:spacing w:line="360" w:lineRule="auto"/>
        <w:rPr>
          <w:rFonts w:ascii="Times New Roman" w:hAnsi="Times New Roman" w:cs="Times New Roman"/>
        </w:rPr>
      </w:pPr>
      <w:r w:rsidRPr="00DA3050">
        <w:rPr>
          <w:rFonts w:ascii="Times New Roman" w:hAnsi="Times New Roman" w:cs="Times New Roman"/>
        </w:rPr>
        <w:t xml:space="preserve">The purpose of this assignment is to reflect upon aspects of my own professional practice and professional development that have occurred while working as a mental health support worker in an acute mental health ward.  According to Mlambo et al. (2021), professional development is an important aspect of nursing and allows nursing staff to keep their knowledge and skills up to date.  This essay will highlight the importance of communication skills and therapeutic relationships between patients and healthcare workers.  I will be exploring my own personal experience in a specific mental health scenario where aggression has occurred.   I have chosen to use Gibbs's (1988) reflective cycle as a framework for this assignment.  All names of staff members and patients mentioned within this essay will remain anonymous to protect the identity of these individuals due to confidentiality within the </w:t>
      </w:r>
      <w:r w:rsidR="006803E3" w:rsidRPr="00DA3050">
        <w:rPr>
          <w:rFonts w:ascii="Times New Roman" w:hAnsi="Times New Roman" w:cs="Times New Roman"/>
        </w:rPr>
        <w:t>N</w:t>
      </w:r>
      <w:r w:rsidR="006803E3">
        <w:rPr>
          <w:rFonts w:ascii="Times New Roman" w:hAnsi="Times New Roman" w:cs="Times New Roman"/>
        </w:rPr>
        <w:t xml:space="preserve">ursing </w:t>
      </w:r>
      <w:r w:rsidR="006803E3" w:rsidRPr="00DA3050">
        <w:rPr>
          <w:rFonts w:ascii="Times New Roman" w:hAnsi="Times New Roman" w:cs="Times New Roman"/>
        </w:rPr>
        <w:t>M</w:t>
      </w:r>
      <w:r w:rsidR="006803E3">
        <w:rPr>
          <w:rFonts w:ascii="Times New Roman" w:hAnsi="Times New Roman" w:cs="Times New Roman"/>
        </w:rPr>
        <w:t xml:space="preserve">idwifery </w:t>
      </w:r>
      <w:r w:rsidRPr="00DA3050">
        <w:rPr>
          <w:rFonts w:ascii="Times New Roman" w:hAnsi="Times New Roman" w:cs="Times New Roman"/>
        </w:rPr>
        <w:t>C</w:t>
      </w:r>
      <w:r w:rsidR="006803E3">
        <w:rPr>
          <w:rFonts w:ascii="Times New Roman" w:hAnsi="Times New Roman" w:cs="Times New Roman"/>
        </w:rPr>
        <w:t>ouncil</w:t>
      </w:r>
      <w:r w:rsidRPr="00DA3050">
        <w:rPr>
          <w:rFonts w:ascii="Times New Roman" w:hAnsi="Times New Roman" w:cs="Times New Roman"/>
        </w:rPr>
        <w:t xml:space="preserve"> (2023) code of conduct.</w:t>
      </w:r>
    </w:p>
    <w:p w14:paraId="699C925C" w14:textId="77777777" w:rsidR="00DA3050" w:rsidRDefault="00DA3050" w:rsidP="00A47B86">
      <w:pPr>
        <w:spacing w:line="360" w:lineRule="auto"/>
        <w:rPr>
          <w:rFonts w:ascii="Times New Roman" w:hAnsi="Times New Roman" w:cs="Times New Roman"/>
        </w:rPr>
      </w:pPr>
    </w:p>
    <w:p w14:paraId="6043C6D5" w14:textId="3469191B" w:rsidR="00D844B6" w:rsidRDefault="00DA3050" w:rsidP="00DA3050">
      <w:pPr>
        <w:spacing w:line="360" w:lineRule="auto"/>
        <w:rPr>
          <w:rFonts w:ascii="Times New Roman" w:hAnsi="Times New Roman" w:cs="Times New Roman"/>
        </w:rPr>
      </w:pPr>
      <w:r w:rsidRPr="00DA3050">
        <w:rPr>
          <w:rFonts w:ascii="Times New Roman" w:hAnsi="Times New Roman" w:cs="Times New Roman"/>
        </w:rPr>
        <w:t>Reflection is a key aspect of nursing practice, and it involves analysing one’s own experiences, thoughts, emotions, and actions in relation to experiences and scenarios.  The Nursing and Midwifery Council (2023) describes reflection as a way to make sense of a situation that has happened and assists in understanding how it affects you.  Reflection is an important component of professional and personal development and allows nursing staff to learn continuously from their experiences and improve their skills and knowledge further. Reflection allows nursing staff to reflect on scenarios and identify areas for improvement.  It allows nursing staff to identify what has gone well and what could be done differently in future situations to improve the outcome and patient care.  By identifying areas for improvement, nursing staff can then take appropriate actions to seek further learning and enhance their skills.  Gibbs's (1988) reflective cycle which will be used throughout this assignment is a framework for the process of reflection.  The reflective cycle includes six key components, it includes a description of the event that took place, the thoughts, and feelings of those involved including during and after the event, an evaluation of the event, an analysis of the event, a conclusion, and an action plan.</w:t>
      </w:r>
    </w:p>
    <w:p w14:paraId="5352713D" w14:textId="77777777" w:rsidR="00DA3050" w:rsidRDefault="00DA3050">
      <w:pPr>
        <w:rPr>
          <w:rFonts w:ascii="Times New Roman" w:hAnsi="Times New Roman" w:cs="Times New Roman"/>
        </w:rPr>
      </w:pPr>
    </w:p>
    <w:p w14:paraId="51319377" w14:textId="18440A81" w:rsidR="006F0BE3" w:rsidRDefault="00DA3050" w:rsidP="00DA3050">
      <w:pPr>
        <w:spacing w:line="360" w:lineRule="auto"/>
        <w:rPr>
          <w:rFonts w:ascii="Times New Roman" w:hAnsi="Times New Roman" w:cs="Times New Roman"/>
        </w:rPr>
      </w:pPr>
      <w:r w:rsidRPr="00DA3050">
        <w:rPr>
          <w:rFonts w:ascii="Times New Roman" w:hAnsi="Times New Roman" w:cs="Times New Roman"/>
        </w:rPr>
        <w:t>An example of a hostile situation I have encountered in a mental health ward involved a patient who had been admitted to the hospital due to alcohol dependence.  According to a case study Raja</w:t>
      </w:r>
      <w:r w:rsidR="006803E3">
        <w:rPr>
          <w:rFonts w:ascii="Times New Roman" w:hAnsi="Times New Roman" w:cs="Times New Roman"/>
        </w:rPr>
        <w:t xml:space="preserve"> </w:t>
      </w:r>
      <w:r w:rsidRPr="00DA3050">
        <w:rPr>
          <w:rFonts w:ascii="Times New Roman" w:hAnsi="Times New Roman" w:cs="Times New Roman"/>
        </w:rPr>
        <w:t>et al</w:t>
      </w:r>
      <w:r w:rsidR="006E2537">
        <w:rPr>
          <w:rFonts w:ascii="Times New Roman" w:hAnsi="Times New Roman" w:cs="Times New Roman"/>
        </w:rPr>
        <w:t xml:space="preserve">. </w:t>
      </w:r>
      <w:r w:rsidRPr="00DA3050">
        <w:rPr>
          <w:rFonts w:ascii="Times New Roman" w:hAnsi="Times New Roman" w:cs="Times New Roman"/>
        </w:rPr>
        <w:t xml:space="preserve">(2005) conducted 18% to 25% of mental health inpatients display violent behaviour and around 75% is directed towards nursing staff.  The patient being referred to in this essay was unknown to mental health services and there was not enough </w:t>
      </w:r>
      <w:r w:rsidRPr="00DA3050">
        <w:rPr>
          <w:rFonts w:ascii="Times New Roman" w:hAnsi="Times New Roman" w:cs="Times New Roman"/>
        </w:rPr>
        <w:lastRenderedPageBreak/>
        <w:t xml:space="preserve">background information regarding the patient.  The only information known about the patient was that they were alcohol dependent and their behaviour whilst in the community was a concern to their own and public safety due to the patient responding to unseen stimuli.  Prior to this scenario, the patient had only been an inpatient for a matter of days and a diagnosis had not yet been discussed, meaning the patient was only being medicated for alcohol dependence. The patient in question became hostile and aggressive towards a member of staff, staff attended and began attempting to de-escalate the patient.  Other patients were asked to remove themselves from the area to ensure dignity was maintained as per the Nursing and Midwifery Code of Conduct (2015).  Despite de-escalation attempts, the patient became more violent and managed to break the door from the wall and pushed it towards the staff. This resulted in staff having no option but to use physical restrictive inventions.  The patient required sedative medication to calm the patient, the nurse in charge offered oral medication which the patient declined which meant the only option was to give the patient an intramuscular injection.  Restrictive physical intervention had to be used to give the patient the injection and all protocols were followed and were within line of the Human rights framework for restraint (Equality and Human Rights Commission, 2019). Support was also given to both patients and staff after restrictive physical intervention was used.    </w:t>
      </w:r>
    </w:p>
    <w:p w14:paraId="6AF9DB84" w14:textId="77777777" w:rsidR="00DA3050" w:rsidRDefault="00DA3050">
      <w:pPr>
        <w:rPr>
          <w:rFonts w:ascii="Times New Roman" w:hAnsi="Times New Roman" w:cs="Times New Roman"/>
        </w:rPr>
      </w:pPr>
    </w:p>
    <w:p w14:paraId="35637C1F" w14:textId="2D5EE41C" w:rsidR="00667A8C" w:rsidRDefault="00DA3050" w:rsidP="00DA3050">
      <w:pPr>
        <w:spacing w:line="360" w:lineRule="auto"/>
        <w:rPr>
          <w:rFonts w:ascii="Times New Roman" w:hAnsi="Times New Roman" w:cs="Times New Roman"/>
        </w:rPr>
      </w:pPr>
      <w:r w:rsidRPr="00DA3050">
        <w:rPr>
          <w:rFonts w:ascii="Times New Roman" w:hAnsi="Times New Roman" w:cs="Times New Roman"/>
        </w:rPr>
        <w:t>The patient’s behaviour escalated very quickly with little time for staff to react and utilise all de-escalation techniques, as suggested by Crown (2023) d-escalation techniques are used to defuse situations to prevent them from escalating into physical violence.  In this moment I felt high levels of anxiety and concerns regarding the outcome of this situation.  I felt anxious as I was worrying about what the outcome of this scenario would be as the patient was escalating to such an extent that they could possibly harm staff, other patients and the patient who was visibly angry and responding to the voices they could hear.  I was also concerned about using resistive physical intervention and restraints can be a traumatic experience for the patient and cause more distress, as stated by Butterworth</w:t>
      </w:r>
      <w:r w:rsidR="006803E3">
        <w:rPr>
          <w:rFonts w:ascii="Times New Roman" w:hAnsi="Times New Roman" w:cs="Times New Roman"/>
        </w:rPr>
        <w:t xml:space="preserve"> </w:t>
      </w:r>
      <w:r w:rsidRPr="00DA3050">
        <w:rPr>
          <w:rFonts w:ascii="Times New Roman" w:hAnsi="Times New Roman" w:cs="Times New Roman"/>
        </w:rPr>
        <w:t>et al</w:t>
      </w:r>
      <w:r w:rsidR="006E2537">
        <w:rPr>
          <w:rFonts w:ascii="Times New Roman" w:hAnsi="Times New Roman" w:cs="Times New Roman"/>
        </w:rPr>
        <w:t>.</w:t>
      </w:r>
      <w:r w:rsidRPr="00DA3050">
        <w:rPr>
          <w:rFonts w:ascii="Times New Roman" w:hAnsi="Times New Roman" w:cs="Times New Roman"/>
        </w:rPr>
        <w:t xml:space="preserve"> (2022) restraints can cause high levels of distress, fear, and anxiety in both the patient and the nursing staff.  Physical restrictive intervention is used as a last resort to prevent further injury and escalation.  I was concerned that we may not have utilised all other options of de-escalation before resulting in physical resistive intervention.  Regardless of my 2-year prior experience within mental health settings and dealing with violence and aggression, I always find it a nerve-wracking time when these scenarios arise.</w:t>
      </w:r>
    </w:p>
    <w:p w14:paraId="3B8FF7A8" w14:textId="77777777" w:rsidR="00DA3050" w:rsidRDefault="00DA3050">
      <w:pPr>
        <w:rPr>
          <w:rFonts w:ascii="Times New Roman" w:hAnsi="Times New Roman" w:cs="Times New Roman"/>
        </w:rPr>
      </w:pPr>
    </w:p>
    <w:p w14:paraId="73FE4104" w14:textId="6D174896" w:rsidR="00737D36" w:rsidRDefault="00DA3050" w:rsidP="00DA3050">
      <w:pPr>
        <w:spacing w:line="360" w:lineRule="auto"/>
        <w:rPr>
          <w:rFonts w:ascii="Times New Roman" w:hAnsi="Times New Roman" w:cs="Times New Roman"/>
        </w:rPr>
      </w:pPr>
      <w:r w:rsidRPr="00DA3050">
        <w:rPr>
          <w:rFonts w:ascii="Times New Roman" w:hAnsi="Times New Roman" w:cs="Times New Roman"/>
        </w:rPr>
        <w:lastRenderedPageBreak/>
        <w:t>When working with individuals who suffer from mental health illnesses, all nursing staff must be alert and be able to see the early signs of a patient in distress to offer the patient the support that they require or to administer medication to prevent the patient from escalating further.  In this scenario, nursing staff were able to notice the early signs of the patient being distressed and attempted to offer support and use de-escalation techniques to prevent escalation (Crown, 2023).  Although the patient continued to escalate further despite the staff’s attempts, the patient was medicated and did calm following resulting in an overall positive outcome as the patient was no longer in distress.  Another positive outcome of this scenario is that it provided all of the nursing staff with an opportunity to use their de-escalation techniques, communication skills, teamwork skills and quick-thinking skills whilst being under pressure.  It allowed me and all of the the nursing staff to reflect on their skills and personal and professional development allowing them to see areas for improvement (Bolton, 2010). Despite there being positive outcomes, which came from this scenario there were also negative outcomes.  This includes not only the emotional impact not only on the patient but also on the nursing team and other patients on the ward.  Managing this scenario led to heightened stress and anxiety among nursing staff, the patient in question also felt scared of staff due to the restrictive physical intervention that took place and other patients on the ward felt worried regarding everyone’s safety.  Another negative outcome included the strain on the therapeutic relationships between nursing staff and the patient.  Prior to this event taking place all nursing staff had begun building a therapeutic relationship with the patients and following this event, the trust and rapport built with this patient had begun to break down.</w:t>
      </w:r>
    </w:p>
    <w:p w14:paraId="2D9105B3" w14:textId="77777777" w:rsidR="00DA3050" w:rsidRDefault="00DA3050">
      <w:pPr>
        <w:rPr>
          <w:rFonts w:ascii="Times New Roman" w:hAnsi="Times New Roman" w:cs="Times New Roman"/>
        </w:rPr>
      </w:pPr>
    </w:p>
    <w:p w14:paraId="6E413B69" w14:textId="7E11A609" w:rsidR="00DA3050" w:rsidRPr="00DA3050" w:rsidRDefault="00DA3050" w:rsidP="00DA3050">
      <w:pPr>
        <w:spacing w:line="360" w:lineRule="auto"/>
        <w:rPr>
          <w:rFonts w:ascii="Times New Roman" w:hAnsi="Times New Roman" w:cs="Times New Roman"/>
        </w:rPr>
      </w:pPr>
      <w:r w:rsidRPr="00DA3050">
        <w:rPr>
          <w:rFonts w:ascii="Times New Roman" w:hAnsi="Times New Roman" w:cs="Times New Roman"/>
        </w:rPr>
        <w:t xml:space="preserve">In this scenario, as it was escalating so quickly, I realised that myself and the rest of the nursing team needed to act quickly and make a decision after a period of time attempting to use de-escalation techniques by communicating and attempting to understand the patient's point of view (Crown, 2023) when de-escalation attempts did not work, the only solution was to use restrictive physical intervention in order to medicate the patient to reduce the risk involved as well as contacting the security team for further assistance.  It was important that we attempted to use all de-escalation techniques we could before making the decision to use physical restrictive intervention as this should only be used as a last resort.  </w:t>
      </w:r>
    </w:p>
    <w:p w14:paraId="7DB26FFB" w14:textId="4EF091AE" w:rsidR="00FF08F3" w:rsidRDefault="00DA3050" w:rsidP="00DA3050">
      <w:pPr>
        <w:spacing w:line="360" w:lineRule="auto"/>
        <w:rPr>
          <w:rFonts w:ascii="Times New Roman" w:hAnsi="Times New Roman" w:cs="Times New Roman"/>
        </w:rPr>
      </w:pPr>
      <w:r w:rsidRPr="00DA3050">
        <w:rPr>
          <w:rFonts w:ascii="Times New Roman" w:hAnsi="Times New Roman" w:cs="Times New Roman"/>
        </w:rPr>
        <w:t xml:space="preserve">As reported by Kourkouts and Papathanasiou (2014) communication is essential within all areas of nursing, upon reflecting on my own experience it has allowed me to understand why communication skills and teamwork skills are so important, and why it is important to keep </w:t>
      </w:r>
      <w:r w:rsidRPr="00DA3050">
        <w:rPr>
          <w:rFonts w:ascii="Times New Roman" w:hAnsi="Times New Roman" w:cs="Times New Roman"/>
        </w:rPr>
        <w:lastRenderedPageBreak/>
        <w:t>your professional development up to date by completing training such as physical restrictive innervation and training about how to manage hostile situations.  Upon reflection we should have noticed that this patient was in distress and needed medication sooner but, we did not notice until the patient began to escalate.  We should have noticed before the patient began escalating, although we did handle this situation in an appropriate manner and within line with the Human Rights Framework for Restraint (Equality and Human Rights Commission, 2019) and appropriate protocols. In conclusion, I have learnt that it is important to have good communication skills and be able to communicate both verbally and non-verbally and be able to adapt the way you communicate with patients who are hostile or in distress.  I have also learnt how important it is to be trained in restrictive physical intervention and de-escalation and keep your training up to date, when you are unable to help individuals in crisis by communicating with them, sometimes you have no other option but to use these methods as it is important to be able to do this correctly and without causing physical harm to the patient (Butterworth</w:t>
      </w:r>
      <w:r w:rsidR="009236F3">
        <w:rPr>
          <w:rFonts w:ascii="Times New Roman" w:hAnsi="Times New Roman" w:cs="Times New Roman"/>
        </w:rPr>
        <w:t xml:space="preserve"> </w:t>
      </w:r>
      <w:r w:rsidRPr="00DA3050">
        <w:rPr>
          <w:rFonts w:ascii="Times New Roman" w:hAnsi="Times New Roman" w:cs="Times New Roman"/>
        </w:rPr>
        <w:t>and Wood</w:t>
      </w:r>
      <w:r w:rsidR="009236F3">
        <w:rPr>
          <w:rFonts w:ascii="Times New Roman" w:hAnsi="Times New Roman" w:cs="Times New Roman"/>
        </w:rPr>
        <w:t>,</w:t>
      </w:r>
      <w:r w:rsidRPr="00DA3050">
        <w:rPr>
          <w:rFonts w:ascii="Times New Roman" w:hAnsi="Times New Roman" w:cs="Times New Roman"/>
        </w:rPr>
        <w:t xml:space="preserve"> 2022).  This could have been a more positive experience if we were able to de-escalate the patient using de-escalation techniques such as talk down techniques and been able to get the patient to calm and take the medication orally, as this would have had less of an effect on the therapeutic relationship.  It is important that I continue with my professional development and complete relevant training and continue updating my current training year in order to learn new de-escalation techniques and how to deal with hostile situations.  </w:t>
      </w:r>
    </w:p>
    <w:p w14:paraId="041FD2FB" w14:textId="77777777" w:rsidR="00DA3050" w:rsidRDefault="00DA3050" w:rsidP="00DA3050">
      <w:pPr>
        <w:rPr>
          <w:rFonts w:ascii="Times New Roman" w:hAnsi="Times New Roman" w:cs="Times New Roman"/>
        </w:rPr>
      </w:pPr>
    </w:p>
    <w:p w14:paraId="40D1A15A" w14:textId="2538394D" w:rsidR="007E279D" w:rsidRDefault="00467A92" w:rsidP="00467A92">
      <w:pPr>
        <w:spacing w:line="360" w:lineRule="auto"/>
        <w:rPr>
          <w:rFonts w:ascii="Times New Roman" w:hAnsi="Times New Roman" w:cs="Times New Roman"/>
        </w:rPr>
      </w:pPr>
      <w:r w:rsidRPr="00467A92">
        <w:rPr>
          <w:rFonts w:ascii="Times New Roman" w:hAnsi="Times New Roman" w:cs="Times New Roman"/>
        </w:rPr>
        <w:t xml:space="preserve">To increase my understanding of hostility in patients who suffer from mental health illnesses and to learn more about the best practice guidelines, I will continue to complete online training provided to me by my employer every year.  I believe this will benefit my practice by allowing me to become more aware of how to deliver safe and effective, person-centred care for individuals with a mental health illness experiencing a mental health crisis.  If a situation such as this arises again in the future, I will hopefully be able to notice the early warning signs of a patient being in crisis and use my de-escalation techniques such as talk-down techniques (Crown, 2023), in order to ensure the patient does not escalate further, I would then inform the nurse in charge and advise that the patient needed medication.  If I am not able to de-escalate the patient by myself, I would then request other nursing staff members to attempt de-escalation as different nursing staff may have different skills and have different de-escalation techniques that they are able to use.  If all attempts of de-escalation fail all </w:t>
      </w:r>
      <w:r w:rsidRPr="00467A92">
        <w:rPr>
          <w:rFonts w:ascii="Times New Roman" w:hAnsi="Times New Roman" w:cs="Times New Roman"/>
        </w:rPr>
        <w:lastRenderedPageBreak/>
        <w:t>members of the nursing team would then have to make a quick decision to use other interventions to medicate the patient and help them calm.</w:t>
      </w:r>
    </w:p>
    <w:p w14:paraId="256807F3" w14:textId="77777777" w:rsidR="00467A92" w:rsidRDefault="00467A92" w:rsidP="004F19FC">
      <w:pPr>
        <w:spacing w:line="360" w:lineRule="auto"/>
        <w:rPr>
          <w:rFonts w:ascii="Times New Roman" w:hAnsi="Times New Roman" w:cs="Times New Roman"/>
        </w:rPr>
      </w:pPr>
    </w:p>
    <w:p w14:paraId="000BB917" w14:textId="5A206BC0" w:rsidR="00F828CE" w:rsidRDefault="00467A92" w:rsidP="00467A92">
      <w:pPr>
        <w:spacing w:line="360" w:lineRule="auto"/>
        <w:rPr>
          <w:rFonts w:ascii="Times New Roman" w:hAnsi="Times New Roman" w:cs="Times New Roman"/>
        </w:rPr>
      </w:pPr>
      <w:r w:rsidRPr="00467A92">
        <w:rPr>
          <w:rFonts w:ascii="Times New Roman" w:hAnsi="Times New Roman" w:cs="Times New Roman"/>
        </w:rPr>
        <w:t>In conclusion, this hostile scenario I have encountered during my time working in a psychiatric ward has taught me valuable lessons about the importance of effective communication, empathy, and self-reflection.  Despite the hostility of the patient, myself and the rest of the nursing team was able to navigate the situation whilst remaining calm, actively listening to the distressed patient, and acknowledging the patient's concerns.  Through this experience, I have realised that every interaction with a patient is an opportunity for growth and learning, even in challenging circumstances.  Moving forward, I will continue to prioritise open and respectful communication (Kourkouta</w:t>
      </w:r>
      <w:r w:rsidR="003D52CB">
        <w:rPr>
          <w:rFonts w:ascii="Times New Roman" w:hAnsi="Times New Roman" w:cs="Times New Roman"/>
        </w:rPr>
        <w:t xml:space="preserve"> </w:t>
      </w:r>
      <w:r w:rsidRPr="00467A92">
        <w:rPr>
          <w:rFonts w:ascii="Times New Roman" w:hAnsi="Times New Roman" w:cs="Times New Roman"/>
        </w:rPr>
        <w:t>and Papathansiou,</w:t>
      </w:r>
      <w:r w:rsidR="009236F3">
        <w:rPr>
          <w:rFonts w:ascii="Times New Roman" w:hAnsi="Times New Roman" w:cs="Times New Roman"/>
        </w:rPr>
        <w:t xml:space="preserve"> </w:t>
      </w:r>
      <w:r w:rsidRPr="00467A92">
        <w:rPr>
          <w:rFonts w:ascii="Times New Roman" w:hAnsi="Times New Roman" w:cs="Times New Roman"/>
        </w:rPr>
        <w:t>2014), actively seek to understand the perspective of others and reflect on my own actions regularly.  By doing this, I believe I can assist and contribute to a positive and compassionate healthcare environment for both the patients and nursing staff.</w:t>
      </w:r>
    </w:p>
    <w:p w14:paraId="7B113F72" w14:textId="77777777" w:rsidR="00467A92" w:rsidRDefault="00467A92">
      <w:pPr>
        <w:rPr>
          <w:rFonts w:ascii="Times New Roman" w:hAnsi="Times New Roman" w:cs="Times New Roman"/>
        </w:rPr>
      </w:pPr>
    </w:p>
    <w:p w14:paraId="6DF92D3D" w14:textId="66FC81C8" w:rsidR="00B20171" w:rsidRPr="00EC1999" w:rsidRDefault="00B20171" w:rsidP="00EC1999">
      <w:pPr>
        <w:spacing w:line="360" w:lineRule="auto"/>
        <w:rPr>
          <w:rFonts w:ascii="Times New Roman" w:hAnsi="Times New Roman" w:cs="Times New Roman"/>
          <w:b/>
          <w:bCs/>
        </w:rPr>
      </w:pPr>
      <w:r w:rsidRPr="00EC1999">
        <w:rPr>
          <w:rFonts w:ascii="Times New Roman" w:hAnsi="Times New Roman" w:cs="Times New Roman"/>
          <w:b/>
          <w:bCs/>
        </w:rPr>
        <w:t xml:space="preserve">References </w:t>
      </w:r>
    </w:p>
    <w:p w14:paraId="1061213E" w14:textId="21EA16AD" w:rsidR="00F828CE" w:rsidRPr="00EC1999" w:rsidRDefault="00F828CE" w:rsidP="00EC1999">
      <w:pPr>
        <w:spacing w:line="360" w:lineRule="auto"/>
        <w:rPr>
          <w:rFonts w:ascii="Times New Roman" w:hAnsi="Times New Roman" w:cs="Times New Roman"/>
        </w:rPr>
      </w:pPr>
      <w:r w:rsidRPr="00EC1999">
        <w:rPr>
          <w:rFonts w:ascii="Times New Roman" w:hAnsi="Times New Roman" w:cs="Times New Roman"/>
        </w:rPr>
        <w:t>Bolton, G. (201</w:t>
      </w:r>
      <w:r w:rsidR="00807E56" w:rsidRPr="00EC1999">
        <w:rPr>
          <w:rFonts w:ascii="Times New Roman" w:hAnsi="Times New Roman" w:cs="Times New Roman"/>
        </w:rPr>
        <w:t>0</w:t>
      </w:r>
      <w:r w:rsidRPr="00EC1999">
        <w:rPr>
          <w:rFonts w:ascii="Times New Roman" w:hAnsi="Times New Roman" w:cs="Times New Roman"/>
          <w:i/>
          <w:iCs/>
        </w:rPr>
        <w:t>) Reflective Practice: Writing &amp; Professional Development</w:t>
      </w:r>
      <w:r w:rsidRPr="00EC1999">
        <w:rPr>
          <w:rFonts w:ascii="Times New Roman" w:hAnsi="Times New Roman" w:cs="Times New Roman"/>
        </w:rPr>
        <w:t>. 3</w:t>
      </w:r>
      <w:r w:rsidRPr="00EC1999">
        <w:rPr>
          <w:rFonts w:ascii="Times New Roman" w:hAnsi="Times New Roman" w:cs="Times New Roman"/>
          <w:vertAlign w:val="superscript"/>
        </w:rPr>
        <w:t>rd</w:t>
      </w:r>
      <w:r w:rsidRPr="00EC1999">
        <w:rPr>
          <w:rFonts w:ascii="Times New Roman" w:hAnsi="Times New Roman" w:cs="Times New Roman"/>
        </w:rPr>
        <w:t xml:space="preserve"> edn. London: SAGE Publications Ltd. </w:t>
      </w:r>
    </w:p>
    <w:p w14:paraId="72CF804E" w14:textId="77777777" w:rsidR="00B20171" w:rsidRDefault="00B20171" w:rsidP="00EC1999">
      <w:pPr>
        <w:spacing w:line="360" w:lineRule="auto"/>
        <w:rPr>
          <w:rFonts w:ascii="Times New Roman" w:hAnsi="Times New Roman" w:cs="Times New Roman"/>
        </w:rPr>
      </w:pPr>
    </w:p>
    <w:p w14:paraId="46C854C7" w14:textId="0DFA8D30" w:rsidR="00F03993" w:rsidRDefault="00F03993" w:rsidP="00EC1999">
      <w:pPr>
        <w:spacing w:line="360" w:lineRule="auto"/>
        <w:rPr>
          <w:rFonts w:ascii="Times New Roman" w:hAnsi="Times New Roman" w:cs="Times New Roman"/>
        </w:rPr>
      </w:pPr>
      <w:r>
        <w:rPr>
          <w:rFonts w:ascii="Times New Roman" w:hAnsi="Times New Roman" w:cs="Times New Roman"/>
        </w:rPr>
        <w:t>Bu</w:t>
      </w:r>
      <w:r w:rsidR="00C6466E">
        <w:rPr>
          <w:rFonts w:ascii="Times New Roman" w:hAnsi="Times New Roman" w:cs="Times New Roman"/>
        </w:rPr>
        <w:t>tterworth, H., Wood, L</w:t>
      </w:r>
      <w:r w:rsidR="00B46206">
        <w:rPr>
          <w:rFonts w:ascii="Times New Roman" w:hAnsi="Times New Roman" w:cs="Times New Roman"/>
        </w:rPr>
        <w:t>. and Rowe, S. (2022) ‘</w:t>
      </w:r>
      <w:r w:rsidR="00B46206" w:rsidRPr="001A781D">
        <w:rPr>
          <w:rFonts w:ascii="Times New Roman" w:hAnsi="Times New Roman" w:cs="Times New Roman"/>
          <w:i/>
          <w:iCs/>
        </w:rPr>
        <w:t>Patients’ and staff members’ experiences of restrictive practices in acute mental health in-patient settings: systematic review and thematic synthesis</w:t>
      </w:r>
      <w:r w:rsidR="00495324" w:rsidRPr="001A781D">
        <w:rPr>
          <w:rFonts w:ascii="Times New Roman" w:hAnsi="Times New Roman" w:cs="Times New Roman"/>
          <w:i/>
          <w:iCs/>
        </w:rPr>
        <w:t>’</w:t>
      </w:r>
      <w:r w:rsidR="006F088A">
        <w:rPr>
          <w:rFonts w:ascii="Times New Roman" w:hAnsi="Times New Roman" w:cs="Times New Roman"/>
        </w:rPr>
        <w:t xml:space="preserve">, </w:t>
      </w:r>
      <w:r w:rsidR="00CC3539" w:rsidRPr="00092C7F">
        <w:rPr>
          <w:rFonts w:ascii="Times New Roman" w:hAnsi="Times New Roman" w:cs="Times New Roman"/>
          <w:i/>
          <w:iCs/>
        </w:rPr>
        <w:t>BJPsych Open.</w:t>
      </w:r>
      <w:r w:rsidR="006F088A">
        <w:rPr>
          <w:rFonts w:ascii="Times New Roman" w:hAnsi="Times New Roman" w:cs="Times New Roman"/>
        </w:rPr>
        <w:t xml:space="preserve"> 8(6), pp e178</w:t>
      </w:r>
      <w:r w:rsidR="00B361A4">
        <w:rPr>
          <w:rFonts w:ascii="Times New Roman" w:hAnsi="Times New Roman" w:cs="Times New Roman"/>
        </w:rPr>
        <w:t xml:space="preserve">. Available at: </w:t>
      </w:r>
      <w:hyperlink r:id="rId4" w:history="1">
        <w:r w:rsidR="00B361A4" w:rsidRPr="001B6109">
          <w:rPr>
            <w:rStyle w:val="Hyperlink"/>
            <w:rFonts w:ascii="Times New Roman" w:hAnsi="Times New Roman" w:cs="Times New Roman"/>
          </w:rPr>
          <w:t>https://doi.org/10.1192%2Fbjo.2022.574</w:t>
        </w:r>
      </w:hyperlink>
    </w:p>
    <w:p w14:paraId="1C576D71" w14:textId="77777777" w:rsidR="00B361A4" w:rsidRDefault="00B361A4" w:rsidP="00EC1999">
      <w:pPr>
        <w:spacing w:line="360" w:lineRule="auto"/>
        <w:rPr>
          <w:rFonts w:ascii="Times New Roman" w:hAnsi="Times New Roman" w:cs="Times New Roman"/>
        </w:rPr>
      </w:pPr>
    </w:p>
    <w:p w14:paraId="06B05810" w14:textId="66D227E4" w:rsidR="00F03993" w:rsidRPr="00EC1999" w:rsidRDefault="00C86BCB" w:rsidP="00EC1999">
      <w:pPr>
        <w:spacing w:line="360" w:lineRule="auto"/>
        <w:rPr>
          <w:rFonts w:ascii="Times New Roman" w:hAnsi="Times New Roman" w:cs="Times New Roman"/>
        </w:rPr>
      </w:pPr>
      <w:r>
        <w:rPr>
          <w:rFonts w:ascii="Times New Roman" w:hAnsi="Times New Roman" w:cs="Times New Roman"/>
        </w:rPr>
        <w:t>Crown, J. (</w:t>
      </w:r>
      <w:r w:rsidR="00787B8E">
        <w:rPr>
          <w:rFonts w:ascii="Times New Roman" w:hAnsi="Times New Roman" w:cs="Times New Roman"/>
        </w:rPr>
        <w:t xml:space="preserve">2023) </w:t>
      </w:r>
      <w:r w:rsidR="00787B8E" w:rsidRPr="00DD2AFB">
        <w:rPr>
          <w:rFonts w:ascii="Times New Roman" w:hAnsi="Times New Roman" w:cs="Times New Roman"/>
          <w:i/>
          <w:iCs/>
        </w:rPr>
        <w:t>De-escalation techniques for keeping people safe in the NHS.</w:t>
      </w:r>
      <w:r w:rsidR="00787B8E">
        <w:rPr>
          <w:rFonts w:ascii="Times New Roman" w:hAnsi="Times New Roman" w:cs="Times New Roman"/>
        </w:rPr>
        <w:t xml:space="preserve"> Available at: </w:t>
      </w:r>
      <w:hyperlink r:id="rId5" w:history="1">
        <w:r w:rsidR="006C3885" w:rsidRPr="001B6109">
          <w:rPr>
            <w:rStyle w:val="Hyperlink"/>
            <w:rFonts w:ascii="Times New Roman" w:hAnsi="Times New Roman" w:cs="Times New Roman"/>
          </w:rPr>
          <w:t>https://ikontraining.co.uk/ikon-insights/de-escalation-techniques-for-keeping-people-safe-in-the-nhs/#:~:text=De%2Descalation%20techniques%20for%20nursing,manage%20challenging%20behaviour%20beyond%20this</w:t>
        </w:r>
      </w:hyperlink>
      <w:r w:rsidR="006C3885">
        <w:rPr>
          <w:rFonts w:ascii="Times New Roman" w:hAnsi="Times New Roman" w:cs="Times New Roman"/>
        </w:rPr>
        <w:t xml:space="preserve"> (Accessed on the </w:t>
      </w:r>
      <w:r w:rsidR="00DD2AFB">
        <w:rPr>
          <w:rFonts w:ascii="Times New Roman" w:hAnsi="Times New Roman" w:cs="Times New Roman"/>
        </w:rPr>
        <w:t>19</w:t>
      </w:r>
      <w:r w:rsidR="00DD2AFB" w:rsidRPr="00DD2AFB">
        <w:rPr>
          <w:rFonts w:ascii="Times New Roman" w:hAnsi="Times New Roman" w:cs="Times New Roman"/>
          <w:vertAlign w:val="superscript"/>
        </w:rPr>
        <w:t>th</w:t>
      </w:r>
      <w:r w:rsidR="00DD2AFB">
        <w:rPr>
          <w:rFonts w:ascii="Times New Roman" w:hAnsi="Times New Roman" w:cs="Times New Roman"/>
        </w:rPr>
        <w:t xml:space="preserve"> of November 2023). </w:t>
      </w:r>
    </w:p>
    <w:p w14:paraId="042C23AD" w14:textId="77777777" w:rsidR="00600FC7" w:rsidRDefault="00600FC7" w:rsidP="00EC1999">
      <w:pPr>
        <w:spacing w:line="360" w:lineRule="auto"/>
        <w:rPr>
          <w:rFonts w:ascii="Times New Roman" w:hAnsi="Times New Roman" w:cs="Times New Roman"/>
        </w:rPr>
      </w:pPr>
    </w:p>
    <w:p w14:paraId="2D156DD0" w14:textId="7E7EC3EA" w:rsidR="003E3F66" w:rsidRPr="00E046F7" w:rsidRDefault="00A634F1" w:rsidP="00EC1999">
      <w:pPr>
        <w:spacing w:line="360" w:lineRule="auto"/>
        <w:rPr>
          <w:rFonts w:ascii="Times New Roman" w:hAnsi="Times New Roman" w:cs="Times New Roman"/>
        </w:rPr>
      </w:pPr>
      <w:r>
        <w:rPr>
          <w:rFonts w:ascii="Times New Roman" w:hAnsi="Times New Roman" w:cs="Times New Roman"/>
        </w:rPr>
        <w:t xml:space="preserve">Equality and Human Rights Commission (2019) </w:t>
      </w:r>
      <w:r w:rsidR="00731544" w:rsidRPr="00731544">
        <w:rPr>
          <w:rFonts w:ascii="Times New Roman" w:hAnsi="Times New Roman" w:cs="Times New Roman"/>
          <w:i/>
          <w:iCs/>
        </w:rPr>
        <w:t>Human rights framework for restraint: principles for the lawful use of physical, chemical, mechanical and coercive restrictive interventions.</w:t>
      </w:r>
      <w:r w:rsidR="00731544">
        <w:rPr>
          <w:rFonts w:ascii="Times New Roman" w:hAnsi="Times New Roman" w:cs="Times New Roman"/>
        </w:rPr>
        <w:t xml:space="preserve"> </w:t>
      </w:r>
      <w:r w:rsidR="00E046F7">
        <w:rPr>
          <w:rFonts w:ascii="Times New Roman" w:hAnsi="Times New Roman" w:cs="Times New Roman"/>
        </w:rPr>
        <w:t xml:space="preserve">Available at: </w:t>
      </w:r>
      <w:hyperlink r:id="rId6" w:history="1">
        <w:r w:rsidR="00E046F7" w:rsidRPr="001B6109">
          <w:rPr>
            <w:rStyle w:val="Hyperlink"/>
            <w:rFonts w:ascii="Times New Roman" w:hAnsi="Times New Roman" w:cs="Times New Roman"/>
          </w:rPr>
          <w:t>https://www.equalityhumanrights.com/sites/default/files/human-rights-framework-restraint.pdf</w:t>
        </w:r>
      </w:hyperlink>
      <w:r w:rsidR="00E046F7">
        <w:rPr>
          <w:rFonts w:ascii="Times New Roman" w:hAnsi="Times New Roman" w:cs="Times New Roman"/>
        </w:rPr>
        <w:t xml:space="preserve"> (Accessed on the 18</w:t>
      </w:r>
      <w:r w:rsidR="00E046F7">
        <w:rPr>
          <w:rFonts w:ascii="Times New Roman" w:hAnsi="Times New Roman" w:cs="Times New Roman"/>
          <w:vertAlign w:val="superscript"/>
        </w:rPr>
        <w:t>th</w:t>
      </w:r>
      <w:r w:rsidR="00E046F7">
        <w:rPr>
          <w:rFonts w:ascii="Times New Roman" w:hAnsi="Times New Roman" w:cs="Times New Roman"/>
        </w:rPr>
        <w:t xml:space="preserve"> of November 2023).</w:t>
      </w:r>
    </w:p>
    <w:p w14:paraId="7DA369A7" w14:textId="77777777" w:rsidR="00AF4F0B" w:rsidRPr="00EC1999" w:rsidRDefault="00AF4F0B" w:rsidP="00EC1999">
      <w:pPr>
        <w:spacing w:line="360" w:lineRule="auto"/>
        <w:rPr>
          <w:rFonts w:ascii="Times New Roman" w:hAnsi="Times New Roman" w:cs="Times New Roman"/>
        </w:rPr>
      </w:pPr>
    </w:p>
    <w:p w14:paraId="075AC3A6" w14:textId="77777777" w:rsidR="00600FC7" w:rsidRDefault="00600FC7" w:rsidP="00EC1999">
      <w:pPr>
        <w:spacing w:line="360" w:lineRule="auto"/>
        <w:rPr>
          <w:rFonts w:ascii="Times New Roman" w:hAnsi="Times New Roman" w:cs="Times New Roman"/>
        </w:rPr>
      </w:pPr>
    </w:p>
    <w:p w14:paraId="6F99D02D" w14:textId="0DCE646A" w:rsidR="008F6117" w:rsidRPr="00EC1999" w:rsidRDefault="008F6117" w:rsidP="00EC1999">
      <w:pPr>
        <w:spacing w:line="360" w:lineRule="auto"/>
        <w:rPr>
          <w:rFonts w:ascii="Times New Roman" w:hAnsi="Times New Roman" w:cs="Times New Roman"/>
        </w:rPr>
      </w:pPr>
      <w:r>
        <w:rPr>
          <w:rFonts w:ascii="Times New Roman" w:hAnsi="Times New Roman" w:cs="Times New Roman"/>
        </w:rPr>
        <w:t xml:space="preserve">Esterhuizen, </w:t>
      </w:r>
      <w:r w:rsidR="002556AC">
        <w:rPr>
          <w:rFonts w:ascii="Times New Roman" w:hAnsi="Times New Roman" w:cs="Times New Roman"/>
        </w:rPr>
        <w:t xml:space="preserve">P. (2019) </w:t>
      </w:r>
      <w:r w:rsidR="002556AC" w:rsidRPr="00F26EAB">
        <w:rPr>
          <w:rFonts w:ascii="Times New Roman" w:hAnsi="Times New Roman" w:cs="Times New Roman"/>
          <w:i/>
          <w:iCs/>
        </w:rPr>
        <w:t>Reflective Practice in Nursing.</w:t>
      </w:r>
      <w:r w:rsidR="002556AC">
        <w:rPr>
          <w:rFonts w:ascii="Times New Roman" w:hAnsi="Times New Roman" w:cs="Times New Roman"/>
        </w:rPr>
        <w:t xml:space="preserve"> 4</w:t>
      </w:r>
      <w:r w:rsidR="002556AC" w:rsidRPr="002556AC">
        <w:rPr>
          <w:rFonts w:ascii="Times New Roman" w:hAnsi="Times New Roman" w:cs="Times New Roman"/>
          <w:vertAlign w:val="superscript"/>
        </w:rPr>
        <w:t>th</w:t>
      </w:r>
      <w:r w:rsidR="002556AC">
        <w:rPr>
          <w:rFonts w:ascii="Times New Roman" w:hAnsi="Times New Roman" w:cs="Times New Roman"/>
        </w:rPr>
        <w:t xml:space="preserve"> edn. London: SAGE Publications Ltd. </w:t>
      </w:r>
    </w:p>
    <w:p w14:paraId="4EA35859" w14:textId="77777777" w:rsidR="001615FC" w:rsidRDefault="001615FC" w:rsidP="00EC1999">
      <w:pPr>
        <w:spacing w:line="360" w:lineRule="auto"/>
        <w:rPr>
          <w:rFonts w:ascii="Times New Roman" w:hAnsi="Times New Roman" w:cs="Times New Roman"/>
        </w:rPr>
      </w:pPr>
    </w:p>
    <w:p w14:paraId="146A49B3" w14:textId="1D184C37" w:rsidR="0035729C" w:rsidRDefault="008058F7" w:rsidP="00EC1999">
      <w:pPr>
        <w:spacing w:line="360" w:lineRule="auto"/>
        <w:rPr>
          <w:rFonts w:ascii="Times New Roman" w:hAnsi="Times New Roman" w:cs="Times New Roman"/>
        </w:rPr>
      </w:pPr>
      <w:r>
        <w:rPr>
          <w:rFonts w:ascii="Times New Roman" w:hAnsi="Times New Roman" w:cs="Times New Roman"/>
        </w:rPr>
        <w:t>Mlambo, M</w:t>
      </w:r>
      <w:r w:rsidR="00F46351">
        <w:rPr>
          <w:rFonts w:ascii="Times New Roman" w:hAnsi="Times New Roman" w:cs="Times New Roman"/>
        </w:rPr>
        <w:t xml:space="preserve">., Silen, C. and McGrath, C. </w:t>
      </w:r>
      <w:r w:rsidR="000D17D0">
        <w:rPr>
          <w:rFonts w:ascii="Times New Roman" w:hAnsi="Times New Roman" w:cs="Times New Roman"/>
        </w:rPr>
        <w:t>(2021) ‘</w:t>
      </w:r>
      <w:r w:rsidR="000D17D0" w:rsidRPr="00092C7F">
        <w:rPr>
          <w:rFonts w:ascii="Times New Roman" w:hAnsi="Times New Roman" w:cs="Times New Roman"/>
          <w:i/>
          <w:iCs/>
        </w:rPr>
        <w:t>Lifelong learning and nurses’ continuing professional development, a metasynthesis of the literature’</w:t>
      </w:r>
      <w:r w:rsidR="00ED623F" w:rsidRPr="00092C7F">
        <w:rPr>
          <w:rFonts w:ascii="Times New Roman" w:hAnsi="Times New Roman" w:cs="Times New Roman"/>
          <w:i/>
          <w:iCs/>
        </w:rPr>
        <w:t xml:space="preserve">, BMC Nursing, </w:t>
      </w:r>
      <w:r w:rsidR="00A52031">
        <w:rPr>
          <w:rFonts w:ascii="Times New Roman" w:hAnsi="Times New Roman" w:cs="Times New Roman"/>
        </w:rPr>
        <w:t>20</w:t>
      </w:r>
      <w:r w:rsidR="0016581E">
        <w:rPr>
          <w:rFonts w:ascii="Times New Roman" w:hAnsi="Times New Roman" w:cs="Times New Roman"/>
        </w:rPr>
        <w:t xml:space="preserve">, pp 62. Available at: </w:t>
      </w:r>
      <w:hyperlink r:id="rId7" w:history="1">
        <w:r w:rsidR="001931F8" w:rsidRPr="001B6109">
          <w:rPr>
            <w:rStyle w:val="Hyperlink"/>
            <w:rFonts w:ascii="Segoe UI" w:hAnsi="Segoe UI" w:cs="Segoe UI"/>
            <w:shd w:val="clear" w:color="auto" w:fill="FFFFFF"/>
          </w:rPr>
          <w:t>https://doi.org/10.1186/s12912-021-00579-2</w:t>
        </w:r>
      </w:hyperlink>
      <w:r w:rsidR="001931F8">
        <w:rPr>
          <w:rFonts w:ascii="Segoe UI" w:hAnsi="Segoe UI" w:cs="Segoe UI"/>
          <w:color w:val="333333"/>
          <w:shd w:val="clear" w:color="auto" w:fill="FFFFFF"/>
        </w:rPr>
        <w:t xml:space="preserve"> </w:t>
      </w:r>
    </w:p>
    <w:p w14:paraId="0D4B42C8" w14:textId="77777777" w:rsidR="0035729C" w:rsidRDefault="0035729C" w:rsidP="00EC1999">
      <w:pPr>
        <w:spacing w:line="360" w:lineRule="auto"/>
        <w:rPr>
          <w:rFonts w:ascii="Times New Roman" w:hAnsi="Times New Roman" w:cs="Times New Roman"/>
        </w:rPr>
      </w:pPr>
    </w:p>
    <w:p w14:paraId="4C258C21" w14:textId="2C89C6E7" w:rsidR="0035729C" w:rsidRPr="00285E0B" w:rsidRDefault="00092C7F" w:rsidP="00EC1999">
      <w:pPr>
        <w:spacing w:line="360" w:lineRule="auto"/>
        <w:rPr>
          <w:rFonts w:ascii="Times New Roman" w:hAnsi="Times New Roman" w:cs="Times New Roman"/>
        </w:rPr>
      </w:pPr>
      <w:r>
        <w:rPr>
          <w:rFonts w:ascii="Times New Roman" w:hAnsi="Times New Roman" w:cs="Times New Roman"/>
        </w:rPr>
        <w:t>Nursing &amp; Midwifery Council (2023)</w:t>
      </w:r>
      <w:r w:rsidR="00DC32D4">
        <w:rPr>
          <w:rFonts w:ascii="Times New Roman" w:hAnsi="Times New Roman" w:cs="Times New Roman"/>
        </w:rPr>
        <w:t xml:space="preserve"> </w:t>
      </w:r>
      <w:r w:rsidR="00DC32D4" w:rsidRPr="00285E0B">
        <w:rPr>
          <w:rFonts w:ascii="Times New Roman" w:hAnsi="Times New Roman" w:cs="Times New Roman"/>
          <w:i/>
          <w:iCs/>
        </w:rPr>
        <w:t>Guidance Sheet Reflective Practice</w:t>
      </w:r>
      <w:r w:rsidR="00285E0B" w:rsidRPr="00285E0B">
        <w:rPr>
          <w:rFonts w:ascii="Times New Roman" w:hAnsi="Times New Roman" w:cs="Times New Roman"/>
          <w:i/>
          <w:iCs/>
        </w:rPr>
        <w:t>.</w:t>
      </w:r>
      <w:r w:rsidR="00285E0B">
        <w:rPr>
          <w:rFonts w:ascii="Times New Roman" w:hAnsi="Times New Roman" w:cs="Times New Roman"/>
        </w:rPr>
        <w:t xml:space="preserve"> Available at: </w:t>
      </w:r>
      <w:hyperlink r:id="rId8" w:history="1">
        <w:r w:rsidR="00285E0B" w:rsidRPr="001B6109">
          <w:rPr>
            <w:rStyle w:val="Hyperlink"/>
            <w:rFonts w:ascii="Times New Roman" w:hAnsi="Times New Roman" w:cs="Times New Roman"/>
          </w:rPr>
          <w:t>https://www.nmc.org.uk/globalassets/sitedocuments/revalidation/reflective-practice-guidance.pdf</w:t>
        </w:r>
      </w:hyperlink>
      <w:r w:rsidR="00285E0B">
        <w:rPr>
          <w:rFonts w:ascii="Times New Roman" w:hAnsi="Times New Roman" w:cs="Times New Roman"/>
        </w:rPr>
        <w:t xml:space="preserve"> (Accessed on the 2</w:t>
      </w:r>
      <w:r w:rsidR="008609DA">
        <w:rPr>
          <w:rFonts w:ascii="Times New Roman" w:hAnsi="Times New Roman" w:cs="Times New Roman"/>
        </w:rPr>
        <w:t>0</w:t>
      </w:r>
      <w:r w:rsidR="00285E0B">
        <w:rPr>
          <w:rFonts w:ascii="Times New Roman" w:hAnsi="Times New Roman" w:cs="Times New Roman"/>
          <w:vertAlign w:val="superscript"/>
        </w:rPr>
        <w:t>th</w:t>
      </w:r>
      <w:r w:rsidR="00285E0B">
        <w:rPr>
          <w:rFonts w:ascii="Times New Roman" w:hAnsi="Times New Roman" w:cs="Times New Roman"/>
        </w:rPr>
        <w:t xml:space="preserve"> of November 2023).</w:t>
      </w:r>
    </w:p>
    <w:p w14:paraId="69ABA754" w14:textId="77777777" w:rsidR="00285E0B" w:rsidRPr="00EC1999" w:rsidRDefault="00285E0B" w:rsidP="00EC1999">
      <w:pPr>
        <w:spacing w:line="360" w:lineRule="auto"/>
        <w:rPr>
          <w:rFonts w:ascii="Times New Roman" w:hAnsi="Times New Roman" w:cs="Times New Roman"/>
        </w:rPr>
      </w:pPr>
    </w:p>
    <w:p w14:paraId="57FFAE59" w14:textId="264DED34" w:rsidR="001615FC" w:rsidRDefault="008609DA" w:rsidP="00EC1999">
      <w:pPr>
        <w:spacing w:line="360" w:lineRule="auto"/>
        <w:rPr>
          <w:rFonts w:ascii="Times New Roman" w:hAnsi="Times New Roman" w:cs="Times New Roman"/>
        </w:rPr>
      </w:pPr>
      <w:r>
        <w:rPr>
          <w:rFonts w:ascii="Times New Roman" w:hAnsi="Times New Roman" w:cs="Times New Roman"/>
        </w:rPr>
        <w:t xml:space="preserve">Nursing &amp; Midwifery Council (2015) </w:t>
      </w:r>
      <w:r w:rsidRPr="00F04AC0">
        <w:rPr>
          <w:rFonts w:ascii="Times New Roman" w:hAnsi="Times New Roman" w:cs="Times New Roman"/>
          <w:i/>
          <w:iCs/>
        </w:rPr>
        <w:t xml:space="preserve">Read The Code </w:t>
      </w:r>
      <w:proofErr w:type="gramStart"/>
      <w:r w:rsidRPr="00F04AC0">
        <w:rPr>
          <w:rFonts w:ascii="Times New Roman" w:hAnsi="Times New Roman" w:cs="Times New Roman"/>
          <w:i/>
          <w:iCs/>
        </w:rPr>
        <w:t>online</w:t>
      </w:r>
      <w:proofErr w:type="gramEnd"/>
      <w:r w:rsidR="009142E8" w:rsidRPr="00F04AC0">
        <w:rPr>
          <w:rFonts w:ascii="Times New Roman" w:hAnsi="Times New Roman" w:cs="Times New Roman"/>
          <w:i/>
          <w:iCs/>
        </w:rPr>
        <w:t xml:space="preserve"> Professional standards of practice and behaviour for nurses, midwives and nursing associated. All standards apply within your professional scope of practice. </w:t>
      </w:r>
      <w:r w:rsidR="008666B1">
        <w:rPr>
          <w:rFonts w:ascii="Times New Roman" w:hAnsi="Times New Roman" w:cs="Times New Roman"/>
        </w:rPr>
        <w:t xml:space="preserve">Available at: </w:t>
      </w:r>
      <w:hyperlink r:id="rId9" w:history="1">
        <w:r w:rsidR="008666B1" w:rsidRPr="001B6109">
          <w:rPr>
            <w:rStyle w:val="Hyperlink"/>
            <w:rFonts w:ascii="Times New Roman" w:hAnsi="Times New Roman" w:cs="Times New Roman"/>
          </w:rPr>
          <w:t>https://www.nmc.org.uk/standards/code/read-the-code-online/</w:t>
        </w:r>
      </w:hyperlink>
      <w:r w:rsidR="008666B1">
        <w:rPr>
          <w:rFonts w:ascii="Times New Roman" w:hAnsi="Times New Roman" w:cs="Times New Roman"/>
        </w:rPr>
        <w:t xml:space="preserve"> (Accessed on the 19</w:t>
      </w:r>
      <w:r w:rsidR="008666B1" w:rsidRPr="008666B1">
        <w:rPr>
          <w:rFonts w:ascii="Times New Roman" w:hAnsi="Times New Roman" w:cs="Times New Roman"/>
          <w:vertAlign w:val="superscript"/>
        </w:rPr>
        <w:t>th</w:t>
      </w:r>
      <w:r w:rsidR="008666B1">
        <w:rPr>
          <w:rFonts w:ascii="Times New Roman" w:hAnsi="Times New Roman" w:cs="Times New Roman"/>
        </w:rPr>
        <w:t xml:space="preserve"> of November </w:t>
      </w:r>
      <w:r w:rsidR="00023EB6">
        <w:rPr>
          <w:rFonts w:ascii="Times New Roman" w:hAnsi="Times New Roman" w:cs="Times New Roman"/>
        </w:rPr>
        <w:t>2023).</w:t>
      </w:r>
    </w:p>
    <w:p w14:paraId="36516AEE" w14:textId="77777777" w:rsidR="00FA5646" w:rsidRDefault="00FA5646" w:rsidP="00EC1999">
      <w:pPr>
        <w:spacing w:line="360" w:lineRule="auto"/>
        <w:rPr>
          <w:rFonts w:ascii="Times New Roman" w:hAnsi="Times New Roman" w:cs="Times New Roman"/>
        </w:rPr>
      </w:pPr>
    </w:p>
    <w:p w14:paraId="0306519C" w14:textId="5AD0FBDB" w:rsidR="00FA5646" w:rsidRPr="00EC1999" w:rsidRDefault="00272078" w:rsidP="00EC1999">
      <w:pPr>
        <w:spacing w:line="360" w:lineRule="auto"/>
        <w:rPr>
          <w:rFonts w:ascii="Times New Roman" w:hAnsi="Times New Roman" w:cs="Times New Roman"/>
        </w:rPr>
      </w:pPr>
      <w:r>
        <w:rPr>
          <w:rFonts w:ascii="Times New Roman" w:hAnsi="Times New Roman" w:cs="Times New Roman"/>
        </w:rPr>
        <w:t>Raja, M. and Azzoni, A. (</w:t>
      </w:r>
      <w:r w:rsidR="00F04AC0">
        <w:rPr>
          <w:rFonts w:ascii="Times New Roman" w:hAnsi="Times New Roman" w:cs="Times New Roman"/>
        </w:rPr>
        <w:t>2005) ‘</w:t>
      </w:r>
      <w:r w:rsidR="00F04AC0" w:rsidRPr="007F3393">
        <w:rPr>
          <w:rFonts w:ascii="Times New Roman" w:hAnsi="Times New Roman" w:cs="Times New Roman"/>
          <w:i/>
          <w:iCs/>
        </w:rPr>
        <w:t>Hostility and Violence of acute psychiatric inpatients’</w:t>
      </w:r>
      <w:r w:rsidR="00C0393A" w:rsidRPr="007F3393">
        <w:rPr>
          <w:rFonts w:ascii="Times New Roman" w:hAnsi="Times New Roman" w:cs="Times New Roman"/>
          <w:i/>
          <w:iCs/>
        </w:rPr>
        <w:t xml:space="preserve">, BMC </w:t>
      </w:r>
      <w:r w:rsidR="007F3393" w:rsidRPr="007F3393">
        <w:rPr>
          <w:rFonts w:ascii="Times New Roman" w:hAnsi="Times New Roman" w:cs="Times New Roman"/>
          <w:i/>
          <w:iCs/>
        </w:rPr>
        <w:t>Nursing,</w:t>
      </w:r>
      <w:r w:rsidR="007F3393">
        <w:rPr>
          <w:rFonts w:ascii="Times New Roman" w:hAnsi="Times New Roman" w:cs="Times New Roman"/>
        </w:rPr>
        <w:t xml:space="preserve"> 11, pp 1. Available at:</w:t>
      </w:r>
      <w:r w:rsidR="007E332B">
        <w:rPr>
          <w:rFonts w:ascii="Times New Roman" w:hAnsi="Times New Roman" w:cs="Times New Roman"/>
        </w:rPr>
        <w:t xml:space="preserve"> </w:t>
      </w:r>
      <w:hyperlink r:id="rId10" w:history="1">
        <w:r w:rsidR="007E332B" w:rsidRPr="001B6109">
          <w:rPr>
            <w:rStyle w:val="Hyperlink"/>
            <w:rFonts w:ascii="Segoe UI" w:hAnsi="Segoe UI" w:cs="Segoe UI"/>
            <w:shd w:val="clear" w:color="auto" w:fill="FFFFFF"/>
          </w:rPr>
          <w:t>https://doi.org/10.1186/1745-0179-1-11</w:t>
        </w:r>
      </w:hyperlink>
      <w:r w:rsidR="007E332B">
        <w:rPr>
          <w:rFonts w:ascii="Segoe UI" w:hAnsi="Segoe UI" w:cs="Segoe UI"/>
          <w:color w:val="333333"/>
          <w:shd w:val="clear" w:color="auto" w:fill="FFFFFF"/>
        </w:rPr>
        <w:t xml:space="preserve"> </w:t>
      </w:r>
    </w:p>
    <w:p w14:paraId="0A637427" w14:textId="77777777" w:rsidR="00E433D8" w:rsidRDefault="00E433D8" w:rsidP="00EC1999">
      <w:pPr>
        <w:spacing w:line="360" w:lineRule="auto"/>
        <w:rPr>
          <w:rFonts w:ascii="Times New Roman" w:hAnsi="Times New Roman" w:cs="Times New Roman"/>
        </w:rPr>
      </w:pPr>
    </w:p>
    <w:p w14:paraId="71205B1D" w14:textId="23FD5A6A" w:rsidR="00FA5646" w:rsidRDefault="00705A45" w:rsidP="00EC1999">
      <w:pPr>
        <w:spacing w:line="360" w:lineRule="auto"/>
        <w:rPr>
          <w:rFonts w:ascii="Times New Roman" w:hAnsi="Times New Roman" w:cs="Times New Roman"/>
        </w:rPr>
      </w:pPr>
      <w:r>
        <w:rPr>
          <w:rFonts w:ascii="Times New Roman" w:hAnsi="Times New Roman" w:cs="Times New Roman"/>
        </w:rPr>
        <w:t>Kourkouta, L.</w:t>
      </w:r>
      <w:r w:rsidR="008E0DFA">
        <w:rPr>
          <w:rFonts w:ascii="Times New Roman" w:hAnsi="Times New Roman" w:cs="Times New Roman"/>
        </w:rPr>
        <w:t xml:space="preserve"> and Papathanasiou, V, I. (2014) </w:t>
      </w:r>
      <w:r w:rsidR="008E0DFA" w:rsidRPr="00191AAF">
        <w:rPr>
          <w:rFonts w:ascii="Times New Roman" w:hAnsi="Times New Roman" w:cs="Times New Roman"/>
          <w:i/>
          <w:iCs/>
        </w:rPr>
        <w:t>‘Communication in nursing Pract</w:t>
      </w:r>
      <w:r w:rsidR="00995A55" w:rsidRPr="00191AAF">
        <w:rPr>
          <w:rFonts w:ascii="Times New Roman" w:hAnsi="Times New Roman" w:cs="Times New Roman"/>
          <w:i/>
          <w:iCs/>
        </w:rPr>
        <w:t>ice’</w:t>
      </w:r>
      <w:r w:rsidR="002E3653" w:rsidRPr="00191AAF">
        <w:rPr>
          <w:rFonts w:ascii="Times New Roman" w:hAnsi="Times New Roman" w:cs="Times New Roman"/>
          <w:i/>
          <w:iCs/>
        </w:rPr>
        <w:t xml:space="preserve"> PubMed Central,</w:t>
      </w:r>
      <w:r w:rsidR="002E3653">
        <w:rPr>
          <w:rFonts w:ascii="Times New Roman" w:hAnsi="Times New Roman" w:cs="Times New Roman"/>
        </w:rPr>
        <w:t xml:space="preserve"> 26(1), pp. 65-69.</w:t>
      </w:r>
      <w:r w:rsidR="00191AAF">
        <w:rPr>
          <w:rFonts w:ascii="Times New Roman" w:hAnsi="Times New Roman" w:cs="Times New Roman"/>
        </w:rPr>
        <w:t xml:space="preserve"> Available at: </w:t>
      </w:r>
      <w:r w:rsidR="00191AAF" w:rsidRPr="00191AAF">
        <w:rPr>
          <w:rFonts w:ascii="Times New Roman" w:hAnsi="Times New Roman" w:cs="Times New Roman"/>
        </w:rPr>
        <w:t>https://doi.org/10.5455%2Fmsm.2014.26.65-67</w:t>
      </w:r>
    </w:p>
    <w:p w14:paraId="196B0578" w14:textId="77777777" w:rsidR="00FA5646" w:rsidRPr="00EC1999" w:rsidRDefault="00FA5646" w:rsidP="00EC1999">
      <w:pPr>
        <w:spacing w:line="360" w:lineRule="auto"/>
        <w:rPr>
          <w:rFonts w:ascii="Times New Roman" w:hAnsi="Times New Roman" w:cs="Times New Roman"/>
        </w:rPr>
      </w:pPr>
    </w:p>
    <w:p w14:paraId="3FB87158" w14:textId="374DFA0E" w:rsidR="00CD59DC" w:rsidRPr="00EC1999" w:rsidRDefault="00191AAF" w:rsidP="00EC1999">
      <w:pPr>
        <w:spacing w:line="360" w:lineRule="auto"/>
        <w:rPr>
          <w:rFonts w:ascii="Times New Roman" w:hAnsi="Times New Roman" w:cs="Times New Roman"/>
        </w:rPr>
      </w:pPr>
      <w:r>
        <w:rPr>
          <w:rFonts w:ascii="Times New Roman" w:hAnsi="Times New Roman" w:cs="Times New Roman"/>
        </w:rPr>
        <w:t>TSW Training (2023</w:t>
      </w:r>
      <w:r w:rsidRPr="009F477F">
        <w:rPr>
          <w:rFonts w:ascii="Times New Roman" w:hAnsi="Times New Roman" w:cs="Times New Roman"/>
          <w:i/>
          <w:iCs/>
        </w:rPr>
        <w:t>) Gibbs Reflective Cycle – A Practical Guide</w:t>
      </w:r>
      <w:r>
        <w:rPr>
          <w:rFonts w:ascii="Times New Roman" w:hAnsi="Times New Roman" w:cs="Times New Roman"/>
        </w:rPr>
        <w:t>. Available at:</w:t>
      </w:r>
      <w:r w:rsidR="00A311F7">
        <w:rPr>
          <w:rFonts w:ascii="Times New Roman" w:hAnsi="Times New Roman" w:cs="Times New Roman"/>
        </w:rPr>
        <w:t xml:space="preserve"> </w:t>
      </w:r>
      <w:hyperlink r:id="rId11" w:history="1">
        <w:r w:rsidR="00A311F7" w:rsidRPr="001B6109">
          <w:rPr>
            <w:rStyle w:val="Hyperlink"/>
            <w:rFonts w:ascii="Times New Roman" w:hAnsi="Times New Roman" w:cs="Times New Roman"/>
          </w:rPr>
          <w:t>https://www.tsw.co.uk/blog/leadership-and-management/gibbs-reflective-cycle/</w:t>
        </w:r>
      </w:hyperlink>
      <w:r w:rsidR="00A311F7">
        <w:rPr>
          <w:rFonts w:ascii="Times New Roman" w:hAnsi="Times New Roman" w:cs="Times New Roman"/>
        </w:rPr>
        <w:t xml:space="preserve"> (Accessed on the 19</w:t>
      </w:r>
      <w:r w:rsidR="00A311F7" w:rsidRPr="00A311F7">
        <w:rPr>
          <w:rFonts w:ascii="Times New Roman" w:hAnsi="Times New Roman" w:cs="Times New Roman"/>
          <w:vertAlign w:val="superscript"/>
        </w:rPr>
        <w:t>th</w:t>
      </w:r>
      <w:r w:rsidR="00A311F7">
        <w:rPr>
          <w:rFonts w:ascii="Times New Roman" w:hAnsi="Times New Roman" w:cs="Times New Roman"/>
        </w:rPr>
        <w:t xml:space="preserve"> of November 2023).</w:t>
      </w:r>
    </w:p>
    <w:p w14:paraId="3FCDF712" w14:textId="77777777" w:rsidR="00EC1999" w:rsidRDefault="00EC1999" w:rsidP="00EC1999">
      <w:pPr>
        <w:spacing w:line="360" w:lineRule="auto"/>
        <w:rPr>
          <w:rFonts w:ascii="Times New Roman" w:hAnsi="Times New Roman" w:cs="Times New Roman"/>
        </w:rPr>
      </w:pPr>
    </w:p>
    <w:p w14:paraId="6B8DBA62" w14:textId="0F01087C" w:rsidR="00A311F7" w:rsidRPr="009F477F" w:rsidRDefault="00A311F7" w:rsidP="00EC1999">
      <w:pPr>
        <w:spacing w:line="360" w:lineRule="auto"/>
        <w:rPr>
          <w:rFonts w:ascii="Times New Roman" w:hAnsi="Times New Roman" w:cs="Times New Roman"/>
        </w:rPr>
      </w:pPr>
      <w:r>
        <w:rPr>
          <w:rFonts w:ascii="Times New Roman" w:hAnsi="Times New Roman" w:cs="Times New Roman"/>
        </w:rPr>
        <w:t xml:space="preserve">Welsh Government (2022) </w:t>
      </w:r>
      <w:r w:rsidRPr="009F477F">
        <w:rPr>
          <w:rFonts w:ascii="Times New Roman" w:hAnsi="Times New Roman" w:cs="Times New Roman"/>
          <w:i/>
          <w:iCs/>
        </w:rPr>
        <w:t xml:space="preserve">Reducing </w:t>
      </w:r>
      <w:r w:rsidR="009F477F" w:rsidRPr="009F477F">
        <w:rPr>
          <w:rFonts w:ascii="Times New Roman" w:hAnsi="Times New Roman" w:cs="Times New Roman"/>
          <w:i/>
          <w:iCs/>
        </w:rPr>
        <w:t xml:space="preserve">restrictive practices framework: Guidance on reducing restrictive practices in childcare, education, </w:t>
      </w:r>
      <w:proofErr w:type="gramStart"/>
      <w:r w:rsidR="009F477F" w:rsidRPr="009F477F">
        <w:rPr>
          <w:rFonts w:ascii="Times New Roman" w:hAnsi="Times New Roman" w:cs="Times New Roman"/>
          <w:i/>
          <w:iCs/>
        </w:rPr>
        <w:t>health</w:t>
      </w:r>
      <w:proofErr w:type="gramEnd"/>
      <w:r w:rsidR="009F477F" w:rsidRPr="009F477F">
        <w:rPr>
          <w:rFonts w:ascii="Times New Roman" w:hAnsi="Times New Roman" w:cs="Times New Roman"/>
          <w:i/>
          <w:iCs/>
        </w:rPr>
        <w:t xml:space="preserve"> and social care settings.</w:t>
      </w:r>
      <w:r w:rsidR="009F477F">
        <w:rPr>
          <w:rFonts w:ascii="Times New Roman" w:hAnsi="Times New Roman" w:cs="Times New Roman"/>
        </w:rPr>
        <w:t xml:space="preserve"> Available at: </w:t>
      </w:r>
      <w:hyperlink r:id="rId12" w:history="1">
        <w:r w:rsidR="009F477F" w:rsidRPr="001B6109">
          <w:rPr>
            <w:rStyle w:val="Hyperlink"/>
            <w:rFonts w:ascii="Times New Roman" w:hAnsi="Times New Roman" w:cs="Times New Roman"/>
          </w:rPr>
          <w:t>https://www.gov.wales/reducing-restrictive-practices-framework-html</w:t>
        </w:r>
      </w:hyperlink>
      <w:r w:rsidR="009F477F">
        <w:rPr>
          <w:rFonts w:ascii="Times New Roman" w:hAnsi="Times New Roman" w:cs="Times New Roman"/>
        </w:rPr>
        <w:t xml:space="preserve"> (Accessed on the 18</w:t>
      </w:r>
      <w:r w:rsidR="009F477F">
        <w:rPr>
          <w:rFonts w:ascii="Times New Roman" w:hAnsi="Times New Roman" w:cs="Times New Roman"/>
          <w:vertAlign w:val="superscript"/>
        </w:rPr>
        <w:t>th</w:t>
      </w:r>
      <w:r w:rsidR="009F477F">
        <w:rPr>
          <w:rFonts w:ascii="Times New Roman" w:hAnsi="Times New Roman" w:cs="Times New Roman"/>
        </w:rPr>
        <w:t xml:space="preserve"> of November 2023).</w:t>
      </w:r>
    </w:p>
    <w:p w14:paraId="0DD52B81" w14:textId="77777777" w:rsidR="00A311F7" w:rsidRDefault="00A311F7" w:rsidP="00EC1999">
      <w:pPr>
        <w:spacing w:line="360" w:lineRule="auto"/>
        <w:rPr>
          <w:rFonts w:ascii="Times New Roman" w:hAnsi="Times New Roman" w:cs="Times New Roman"/>
        </w:rPr>
      </w:pPr>
    </w:p>
    <w:p w14:paraId="074FDA33" w14:textId="77777777" w:rsidR="00A311F7" w:rsidRDefault="00A311F7" w:rsidP="00EC1999">
      <w:pPr>
        <w:spacing w:line="360" w:lineRule="auto"/>
        <w:rPr>
          <w:rFonts w:ascii="Times New Roman" w:hAnsi="Times New Roman" w:cs="Times New Roman"/>
        </w:rPr>
      </w:pPr>
    </w:p>
    <w:p w14:paraId="4B733913" w14:textId="77777777" w:rsidR="00A311F7" w:rsidRDefault="00A311F7" w:rsidP="00EC1999">
      <w:pPr>
        <w:spacing w:line="360" w:lineRule="auto"/>
        <w:rPr>
          <w:rFonts w:ascii="Times New Roman" w:hAnsi="Times New Roman" w:cs="Times New Roman"/>
        </w:rPr>
      </w:pPr>
    </w:p>
    <w:p w14:paraId="34959EBC" w14:textId="77777777" w:rsidR="006B2EC9" w:rsidRDefault="006B2EC9" w:rsidP="00501D91">
      <w:pPr>
        <w:spacing w:line="276" w:lineRule="auto"/>
        <w:rPr>
          <w:rFonts w:ascii="Times New Roman" w:hAnsi="Times New Roman" w:cs="Times New Roman"/>
        </w:rPr>
      </w:pPr>
    </w:p>
    <w:p w14:paraId="7355024C" w14:textId="77777777" w:rsidR="00F828CE" w:rsidRDefault="00F828CE">
      <w:pPr>
        <w:rPr>
          <w:rFonts w:ascii="Times New Roman" w:hAnsi="Times New Roman" w:cs="Times New Roman"/>
        </w:rPr>
      </w:pPr>
    </w:p>
    <w:p w14:paraId="4AEE36F1" w14:textId="77777777" w:rsidR="00501D91" w:rsidRPr="00A062CD" w:rsidRDefault="00501D91">
      <w:pPr>
        <w:rPr>
          <w:rFonts w:ascii="Times New Roman" w:hAnsi="Times New Roman" w:cs="Times New Roman"/>
        </w:rPr>
      </w:pPr>
    </w:p>
    <w:sectPr w:rsidR="00501D91" w:rsidRPr="00A062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62CD"/>
    <w:rsid w:val="0002395D"/>
    <w:rsid w:val="00023EB6"/>
    <w:rsid w:val="00072C83"/>
    <w:rsid w:val="00092C7F"/>
    <w:rsid w:val="000B1505"/>
    <w:rsid w:val="000B2269"/>
    <w:rsid w:val="000B7048"/>
    <w:rsid w:val="000D17D0"/>
    <w:rsid w:val="000D7876"/>
    <w:rsid w:val="00105B76"/>
    <w:rsid w:val="001112F2"/>
    <w:rsid w:val="00135AC5"/>
    <w:rsid w:val="0014603F"/>
    <w:rsid w:val="001529F7"/>
    <w:rsid w:val="001615FC"/>
    <w:rsid w:val="00161C44"/>
    <w:rsid w:val="0016581E"/>
    <w:rsid w:val="001801AB"/>
    <w:rsid w:val="00191AAF"/>
    <w:rsid w:val="001931F8"/>
    <w:rsid w:val="001A781D"/>
    <w:rsid w:val="001B7746"/>
    <w:rsid w:val="001D14F8"/>
    <w:rsid w:val="0020262F"/>
    <w:rsid w:val="00212A48"/>
    <w:rsid w:val="00216E89"/>
    <w:rsid w:val="002430D8"/>
    <w:rsid w:val="002556AC"/>
    <w:rsid w:val="00272078"/>
    <w:rsid w:val="00272B6E"/>
    <w:rsid w:val="00285E0B"/>
    <w:rsid w:val="00292675"/>
    <w:rsid w:val="002954AF"/>
    <w:rsid w:val="00296A0E"/>
    <w:rsid w:val="002A1753"/>
    <w:rsid w:val="002A68F4"/>
    <w:rsid w:val="002B32F3"/>
    <w:rsid w:val="002C4668"/>
    <w:rsid w:val="002E3653"/>
    <w:rsid w:val="002E5C19"/>
    <w:rsid w:val="002E718A"/>
    <w:rsid w:val="002F1D69"/>
    <w:rsid w:val="00311554"/>
    <w:rsid w:val="003205BA"/>
    <w:rsid w:val="003340E1"/>
    <w:rsid w:val="00334F82"/>
    <w:rsid w:val="003366FD"/>
    <w:rsid w:val="00350881"/>
    <w:rsid w:val="0035729C"/>
    <w:rsid w:val="003769AE"/>
    <w:rsid w:val="00395949"/>
    <w:rsid w:val="0039602E"/>
    <w:rsid w:val="003D52CB"/>
    <w:rsid w:val="003E3F66"/>
    <w:rsid w:val="003E690E"/>
    <w:rsid w:val="003F2363"/>
    <w:rsid w:val="004042BF"/>
    <w:rsid w:val="0043130D"/>
    <w:rsid w:val="0043188B"/>
    <w:rsid w:val="00467A92"/>
    <w:rsid w:val="00467F8A"/>
    <w:rsid w:val="00495324"/>
    <w:rsid w:val="004C3239"/>
    <w:rsid w:val="004E44AA"/>
    <w:rsid w:val="004E7158"/>
    <w:rsid w:val="004F19FC"/>
    <w:rsid w:val="00501D91"/>
    <w:rsid w:val="00514845"/>
    <w:rsid w:val="00557154"/>
    <w:rsid w:val="00561389"/>
    <w:rsid w:val="005654C2"/>
    <w:rsid w:val="005772F9"/>
    <w:rsid w:val="00592C27"/>
    <w:rsid w:val="005A5A7A"/>
    <w:rsid w:val="005D73F4"/>
    <w:rsid w:val="00600FC7"/>
    <w:rsid w:val="00607293"/>
    <w:rsid w:val="00623C17"/>
    <w:rsid w:val="00654645"/>
    <w:rsid w:val="00667A8C"/>
    <w:rsid w:val="006803E3"/>
    <w:rsid w:val="00693BAE"/>
    <w:rsid w:val="006A7E89"/>
    <w:rsid w:val="006B2EC9"/>
    <w:rsid w:val="006B330F"/>
    <w:rsid w:val="006C3885"/>
    <w:rsid w:val="006D1957"/>
    <w:rsid w:val="006D56A0"/>
    <w:rsid w:val="006D5AB5"/>
    <w:rsid w:val="006E2537"/>
    <w:rsid w:val="006E2707"/>
    <w:rsid w:val="006F088A"/>
    <w:rsid w:val="006F0BE3"/>
    <w:rsid w:val="006F5314"/>
    <w:rsid w:val="00704BD5"/>
    <w:rsid w:val="00704D3B"/>
    <w:rsid w:val="00705A45"/>
    <w:rsid w:val="0071608C"/>
    <w:rsid w:val="00717245"/>
    <w:rsid w:val="00731544"/>
    <w:rsid w:val="007364E3"/>
    <w:rsid w:val="00737D36"/>
    <w:rsid w:val="00766117"/>
    <w:rsid w:val="00787B8E"/>
    <w:rsid w:val="007A1575"/>
    <w:rsid w:val="007C7BB7"/>
    <w:rsid w:val="007E084F"/>
    <w:rsid w:val="007E279D"/>
    <w:rsid w:val="007E332B"/>
    <w:rsid w:val="007F3393"/>
    <w:rsid w:val="00804C88"/>
    <w:rsid w:val="008058F7"/>
    <w:rsid w:val="00807482"/>
    <w:rsid w:val="00807E56"/>
    <w:rsid w:val="008609DA"/>
    <w:rsid w:val="008666B1"/>
    <w:rsid w:val="0089366E"/>
    <w:rsid w:val="008966C9"/>
    <w:rsid w:val="008A03A2"/>
    <w:rsid w:val="008C0BF0"/>
    <w:rsid w:val="008C2363"/>
    <w:rsid w:val="008D1B3B"/>
    <w:rsid w:val="008E0DFA"/>
    <w:rsid w:val="008F6117"/>
    <w:rsid w:val="00902647"/>
    <w:rsid w:val="009142E8"/>
    <w:rsid w:val="00922987"/>
    <w:rsid w:val="009236F3"/>
    <w:rsid w:val="00924151"/>
    <w:rsid w:val="00945713"/>
    <w:rsid w:val="009645C8"/>
    <w:rsid w:val="00980A39"/>
    <w:rsid w:val="009872BA"/>
    <w:rsid w:val="00995A55"/>
    <w:rsid w:val="009A52E4"/>
    <w:rsid w:val="009A79FC"/>
    <w:rsid w:val="009D5FFA"/>
    <w:rsid w:val="009F477F"/>
    <w:rsid w:val="009F69A3"/>
    <w:rsid w:val="00A062CD"/>
    <w:rsid w:val="00A228CD"/>
    <w:rsid w:val="00A311F7"/>
    <w:rsid w:val="00A47B86"/>
    <w:rsid w:val="00A500E9"/>
    <w:rsid w:val="00A504FD"/>
    <w:rsid w:val="00A52031"/>
    <w:rsid w:val="00A634F1"/>
    <w:rsid w:val="00A65258"/>
    <w:rsid w:val="00A9077A"/>
    <w:rsid w:val="00AB2174"/>
    <w:rsid w:val="00AD6F51"/>
    <w:rsid w:val="00AD7136"/>
    <w:rsid w:val="00AE084C"/>
    <w:rsid w:val="00AF03BC"/>
    <w:rsid w:val="00AF4F0B"/>
    <w:rsid w:val="00AF52B0"/>
    <w:rsid w:val="00B20171"/>
    <w:rsid w:val="00B26D69"/>
    <w:rsid w:val="00B361A4"/>
    <w:rsid w:val="00B366A7"/>
    <w:rsid w:val="00B46206"/>
    <w:rsid w:val="00B51E90"/>
    <w:rsid w:val="00B641F9"/>
    <w:rsid w:val="00BA0A82"/>
    <w:rsid w:val="00BD0DC1"/>
    <w:rsid w:val="00BD31BC"/>
    <w:rsid w:val="00BF1250"/>
    <w:rsid w:val="00C03032"/>
    <w:rsid w:val="00C0393A"/>
    <w:rsid w:val="00C22B09"/>
    <w:rsid w:val="00C6466E"/>
    <w:rsid w:val="00C65531"/>
    <w:rsid w:val="00C72547"/>
    <w:rsid w:val="00C86BCB"/>
    <w:rsid w:val="00CA1B78"/>
    <w:rsid w:val="00CC3539"/>
    <w:rsid w:val="00CD59DC"/>
    <w:rsid w:val="00CF3EA1"/>
    <w:rsid w:val="00D009D9"/>
    <w:rsid w:val="00D319A4"/>
    <w:rsid w:val="00D65C68"/>
    <w:rsid w:val="00D76225"/>
    <w:rsid w:val="00D844B6"/>
    <w:rsid w:val="00DA3050"/>
    <w:rsid w:val="00DC32D4"/>
    <w:rsid w:val="00DC786B"/>
    <w:rsid w:val="00DD260E"/>
    <w:rsid w:val="00DD2AFB"/>
    <w:rsid w:val="00E046F7"/>
    <w:rsid w:val="00E23E21"/>
    <w:rsid w:val="00E433D8"/>
    <w:rsid w:val="00E4608A"/>
    <w:rsid w:val="00E85A63"/>
    <w:rsid w:val="00EB47C0"/>
    <w:rsid w:val="00EC1999"/>
    <w:rsid w:val="00EC51DE"/>
    <w:rsid w:val="00ED623F"/>
    <w:rsid w:val="00EE20EE"/>
    <w:rsid w:val="00EE2E14"/>
    <w:rsid w:val="00EF719B"/>
    <w:rsid w:val="00F03993"/>
    <w:rsid w:val="00F04AC0"/>
    <w:rsid w:val="00F26EAB"/>
    <w:rsid w:val="00F46351"/>
    <w:rsid w:val="00F828CE"/>
    <w:rsid w:val="00FA5646"/>
    <w:rsid w:val="00FC1D3B"/>
    <w:rsid w:val="00FE6A3B"/>
    <w:rsid w:val="00FF08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E450D3"/>
  <w15:chartTrackingRefBased/>
  <w15:docId w15:val="{7624573A-9521-E344-B3DF-CFE7E207DA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1D91"/>
    <w:rPr>
      <w:color w:val="0563C1" w:themeColor="hyperlink"/>
      <w:u w:val="single"/>
    </w:rPr>
  </w:style>
  <w:style w:type="character" w:styleId="FollowedHyperlink">
    <w:name w:val="FollowedHyperlink"/>
    <w:basedOn w:val="DefaultParagraphFont"/>
    <w:uiPriority w:val="99"/>
    <w:semiHidden/>
    <w:unhideWhenUsed/>
    <w:rsid w:val="00AF52B0"/>
    <w:rPr>
      <w:color w:val="954F72" w:themeColor="followedHyperlink"/>
      <w:u w:val="single"/>
    </w:rPr>
  </w:style>
  <w:style w:type="character" w:styleId="UnresolvedMention">
    <w:name w:val="Unresolved Mention"/>
    <w:basedOn w:val="DefaultParagraphFont"/>
    <w:uiPriority w:val="99"/>
    <w:semiHidden/>
    <w:unhideWhenUsed/>
    <w:rsid w:val="00B361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mc.org.uk/globalassets/sitedocuments/revalidation/reflective-practice-guidance.pdf"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186/s12912-021-00579-2" TargetMode="External"/><Relationship Id="rId12" Type="http://schemas.openxmlformats.org/officeDocument/2006/relationships/hyperlink" Target="https://www.gov.wales/reducing-restrictive-practices-framework-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qualityhumanrights.com/sites/default/files/human-rights-framework-restraint.pdf" TargetMode="External"/><Relationship Id="rId11" Type="http://schemas.openxmlformats.org/officeDocument/2006/relationships/hyperlink" Target="https://www.tsw.co.uk/blog/leadership-and-management/gibbs-reflective-cycle/" TargetMode="External"/><Relationship Id="rId5" Type="http://schemas.openxmlformats.org/officeDocument/2006/relationships/hyperlink" Target="https://ikontraining.co.uk/ikon-insights/de-escalation-techniques-for-keeping-people-safe-in-the-nhs/#:~:text=De%2Descalation%20techniques%20for%20nursing,manage%20challenging%20behaviour%20beyond%20this" TargetMode="External"/><Relationship Id="rId10" Type="http://schemas.openxmlformats.org/officeDocument/2006/relationships/hyperlink" Target="https://doi.org/10.1186/1745-0179-1-11" TargetMode="External"/><Relationship Id="rId4" Type="http://schemas.openxmlformats.org/officeDocument/2006/relationships/hyperlink" Target="https://doi.org/10.1192%2Fbjo.2022.574" TargetMode="External"/><Relationship Id="rId9" Type="http://schemas.openxmlformats.org/officeDocument/2006/relationships/hyperlink" Target="https://www.nmc.org.uk/standards/code/read-the-code-onlin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2420</Words>
  <Characters>13798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Ashton Davies (2318446)</dc:creator>
  <cp:keywords/>
  <dc:description/>
  <cp:lastModifiedBy>Ashton Davies (2318446)</cp:lastModifiedBy>
  <cp:revision>2</cp:revision>
  <dcterms:created xsi:type="dcterms:W3CDTF">2023-12-15T17:16:00Z</dcterms:created>
  <dcterms:modified xsi:type="dcterms:W3CDTF">2023-12-15T17:16:00Z</dcterms:modified>
</cp:coreProperties>
</file>