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0" w:after="60" w:line="360"/>
        <w:ind w:right="0" w:left="0" w:firstLine="0"/>
        <w:jc w:val="center"/>
        <w:rPr>
          <w:rFonts w:ascii="Times New Roman" w:hAnsi="Times New Roman" w:cs="Times New Roman" w:eastAsia="Times New Roman"/>
          <w:b/>
          <w:color w:val="auto"/>
          <w:spacing w:val="0"/>
          <w:position w:val="0"/>
          <w:sz w:val="32"/>
          <w:u w:val="single"/>
          <w:shd w:fill="auto" w:val="clear"/>
        </w:rPr>
      </w:pPr>
      <w:r>
        <w:rPr>
          <w:rFonts w:ascii="Times New Roman" w:hAnsi="Times New Roman" w:cs="Times New Roman" w:eastAsia="Times New Roman"/>
          <w:b/>
          <w:color w:val="auto"/>
          <w:spacing w:val="0"/>
          <w:position w:val="0"/>
          <w:sz w:val="32"/>
          <w:u w:val="single"/>
          <w:shd w:fill="auto" w:val="clear"/>
        </w:rPr>
        <w:t xml:space="preserve">Criminal Law</w:t>
      </w:r>
    </w:p>
    <w:p>
      <w:pPr>
        <w:keepNext w:val="true"/>
        <w:keepLines w:val="true"/>
        <w:spacing w:before="0" w:after="60" w:line="360"/>
        <w:ind w:right="0" w:left="0" w:firstLine="0"/>
        <w:jc w:val="center"/>
        <w:rPr>
          <w:rFonts w:ascii="Times New Roman" w:hAnsi="Times New Roman" w:cs="Times New Roman" w:eastAsia="Times New Roman"/>
          <w:b/>
          <w:color w:val="auto"/>
          <w:spacing w:val="0"/>
          <w:position w:val="0"/>
          <w:sz w:val="32"/>
          <w:u w:val="single"/>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Question 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Question 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Reference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study will focus on the scenario of assessing the ability to apply criminal law and stating the facts. It will show the support of the study by providing advice and law which are relevant to the scenarios. This study will be categorised into showing the situation of theft, and trespassing concerning Ronan and Hadley and justification of how Freya will rely on the defenses following intoxication and automatism. The acts which will be highlighted in the scenario of Ronan and Hadley, include </w:t>
      </w:r>
      <w:r>
        <w:rPr>
          <w:rFonts w:ascii="Times New Roman" w:hAnsi="Times New Roman" w:cs="Times New Roman" w:eastAsia="Times New Roman"/>
          <w:color w:val="auto"/>
          <w:spacing w:val="0"/>
          <w:position w:val="0"/>
          <w:sz w:val="24"/>
          <w:shd w:fill="FFFFFF" w:val="clear"/>
        </w:rPr>
        <w:t xml:space="preserve">various theft Acts, actus reus and mens rea. Under the scenario of Freya, it will highlight acts which will state her point and the charges for her case law.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Question 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Concerning the scenario, Ronan who recently bought a pair of limited edition "Bucci trainers" faced an incident. On Friday night out, Ronan bragged about the new "Bucci trainers" and that he is planning to go on a holiday in Maldives. Hadley, who was present in the scenario, overheard the conversation and hated that Ronan kept on showing off. Meanwhile on Saturday, after knowing that Ronan went to the airport, Hadley visited Ronan's house with the motive to steal his Bucci trainers. While aiming to steal it, Hadley tried various ways to get into the house. After successfully getting into the house, Hadley went upstairs but couldn't find the Bucci trainers. Instead, he saw a "kolex" watch and decided to steal it later, dropped the aftershave in the bin in Ronan's dressing room, and set it on fire. The whole situation brought disadvantages for Hadley and made him liable for criminal charges against stealing, trespassing and destroying Rohan's personal and home appliances.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the action Hadley caused, he will be charged with various criminal laws under the theft act i.e Sec 1 of the Theft Act, 1968 and Sec 9 of the Theft Act, 1968. The Sec 1 of the Theft Act 1968 under the UK legislation resembles if the person is guilty of theft and shall be liable to imprisonment for approximately seven years (</w:t>
      </w:r>
      <w:r>
        <w:rPr>
          <w:rFonts w:ascii="Times New Roman" w:hAnsi="Times New Roman" w:cs="Times New Roman" w:eastAsia="Times New Roman"/>
          <w:color w:val="auto"/>
          <w:spacing w:val="0"/>
          <w:position w:val="0"/>
          <w:sz w:val="24"/>
          <w:shd w:fill="FFFFFF" w:val="clear"/>
        </w:rPr>
        <w:t xml:space="preserve">Aslam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2020)</w:t>
      </w:r>
      <w:r>
        <w:rPr>
          <w:rFonts w:ascii="Times New Roman" w:hAnsi="Times New Roman" w:cs="Times New Roman" w:eastAsia="Times New Roman"/>
          <w:color w:val="auto"/>
          <w:spacing w:val="0"/>
          <w:position w:val="0"/>
          <w:sz w:val="24"/>
          <w:shd w:fill="auto" w:val="clear"/>
        </w:rPr>
        <w:t xml:space="preserve">. The Sec 9 of the Theft Act resembles burglary by entering the building as a trespasser. The attempt to steal any personal appliances of an individual or anything in the building falls under this act. These acts will bring various disadvantages in his life (</w:t>
      </w:r>
      <w:r>
        <w:rPr>
          <w:rFonts w:ascii="Times New Roman" w:hAnsi="Times New Roman" w:cs="Times New Roman" w:eastAsia="Times New Roman"/>
          <w:color w:val="auto"/>
          <w:spacing w:val="0"/>
          <w:position w:val="0"/>
          <w:sz w:val="24"/>
          <w:shd w:fill="FFFFFF" w:val="clear"/>
        </w:rPr>
        <w:t xml:space="preserve">Choi </w:t>
      </w:r>
      <w:r>
        <w:rPr>
          <w:rFonts w:ascii="Times New Roman" w:hAnsi="Times New Roman" w:cs="Times New Roman" w:eastAsia="Times New Roman"/>
          <w:i/>
          <w:color w:val="auto"/>
          <w:spacing w:val="0"/>
          <w:position w:val="0"/>
          <w:sz w:val="24"/>
          <w:shd w:fill="FFFFFF" w:val="clear"/>
        </w:rPr>
        <w:t xml:space="preserve">et al., </w:t>
      </w:r>
      <w:r>
        <w:rPr>
          <w:rFonts w:ascii="Times New Roman" w:hAnsi="Times New Roman" w:cs="Times New Roman" w:eastAsia="Times New Roman"/>
          <w:color w:val="auto"/>
          <w:spacing w:val="0"/>
          <w:position w:val="0"/>
          <w:sz w:val="24"/>
          <w:shd w:fill="FFFFFF" w:val="clear"/>
        </w:rPr>
        <w:t xml:space="preserve">2021)</w:t>
      </w:r>
      <w:r>
        <w:rPr>
          <w:rFonts w:ascii="Times New Roman" w:hAnsi="Times New Roman" w:cs="Times New Roman" w:eastAsia="Times New Roman"/>
          <w:color w:val="auto"/>
          <w:spacing w:val="0"/>
          <w:position w:val="0"/>
          <w:sz w:val="24"/>
          <w:shd w:fill="auto" w:val="clear"/>
        </w:rPr>
        <w:t xml:space="preserve">. For the convenience of theft, the law will perform several trials and prove elements. This element will state that an individual took property belonging to someone else with the intention of not returning it.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act that Hadley can be in charge of includes Actus Reus. This act consists of physical parts of the crime and is also known as a guilty act (</w:t>
      </w:r>
      <w:r>
        <w:rPr>
          <w:rFonts w:ascii="Times New Roman" w:hAnsi="Times New Roman" w:cs="Times New Roman" w:eastAsia="Times New Roman"/>
          <w:color w:val="auto"/>
          <w:spacing w:val="0"/>
          <w:position w:val="0"/>
          <w:sz w:val="24"/>
          <w:shd w:fill="FFFFFF" w:val="clear"/>
        </w:rPr>
        <w:t xml:space="preserve">Hasitha and Jain, 2019).</w:t>
      </w:r>
      <w:r>
        <w:rPr>
          <w:rFonts w:ascii="Times New Roman" w:hAnsi="Times New Roman" w:cs="Times New Roman" w:eastAsia="Times New Roman"/>
          <w:color w:val="auto"/>
          <w:spacing w:val="0"/>
          <w:position w:val="0"/>
          <w:sz w:val="24"/>
          <w:shd w:fill="auto" w:val="clear"/>
        </w:rPr>
        <w:t xml:space="preserve"> It includes the offence of destruction of property which belongs to the property holder. To seem more liable, this act includes an element where the guilt should be conducted by the defendant. Even though in various cases, the defendant was required to perform something to satisfy the act. The "Sec 18 of the Offences against the Person Act of 1861" and the "Criminal Damage Act '' are also some of the acts which can be liable for Hadley (</w:t>
      </w:r>
      <w:r>
        <w:rPr>
          <w:rFonts w:ascii="Times New Roman" w:hAnsi="Times New Roman" w:cs="Times New Roman" w:eastAsia="Times New Roman"/>
          <w:color w:val="auto"/>
          <w:spacing w:val="0"/>
          <w:position w:val="0"/>
          <w:sz w:val="24"/>
          <w:shd w:fill="FFFFFF" w:val="clear"/>
        </w:rPr>
        <w:t xml:space="preserve">Hennessy, 2020)</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Hadley has already done an offence by theft that he could be criminally liable for </w:t>
      </w:r>
      <w:r>
        <w:rPr>
          <w:rFonts w:ascii="Times New Roman" w:hAnsi="Times New Roman" w:cs="Times New Roman" w:eastAsia="Times New Roman"/>
          <w:color w:val="auto"/>
          <w:spacing w:val="0"/>
          <w:position w:val="0"/>
          <w:sz w:val="24"/>
          <w:shd w:fill="FFFFFF" w:val="clear"/>
        </w:rPr>
        <w:t xml:space="preserve">Trespassing. The term Trespassing.is entering someone’s property without permission (Fisher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2022). In this case, Hadley trespassed on Ronan's house and stole the Kolex watch when he could not find the Bucci trainers. Hadley even poured aftershave into the dustbin and set it on fire in the dressing room. The act done by Hadley was a crime scene, thus to this Hadley can be charged with the offence of trespassing on someone else's private property (DiPaolo,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Men's rea is the term for an evil mind in which a person is intended to commit a crime (Watt, 2019). Concerning the case Hadley committed this criminal act just because he was jealous of Rohan who had a successful business string, he even had expensive cars and clothes. The crime intention in Hadley's mind came when he got to know that Rohan got a pair of bucci trainers which was a limited edition. In this case, Hadley can be punished even if the act is accomplished without guilty intent (Saffary and Saberi, 2020).</w:t>
      </w:r>
    </w:p>
    <w:p>
      <w:pPr>
        <w:keepNext w:val="true"/>
        <w:keepLines w:val="true"/>
        <w:spacing w:before="0" w:after="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Question 2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Freya punched Mike in the face resulting in a black eye for which she was charged with </w:t>
      </w:r>
      <w:r>
        <w:rPr>
          <w:rFonts w:ascii="Times New Roman" w:hAnsi="Times New Roman" w:cs="Times New Roman" w:eastAsia="Times New Roman"/>
          <w:i/>
          <w:color w:val="auto"/>
          <w:spacing w:val="0"/>
          <w:position w:val="0"/>
          <w:sz w:val="24"/>
          <w:shd w:fill="auto" w:val="clear"/>
        </w:rPr>
        <w:t xml:space="preserve">Section 47 </w:t>
      </w:r>
      <w:r>
        <w:rPr>
          <w:rFonts w:ascii="Times New Roman" w:hAnsi="Times New Roman" w:cs="Times New Roman" w:eastAsia="Times New Roman"/>
          <w:color w:val="auto"/>
          <w:spacing w:val="0"/>
          <w:position w:val="0"/>
          <w:sz w:val="24"/>
          <w:shd w:fill="auto" w:val="clear"/>
        </w:rPr>
        <w:t xml:space="preserve">of </w:t>
      </w:r>
      <w:r>
        <w:rPr>
          <w:rFonts w:ascii="Times New Roman" w:hAnsi="Times New Roman" w:cs="Times New Roman" w:eastAsia="Times New Roman"/>
          <w:i/>
          <w:color w:val="auto"/>
          <w:spacing w:val="0"/>
          <w:position w:val="0"/>
          <w:sz w:val="24"/>
          <w:shd w:fill="auto" w:val="clear"/>
        </w:rPr>
        <w:t xml:space="preserve">“Offences Against The Person Act 1861”. </w:t>
      </w:r>
      <w:r>
        <w:rPr>
          <w:rFonts w:ascii="Times New Roman" w:hAnsi="Times New Roman" w:cs="Times New Roman" w:eastAsia="Times New Roman"/>
          <w:color w:val="auto"/>
          <w:spacing w:val="0"/>
          <w:position w:val="0"/>
          <w:sz w:val="24"/>
          <w:shd w:fill="auto" w:val="clear"/>
        </w:rPr>
        <w:t xml:space="preserve">The situation involves Freya being in a drunken state and having a seizure when she punched Mike in the face. The incident took place after Freya and her university friend Nicky were backing home from a foam party at a local nightclub. Before going to the party, both Freya and Nicky had a bottle of gin between them and at the party, they had six double gins tonics each. The offences under which Freya has been charged in this situation need to prove that Freya assaulted Mike recklessly or intentionally and it caused </w:t>
      </w:r>
      <w:r>
        <w:rPr>
          <w:rFonts w:ascii="Times New Roman" w:hAnsi="Times New Roman" w:cs="Times New Roman" w:eastAsia="Times New Roman"/>
          <w:i/>
          <w:color w:val="auto"/>
          <w:spacing w:val="0"/>
          <w:position w:val="0"/>
          <w:sz w:val="24"/>
          <w:shd w:fill="auto" w:val="clear"/>
        </w:rPr>
        <w:t xml:space="preserve">“actual bodily harm”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FFFFFF" w:val="clear"/>
        </w:rPr>
        <w:t xml:space="preserve">Hennessy, 2020</w:t>
      </w:r>
      <w:r>
        <w:rPr>
          <w:rFonts w:ascii="Times New Roman" w:hAnsi="Times New Roman" w:cs="Times New Roman" w:eastAsia="Times New Roman"/>
          <w:color w:val="auto"/>
          <w:spacing w:val="0"/>
          <w:position w:val="0"/>
          <w:sz w:val="24"/>
          <w:shd w:fill="auto" w:val="clear"/>
        </w:rPr>
        <w:t xml:space="preserve">). In this case, Mike has proof of bodily harm in the form of a blackened from the punch. This is a piece of massive evidence against the offence that can be used to consider Freya to be guilty. However, in her defense, Freya can state that she was drunk and that the offence was not intentional as she lost her sense of thinking due to the massive amount of alcohol intake. This aspect is protected by </w:t>
      </w:r>
      <w:r>
        <w:rPr>
          <w:rFonts w:ascii="Times New Roman" w:hAnsi="Times New Roman" w:cs="Times New Roman" w:eastAsia="Times New Roman"/>
          <w:i/>
          <w:color w:val="auto"/>
          <w:spacing w:val="0"/>
          <w:position w:val="0"/>
          <w:sz w:val="24"/>
          <w:shd w:fill="auto" w:val="clear"/>
        </w:rPr>
        <w:t xml:space="preserve">"men's rea"</w:t>
      </w:r>
      <w:r>
        <w:rPr>
          <w:rFonts w:ascii="Times New Roman" w:hAnsi="Times New Roman" w:cs="Times New Roman" w:eastAsia="Times New Roman"/>
          <w:color w:val="auto"/>
          <w:spacing w:val="0"/>
          <w:position w:val="0"/>
          <w:sz w:val="24"/>
          <w:shd w:fill="auto" w:val="clear"/>
        </w:rPr>
        <w:t xml:space="preserve"> which states that the mental state in which a crime is conducted needs to be aligned with the crime. This means that the accused should also have a</w:t>
      </w:r>
      <w:r>
        <w:rPr>
          <w:rFonts w:ascii="Times New Roman" w:hAnsi="Times New Roman" w:cs="Times New Roman" w:eastAsia="Times New Roman"/>
          <w:i/>
          <w:color w:val="auto"/>
          <w:spacing w:val="0"/>
          <w:position w:val="0"/>
          <w:sz w:val="24"/>
          <w:shd w:fill="auto" w:val="clear"/>
        </w:rPr>
        <w:t xml:space="preserve"> “guilty mind”</w:t>
      </w:r>
      <w:r>
        <w:rPr>
          <w:rFonts w:ascii="Times New Roman" w:hAnsi="Times New Roman" w:cs="Times New Roman" w:eastAsia="Times New Roman"/>
          <w:color w:val="auto"/>
          <w:spacing w:val="0"/>
          <w:position w:val="0"/>
          <w:sz w:val="24"/>
          <w:shd w:fill="auto" w:val="clear"/>
        </w:rPr>
        <w:t xml:space="preserve">, meaning that the crime should have been intentional and not a mistake or unintentional. </w:t>
      </w:r>
      <w:r>
        <w:rPr>
          <w:rFonts w:ascii="Times New Roman" w:hAnsi="Times New Roman" w:cs="Times New Roman" w:eastAsia="Times New Roman"/>
          <w:i/>
          <w:color w:val="auto"/>
          <w:spacing w:val="0"/>
          <w:position w:val="0"/>
          <w:sz w:val="24"/>
          <w:shd w:fill="auto" w:val="clear"/>
        </w:rPr>
        <w:t xml:space="preserve">“Actus rea”</w:t>
      </w:r>
      <w:r>
        <w:rPr>
          <w:rFonts w:ascii="Times New Roman" w:hAnsi="Times New Roman" w:cs="Times New Roman" w:eastAsia="Times New Roman"/>
          <w:color w:val="auto"/>
          <w:spacing w:val="0"/>
          <w:position w:val="0"/>
          <w:sz w:val="24"/>
          <w:shd w:fill="auto" w:val="clear"/>
        </w:rPr>
        <w:t xml:space="preserve"> which involves physical elements of the crime and includes voluntary acts is applicable here as Freya was involved in the offence voluntarily (</w:t>
      </w:r>
      <w:r>
        <w:rPr>
          <w:rFonts w:ascii="Times New Roman" w:hAnsi="Times New Roman" w:cs="Times New Roman" w:eastAsia="Times New Roman"/>
          <w:color w:val="auto"/>
          <w:spacing w:val="0"/>
          <w:position w:val="0"/>
          <w:sz w:val="24"/>
          <w:shd w:fill="FFFFFF" w:val="clear"/>
        </w:rPr>
        <w:t xml:space="preserve">Brookbanks, 2022</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Freya was diagnosed with epilepsy as a child but she did not have any seizures for the past ten years. As a result, she was not on any medication, however, it is well-known that epilepsy is an incurable disease and can only be controlled with medications. Being diagnosed with such as disease at an early age meant that Freya was well aware of this knowledge about her disease. Moreover, alcohol intake and flashing lights are some of the causes of seizures which is also a known fact. Despite this Freya took an absurd amount of alcohol and went to a nightclub. This aspect cannot be overlooked and it can act as proof of voluntary intoxication and intentional bodily harm. On the other hand, intoxication </w:t>
      </w:r>
      <w:r>
        <w:rPr>
          <w:rFonts w:ascii="Times New Roman" w:hAnsi="Times New Roman" w:cs="Times New Roman" w:eastAsia="Times New Roman"/>
          <w:i/>
          <w:color w:val="auto"/>
          <w:spacing w:val="0"/>
          <w:position w:val="0"/>
          <w:sz w:val="24"/>
          <w:shd w:fill="auto" w:val="clear"/>
        </w:rPr>
        <w:t xml:space="preserve">“is not a defence per se”</w:t>
      </w:r>
      <w:r>
        <w:rPr>
          <w:rFonts w:ascii="Times New Roman" w:hAnsi="Times New Roman" w:cs="Times New Roman" w:eastAsia="Times New Roman"/>
          <w:color w:val="auto"/>
          <w:spacing w:val="0"/>
          <w:position w:val="0"/>
          <w:sz w:val="24"/>
          <w:shd w:fill="auto" w:val="clear"/>
        </w:rPr>
        <w:t xml:space="preserve"> whether it was voluntary or involuntary. Freya was well aware of her disease and the outcomes of her actions and she voluntarily engaged in activities that could trigger a seizure. During the hearings of </w:t>
      </w:r>
      <w:r>
        <w:rPr>
          <w:rFonts w:ascii="Times New Roman" w:hAnsi="Times New Roman" w:cs="Times New Roman" w:eastAsia="Times New Roman"/>
          <w:i/>
          <w:color w:val="auto"/>
          <w:spacing w:val="0"/>
          <w:position w:val="0"/>
          <w:sz w:val="24"/>
          <w:shd w:fill="auto" w:val="clear"/>
        </w:rPr>
        <w:t xml:space="preserve">“R v Bailey (1983) and R v Hardie (1985), </w:t>
      </w:r>
      <w:r>
        <w:rPr>
          <w:rFonts w:ascii="Times New Roman" w:hAnsi="Times New Roman" w:cs="Times New Roman" w:eastAsia="Times New Roman"/>
          <w:color w:val="auto"/>
          <w:spacing w:val="0"/>
          <w:position w:val="0"/>
          <w:sz w:val="24"/>
          <w:shd w:fill="auto" w:val="clear"/>
        </w:rPr>
        <w:t xml:space="preserve">two categories of drugs were formulated by the Court of Appeal namely </w:t>
      </w:r>
      <w:r>
        <w:rPr>
          <w:rFonts w:ascii="Times New Roman" w:hAnsi="Times New Roman" w:cs="Times New Roman" w:eastAsia="Times New Roman"/>
          <w:i/>
          <w:color w:val="auto"/>
          <w:spacing w:val="0"/>
          <w:position w:val="0"/>
          <w:sz w:val="24"/>
          <w:shd w:fill="auto" w:val="clear"/>
        </w:rPr>
        <w:t xml:space="preserve">“dangerous”</w:t>
      </w:r>
      <w:r>
        <w:rPr>
          <w:rFonts w:ascii="Times New Roman" w:hAnsi="Times New Roman" w:cs="Times New Roman" w:eastAsia="Times New Roman"/>
          <w:color w:val="auto"/>
          <w:spacing w:val="0"/>
          <w:position w:val="0"/>
          <w:sz w:val="24"/>
          <w:shd w:fill="auto" w:val="clear"/>
        </w:rPr>
        <w:t xml:space="preserve"> and “non-dangerous” (</w:t>
      </w:r>
      <w:r>
        <w:rPr>
          <w:rFonts w:ascii="Times New Roman" w:hAnsi="Times New Roman" w:cs="Times New Roman" w:eastAsia="Times New Roman"/>
          <w:color w:val="auto"/>
          <w:spacing w:val="0"/>
          <w:position w:val="0"/>
          <w:sz w:val="24"/>
          <w:shd w:fill="FFFFFF" w:val="clear"/>
        </w:rPr>
        <w:t xml:space="preserve">cps, 2018</w:t>
      </w:r>
      <w:r>
        <w:rPr>
          <w:rFonts w:ascii="Times New Roman" w:hAnsi="Times New Roman" w:cs="Times New Roman" w:eastAsia="Times New Roman"/>
          <w:color w:val="auto"/>
          <w:spacing w:val="0"/>
          <w:position w:val="0"/>
          <w:sz w:val="24"/>
          <w:shd w:fill="auto" w:val="clear"/>
        </w:rPr>
        <w:t xml:space="preserve">). In both cases, voluntary intoxication is applicable and in case of </w:t>
      </w:r>
      <w:r>
        <w:rPr>
          <w:rFonts w:ascii="Times New Roman" w:hAnsi="Times New Roman" w:cs="Times New Roman" w:eastAsia="Times New Roman"/>
          <w:i/>
          <w:color w:val="auto"/>
          <w:spacing w:val="0"/>
          <w:position w:val="0"/>
          <w:sz w:val="24"/>
          <w:shd w:fill="auto" w:val="clear"/>
        </w:rPr>
        <w:t xml:space="preserve">“non-dangerous”</w:t>
      </w:r>
      <w:r>
        <w:rPr>
          <w:rFonts w:ascii="Times New Roman" w:hAnsi="Times New Roman" w:cs="Times New Roman" w:eastAsia="Times New Roman"/>
          <w:color w:val="auto"/>
          <w:spacing w:val="0"/>
          <w:position w:val="0"/>
          <w:sz w:val="24"/>
          <w:shd w:fill="auto" w:val="clear"/>
        </w:rPr>
        <w:t xml:space="preserve"> drug, the effects and of the drug based on the quantity and situation in which it was taken counts for voluntary intoxication. Similarly, Freya knowingly took alcohol and that too, in an absurd quantity which counts as voluntary intoxication. In addition to this, her situation can be classified as a </w:t>
      </w:r>
      <w:r>
        <w:rPr>
          <w:rFonts w:ascii="Times New Roman" w:hAnsi="Times New Roman" w:cs="Times New Roman" w:eastAsia="Times New Roman"/>
          <w:i/>
          <w:color w:val="auto"/>
          <w:spacing w:val="0"/>
          <w:position w:val="0"/>
          <w:sz w:val="24"/>
          <w:shd w:fill="auto" w:val="clear"/>
        </w:rPr>
        <w:t xml:space="preserve">“Specific Intent” </w:t>
      </w:r>
      <w:r>
        <w:rPr>
          <w:rFonts w:ascii="Times New Roman" w:hAnsi="Times New Roman" w:cs="Times New Roman" w:eastAsia="Times New Roman"/>
          <w:color w:val="auto"/>
          <w:spacing w:val="0"/>
          <w:position w:val="0"/>
          <w:sz w:val="24"/>
          <w:shd w:fill="auto" w:val="clear"/>
        </w:rPr>
        <w:t xml:space="preserve">where she voluntarily put herself in the position of getting intoxicated to an extent where she lost her capability to mentally process and think straight. However, in the case of </w:t>
      </w:r>
      <w:r>
        <w:rPr>
          <w:rFonts w:ascii="Times New Roman" w:hAnsi="Times New Roman" w:cs="Times New Roman" w:eastAsia="Times New Roman"/>
          <w:i/>
          <w:color w:val="auto"/>
          <w:spacing w:val="0"/>
          <w:position w:val="0"/>
          <w:sz w:val="24"/>
          <w:shd w:fill="auto" w:val="clear"/>
        </w:rPr>
        <w:t xml:space="preserve">“R v Sheehan and Moore (1975), </w:t>
      </w:r>
      <w:r>
        <w:rPr>
          <w:rFonts w:ascii="Times New Roman" w:hAnsi="Times New Roman" w:cs="Times New Roman" w:eastAsia="Times New Roman"/>
          <w:color w:val="auto"/>
          <w:spacing w:val="0"/>
          <w:position w:val="0"/>
          <w:sz w:val="24"/>
          <w:shd w:fill="auto" w:val="clear"/>
        </w:rPr>
        <w:t xml:space="preserve">it was clearly stated that a drunken intent is still counted as an intent (</w:t>
      </w:r>
      <w:r>
        <w:rPr>
          <w:rFonts w:ascii="Times New Roman" w:hAnsi="Times New Roman" w:cs="Times New Roman" w:eastAsia="Times New Roman"/>
          <w:color w:val="auto"/>
          <w:spacing w:val="0"/>
          <w:position w:val="0"/>
          <w:sz w:val="24"/>
          <w:shd w:fill="FFFFFF" w:val="clear"/>
        </w:rPr>
        <w:t xml:space="preserve">Maitra, 2021</w:t>
      </w:r>
      <w:r>
        <w:rPr>
          <w:rFonts w:ascii="Times New Roman" w:hAnsi="Times New Roman" w:cs="Times New Roman" w:eastAsia="Times New Roman"/>
          <w:color w:val="auto"/>
          <w:spacing w:val="0"/>
          <w:position w:val="0"/>
          <w:sz w:val="24"/>
          <w:shd w:fill="auto" w:val="clear"/>
        </w:rPr>
        <w:t xml:space="preserve">). Thus, the intoxication defence for Freya will not work in this case as she was involved in the offence voluntarily.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study highlights the cases of the crime scene. The study outlined the criminal laws and acts to support the statement and the case provided. Some Acts and terms used in the study include </w:t>
      </w:r>
      <w:r>
        <w:rPr>
          <w:rFonts w:ascii="Times New Roman" w:hAnsi="Times New Roman" w:cs="Times New Roman" w:eastAsia="Times New Roman"/>
          <w:color w:val="auto"/>
          <w:spacing w:val="0"/>
          <w:position w:val="0"/>
          <w:sz w:val="24"/>
          <w:shd w:fill="FFFFFF" w:val="clear"/>
        </w:rPr>
        <w:t xml:space="preserve">Sec. 1 of the Theft Act, 1968, Sec. 9 of the Theft Act, 1968 Sec.9 (1)(b) the Theft Act, 1968, Trespassing, Actus reus - Guilty Act and Mens rea. The study includes justification for which Hadley can be criminally liable to be charged and punished and a justification for the event of the student being charged on the offence act.</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276"/>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Aslam, Z., Javaid, N., Ahmad, A., Ahmed, A. and Gulfam, S.M., 2020. A combined deep learning and ensemble learning methodology to avoid electricity theft in smart grids. </w:t>
      </w:r>
      <w:r>
        <w:rPr>
          <w:rFonts w:ascii="Times New Roman" w:hAnsi="Times New Roman" w:cs="Times New Roman" w:eastAsia="Times New Roman"/>
          <w:i/>
          <w:color w:val="auto"/>
          <w:spacing w:val="0"/>
          <w:position w:val="0"/>
          <w:sz w:val="24"/>
          <w:shd w:fill="FFFFFF" w:val="clear"/>
        </w:rPr>
        <w:t xml:space="preserve">Energies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13</w:t>
      </w:r>
      <w:r>
        <w:rPr>
          <w:rFonts w:ascii="Times New Roman" w:hAnsi="Times New Roman" w:cs="Times New Roman" w:eastAsia="Times New Roman"/>
          <w:color w:val="auto"/>
          <w:spacing w:val="0"/>
          <w:position w:val="0"/>
          <w:sz w:val="24"/>
          <w:shd w:fill="FFFFFF" w:val="clear"/>
        </w:rPr>
        <w:t xml:space="preserve">(21), p.5599.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Brookbanks, W., 2022. The Insanity Defence: International and Comparative Perspectives. Oxford University Press.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Choi, J., Kruis, N.E. and Choo, K.S., 2021. Explaining fear of identity theft victimization using a routine activity approach. </w:t>
      </w:r>
      <w:r>
        <w:rPr>
          <w:rFonts w:ascii="Times New Roman" w:hAnsi="Times New Roman" w:cs="Times New Roman" w:eastAsia="Times New Roman"/>
          <w:i/>
          <w:color w:val="auto"/>
          <w:spacing w:val="0"/>
          <w:position w:val="0"/>
          <w:sz w:val="24"/>
          <w:shd w:fill="FFFFFF" w:val="clear"/>
        </w:rPr>
        <w:t xml:space="preserve">Journal of Contemporary Criminal Justice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37</w:t>
      </w:r>
      <w:r>
        <w:rPr>
          <w:rFonts w:ascii="Times New Roman" w:hAnsi="Times New Roman" w:cs="Times New Roman" w:eastAsia="Times New Roman"/>
          <w:color w:val="auto"/>
          <w:spacing w:val="0"/>
          <w:position w:val="0"/>
          <w:sz w:val="24"/>
          <w:shd w:fill="FFFFFF" w:val="clear"/>
        </w:rPr>
        <w:t xml:space="preserve">(3), pp.406-426.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cps.gov.uk (2018) </w:t>
      </w:r>
      <w:r>
        <w:rPr>
          <w:rFonts w:ascii="Times New Roman" w:hAnsi="Times New Roman" w:cs="Times New Roman" w:eastAsia="Times New Roman"/>
          <w:i/>
          <w:color w:val="auto"/>
          <w:spacing w:val="0"/>
          <w:position w:val="0"/>
          <w:sz w:val="24"/>
          <w:shd w:fill="FFFFFF" w:val="clear"/>
        </w:rPr>
        <w:t xml:space="preserve">Intoxication</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Intoxication | The Crown Prosecution Service</w:t>
      </w:r>
      <w:r>
        <w:rPr>
          <w:rFonts w:ascii="Times New Roman" w:hAnsi="Times New Roman" w:cs="Times New Roman" w:eastAsia="Times New Roman"/>
          <w:color w:val="auto"/>
          <w:spacing w:val="0"/>
          <w:position w:val="0"/>
          <w:sz w:val="24"/>
          <w:shd w:fill="FFFFFF" w:val="clear"/>
        </w:rPr>
        <w:t xml:space="preserv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FFFFFF" w:val="clear"/>
          </w:rPr>
          <w:t xml:space="preserve">https://www.cps.gov.uk/legal-guidance/intoxication</w:t>
        </w:r>
      </w:hyperlink>
      <w:r>
        <w:rPr>
          <w:rFonts w:ascii="Times New Roman" w:hAnsi="Times New Roman" w:cs="Times New Roman" w:eastAsia="Times New Roman"/>
          <w:color w:val="auto"/>
          <w:spacing w:val="0"/>
          <w:position w:val="0"/>
          <w:sz w:val="24"/>
          <w:shd w:fill="FFFFFF" w:val="clear"/>
        </w:rPr>
        <w:t xml:space="preserve"> (Accessed: January 13, 2023).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DiPaolo, J., 2022. What’s wrong with epistemic trespassing?. </w:t>
      </w:r>
      <w:r>
        <w:rPr>
          <w:rFonts w:ascii="Times New Roman" w:hAnsi="Times New Roman" w:cs="Times New Roman" w:eastAsia="Times New Roman"/>
          <w:i/>
          <w:color w:val="auto"/>
          <w:spacing w:val="0"/>
          <w:position w:val="0"/>
          <w:sz w:val="24"/>
          <w:shd w:fill="FFFFFF" w:val="clear"/>
        </w:rPr>
        <w:t xml:space="preserve">Philosophical Studies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179</w:t>
      </w:r>
      <w:r>
        <w:rPr>
          <w:rFonts w:ascii="Times New Roman" w:hAnsi="Times New Roman" w:cs="Times New Roman" w:eastAsia="Times New Roman"/>
          <w:color w:val="auto"/>
          <w:spacing w:val="0"/>
          <w:position w:val="0"/>
          <w:sz w:val="24"/>
          <w:shd w:fill="FFFFFF" w:val="clear"/>
        </w:rPr>
        <w:t xml:space="preserve">(1), pp.223-243.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Fisher, D., Maimon, D. and Berenblum, T., 2022. Examining the crime prevention claims of crime prevention through environmental design on system-trespassing behaviors: a randomized experiment. </w:t>
      </w:r>
      <w:r>
        <w:rPr>
          <w:rFonts w:ascii="Times New Roman" w:hAnsi="Times New Roman" w:cs="Times New Roman" w:eastAsia="Times New Roman"/>
          <w:i/>
          <w:color w:val="auto"/>
          <w:spacing w:val="0"/>
          <w:position w:val="0"/>
          <w:sz w:val="24"/>
          <w:shd w:fill="FFFFFF" w:val="clear"/>
        </w:rPr>
        <w:t xml:space="preserve">Security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35</w:t>
      </w:r>
      <w:r>
        <w:rPr>
          <w:rFonts w:ascii="Times New Roman" w:hAnsi="Times New Roman" w:cs="Times New Roman" w:eastAsia="Times New Roman"/>
          <w:color w:val="auto"/>
          <w:spacing w:val="0"/>
          <w:position w:val="0"/>
          <w:sz w:val="24"/>
          <w:shd w:fill="FFFFFF" w:val="clear"/>
        </w:rPr>
        <w:t xml:space="preserve">(2), pp.400-422.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Hasitha, S. and Jain, A., 2019. Actus reus and mens rea.</w:t>
        <w:tab/>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Hennessy, J., 2020. The Dpp v Brown &amp; Consent to Assault Causing Harm: Amending the Non-Fatal Offences against the Person Act 1997. </w:t>
      </w:r>
      <w:r>
        <w:rPr>
          <w:rFonts w:ascii="Times New Roman" w:hAnsi="Times New Roman" w:cs="Times New Roman" w:eastAsia="Times New Roman"/>
          <w:i/>
          <w:color w:val="auto"/>
          <w:spacing w:val="0"/>
          <w:position w:val="0"/>
          <w:sz w:val="24"/>
          <w:shd w:fill="FFFFFF" w:val="clear"/>
        </w:rPr>
        <w:t xml:space="preserve">Plassey L. Rev.</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w:t>
      </w:r>
      <w:r>
        <w:rPr>
          <w:rFonts w:ascii="Times New Roman" w:hAnsi="Times New Roman" w:cs="Times New Roman" w:eastAsia="Times New Roman"/>
          <w:color w:val="auto"/>
          <w:spacing w:val="0"/>
          <w:position w:val="0"/>
          <w:sz w:val="24"/>
          <w:shd w:fill="FFFFFF" w:val="clear"/>
        </w:rPr>
        <w:t xml:space="preserve">, p.13.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Hennessy, J., 2020. The Dpp v Brown &amp; Consent to Assault Causing Harm: Amending the Non-Fatal Offences against the Person Act 1997. Plassey L. Rev., 1, p.13.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Maitra, P., 2021. Critical Analysis of Intoxication as a Defence in IPC 1860. Jus Corpus LJ, 2, p.734.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Saffary, A. and Saberi, R., 2020. The Relativistic Theory of Coincidence between Mens Rea and Actus Reus in Islamic and English Law.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Watt, M.A., 2019, August. Guido and the guilty mind: Mens rea and actus reus in Inferno 27. In </w:t>
      </w:r>
      <w:r>
        <w:rPr>
          <w:rFonts w:ascii="Times New Roman" w:hAnsi="Times New Roman" w:cs="Times New Roman" w:eastAsia="Times New Roman"/>
          <w:i/>
          <w:color w:val="auto"/>
          <w:spacing w:val="0"/>
          <w:position w:val="0"/>
          <w:sz w:val="24"/>
          <w:shd w:fill="FFFFFF" w:val="clear"/>
        </w:rPr>
        <w:t xml:space="preserve">Forum Italicum</w:t>
      </w:r>
      <w:r>
        <w:rPr>
          <w:rFonts w:ascii="Times New Roman" w:hAnsi="Times New Roman" w:cs="Times New Roman" w:eastAsia="Times New Roman"/>
          <w:color w:val="auto"/>
          <w:spacing w:val="0"/>
          <w:position w:val="0"/>
          <w:sz w:val="24"/>
          <w:shd w:fill="FFFFFF" w:val="clear"/>
        </w:rPr>
        <w:t xml:space="preserve"> (Vol. 53, No. 2, pp. 318-326). Sage UK: London, England: SAGE Publications.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cps.gov.uk/legal-guidance/intoxication"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