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54FB2" w:rsidP="00054FB2" w:rsidRDefault="00054FB2" w14:paraId="2D0490AC" w14:textId="77777777">
      <w:pPr>
        <w:spacing w:before="100" w:beforeAutospacing="1" w:after="100" w:afterAutospacing="1" w:line="360" w:lineRule="auto"/>
        <w:ind w:left="2160"/>
        <w:jc w:val="both"/>
        <w:outlineLvl w:val="2"/>
        <w:rPr>
          <w:rFonts w:ascii="Arial" w:hAnsi="Arial" w:eastAsia="Times New Roman" w:cs="Arial"/>
          <w:b/>
          <w:bCs/>
        </w:rPr>
      </w:pPr>
      <w:r>
        <w:rPr>
          <w:rFonts w:ascii="Arial" w:hAnsi="Arial" w:eastAsia="Times New Roman" w:cs="Arial"/>
          <w:b/>
          <w:bCs/>
          <w:noProof/>
        </w:rPr>
        <w:drawing>
          <wp:inline distT="0" distB="0" distL="0" distR="0" wp14:anchorId="7C07561C" wp14:editId="407F6A28">
            <wp:extent cx="2792095" cy="1158240"/>
            <wp:effectExtent l="0" t="0" r="825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rsidR="00054FB2" w:rsidP="00FC2E7E" w:rsidRDefault="00054FB2" w14:paraId="232ED2F4" w14:textId="77777777">
      <w:pPr>
        <w:spacing w:before="100" w:beforeAutospacing="1" w:after="100" w:afterAutospacing="1" w:line="360" w:lineRule="auto"/>
        <w:jc w:val="both"/>
        <w:outlineLvl w:val="2"/>
        <w:rPr>
          <w:rFonts w:ascii="Arial" w:hAnsi="Arial" w:eastAsia="Times New Roman" w:cs="Arial"/>
          <w:b/>
          <w:bCs/>
        </w:rPr>
      </w:pPr>
    </w:p>
    <w:tbl>
      <w:tblPr>
        <w:tblStyle w:val="TableGrid"/>
        <w:tblW w:w="0" w:type="auto"/>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2515"/>
        <w:gridCol w:w="5825"/>
      </w:tblGrid>
      <w:tr w:rsidRPr="008E30AB" w:rsidR="00054FB2" w:rsidTr="75116F20" w14:paraId="1D66F5BD" w14:textId="77777777">
        <w:trPr>
          <w:trHeight w:val="179"/>
          <w:jc w:val="center"/>
        </w:trPr>
        <w:tc>
          <w:tcPr>
            <w:tcW w:w="0" w:type="auto"/>
            <w:tcMar/>
            <w:hideMark/>
          </w:tcPr>
          <w:p w:rsidRPr="008E30AB" w:rsidR="00054FB2" w:rsidP="00AA439C" w:rsidRDefault="00054FB2" w14:paraId="565FA485" w14:textId="77777777">
            <w:pPr>
              <w:spacing w:line="360" w:lineRule="auto"/>
              <w:jc w:val="both"/>
              <w:rPr>
                <w:rFonts w:ascii="Arial" w:hAnsi="Arial" w:eastAsia="Times New Roman" w:cs="Arial"/>
                <w:b/>
                <w:bCs/>
              </w:rPr>
            </w:pPr>
            <w:r w:rsidRPr="008E30AB">
              <w:rPr>
                <w:rFonts w:ascii="Arial" w:hAnsi="Arial" w:eastAsia="Times New Roman" w:cs="Arial"/>
                <w:b/>
                <w:bCs/>
              </w:rPr>
              <w:t>Student Name:</w:t>
            </w:r>
          </w:p>
        </w:tc>
        <w:tc>
          <w:tcPr>
            <w:tcW w:w="5825" w:type="dxa"/>
            <w:tcMar/>
            <w:hideMark/>
          </w:tcPr>
          <w:p w:rsidRPr="008E30AB" w:rsidR="00054FB2" w:rsidP="75116F20" w:rsidRDefault="00054FB2" w14:paraId="2E375FE7" w14:textId="2FF6832B">
            <w:pPr>
              <w:spacing w:line="360" w:lineRule="auto"/>
              <w:jc w:val="both"/>
              <w:rPr>
                <w:rFonts w:ascii="Arial" w:hAnsi="Arial" w:eastAsia="Times New Roman" w:cs="Arial"/>
              </w:rPr>
            </w:pPr>
            <w:r w:rsidRPr="75116F20" w:rsidR="28575616">
              <w:rPr>
                <w:rFonts w:ascii="Arial" w:hAnsi="Arial" w:eastAsia="Times New Roman" w:cs="Arial"/>
              </w:rPr>
              <w:t>Munaza sakindar</w:t>
            </w:r>
          </w:p>
        </w:tc>
      </w:tr>
      <w:tr w:rsidRPr="008E30AB" w:rsidR="00054FB2" w:rsidTr="75116F20" w14:paraId="4604B3CE" w14:textId="77777777">
        <w:trPr>
          <w:jc w:val="center"/>
        </w:trPr>
        <w:tc>
          <w:tcPr>
            <w:tcW w:w="0" w:type="auto"/>
            <w:tcMar/>
            <w:hideMark/>
          </w:tcPr>
          <w:p w:rsidRPr="008E30AB" w:rsidR="00054FB2" w:rsidP="00AA439C" w:rsidRDefault="00054FB2" w14:paraId="11EE1ED1" w14:textId="77777777">
            <w:pPr>
              <w:spacing w:line="360" w:lineRule="auto"/>
              <w:jc w:val="both"/>
              <w:rPr>
                <w:rFonts w:ascii="Arial" w:hAnsi="Arial" w:eastAsia="Times New Roman" w:cs="Arial"/>
              </w:rPr>
            </w:pPr>
            <w:r w:rsidRPr="008E30AB">
              <w:rPr>
                <w:rFonts w:ascii="Arial" w:hAnsi="Arial" w:eastAsia="Times New Roman" w:cs="Arial"/>
                <w:b/>
                <w:bCs/>
              </w:rPr>
              <w:t>Student ID Number:</w:t>
            </w:r>
          </w:p>
        </w:tc>
        <w:tc>
          <w:tcPr>
            <w:tcW w:w="5825" w:type="dxa"/>
            <w:tcMar/>
            <w:hideMark/>
          </w:tcPr>
          <w:p w:rsidRPr="008E30AB" w:rsidR="00054FB2" w:rsidP="00AA439C" w:rsidRDefault="00054FB2" w14:paraId="7720F284" w14:textId="16A59DAF">
            <w:pPr>
              <w:spacing w:line="360" w:lineRule="auto"/>
              <w:jc w:val="both"/>
              <w:rPr>
                <w:rFonts w:ascii="Arial" w:hAnsi="Arial" w:eastAsia="Times New Roman" w:cs="Arial"/>
              </w:rPr>
            </w:pPr>
            <w:r w:rsidRPr="75116F20" w:rsidR="317C506C">
              <w:rPr>
                <w:rFonts w:ascii="Arial" w:hAnsi="Arial" w:eastAsia="Times New Roman" w:cs="Arial"/>
              </w:rPr>
              <w:t>2419348</w:t>
            </w:r>
          </w:p>
        </w:tc>
      </w:tr>
      <w:tr w:rsidRPr="008E30AB" w:rsidR="00054FB2" w:rsidTr="75116F20" w14:paraId="4D4144BC" w14:textId="77777777">
        <w:trPr>
          <w:jc w:val="center"/>
        </w:trPr>
        <w:tc>
          <w:tcPr>
            <w:tcW w:w="0" w:type="auto"/>
            <w:tcMar/>
            <w:hideMark/>
          </w:tcPr>
          <w:p w:rsidRPr="008E30AB" w:rsidR="00054FB2" w:rsidP="00AA439C" w:rsidRDefault="00054FB2" w14:paraId="3D72B76F" w14:textId="77777777">
            <w:pPr>
              <w:spacing w:line="360" w:lineRule="auto"/>
              <w:jc w:val="both"/>
              <w:rPr>
                <w:rFonts w:ascii="Arial" w:hAnsi="Arial" w:eastAsia="Times New Roman" w:cs="Arial"/>
              </w:rPr>
            </w:pPr>
            <w:r w:rsidRPr="008E30AB">
              <w:rPr>
                <w:rFonts w:ascii="Arial" w:hAnsi="Arial" w:eastAsia="Times New Roman" w:cs="Arial"/>
                <w:b/>
                <w:bCs/>
              </w:rPr>
              <w:t>Programme:</w:t>
            </w:r>
          </w:p>
        </w:tc>
        <w:tc>
          <w:tcPr>
            <w:tcW w:w="5825" w:type="dxa"/>
            <w:tcMar/>
            <w:hideMark/>
          </w:tcPr>
          <w:p w:rsidRPr="008E30AB" w:rsidR="00054FB2" w:rsidP="00AA439C" w:rsidRDefault="00054FB2" w14:paraId="74F3EFBE" w14:textId="77777777">
            <w:pPr>
              <w:spacing w:line="360" w:lineRule="auto"/>
              <w:jc w:val="both"/>
              <w:rPr>
                <w:rFonts w:ascii="Arial" w:hAnsi="Arial" w:eastAsia="Times New Roman" w:cs="Arial"/>
                <w:b/>
              </w:rPr>
            </w:pPr>
            <w:r w:rsidRPr="008E30AB">
              <w:rPr>
                <w:rFonts w:ascii="Arial" w:hAnsi="Arial" w:eastAsia="Times New Roman" w:cs="Arial"/>
                <w:b/>
              </w:rPr>
              <w:t>Certificate of Higher Education in Skills for the Workplace (Health &amp; Social Care)</w:t>
            </w:r>
          </w:p>
        </w:tc>
      </w:tr>
      <w:tr w:rsidRPr="008E30AB" w:rsidR="00054FB2" w:rsidTr="75116F20" w14:paraId="0C461E5A" w14:textId="77777777">
        <w:trPr>
          <w:jc w:val="center"/>
        </w:trPr>
        <w:tc>
          <w:tcPr>
            <w:tcW w:w="0" w:type="auto"/>
            <w:tcMar/>
            <w:hideMark/>
          </w:tcPr>
          <w:p w:rsidRPr="008E30AB" w:rsidR="00054FB2" w:rsidP="00AA439C" w:rsidRDefault="00054FB2" w14:paraId="5BF6ABC0" w14:textId="77777777">
            <w:pPr>
              <w:spacing w:line="360" w:lineRule="auto"/>
              <w:jc w:val="both"/>
              <w:rPr>
                <w:rFonts w:ascii="Arial" w:hAnsi="Arial" w:eastAsia="Times New Roman" w:cs="Arial"/>
              </w:rPr>
            </w:pPr>
            <w:r w:rsidRPr="008E30AB">
              <w:rPr>
                <w:rFonts w:ascii="Arial" w:hAnsi="Arial" w:eastAsia="Times New Roman" w:cs="Arial"/>
                <w:b/>
                <w:bCs/>
              </w:rPr>
              <w:t>Module Title:</w:t>
            </w:r>
          </w:p>
        </w:tc>
        <w:tc>
          <w:tcPr>
            <w:tcW w:w="5825" w:type="dxa"/>
            <w:tcMar/>
            <w:hideMark/>
          </w:tcPr>
          <w:p w:rsidRPr="008E30AB" w:rsidR="00054FB2" w:rsidP="00AA439C" w:rsidRDefault="00054FB2" w14:paraId="2127BB38" w14:textId="77777777">
            <w:pPr>
              <w:spacing w:line="360" w:lineRule="auto"/>
              <w:jc w:val="both"/>
              <w:rPr>
                <w:rFonts w:ascii="Arial" w:hAnsi="Arial" w:eastAsia="Times New Roman" w:cs="Arial"/>
              </w:rPr>
            </w:pPr>
            <w:r w:rsidRPr="008E30AB">
              <w:rPr>
                <w:rFonts w:ascii="Arial" w:hAnsi="Arial" w:cs="Arial"/>
                <w:b/>
              </w:rPr>
              <w:t>Psychology</w:t>
            </w:r>
            <w:r w:rsidRPr="008E30AB">
              <w:rPr>
                <w:rFonts w:ascii="Arial" w:hAnsi="Arial" w:cs="Arial"/>
                <w:b/>
                <w:spacing w:val="-6"/>
              </w:rPr>
              <w:t xml:space="preserve"> </w:t>
            </w:r>
            <w:r w:rsidRPr="008E30AB">
              <w:rPr>
                <w:rFonts w:ascii="Arial" w:hAnsi="Arial" w:cs="Arial"/>
                <w:b/>
              </w:rPr>
              <w:t>in</w:t>
            </w:r>
            <w:r w:rsidRPr="008E30AB">
              <w:rPr>
                <w:rFonts w:ascii="Arial" w:hAnsi="Arial" w:cs="Arial"/>
                <w:b/>
                <w:spacing w:val="-4"/>
              </w:rPr>
              <w:t xml:space="preserve"> </w:t>
            </w:r>
            <w:r w:rsidRPr="008E30AB">
              <w:rPr>
                <w:rFonts w:ascii="Arial" w:hAnsi="Arial" w:cs="Arial"/>
                <w:b/>
              </w:rPr>
              <w:t>Health</w:t>
            </w:r>
            <w:r w:rsidRPr="008E30AB">
              <w:rPr>
                <w:rFonts w:ascii="Arial" w:hAnsi="Arial" w:cs="Arial"/>
                <w:b/>
                <w:spacing w:val="-3"/>
              </w:rPr>
              <w:t xml:space="preserve"> </w:t>
            </w:r>
            <w:r w:rsidRPr="008E30AB">
              <w:rPr>
                <w:rFonts w:ascii="Arial" w:hAnsi="Arial" w:cs="Arial"/>
                <w:b/>
              </w:rPr>
              <w:t>and</w:t>
            </w:r>
            <w:r w:rsidRPr="008E30AB">
              <w:rPr>
                <w:rFonts w:ascii="Arial" w:hAnsi="Arial" w:cs="Arial"/>
                <w:b/>
                <w:spacing w:val="-4"/>
              </w:rPr>
              <w:t xml:space="preserve"> </w:t>
            </w:r>
            <w:r w:rsidRPr="008E30AB">
              <w:rPr>
                <w:rFonts w:ascii="Arial" w:hAnsi="Arial" w:cs="Arial"/>
                <w:b/>
              </w:rPr>
              <w:t>Social</w:t>
            </w:r>
            <w:r w:rsidRPr="008E30AB">
              <w:rPr>
                <w:rFonts w:ascii="Arial" w:hAnsi="Arial" w:cs="Arial"/>
                <w:b/>
                <w:spacing w:val="-4"/>
              </w:rPr>
              <w:t xml:space="preserve"> Care</w:t>
            </w:r>
          </w:p>
        </w:tc>
      </w:tr>
      <w:tr w:rsidRPr="008E30AB" w:rsidR="00054FB2" w:rsidTr="75116F20" w14:paraId="4B8FCD72" w14:textId="77777777">
        <w:trPr>
          <w:jc w:val="center"/>
        </w:trPr>
        <w:tc>
          <w:tcPr>
            <w:tcW w:w="0" w:type="auto"/>
            <w:tcMar/>
            <w:hideMark/>
          </w:tcPr>
          <w:p w:rsidRPr="008E30AB" w:rsidR="00054FB2" w:rsidP="00AA439C" w:rsidRDefault="00054FB2" w14:paraId="79070F59" w14:textId="77777777">
            <w:pPr>
              <w:spacing w:line="360" w:lineRule="auto"/>
              <w:jc w:val="both"/>
              <w:rPr>
                <w:rFonts w:ascii="Arial" w:hAnsi="Arial" w:eastAsia="Times New Roman" w:cs="Arial"/>
              </w:rPr>
            </w:pPr>
            <w:r w:rsidRPr="008E30AB">
              <w:rPr>
                <w:rFonts w:ascii="Arial" w:hAnsi="Arial" w:eastAsia="Times New Roman" w:cs="Arial"/>
                <w:b/>
                <w:bCs/>
              </w:rPr>
              <w:t>Module Code:</w:t>
            </w:r>
          </w:p>
        </w:tc>
        <w:tc>
          <w:tcPr>
            <w:tcW w:w="5825" w:type="dxa"/>
            <w:tcMar/>
            <w:hideMark/>
          </w:tcPr>
          <w:p w:rsidRPr="008E30AB" w:rsidR="00054FB2" w:rsidP="00AA439C" w:rsidRDefault="00054FB2" w14:paraId="1EE4D36D" w14:textId="77777777">
            <w:pPr>
              <w:spacing w:line="360" w:lineRule="auto"/>
              <w:jc w:val="both"/>
              <w:rPr>
                <w:rFonts w:ascii="Arial" w:hAnsi="Arial" w:eastAsia="Times New Roman" w:cs="Arial"/>
              </w:rPr>
            </w:pPr>
            <w:r w:rsidRPr="008E30AB">
              <w:rPr>
                <w:rFonts w:ascii="Arial" w:hAnsi="Arial" w:cs="Arial"/>
                <w:b/>
                <w:spacing w:val="-2"/>
              </w:rPr>
              <w:t>LCHS4010</w:t>
            </w:r>
          </w:p>
        </w:tc>
      </w:tr>
      <w:tr w:rsidRPr="008E30AB" w:rsidR="00054FB2" w:rsidTr="75116F20" w14:paraId="220E5375" w14:textId="77777777">
        <w:trPr>
          <w:jc w:val="center"/>
        </w:trPr>
        <w:tc>
          <w:tcPr>
            <w:tcW w:w="0" w:type="auto"/>
            <w:tcMar/>
            <w:hideMark/>
          </w:tcPr>
          <w:p w:rsidRPr="008E30AB" w:rsidR="00054FB2" w:rsidP="00AA439C" w:rsidRDefault="00054FB2" w14:paraId="66C967E0" w14:textId="77777777">
            <w:pPr>
              <w:spacing w:line="360" w:lineRule="auto"/>
              <w:jc w:val="both"/>
              <w:rPr>
                <w:rFonts w:ascii="Arial" w:hAnsi="Arial" w:eastAsia="Times New Roman" w:cs="Arial"/>
              </w:rPr>
            </w:pPr>
            <w:r w:rsidRPr="008E30AB">
              <w:rPr>
                <w:rFonts w:ascii="Arial" w:hAnsi="Arial" w:eastAsia="Times New Roman" w:cs="Arial"/>
                <w:b/>
                <w:bCs/>
              </w:rPr>
              <w:t>Lecturer:</w:t>
            </w:r>
          </w:p>
        </w:tc>
        <w:tc>
          <w:tcPr>
            <w:tcW w:w="5825" w:type="dxa"/>
            <w:tcMar/>
            <w:hideMark/>
          </w:tcPr>
          <w:p w:rsidRPr="008E30AB" w:rsidR="00054FB2" w:rsidP="00AA439C" w:rsidRDefault="00054FB2" w14:paraId="57A2F7EE" w14:textId="77777777">
            <w:pPr>
              <w:spacing w:line="360" w:lineRule="auto"/>
              <w:jc w:val="both"/>
              <w:rPr>
                <w:rFonts w:ascii="Arial" w:hAnsi="Arial" w:eastAsia="Times New Roman" w:cs="Arial"/>
              </w:rPr>
            </w:pPr>
            <w:r w:rsidRPr="008E30AB">
              <w:rPr>
                <w:rFonts w:ascii="Arial" w:hAnsi="Arial" w:cs="Arial"/>
                <w:b/>
                <w:bCs/>
              </w:rPr>
              <w:t>Neale Haddon</w:t>
            </w:r>
          </w:p>
        </w:tc>
      </w:tr>
      <w:tr w:rsidRPr="008E30AB" w:rsidR="00054FB2" w:rsidTr="75116F20" w14:paraId="618FE6A6" w14:textId="77777777">
        <w:trPr>
          <w:jc w:val="center"/>
        </w:trPr>
        <w:tc>
          <w:tcPr>
            <w:tcW w:w="0" w:type="auto"/>
            <w:tcMar/>
            <w:hideMark/>
          </w:tcPr>
          <w:p w:rsidRPr="008E30AB" w:rsidR="00054FB2" w:rsidP="00AA439C" w:rsidRDefault="00054FB2" w14:paraId="1AA47BDC" w14:textId="77777777">
            <w:pPr>
              <w:spacing w:line="360" w:lineRule="auto"/>
              <w:jc w:val="both"/>
              <w:rPr>
                <w:rFonts w:ascii="Arial" w:hAnsi="Arial" w:eastAsia="Times New Roman" w:cs="Arial"/>
              </w:rPr>
            </w:pPr>
            <w:r w:rsidRPr="008E30AB">
              <w:rPr>
                <w:rFonts w:ascii="Arial" w:hAnsi="Arial" w:eastAsia="Times New Roman" w:cs="Arial"/>
                <w:b/>
                <w:bCs/>
              </w:rPr>
              <w:t>Internal Verifier:</w:t>
            </w:r>
          </w:p>
        </w:tc>
        <w:tc>
          <w:tcPr>
            <w:tcW w:w="5825" w:type="dxa"/>
            <w:tcMar/>
            <w:hideMark/>
          </w:tcPr>
          <w:p w:rsidRPr="008E30AB" w:rsidR="00054FB2" w:rsidP="00AA439C" w:rsidRDefault="00054FB2" w14:paraId="33305DEC" w14:textId="77777777">
            <w:pPr>
              <w:spacing w:line="360" w:lineRule="auto"/>
              <w:jc w:val="both"/>
              <w:rPr>
                <w:rFonts w:ascii="Arial" w:hAnsi="Arial" w:eastAsia="Times New Roman" w:cs="Arial"/>
              </w:rPr>
            </w:pPr>
            <w:r w:rsidRPr="008E30AB">
              <w:rPr>
                <w:rFonts w:ascii="Arial" w:hAnsi="Arial" w:cs="Arial"/>
                <w:b/>
              </w:rPr>
              <w:t>Dr Besty Jose</w:t>
            </w:r>
          </w:p>
        </w:tc>
      </w:tr>
      <w:tr w:rsidRPr="008E30AB" w:rsidR="00054FB2" w:rsidTr="75116F20" w14:paraId="2674B051" w14:textId="77777777">
        <w:trPr>
          <w:jc w:val="center"/>
        </w:trPr>
        <w:tc>
          <w:tcPr>
            <w:tcW w:w="0" w:type="auto"/>
            <w:tcMar/>
            <w:hideMark/>
          </w:tcPr>
          <w:p w:rsidRPr="008E30AB" w:rsidR="00054FB2" w:rsidP="00AA439C" w:rsidRDefault="00054FB2" w14:paraId="689045D2" w14:textId="77777777">
            <w:pPr>
              <w:spacing w:line="360" w:lineRule="auto"/>
              <w:jc w:val="both"/>
              <w:rPr>
                <w:rFonts w:ascii="Arial" w:hAnsi="Arial" w:eastAsia="Times New Roman" w:cs="Arial"/>
              </w:rPr>
            </w:pPr>
            <w:r w:rsidRPr="008E30AB">
              <w:rPr>
                <w:rFonts w:ascii="Arial" w:hAnsi="Arial" w:eastAsia="Times New Roman" w:cs="Arial"/>
                <w:b/>
                <w:bCs/>
              </w:rPr>
              <w:t>Assignment Title:</w:t>
            </w:r>
          </w:p>
        </w:tc>
        <w:tc>
          <w:tcPr>
            <w:tcW w:w="5825" w:type="dxa"/>
            <w:tcMar/>
            <w:hideMark/>
          </w:tcPr>
          <w:p w:rsidRPr="008E30AB" w:rsidR="00054FB2" w:rsidP="00AA439C" w:rsidRDefault="00054FB2" w14:paraId="01D36920" w14:textId="77777777">
            <w:pPr>
              <w:spacing w:line="360" w:lineRule="auto"/>
              <w:jc w:val="both"/>
              <w:rPr>
                <w:rFonts w:ascii="Arial" w:hAnsi="Arial" w:eastAsia="Times New Roman" w:cs="Arial"/>
              </w:rPr>
            </w:pPr>
          </w:p>
        </w:tc>
      </w:tr>
      <w:tr w:rsidRPr="008E30AB" w:rsidR="00054FB2" w:rsidTr="75116F20" w14:paraId="6AAEDB81" w14:textId="77777777">
        <w:trPr>
          <w:jc w:val="center"/>
        </w:trPr>
        <w:tc>
          <w:tcPr>
            <w:tcW w:w="0" w:type="auto"/>
            <w:tcMar/>
            <w:hideMark/>
          </w:tcPr>
          <w:p w:rsidRPr="008E30AB" w:rsidR="00054FB2" w:rsidP="00AA439C" w:rsidRDefault="00054FB2" w14:paraId="659CD60A" w14:textId="77777777">
            <w:pPr>
              <w:spacing w:line="360" w:lineRule="auto"/>
              <w:jc w:val="both"/>
              <w:rPr>
                <w:rFonts w:ascii="Arial" w:hAnsi="Arial" w:eastAsia="Times New Roman" w:cs="Arial"/>
              </w:rPr>
            </w:pPr>
            <w:r w:rsidRPr="008E30AB">
              <w:rPr>
                <w:rFonts w:ascii="Arial" w:hAnsi="Arial" w:eastAsia="Times New Roman" w:cs="Arial"/>
                <w:b/>
                <w:bCs/>
              </w:rPr>
              <w:t>Submission Deadline:</w:t>
            </w:r>
          </w:p>
        </w:tc>
        <w:tc>
          <w:tcPr>
            <w:tcW w:w="5825" w:type="dxa"/>
            <w:tcMar/>
            <w:hideMark/>
          </w:tcPr>
          <w:p w:rsidRPr="008E30AB" w:rsidR="00054FB2" w:rsidP="00AA439C" w:rsidRDefault="00054FB2" w14:paraId="4CCC1A78" w14:textId="77777777">
            <w:pPr>
              <w:rPr>
                <w:rFonts w:ascii="Arial" w:hAnsi="Arial" w:eastAsia="Times New Roman" w:cs="Arial"/>
                <w:b/>
                <w:bCs/>
                <w:color w:val="FF0000"/>
              </w:rPr>
            </w:pPr>
            <w:r w:rsidRPr="008E30AB">
              <w:rPr>
                <w:rFonts w:ascii="Arial" w:hAnsi="Arial" w:cs="Arial"/>
                <w:b/>
                <w:bCs/>
                <w:color w:val="FF0000"/>
              </w:rPr>
              <w:t xml:space="preserve">Submitted to Turnitin by Tuesday, 18th November 2025, 10 am </w:t>
            </w:r>
          </w:p>
          <w:p w:rsidRPr="008E30AB" w:rsidR="00054FB2" w:rsidP="00AA439C" w:rsidRDefault="00054FB2" w14:paraId="4D204975" w14:textId="77777777">
            <w:pPr>
              <w:spacing w:line="360" w:lineRule="auto"/>
              <w:jc w:val="both"/>
              <w:rPr>
                <w:rFonts w:ascii="Arial" w:hAnsi="Arial" w:eastAsia="Times New Roman" w:cs="Arial"/>
              </w:rPr>
            </w:pPr>
          </w:p>
        </w:tc>
      </w:tr>
    </w:tbl>
    <w:p w:rsidR="00054FB2" w:rsidP="00FC2E7E" w:rsidRDefault="00054FB2" w14:paraId="5127C113"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7D26CE3D"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54C30048"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57EEA93D"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79DF7641"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0CC88770"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040095DA"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25818E95" w14:textId="77777777">
      <w:pPr>
        <w:spacing w:before="100" w:beforeAutospacing="1" w:after="100" w:afterAutospacing="1" w:line="360" w:lineRule="auto"/>
        <w:jc w:val="both"/>
        <w:outlineLvl w:val="2"/>
        <w:rPr>
          <w:rFonts w:ascii="Arial" w:hAnsi="Arial" w:eastAsia="Times New Roman" w:cs="Arial"/>
          <w:b/>
          <w:bCs/>
        </w:rPr>
      </w:pPr>
    </w:p>
    <w:p w:rsidR="007E182F" w:rsidP="007E182F" w:rsidRDefault="007E182F" w14:paraId="7647C16B" w14:textId="77777777">
      <w:pPr>
        <w:spacing w:before="100" w:beforeAutospacing="1" w:after="100" w:afterAutospacing="1" w:line="240" w:lineRule="auto"/>
        <w:outlineLvl w:val="2"/>
        <w:rPr>
          <w:rFonts w:ascii="Times New Roman" w:hAnsi="Times New Roman" w:eastAsia="Times New Roman" w:cs="Times New Roman"/>
          <w:b/>
          <w:bCs/>
          <w:sz w:val="27"/>
          <w:szCs w:val="27"/>
        </w:rPr>
      </w:pPr>
    </w:p>
    <w:p w:rsidRPr="007E182F" w:rsidR="007E182F" w:rsidP="007E182F" w:rsidRDefault="007E182F" w14:paraId="39D4172A" w14:textId="77777777">
      <w:pPr>
        <w:spacing w:before="100" w:beforeAutospacing="1" w:after="100" w:afterAutospacing="1" w:line="360" w:lineRule="auto"/>
        <w:jc w:val="both"/>
        <w:outlineLvl w:val="2"/>
        <w:rPr>
          <w:rFonts w:ascii="Arial" w:hAnsi="Arial" w:eastAsia="Times New Roman" w:cs="Arial"/>
          <w:b/>
          <w:bCs/>
        </w:rPr>
      </w:pPr>
      <w:r w:rsidRPr="007E182F">
        <w:rPr>
          <w:rFonts w:ascii="Arial" w:hAnsi="Arial" w:eastAsia="Times New Roman" w:cs="Arial"/>
          <w:b/>
          <w:bCs/>
        </w:rPr>
        <w:lastRenderedPageBreak/>
        <w:t>Table of Contents</w:t>
      </w:r>
    </w:p>
    <w:p w:rsidRPr="007E182F" w:rsidR="007E182F" w:rsidP="007E182F" w:rsidRDefault="007E182F" w14:paraId="18897250" w14:textId="77777777">
      <w:pPr>
        <w:numPr>
          <w:ilvl w:val="0"/>
          <w:numId w:val="3"/>
        </w:numPr>
        <w:spacing w:before="100" w:beforeAutospacing="1" w:after="100" w:afterAutospacing="1" w:line="360" w:lineRule="auto"/>
        <w:jc w:val="both"/>
        <w:rPr>
          <w:rFonts w:ascii="Arial" w:hAnsi="Arial" w:eastAsia="Times New Roman" w:cs="Arial"/>
        </w:rPr>
      </w:pPr>
      <w:r w:rsidRPr="007E182F">
        <w:rPr>
          <w:rFonts w:ascii="Arial" w:hAnsi="Arial" w:eastAsia="Times New Roman" w:cs="Arial"/>
          <w:b/>
          <w:bCs/>
        </w:rPr>
        <w:t>Introduction (Context)</w:t>
      </w:r>
      <w:r w:rsidRPr="007E182F">
        <w:rPr>
          <w:rFonts w:ascii="Arial" w:hAnsi="Arial" w:eastAsia="Times New Roman" w:cs="Arial"/>
        </w:rPr>
        <w:t xml:space="preserve"> ..........................................................</w:t>
      </w:r>
      <w:r>
        <w:rPr>
          <w:rFonts w:ascii="Arial" w:hAnsi="Arial" w:eastAsia="Times New Roman" w:cs="Arial"/>
        </w:rPr>
        <w:t>.......................................... 3</w:t>
      </w:r>
    </w:p>
    <w:p w:rsidRPr="007E182F" w:rsidR="007E182F" w:rsidP="007E182F" w:rsidRDefault="007E182F" w14:paraId="6BF3288C" w14:textId="77777777">
      <w:pPr>
        <w:numPr>
          <w:ilvl w:val="0"/>
          <w:numId w:val="3"/>
        </w:numPr>
        <w:spacing w:before="100" w:beforeAutospacing="1" w:after="100" w:afterAutospacing="1" w:line="360" w:lineRule="auto"/>
        <w:jc w:val="both"/>
        <w:rPr>
          <w:rFonts w:ascii="Arial" w:hAnsi="Arial" w:eastAsia="Times New Roman" w:cs="Arial"/>
        </w:rPr>
      </w:pPr>
      <w:r w:rsidRPr="007E182F">
        <w:rPr>
          <w:rFonts w:ascii="Arial" w:hAnsi="Arial" w:eastAsia="Times New Roman" w:cs="Arial"/>
          <w:b/>
          <w:bCs/>
        </w:rPr>
        <w:t>Detailed Overview of Psychological Theories</w:t>
      </w:r>
      <w:r w:rsidRPr="007E182F">
        <w:rPr>
          <w:rFonts w:ascii="Arial" w:hAnsi="Arial" w:eastAsia="Times New Roman" w:cs="Arial"/>
        </w:rPr>
        <w:t xml:space="preserve"> ........</w:t>
      </w:r>
      <w:r>
        <w:rPr>
          <w:rFonts w:ascii="Arial" w:hAnsi="Arial" w:eastAsia="Times New Roman" w:cs="Arial"/>
        </w:rPr>
        <w:t>..................................................... 3</w:t>
      </w:r>
      <w:r w:rsidRPr="007E182F">
        <w:rPr>
          <w:rFonts w:ascii="Arial" w:hAnsi="Arial" w:eastAsia="Times New Roman" w:cs="Arial"/>
        </w:rPr>
        <w:br/>
      </w:r>
      <w:r w:rsidRPr="007E182F">
        <w:rPr>
          <w:rFonts w:ascii="Arial" w:hAnsi="Arial" w:eastAsia="Times New Roman" w:cs="Arial"/>
        </w:rPr>
        <w:t> </w:t>
      </w:r>
      <w:r w:rsidRPr="007E182F">
        <w:rPr>
          <w:rFonts w:ascii="Arial" w:hAnsi="Arial" w:eastAsia="Times New Roman" w:cs="Arial"/>
        </w:rPr>
        <w:t> </w:t>
      </w:r>
      <w:r w:rsidRPr="007E182F">
        <w:rPr>
          <w:rFonts w:ascii="Arial" w:hAnsi="Arial" w:eastAsia="Times New Roman" w:cs="Arial"/>
        </w:rPr>
        <w:t>2.1 Erikson’s Psychosocial Theory ...........................</w:t>
      </w:r>
      <w:r>
        <w:rPr>
          <w:rFonts w:ascii="Arial" w:hAnsi="Arial" w:eastAsia="Times New Roman" w:cs="Arial"/>
        </w:rPr>
        <w:t>................................................. 3</w:t>
      </w:r>
      <w:r w:rsidRPr="007E182F">
        <w:rPr>
          <w:rFonts w:ascii="Arial" w:hAnsi="Arial" w:eastAsia="Times New Roman" w:cs="Arial"/>
        </w:rPr>
        <w:br/>
      </w:r>
      <w:r w:rsidRPr="007E182F">
        <w:rPr>
          <w:rFonts w:ascii="Arial" w:hAnsi="Arial" w:eastAsia="Times New Roman" w:cs="Arial"/>
        </w:rPr>
        <w:t> </w:t>
      </w:r>
      <w:r w:rsidRPr="007E182F">
        <w:rPr>
          <w:rFonts w:ascii="Arial" w:hAnsi="Arial" w:eastAsia="Times New Roman" w:cs="Arial"/>
        </w:rPr>
        <w:t> </w:t>
      </w:r>
      <w:r w:rsidRPr="007E182F">
        <w:rPr>
          <w:rFonts w:ascii="Arial" w:hAnsi="Arial" w:eastAsia="Times New Roman" w:cs="Arial"/>
        </w:rPr>
        <w:t>2.2 Bowlby’s Attachment Theory .......................................</w:t>
      </w:r>
      <w:r>
        <w:rPr>
          <w:rFonts w:ascii="Arial" w:hAnsi="Arial" w:eastAsia="Times New Roman" w:cs="Arial"/>
        </w:rPr>
        <w:t>........................................ 4</w:t>
      </w:r>
    </w:p>
    <w:p w:rsidRPr="007E182F" w:rsidR="007E182F" w:rsidP="007E182F" w:rsidRDefault="007E182F" w14:paraId="6A67799E" w14:textId="77777777">
      <w:pPr>
        <w:numPr>
          <w:ilvl w:val="0"/>
          <w:numId w:val="3"/>
        </w:numPr>
        <w:spacing w:before="100" w:beforeAutospacing="1" w:after="100" w:afterAutospacing="1" w:line="360" w:lineRule="auto"/>
        <w:jc w:val="both"/>
        <w:rPr>
          <w:rFonts w:ascii="Arial" w:hAnsi="Arial" w:eastAsia="Times New Roman" w:cs="Arial"/>
        </w:rPr>
      </w:pPr>
      <w:r w:rsidRPr="007E182F">
        <w:rPr>
          <w:rFonts w:ascii="Arial" w:hAnsi="Arial" w:eastAsia="Times New Roman" w:cs="Arial"/>
          <w:b/>
          <w:bCs/>
        </w:rPr>
        <w:t>Application in the Health and Social Care Context</w:t>
      </w:r>
      <w:r w:rsidRPr="007E182F">
        <w:rPr>
          <w:rFonts w:ascii="Arial" w:hAnsi="Arial" w:eastAsia="Times New Roman" w:cs="Arial"/>
        </w:rPr>
        <w:t xml:space="preserve"> ........</w:t>
      </w:r>
      <w:r>
        <w:rPr>
          <w:rFonts w:ascii="Arial" w:hAnsi="Arial" w:eastAsia="Times New Roman" w:cs="Arial"/>
        </w:rPr>
        <w:t>............................... 6</w:t>
      </w:r>
      <w:r w:rsidRPr="007E182F">
        <w:rPr>
          <w:rFonts w:ascii="Arial" w:hAnsi="Arial" w:eastAsia="Times New Roman" w:cs="Arial"/>
        </w:rPr>
        <w:br/>
      </w:r>
      <w:r w:rsidRPr="007E182F">
        <w:rPr>
          <w:rFonts w:ascii="Arial" w:hAnsi="Arial" w:eastAsia="Times New Roman" w:cs="Arial"/>
        </w:rPr>
        <w:t> </w:t>
      </w:r>
      <w:r w:rsidRPr="007E182F">
        <w:rPr>
          <w:rFonts w:ascii="Arial" w:hAnsi="Arial" w:eastAsia="Times New Roman" w:cs="Arial"/>
        </w:rPr>
        <w:t> </w:t>
      </w:r>
      <w:r w:rsidRPr="007E182F">
        <w:rPr>
          <w:rFonts w:ascii="Arial" w:hAnsi="Arial" w:eastAsia="Times New Roman" w:cs="Arial"/>
        </w:rPr>
        <w:t>3.1 Applying Erikson’s Theory in Dementia Care .......................</w:t>
      </w:r>
      <w:r>
        <w:rPr>
          <w:rFonts w:ascii="Arial" w:hAnsi="Arial" w:eastAsia="Times New Roman" w:cs="Arial"/>
        </w:rPr>
        <w:t>............................... 6</w:t>
      </w:r>
      <w:r w:rsidRPr="007E182F">
        <w:rPr>
          <w:rFonts w:ascii="Arial" w:hAnsi="Arial" w:eastAsia="Times New Roman" w:cs="Arial"/>
        </w:rPr>
        <w:br/>
      </w:r>
      <w:r w:rsidRPr="007E182F">
        <w:rPr>
          <w:rFonts w:ascii="Arial" w:hAnsi="Arial" w:eastAsia="Times New Roman" w:cs="Arial"/>
        </w:rPr>
        <w:t> </w:t>
      </w:r>
      <w:r w:rsidRPr="007E182F">
        <w:rPr>
          <w:rFonts w:ascii="Arial" w:hAnsi="Arial" w:eastAsia="Times New Roman" w:cs="Arial"/>
        </w:rPr>
        <w:t> </w:t>
      </w:r>
      <w:r w:rsidRPr="007E182F">
        <w:rPr>
          <w:rFonts w:ascii="Arial" w:hAnsi="Arial" w:eastAsia="Times New Roman" w:cs="Arial"/>
        </w:rPr>
        <w:t>3.2 Applying Bowlby’s Theory in Dementia Care .....................</w:t>
      </w:r>
      <w:r>
        <w:rPr>
          <w:rFonts w:ascii="Arial" w:hAnsi="Arial" w:eastAsia="Times New Roman" w:cs="Arial"/>
        </w:rPr>
        <w:t>.................................. 7</w:t>
      </w:r>
      <w:r w:rsidRPr="007E182F">
        <w:rPr>
          <w:rFonts w:ascii="Arial" w:hAnsi="Arial" w:eastAsia="Times New Roman" w:cs="Arial"/>
        </w:rPr>
        <w:br/>
      </w:r>
      <w:r w:rsidRPr="007E182F">
        <w:rPr>
          <w:rFonts w:ascii="Arial" w:hAnsi="Arial" w:eastAsia="Times New Roman" w:cs="Arial"/>
        </w:rPr>
        <w:t> </w:t>
      </w:r>
      <w:r>
        <w:rPr>
          <w:rFonts w:ascii="Arial" w:hAnsi="Arial" w:eastAsia="Times New Roman" w:cs="Arial"/>
        </w:rPr>
        <w:t xml:space="preserve"> </w:t>
      </w:r>
      <w:r w:rsidRPr="007E182F">
        <w:rPr>
          <w:rFonts w:ascii="Arial" w:hAnsi="Arial" w:eastAsia="Times New Roman" w:cs="Arial"/>
        </w:rPr>
        <w:t xml:space="preserve"> Table: Practical Use of Psychological Theories ..............</w:t>
      </w:r>
      <w:r>
        <w:rPr>
          <w:rFonts w:ascii="Arial" w:hAnsi="Arial" w:eastAsia="Times New Roman" w:cs="Arial"/>
        </w:rPr>
        <w:t>.............................</w:t>
      </w:r>
      <w:r w:rsidR="00607D86">
        <w:rPr>
          <w:rFonts w:ascii="Arial" w:hAnsi="Arial" w:eastAsia="Times New Roman" w:cs="Arial"/>
        </w:rPr>
        <w:t>........</w:t>
      </w:r>
      <w:r>
        <w:rPr>
          <w:rFonts w:ascii="Arial" w:hAnsi="Arial" w:eastAsia="Times New Roman" w:cs="Arial"/>
        </w:rPr>
        <w:t>....... 8</w:t>
      </w:r>
    </w:p>
    <w:p w:rsidRPr="007E182F" w:rsidR="007E182F" w:rsidP="007E182F" w:rsidRDefault="007E182F" w14:paraId="1EB19EDB" w14:textId="77777777">
      <w:pPr>
        <w:numPr>
          <w:ilvl w:val="0"/>
          <w:numId w:val="3"/>
        </w:numPr>
        <w:spacing w:before="100" w:beforeAutospacing="1" w:after="100" w:afterAutospacing="1" w:line="360" w:lineRule="auto"/>
        <w:jc w:val="both"/>
        <w:rPr>
          <w:rFonts w:ascii="Arial" w:hAnsi="Arial" w:eastAsia="Times New Roman" w:cs="Arial"/>
        </w:rPr>
      </w:pPr>
      <w:r w:rsidRPr="007E182F">
        <w:rPr>
          <w:rFonts w:ascii="Arial" w:hAnsi="Arial" w:eastAsia="Times New Roman" w:cs="Arial"/>
          <w:b/>
          <w:bCs/>
        </w:rPr>
        <w:t>Conclusion</w:t>
      </w:r>
      <w:r w:rsidRPr="007E182F">
        <w:rPr>
          <w:rFonts w:ascii="Arial" w:hAnsi="Arial" w:eastAsia="Times New Roman" w:cs="Arial"/>
        </w:rPr>
        <w:t xml:space="preserve"> ........................................................................</w:t>
      </w:r>
      <w:r>
        <w:rPr>
          <w:rFonts w:ascii="Arial" w:hAnsi="Arial" w:eastAsia="Times New Roman" w:cs="Arial"/>
        </w:rPr>
        <w:t>....................................</w:t>
      </w:r>
      <w:r w:rsidRPr="007E182F">
        <w:rPr>
          <w:rFonts w:ascii="Arial" w:hAnsi="Arial" w:eastAsia="Times New Roman" w:cs="Arial"/>
        </w:rPr>
        <w:t>.......... 8</w:t>
      </w:r>
    </w:p>
    <w:p w:rsidRPr="007E182F" w:rsidR="007E182F" w:rsidP="007E182F" w:rsidRDefault="007E182F" w14:paraId="1F280616" w14:textId="77777777">
      <w:pPr>
        <w:numPr>
          <w:ilvl w:val="0"/>
          <w:numId w:val="3"/>
        </w:numPr>
        <w:spacing w:before="100" w:beforeAutospacing="1" w:after="100" w:afterAutospacing="1" w:line="360" w:lineRule="auto"/>
        <w:jc w:val="both"/>
        <w:rPr>
          <w:rFonts w:ascii="Arial" w:hAnsi="Arial" w:eastAsia="Times New Roman" w:cs="Arial"/>
        </w:rPr>
      </w:pPr>
      <w:r w:rsidRPr="007E182F">
        <w:rPr>
          <w:rFonts w:ascii="Arial" w:hAnsi="Arial" w:eastAsia="Times New Roman" w:cs="Arial"/>
          <w:b/>
          <w:bCs/>
        </w:rPr>
        <w:t>References</w:t>
      </w:r>
      <w:r w:rsidRPr="007E182F">
        <w:rPr>
          <w:rFonts w:ascii="Arial" w:hAnsi="Arial" w:eastAsia="Times New Roman" w:cs="Arial"/>
        </w:rPr>
        <w:t xml:space="preserve"> ...................................................................</w:t>
      </w:r>
      <w:r>
        <w:rPr>
          <w:rFonts w:ascii="Arial" w:hAnsi="Arial" w:eastAsia="Times New Roman" w:cs="Arial"/>
        </w:rPr>
        <w:t>....................................</w:t>
      </w:r>
      <w:r w:rsidRPr="007E182F">
        <w:rPr>
          <w:rFonts w:ascii="Arial" w:hAnsi="Arial" w:eastAsia="Times New Roman" w:cs="Arial"/>
        </w:rPr>
        <w:t>............... 9</w:t>
      </w:r>
    </w:p>
    <w:p w:rsidR="00054FB2" w:rsidP="00FC2E7E" w:rsidRDefault="00054FB2" w14:paraId="5D7E3B41"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4EB40E78"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6C9BF3F9"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35EB8441"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273D8190"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7DA043E1"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08591563"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5C963A2D"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0A42A791"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3A2329A3" w14:textId="77777777">
      <w:pPr>
        <w:spacing w:before="100" w:beforeAutospacing="1" w:after="100" w:afterAutospacing="1" w:line="360" w:lineRule="auto"/>
        <w:jc w:val="both"/>
        <w:outlineLvl w:val="2"/>
        <w:rPr>
          <w:rFonts w:ascii="Arial" w:hAnsi="Arial" w:eastAsia="Times New Roman" w:cs="Arial"/>
          <w:b/>
          <w:bCs/>
        </w:rPr>
      </w:pPr>
    </w:p>
    <w:p w:rsidR="00054FB2" w:rsidP="00FC2E7E" w:rsidRDefault="00054FB2" w14:paraId="72012263" w14:textId="77777777">
      <w:pPr>
        <w:spacing w:before="100" w:beforeAutospacing="1" w:after="100" w:afterAutospacing="1" w:line="360" w:lineRule="auto"/>
        <w:jc w:val="both"/>
        <w:outlineLvl w:val="2"/>
        <w:rPr>
          <w:rFonts w:ascii="Arial" w:hAnsi="Arial" w:eastAsia="Times New Roman" w:cs="Arial"/>
          <w:b/>
          <w:bCs/>
        </w:rPr>
      </w:pPr>
    </w:p>
    <w:p w:rsidR="007E182F" w:rsidP="00FC2E7E" w:rsidRDefault="007E182F" w14:paraId="30911771" w14:textId="77777777">
      <w:pPr>
        <w:spacing w:before="100" w:beforeAutospacing="1" w:after="100" w:afterAutospacing="1" w:line="360" w:lineRule="auto"/>
        <w:jc w:val="both"/>
        <w:outlineLvl w:val="2"/>
        <w:rPr>
          <w:rFonts w:ascii="Arial" w:hAnsi="Arial" w:eastAsia="Times New Roman" w:cs="Arial"/>
          <w:b/>
          <w:bCs/>
        </w:rPr>
      </w:pPr>
    </w:p>
    <w:p w:rsidRPr="00FC2E7E" w:rsidR="00FC2E7E" w:rsidP="00FC2E7E" w:rsidRDefault="00FC2E7E" w14:paraId="493D1E0C" w14:textId="77777777">
      <w:pPr>
        <w:spacing w:before="100" w:beforeAutospacing="1" w:after="100" w:afterAutospacing="1" w:line="360" w:lineRule="auto"/>
        <w:jc w:val="both"/>
        <w:outlineLvl w:val="2"/>
        <w:rPr>
          <w:rFonts w:ascii="Arial" w:hAnsi="Arial" w:eastAsia="Times New Roman" w:cs="Arial"/>
          <w:b/>
          <w:bCs/>
        </w:rPr>
      </w:pPr>
      <w:r w:rsidRPr="00FC2E7E">
        <w:rPr>
          <w:rFonts w:ascii="Arial" w:hAnsi="Arial" w:eastAsia="Times New Roman" w:cs="Arial"/>
          <w:b/>
          <w:bCs/>
        </w:rPr>
        <w:t>1. Context: Older Adults Living in a Dementia Care Home</w:t>
      </w:r>
    </w:p>
    <w:p w:rsidRPr="00FC2E7E" w:rsidR="00FC2E7E" w:rsidP="00FC2E7E" w:rsidRDefault="00FC2E7E" w14:paraId="48B67D96"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lastRenderedPageBreak/>
        <w:t xml:space="preserve">Older adults aged 65 and over living in dementia care homes often experience complex psychological health challenges linked to cognitive decline, loss of independence, and social isolation. Dementia affects around 982,000 people in the UK, a number projected to exceed 1.4 million by 2040 (Alzheimer’s Society, 2024). Residents frequently present with comorbid mental health conditions such as depression, anxiety, and </w:t>
      </w:r>
      <w:r w:rsidRPr="00FC2E7E" w:rsidR="00D45290">
        <w:rPr>
          <w:rFonts w:ascii="Arial" w:hAnsi="Arial" w:eastAsia="Times New Roman" w:cs="Arial"/>
        </w:rPr>
        <w:t>behavioral</w:t>
      </w:r>
      <w:r w:rsidRPr="00FC2E7E">
        <w:rPr>
          <w:rFonts w:ascii="Arial" w:hAnsi="Arial" w:eastAsia="Times New Roman" w:cs="Arial"/>
        </w:rPr>
        <w:t xml:space="preserve"> and psychological symptoms of dementia (BPSD), which include agitation, apathy, and aggression (NHS England, 2023). These symptoms can be exacerbated by disrupted attachments, unmet emotional needs, and difficulties maintaining a coherent sense of identity (Cohen-Mansfield et al., 2023). Health and social care professionals working in dementia settings therefore require a strong understanding of psychological theories that explain the emotional and </w:t>
      </w:r>
      <w:r w:rsidRPr="00FC2E7E" w:rsidR="00D45290">
        <w:rPr>
          <w:rFonts w:ascii="Arial" w:hAnsi="Arial" w:eastAsia="Times New Roman" w:cs="Arial"/>
        </w:rPr>
        <w:t>behavioral</w:t>
      </w:r>
      <w:r w:rsidRPr="00FC2E7E">
        <w:rPr>
          <w:rFonts w:ascii="Arial" w:hAnsi="Arial" w:eastAsia="Times New Roman" w:cs="Arial"/>
        </w:rPr>
        <w:t xml:space="preserve"> responses of older adults. Applying frameworks such as Erikson’s psychosocial theory and Bowlby’s attachment theory can enhance person-centred practice, support wellbeing, and improve the quality of care by addressing both the emotional and developmental needs of residents (Iriss, 2021; Miyawaki, 2025).</w:t>
      </w:r>
    </w:p>
    <w:p w:rsidRPr="00FC2E7E" w:rsidR="00FC2E7E" w:rsidP="00FC2E7E" w:rsidRDefault="00FC2E7E" w14:paraId="1BFCCB6C" w14:textId="77777777">
      <w:pPr>
        <w:spacing w:before="100" w:beforeAutospacing="1" w:after="100" w:afterAutospacing="1" w:line="360" w:lineRule="auto"/>
        <w:jc w:val="both"/>
        <w:outlineLvl w:val="2"/>
        <w:rPr>
          <w:rFonts w:ascii="Arial" w:hAnsi="Arial" w:eastAsia="Times New Roman" w:cs="Arial"/>
          <w:b/>
          <w:bCs/>
        </w:rPr>
      </w:pPr>
      <w:r w:rsidRPr="00FC2E7E">
        <w:rPr>
          <w:rFonts w:ascii="Arial" w:hAnsi="Arial" w:eastAsia="Times New Roman" w:cs="Arial"/>
          <w:b/>
          <w:bCs/>
        </w:rPr>
        <w:t>2. Detailed Overview of Two Theories</w:t>
      </w:r>
    </w:p>
    <w:p w:rsidRPr="00FC2E7E" w:rsidR="00FC2E7E" w:rsidP="00FC2E7E" w:rsidRDefault="00FC2E7E" w14:paraId="4C149F3D" w14:textId="77777777">
      <w:pPr>
        <w:spacing w:before="100" w:beforeAutospacing="1" w:after="100" w:afterAutospacing="1" w:line="360" w:lineRule="auto"/>
        <w:jc w:val="both"/>
        <w:outlineLvl w:val="3"/>
        <w:rPr>
          <w:rFonts w:ascii="Arial" w:hAnsi="Arial" w:eastAsia="Times New Roman" w:cs="Arial"/>
          <w:b/>
          <w:bCs/>
        </w:rPr>
      </w:pPr>
      <w:r w:rsidRPr="00FC2E7E">
        <w:rPr>
          <w:rFonts w:ascii="Arial" w:hAnsi="Arial" w:eastAsia="Times New Roman" w:cs="Arial"/>
          <w:b/>
          <w:bCs/>
        </w:rPr>
        <w:t>2.1 Erikson’s Psychosocial Theory</w:t>
      </w:r>
    </w:p>
    <w:p w:rsidRPr="00FC2E7E" w:rsidR="00FC2E7E" w:rsidP="00FC2E7E" w:rsidRDefault="00FC2E7E" w14:paraId="4E2DB90E"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Erikson’s psychosocial theory provides a developmental framework that continues into later life, </w:t>
      </w:r>
      <w:r w:rsidRPr="00FC2E7E" w:rsidR="00D45290">
        <w:rPr>
          <w:rFonts w:ascii="Arial" w:hAnsi="Arial" w:eastAsia="Times New Roman" w:cs="Arial"/>
        </w:rPr>
        <w:t>recognizing</w:t>
      </w:r>
      <w:r w:rsidRPr="00FC2E7E">
        <w:rPr>
          <w:rFonts w:ascii="Arial" w:hAnsi="Arial" w:eastAsia="Times New Roman" w:cs="Arial"/>
        </w:rPr>
        <w:t xml:space="preserve"> that psychological growth extends beyond childhood (Erikson, 1963). For adults aged 65 and over, the final stage—</w:t>
      </w:r>
      <w:r w:rsidRPr="00D45290">
        <w:rPr>
          <w:rFonts w:ascii="Arial" w:hAnsi="Arial" w:eastAsia="Times New Roman" w:cs="Arial"/>
          <w:bCs/>
        </w:rPr>
        <w:t>ego integrity versus despair</w:t>
      </w:r>
      <w:r w:rsidRPr="00FC2E7E">
        <w:rPr>
          <w:rFonts w:ascii="Arial" w:hAnsi="Arial" w:eastAsia="Times New Roman" w:cs="Arial"/>
        </w:rPr>
        <w:t>—is central to wellbeing. At this stage, individuals evaluate their life experiences, relationships, and achievements, striving for meaning, acceptance, and coherence (Knight &amp; Poon, 2023). If older adults achieve integrity, they experience wisdom and life satisfaction; if not, despair, regret, or fear of death</w:t>
      </w:r>
      <w:r w:rsidR="00D45290">
        <w:rPr>
          <w:rFonts w:ascii="Arial" w:hAnsi="Arial" w:eastAsia="Times New Roman" w:cs="Arial"/>
        </w:rPr>
        <w:t xml:space="preserve"> may emerge (van der </w:t>
      </w:r>
      <w:r w:rsidRPr="00FC2E7E">
        <w:rPr>
          <w:rFonts w:ascii="Arial" w:hAnsi="Arial" w:eastAsia="Times New Roman" w:cs="Arial"/>
        </w:rPr>
        <w:t xml:space="preserve"> et al., 2021).</w:t>
      </w:r>
    </w:p>
    <w:p w:rsidRPr="00FC2E7E" w:rsidR="00FC2E7E" w:rsidP="00FC2E7E" w:rsidRDefault="00FC2E7E" w14:paraId="4B213C61"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In the UK, this theory is highly relevant to dementia care settings, where older adults face identity loss, dependency, and social disengagement. Research shows that interventions such as</w:t>
      </w:r>
      <w:r w:rsidRPr="00D45290">
        <w:rPr>
          <w:rFonts w:ascii="Arial" w:hAnsi="Arial" w:eastAsia="Times New Roman" w:cs="Arial"/>
        </w:rPr>
        <w:t xml:space="preserve"> </w:t>
      </w:r>
      <w:r w:rsidRPr="00D45290">
        <w:rPr>
          <w:rFonts w:ascii="Arial" w:hAnsi="Arial" w:eastAsia="Times New Roman" w:cs="Arial"/>
          <w:bCs/>
        </w:rPr>
        <w:t>life review and reminiscence therapy</w:t>
      </w:r>
      <w:r w:rsidRPr="00FC2E7E">
        <w:rPr>
          <w:rFonts w:ascii="Arial" w:hAnsi="Arial" w:eastAsia="Times New Roman" w:cs="Arial"/>
        </w:rPr>
        <w:t xml:space="preserve">—endorsed by the </w:t>
      </w:r>
      <w:r w:rsidRPr="00827B2F">
        <w:rPr>
          <w:rFonts w:ascii="Arial" w:hAnsi="Arial" w:eastAsia="Times New Roman" w:cs="Arial"/>
          <w:iCs/>
        </w:rPr>
        <w:t>NICE Dementia Guidelines</w:t>
      </w:r>
      <w:r w:rsidRPr="00FC2E7E">
        <w:rPr>
          <w:rFonts w:ascii="Arial" w:hAnsi="Arial" w:eastAsia="Times New Roman" w:cs="Arial"/>
          <w:i/>
          <w:iCs/>
        </w:rPr>
        <w:t xml:space="preserve"> (NG97, 2018)</w:t>
      </w:r>
      <w:r w:rsidRPr="00FC2E7E">
        <w:rPr>
          <w:rFonts w:ascii="Arial" w:hAnsi="Arial" w:eastAsia="Times New Roman" w:cs="Arial"/>
        </w:rPr>
        <w:t xml:space="preserve">—can enhance ego integrity by helping residents reconstruct their life stories and reaffirm their personal value (Jiang, 2024; Subramaniam &amp; Woods, 2022). For instance, </w:t>
      </w:r>
      <w:r w:rsidRPr="00D45290">
        <w:rPr>
          <w:rFonts w:ascii="Arial" w:hAnsi="Arial" w:eastAsia="Times New Roman" w:cs="Arial"/>
          <w:bCs/>
        </w:rPr>
        <w:t>life story books</w:t>
      </w:r>
      <w:r w:rsidRPr="00FC2E7E">
        <w:rPr>
          <w:rFonts w:ascii="Arial" w:hAnsi="Arial" w:eastAsia="Times New Roman" w:cs="Arial"/>
        </w:rPr>
        <w:t xml:space="preserve"> and </w:t>
      </w:r>
      <w:r w:rsidRPr="00D45290">
        <w:rPr>
          <w:rFonts w:ascii="Arial" w:hAnsi="Arial" w:eastAsia="Times New Roman" w:cs="Arial"/>
          <w:bCs/>
        </w:rPr>
        <w:t>memory boxes</w:t>
      </w:r>
      <w:r w:rsidRPr="00FC2E7E">
        <w:rPr>
          <w:rFonts w:ascii="Arial" w:hAnsi="Arial" w:eastAsia="Times New Roman" w:cs="Arial"/>
        </w:rPr>
        <w:t xml:space="preserve"> used in UK care homes have been shown to reduce depressive symptoms and improve residents’ sense of self (NICE, 2018; Miyawaki, 2025).</w:t>
      </w:r>
    </w:p>
    <w:p w:rsidR="00FC2E7E" w:rsidP="00FC2E7E" w:rsidRDefault="00FC2E7E" w14:paraId="55163D76"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lastRenderedPageBreak/>
        <w:t xml:space="preserve">Moreover, Erikson’s framework aligns closely with UK person-centred care approaches, such as the </w:t>
      </w:r>
      <w:r w:rsidRPr="00827B2F">
        <w:rPr>
          <w:rFonts w:ascii="Arial" w:hAnsi="Arial" w:eastAsia="Times New Roman" w:cs="Arial"/>
          <w:iCs/>
        </w:rPr>
        <w:t>Dementia Well Pathway</w:t>
      </w:r>
      <w:r w:rsidRPr="00FC2E7E">
        <w:rPr>
          <w:rFonts w:ascii="Arial" w:hAnsi="Arial" w:eastAsia="Times New Roman" w:cs="Arial"/>
        </w:rPr>
        <w:t xml:space="preserve"> (NHS England, 2023), which </w:t>
      </w:r>
      <w:r w:rsidRPr="00FC2E7E" w:rsidR="00D45290">
        <w:rPr>
          <w:rFonts w:ascii="Arial" w:hAnsi="Arial" w:eastAsia="Times New Roman" w:cs="Arial"/>
        </w:rPr>
        <w:t>emphasizes</w:t>
      </w:r>
      <w:r w:rsidRPr="00FC2E7E">
        <w:rPr>
          <w:rFonts w:ascii="Arial" w:hAnsi="Arial" w:eastAsia="Times New Roman" w:cs="Arial"/>
        </w:rPr>
        <w:t xml:space="preserve"> identity preservation, dignity, and emotional wellbeing. Studies of UK care settings reveal that when staff encourage residents to share achievements, </w:t>
      </w:r>
      <w:r w:rsidRPr="00FC2E7E" w:rsidR="00D45290">
        <w:rPr>
          <w:rFonts w:ascii="Arial" w:hAnsi="Arial" w:eastAsia="Times New Roman" w:cs="Arial"/>
        </w:rPr>
        <w:t>recognize</w:t>
      </w:r>
      <w:r w:rsidRPr="00FC2E7E">
        <w:rPr>
          <w:rFonts w:ascii="Arial" w:hAnsi="Arial" w:eastAsia="Times New Roman" w:cs="Arial"/>
        </w:rPr>
        <w:t xml:space="preserve"> past roles, and engage in meaningful activities, older adults report greater psychological wellbeing and social engagement (Cohen-Mansfield et al., 2023). Erikson’s model therefore highlights that even in later life—and even with cognitive impairment—psychosocial development continues, and the pursuit of </w:t>
      </w:r>
      <w:r w:rsidRPr="00D45290">
        <w:rPr>
          <w:rFonts w:ascii="Arial" w:hAnsi="Arial" w:eastAsia="Times New Roman" w:cs="Arial"/>
          <w:bCs/>
        </w:rPr>
        <w:t>meaning, identity, and acceptance</w:t>
      </w:r>
      <w:r w:rsidRPr="00FC2E7E">
        <w:rPr>
          <w:rFonts w:ascii="Arial" w:hAnsi="Arial" w:eastAsia="Times New Roman" w:cs="Arial"/>
        </w:rPr>
        <w:t xml:space="preserve"> remains vital for mental health and resilience.</w:t>
      </w:r>
    </w:p>
    <w:p w:rsidRPr="00FC2E7E" w:rsidR="00054FB2" w:rsidP="00FC2E7E" w:rsidRDefault="00054FB2" w14:paraId="5140CB1B" w14:textId="77777777">
      <w:pPr>
        <w:spacing w:before="100" w:beforeAutospacing="1" w:after="100" w:afterAutospacing="1" w:line="360" w:lineRule="auto"/>
        <w:jc w:val="both"/>
        <w:rPr>
          <w:rFonts w:ascii="Arial" w:hAnsi="Arial" w:eastAsia="Times New Roman" w:cs="Arial"/>
        </w:rPr>
      </w:pPr>
      <w:r>
        <w:rPr>
          <w:rFonts w:ascii="Arial" w:hAnsi="Arial" w:eastAsia="Times New Roman" w:cs="Arial"/>
          <w:noProof/>
        </w:rPr>
        <w:drawing>
          <wp:inline distT="0" distB="0" distL="0" distR="0" wp14:anchorId="73184F47" wp14:editId="06A65354">
            <wp:extent cx="6010910" cy="2446216"/>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0910" cy="2446216"/>
                    </a:xfrm>
                    <a:prstGeom prst="rect">
                      <a:avLst/>
                    </a:prstGeom>
                    <a:noFill/>
                  </pic:spPr>
                </pic:pic>
              </a:graphicData>
            </a:graphic>
          </wp:inline>
        </w:drawing>
      </w:r>
    </w:p>
    <w:p w:rsidRPr="00FC2E7E" w:rsidR="00FC2E7E" w:rsidP="00FC2E7E" w:rsidRDefault="00054FB2" w14:paraId="3DBCB296" w14:textId="77777777">
      <w:pPr>
        <w:spacing w:after="0" w:line="360" w:lineRule="auto"/>
        <w:jc w:val="both"/>
        <w:rPr>
          <w:rFonts w:ascii="Arial" w:hAnsi="Arial" w:eastAsia="Times New Roman" w:cs="Arial"/>
        </w:rPr>
      </w:pPr>
      <w:r>
        <w:rPr>
          <w:rFonts w:ascii="Arial" w:hAnsi="Arial" w:eastAsia="Times New Roman" w:cs="Arial"/>
        </w:rPr>
        <w:t xml:space="preserve">                                                           (</w:t>
      </w:r>
      <w:r w:rsidRPr="00637336">
        <w:rPr>
          <w:rFonts w:ascii="Arial" w:hAnsi="Arial" w:eastAsia="Times New Roman" w:cs="Arial"/>
        </w:rPr>
        <w:t>Erikson, 1950</w:t>
      </w:r>
      <w:r>
        <w:rPr>
          <w:rFonts w:ascii="Arial" w:hAnsi="Arial" w:eastAsia="Times New Roman" w:cs="Arial"/>
        </w:rPr>
        <w:t>)</w:t>
      </w:r>
    </w:p>
    <w:p w:rsidRPr="00FC2E7E" w:rsidR="00FC2E7E" w:rsidP="00FC2E7E" w:rsidRDefault="00FC2E7E" w14:paraId="0B1BEDED" w14:textId="77777777">
      <w:pPr>
        <w:spacing w:before="100" w:beforeAutospacing="1" w:after="100" w:afterAutospacing="1" w:line="360" w:lineRule="auto"/>
        <w:jc w:val="both"/>
        <w:outlineLvl w:val="3"/>
        <w:rPr>
          <w:rFonts w:ascii="Arial" w:hAnsi="Arial" w:eastAsia="Times New Roman" w:cs="Arial"/>
          <w:b/>
          <w:bCs/>
        </w:rPr>
      </w:pPr>
      <w:r w:rsidRPr="00FC2E7E">
        <w:rPr>
          <w:rFonts w:ascii="Arial" w:hAnsi="Arial" w:eastAsia="Times New Roman" w:cs="Arial"/>
          <w:b/>
          <w:bCs/>
        </w:rPr>
        <w:t>2.2 Bowlby’s Attachment Theory</w:t>
      </w:r>
    </w:p>
    <w:p w:rsidRPr="00FC2E7E" w:rsidR="00FC2E7E" w:rsidP="00FC2E7E" w:rsidRDefault="00FC2E7E" w14:paraId="498350DF"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Bowlby’s attachment theory, developed in the UK, provides a profound framework for understanding the emotional needs of older adults. Originating from Bowlby’s research at the Tavistock Clinic, the theory posits that attachment </w:t>
      </w:r>
      <w:r w:rsidRPr="00FC2E7E" w:rsidR="00D45290">
        <w:rPr>
          <w:rFonts w:ascii="Arial" w:hAnsi="Arial" w:eastAsia="Times New Roman" w:cs="Arial"/>
        </w:rPr>
        <w:t>behaviors</w:t>
      </w:r>
      <w:r w:rsidRPr="00FC2E7E">
        <w:rPr>
          <w:rFonts w:ascii="Arial" w:hAnsi="Arial" w:eastAsia="Times New Roman" w:cs="Arial"/>
        </w:rPr>
        <w:t xml:space="preserve">—such as seeking comfort and security—persist throughout life (Bowlby, 1980). In later life, health decline, bereavement, and </w:t>
      </w:r>
      <w:r w:rsidRPr="00FC2E7E" w:rsidR="00D45290">
        <w:rPr>
          <w:rFonts w:ascii="Arial" w:hAnsi="Arial" w:eastAsia="Times New Roman" w:cs="Arial"/>
        </w:rPr>
        <w:t>institutionalization</w:t>
      </w:r>
      <w:r w:rsidRPr="00FC2E7E">
        <w:rPr>
          <w:rFonts w:ascii="Arial" w:hAnsi="Arial" w:eastAsia="Times New Roman" w:cs="Arial"/>
        </w:rPr>
        <w:t xml:space="preserve"> can reactivate attachment needs, leading to increased dependence on caregivers (Iriss, 2021). For residents with dementia, this often manifests through distress, wandering, or agitation when separated from familiar people or environments (Ramsden, 2025).</w:t>
      </w:r>
    </w:p>
    <w:p w:rsidRPr="00FC2E7E" w:rsidR="00FC2E7E" w:rsidP="00FC2E7E" w:rsidRDefault="00FC2E7E" w14:paraId="4DC2688E"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UK research </w:t>
      </w:r>
      <w:r w:rsidRPr="00FC2E7E" w:rsidR="00D45290">
        <w:rPr>
          <w:rFonts w:ascii="Arial" w:hAnsi="Arial" w:eastAsia="Times New Roman" w:cs="Arial"/>
        </w:rPr>
        <w:t>emphasizes</w:t>
      </w:r>
      <w:r w:rsidRPr="00FC2E7E">
        <w:rPr>
          <w:rFonts w:ascii="Arial" w:hAnsi="Arial" w:eastAsia="Times New Roman" w:cs="Arial"/>
        </w:rPr>
        <w:t xml:space="preserve"> that secure attachments between residents and care staff are essential for emotional stability and cooperation. Consistency of key workers, continuity of care, and emotionally attuned communication reduce </w:t>
      </w:r>
      <w:r w:rsidRPr="00FC2E7E" w:rsidR="00D45290">
        <w:rPr>
          <w:rFonts w:ascii="Arial" w:hAnsi="Arial" w:eastAsia="Times New Roman" w:cs="Arial"/>
        </w:rPr>
        <w:t>behavioral</w:t>
      </w:r>
      <w:r w:rsidRPr="00FC2E7E">
        <w:rPr>
          <w:rFonts w:ascii="Arial" w:hAnsi="Arial" w:eastAsia="Times New Roman" w:cs="Arial"/>
        </w:rPr>
        <w:t xml:space="preserve"> and psychological symptoms of dementia </w:t>
      </w:r>
      <w:r w:rsidRPr="00FC2E7E">
        <w:rPr>
          <w:rFonts w:ascii="Arial" w:hAnsi="Arial" w:eastAsia="Times New Roman" w:cs="Arial"/>
        </w:rPr>
        <w:lastRenderedPageBreak/>
        <w:t xml:space="preserve">(BPSD) and enhance residents’ feelings of safety (Nelis et al., 2021; Henderson, 2024). The </w:t>
      </w:r>
      <w:r w:rsidRPr="00827B2F">
        <w:rPr>
          <w:rFonts w:ascii="Arial" w:hAnsi="Arial" w:eastAsia="Times New Roman" w:cs="Arial"/>
          <w:iCs/>
        </w:rPr>
        <w:t>Health and Social Care Act 2012</w:t>
      </w:r>
      <w:r w:rsidRPr="00FC2E7E">
        <w:rPr>
          <w:rFonts w:ascii="Arial" w:hAnsi="Arial" w:eastAsia="Times New Roman" w:cs="Arial"/>
        </w:rPr>
        <w:t xml:space="preserve"> underlines the duty of professionals to provide compassionate, relationship-centred care—principles that mirror Bowlby’s emphasis on trust and responsive caregiving.</w:t>
      </w:r>
    </w:p>
    <w:p w:rsidRPr="00FC2E7E" w:rsidR="00FC2E7E" w:rsidP="00FC2E7E" w:rsidRDefault="00FC2E7E" w14:paraId="3631FEDB"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Attachment-informed approaches are increasingly integrated into UK dementia practice. For instance, </w:t>
      </w:r>
      <w:r w:rsidRPr="00D45290">
        <w:rPr>
          <w:rFonts w:ascii="Arial" w:hAnsi="Arial" w:eastAsia="Times New Roman" w:cs="Arial"/>
          <w:bCs/>
        </w:rPr>
        <w:t>attachment-based training programmes</w:t>
      </w:r>
      <w:r w:rsidRPr="00FC2E7E">
        <w:rPr>
          <w:rFonts w:ascii="Arial" w:hAnsi="Arial" w:eastAsia="Times New Roman" w:cs="Arial"/>
        </w:rPr>
        <w:t xml:space="preserve"> for care home staff, such as those piloted by Iriss (2021), have shown reductions in resident distress and improved staff–resident relationships. </w:t>
      </w:r>
      <w:r w:rsidRPr="00D45290">
        <w:rPr>
          <w:rFonts w:ascii="Arial" w:hAnsi="Arial" w:eastAsia="Times New Roman" w:cs="Arial"/>
          <w:bCs/>
        </w:rPr>
        <w:t>Therapeutic doll interventions</w:t>
      </w:r>
      <w:r w:rsidRPr="00FC2E7E">
        <w:rPr>
          <w:rFonts w:ascii="Arial" w:hAnsi="Arial" w:eastAsia="Times New Roman" w:cs="Arial"/>
        </w:rPr>
        <w:t>, when used sensitively, also reflect attachment principles by fulfilling residents’ needs to nurture and connect, though ethical guidance from UK care standards stresses the importance of maintaining dignity and informed consent (Henderson, 2024).</w:t>
      </w:r>
    </w:p>
    <w:p w:rsidR="00FC2E7E" w:rsidP="00FC2E7E" w:rsidRDefault="00FC2E7E" w14:paraId="370AE748"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Overall, Bowlby’s attachment theory reinforces that psychological health in older adulthood—particularly for those with dementia—depends on the presence of </w:t>
      </w:r>
      <w:r w:rsidRPr="00D45290">
        <w:rPr>
          <w:rFonts w:ascii="Arial" w:hAnsi="Arial" w:eastAsia="Times New Roman" w:cs="Arial"/>
          <w:bCs/>
        </w:rPr>
        <w:t>secure, empathic, and consistent caregiving relationships</w:t>
      </w:r>
      <w:r w:rsidRPr="00D45290">
        <w:rPr>
          <w:rFonts w:ascii="Arial" w:hAnsi="Arial" w:eastAsia="Times New Roman" w:cs="Arial"/>
        </w:rPr>
        <w:t>.</w:t>
      </w:r>
      <w:r w:rsidRPr="00FC2E7E">
        <w:rPr>
          <w:rFonts w:ascii="Arial" w:hAnsi="Arial" w:eastAsia="Times New Roman" w:cs="Arial"/>
        </w:rPr>
        <w:t xml:space="preserve"> In the UK context, embedding attachment-informed practice aligns with national goals for integrated, person-centred care under the NHS Long Term Plan (NHS England, 2019) and supports a more compassionate, relational model of dementia care.</w:t>
      </w:r>
    </w:p>
    <w:p w:rsidRPr="007E182F" w:rsidR="007E182F" w:rsidP="007E182F" w:rsidRDefault="007E182F" w14:paraId="38579930" w14:textId="77777777">
      <w:pPr>
        <w:pStyle w:val="Heading3"/>
        <w:ind w:left="720"/>
        <w:rPr>
          <w:rFonts w:ascii="Times New Roman" w:hAnsi="Times New Roman" w:eastAsia="Times New Roman" w:cs="Times New Roman"/>
        </w:rPr>
      </w:pPr>
      <w:r>
        <w:rPr>
          <w:noProof/>
        </w:rPr>
        <w:drawing>
          <wp:inline distT="0" distB="0" distL="0" distR="0" wp14:anchorId="35D76CA5" wp14:editId="0EB7E7BC">
            <wp:extent cx="5040923" cy="2834996"/>
            <wp:effectExtent l="0" t="0" r="7620" b="3810"/>
            <wp:docPr id="2" name="Picture 2" descr="John Bowlby's Attachment Theory and Developmental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 Bowlby's Attachment Theory and Developmental Pha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5009" cy="2837294"/>
                    </a:xfrm>
                    <a:prstGeom prst="rect">
                      <a:avLst/>
                    </a:prstGeom>
                    <a:noFill/>
                    <a:ln>
                      <a:noFill/>
                    </a:ln>
                  </pic:spPr>
                </pic:pic>
              </a:graphicData>
            </a:graphic>
          </wp:inline>
        </w:drawing>
      </w:r>
    </w:p>
    <w:p w:rsidRPr="00FC2E7E" w:rsidR="00054FB2" w:rsidP="00FC2E7E" w:rsidRDefault="007E182F" w14:paraId="139C8CB9" w14:textId="77777777">
      <w:pPr>
        <w:spacing w:before="100" w:beforeAutospacing="1" w:after="100" w:afterAutospacing="1" w:line="360" w:lineRule="auto"/>
        <w:jc w:val="both"/>
        <w:rPr>
          <w:rFonts w:ascii="Arial" w:hAnsi="Arial" w:eastAsia="Times New Roman" w:cs="Arial"/>
        </w:rPr>
      </w:pPr>
      <w:r>
        <w:rPr>
          <w:rFonts w:ascii="Arial" w:hAnsi="Arial" w:eastAsia="Times New Roman" w:cs="Arial"/>
        </w:rPr>
        <w:t xml:space="preserve">                                           </w:t>
      </w:r>
      <w:r w:rsidR="00054FB2">
        <w:rPr>
          <w:rFonts w:ascii="Arial" w:hAnsi="Arial" w:eastAsia="Times New Roman" w:cs="Arial"/>
        </w:rPr>
        <w:t xml:space="preserve"> (Cherry, 2025)</w:t>
      </w:r>
    </w:p>
    <w:p w:rsidRPr="00FC2E7E" w:rsidR="00FC2E7E" w:rsidP="00FC2E7E" w:rsidRDefault="00FC2E7E" w14:paraId="77CF5737" w14:textId="77777777">
      <w:pPr>
        <w:spacing w:before="100" w:beforeAutospacing="1" w:after="100" w:afterAutospacing="1" w:line="360" w:lineRule="auto"/>
        <w:jc w:val="both"/>
        <w:outlineLvl w:val="2"/>
        <w:rPr>
          <w:rFonts w:ascii="Arial" w:hAnsi="Arial" w:eastAsia="Times New Roman" w:cs="Arial"/>
          <w:b/>
          <w:bCs/>
        </w:rPr>
      </w:pPr>
      <w:r w:rsidRPr="00FC2E7E">
        <w:rPr>
          <w:rFonts w:ascii="Arial" w:hAnsi="Arial" w:eastAsia="Times New Roman" w:cs="Arial"/>
          <w:b/>
          <w:bCs/>
        </w:rPr>
        <w:t>3. Application in the Health and Social Care Context</w:t>
      </w:r>
    </w:p>
    <w:p w:rsidRPr="00FC2E7E" w:rsidR="00FC2E7E" w:rsidP="00FC2E7E" w:rsidRDefault="00FC2E7E" w14:paraId="6851DA28" w14:textId="77777777">
      <w:pPr>
        <w:spacing w:before="100" w:beforeAutospacing="1" w:after="100" w:afterAutospacing="1" w:line="360" w:lineRule="auto"/>
        <w:jc w:val="both"/>
        <w:outlineLvl w:val="3"/>
        <w:rPr>
          <w:rFonts w:ascii="Arial" w:hAnsi="Arial" w:eastAsia="Times New Roman" w:cs="Arial"/>
          <w:b/>
          <w:bCs/>
        </w:rPr>
      </w:pPr>
      <w:r w:rsidRPr="00FC2E7E">
        <w:rPr>
          <w:rFonts w:ascii="Arial" w:hAnsi="Arial" w:eastAsia="Times New Roman" w:cs="Arial"/>
          <w:b/>
          <w:bCs/>
        </w:rPr>
        <w:t>3.1 Application of Erikson’s Psychosocial Theory</w:t>
      </w:r>
    </w:p>
    <w:p w:rsidRPr="00FC2E7E" w:rsidR="00FC2E7E" w:rsidP="00FC2E7E" w:rsidRDefault="00FC2E7E" w14:paraId="272B1011"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lastRenderedPageBreak/>
        <w:t xml:space="preserve">Within UK dementia care homes, Erikson’s psychosocial theory provides a framework for promoting emotional wellbeing and person-centred support among older adults. The stage of </w:t>
      </w:r>
      <w:r w:rsidRPr="00D45290">
        <w:rPr>
          <w:rFonts w:ascii="Arial" w:hAnsi="Arial" w:eastAsia="Times New Roman" w:cs="Arial"/>
          <w:bCs/>
        </w:rPr>
        <w:t>ego integrity versus despair</w:t>
      </w:r>
      <w:r w:rsidRPr="00FC2E7E">
        <w:rPr>
          <w:rFonts w:ascii="Arial" w:hAnsi="Arial" w:eastAsia="Times New Roman" w:cs="Arial"/>
        </w:rPr>
        <w:t xml:space="preserve"> is particularly relevant, as many residents struggle with loss of autonomy, role identity, and cognitive decline. According to NICE (2018), interventions that facilitate </w:t>
      </w:r>
      <w:r w:rsidRPr="00D45290">
        <w:rPr>
          <w:rFonts w:ascii="Arial" w:hAnsi="Arial" w:eastAsia="Times New Roman" w:cs="Arial"/>
          <w:bCs/>
        </w:rPr>
        <w:t>life review and reminiscence</w:t>
      </w:r>
      <w:r w:rsidRPr="00FC2E7E">
        <w:rPr>
          <w:rFonts w:ascii="Arial" w:hAnsi="Arial" w:eastAsia="Times New Roman" w:cs="Arial"/>
        </w:rPr>
        <w:t xml:space="preserve"> are effective for improving mood and reducing depressive symptoms in dementia care. Such interventions help residents reconstruct their sense of self, affirm life meaning, and integrate past and present experiences (Subramaniam &amp; Woods, 2022; Jiang, 2024).</w:t>
      </w:r>
    </w:p>
    <w:p w:rsidRPr="00FC2E7E" w:rsidR="00FC2E7E" w:rsidP="00FC2E7E" w:rsidRDefault="00FC2E7E" w14:paraId="3A14265B"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In practice, </w:t>
      </w:r>
      <w:r w:rsidRPr="00D45290">
        <w:rPr>
          <w:rFonts w:ascii="Arial" w:hAnsi="Arial" w:eastAsia="Times New Roman" w:cs="Arial"/>
          <w:bCs/>
        </w:rPr>
        <w:t>life story work</w:t>
      </w:r>
      <w:r w:rsidRPr="00D45290">
        <w:rPr>
          <w:rFonts w:ascii="Arial" w:hAnsi="Arial" w:eastAsia="Times New Roman" w:cs="Arial"/>
        </w:rPr>
        <w:t>,</w:t>
      </w:r>
      <w:r w:rsidRPr="00FC2E7E">
        <w:rPr>
          <w:rFonts w:ascii="Arial" w:hAnsi="Arial" w:eastAsia="Times New Roman" w:cs="Arial"/>
        </w:rPr>
        <w:t xml:space="preserve"> a widely adopted approach in UK care homes, uses personal photographs, music, and memorabilia to engage memory and foster continuity (Miyawaki, 2025). This method supports the development of ego integrity by helping residents </w:t>
      </w:r>
      <w:r w:rsidRPr="00FC2E7E" w:rsidR="00D45290">
        <w:rPr>
          <w:rFonts w:ascii="Arial" w:hAnsi="Arial" w:eastAsia="Times New Roman" w:cs="Arial"/>
        </w:rPr>
        <w:t>recognize</w:t>
      </w:r>
      <w:r w:rsidRPr="00FC2E7E">
        <w:rPr>
          <w:rFonts w:ascii="Arial" w:hAnsi="Arial" w:eastAsia="Times New Roman" w:cs="Arial"/>
        </w:rPr>
        <w:t xml:space="preserve"> their enduring worth and achievements, even amidst memory loss. Staff who understand Erikson’s framework are better equipped to facilitate these reflective processes and to </w:t>
      </w:r>
      <w:r w:rsidRPr="00FC2E7E" w:rsidR="00D45290">
        <w:rPr>
          <w:rFonts w:ascii="Arial" w:hAnsi="Arial" w:eastAsia="Times New Roman" w:cs="Arial"/>
        </w:rPr>
        <w:t>recognize</w:t>
      </w:r>
      <w:r w:rsidRPr="00FC2E7E">
        <w:rPr>
          <w:rFonts w:ascii="Arial" w:hAnsi="Arial" w:eastAsia="Times New Roman" w:cs="Arial"/>
        </w:rPr>
        <w:t xml:space="preserve"> signs of despair, such as hopelessness or emotional withdrawal (Knight &amp; Poon, 2023).</w:t>
      </w:r>
    </w:p>
    <w:p w:rsidR="00054FB2" w:rsidP="00FC2E7E" w:rsidRDefault="00FC2E7E" w14:paraId="32104428"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Evidence from NHS England’s </w:t>
      </w:r>
      <w:r w:rsidRPr="00827B2F">
        <w:rPr>
          <w:rFonts w:ascii="Arial" w:hAnsi="Arial" w:eastAsia="Times New Roman" w:cs="Arial"/>
          <w:iCs/>
        </w:rPr>
        <w:t>Dementia Well Pathway</w:t>
      </w:r>
      <w:r w:rsidRPr="00FC2E7E">
        <w:rPr>
          <w:rFonts w:ascii="Arial" w:hAnsi="Arial" w:eastAsia="Times New Roman" w:cs="Arial"/>
        </w:rPr>
        <w:t xml:space="preserve"> (2023) shows that incorporating meaning-based activities, such as guided reminiscence or storytelling, leads to improved self-esteem and quality of life. Moreover, training carers to use </w:t>
      </w:r>
      <w:r w:rsidRPr="00D45290">
        <w:rPr>
          <w:rFonts w:ascii="Arial" w:hAnsi="Arial" w:eastAsia="Times New Roman" w:cs="Arial"/>
          <w:bCs/>
        </w:rPr>
        <w:t>validation therapy</w:t>
      </w:r>
      <w:r w:rsidRPr="00FC2E7E">
        <w:rPr>
          <w:rFonts w:ascii="Arial" w:hAnsi="Arial" w:eastAsia="Times New Roman" w:cs="Arial"/>
        </w:rPr>
        <w:t>, which acknowledges residents’ feelings rather than correcting memory errors, enhances emotional safety and aligns with Erikson’s focus on acceptance an</w:t>
      </w:r>
      <w:r w:rsidR="00827B2F">
        <w:rPr>
          <w:rFonts w:ascii="Arial" w:hAnsi="Arial" w:eastAsia="Times New Roman" w:cs="Arial"/>
        </w:rPr>
        <w:t>d integration (</w:t>
      </w:r>
      <w:r w:rsidRPr="00FC2E7E">
        <w:rPr>
          <w:rFonts w:ascii="Arial" w:hAnsi="Arial" w:eastAsia="Times New Roman" w:cs="Arial"/>
        </w:rPr>
        <w:t>Mansfield et al., 2023).</w:t>
      </w:r>
    </w:p>
    <w:p w:rsidRPr="00054FB2" w:rsidR="00054FB2" w:rsidP="00FC2E7E" w:rsidRDefault="00054FB2" w14:paraId="351376DE" w14:textId="77777777">
      <w:pPr>
        <w:spacing w:before="100" w:beforeAutospacing="1" w:after="100" w:afterAutospacing="1" w:line="360" w:lineRule="auto"/>
        <w:jc w:val="both"/>
        <w:rPr>
          <w:rFonts w:ascii="Arial" w:hAnsi="Arial" w:eastAsia="Times New Roman" w:cs="Arial"/>
          <w:b/>
        </w:rPr>
      </w:pPr>
      <w:r w:rsidRPr="00054FB2">
        <w:rPr>
          <w:rFonts w:ascii="Arial" w:hAnsi="Arial" w:cs="Arial"/>
          <w:b/>
        </w:rPr>
        <w:t>Challenges and Strategies</w:t>
      </w:r>
    </w:p>
    <w:p w:rsidRPr="00FC2E7E" w:rsidR="00FC2E7E" w:rsidP="00FC2E7E" w:rsidRDefault="00FC2E7E" w14:paraId="46C3EF4D"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However, challenges exist in applying this theory within care homes. Time constraints, staff shortages, and limited training can hinder effective implementation of psychosocial interventions (Brooker et al., 2021). Additionally, severe cognitive decline may limit residents’ ability to participate in structured life review sessions. To manage these barriers, research recommends integrating </w:t>
      </w:r>
      <w:r w:rsidRPr="00D45290">
        <w:rPr>
          <w:rFonts w:ascii="Arial" w:hAnsi="Arial" w:eastAsia="Times New Roman" w:cs="Arial"/>
          <w:bCs/>
        </w:rPr>
        <w:t>brief, informal reminiscence</w:t>
      </w:r>
      <w:r w:rsidRPr="00FC2E7E">
        <w:rPr>
          <w:rFonts w:ascii="Arial" w:hAnsi="Arial" w:eastAsia="Times New Roman" w:cs="Arial"/>
        </w:rPr>
        <w:t xml:space="preserve"> during routine care interactions and providing staff with targeted psychosocial training under the </w:t>
      </w:r>
      <w:r w:rsidRPr="00FC2E7E">
        <w:rPr>
          <w:rFonts w:ascii="Arial" w:hAnsi="Arial" w:eastAsia="Times New Roman" w:cs="Arial"/>
          <w:i/>
          <w:iCs/>
        </w:rPr>
        <w:t>Care Certificate Standards</w:t>
      </w:r>
      <w:r w:rsidRPr="00FC2E7E">
        <w:rPr>
          <w:rFonts w:ascii="Arial" w:hAnsi="Arial" w:eastAsia="Times New Roman" w:cs="Arial"/>
        </w:rPr>
        <w:t xml:space="preserve"> (Skills for Care, 2023). Collaborative involvement of family members in life story creation also enhances authenticity and ensures continuity when residents struggle to recall details (Subramaniam &amp; Woods, 2022). These strategies uphold Erikson’s principle of supporting integrity through relational and meaningful engagement.</w:t>
      </w:r>
    </w:p>
    <w:p w:rsidRPr="00FC2E7E" w:rsidR="00FC2E7E" w:rsidP="00FC2E7E" w:rsidRDefault="00FC2E7E" w14:paraId="65C02FD7" w14:textId="77777777">
      <w:pPr>
        <w:spacing w:before="100" w:beforeAutospacing="1" w:after="100" w:afterAutospacing="1" w:line="360" w:lineRule="auto"/>
        <w:jc w:val="both"/>
        <w:outlineLvl w:val="3"/>
        <w:rPr>
          <w:rFonts w:ascii="Arial" w:hAnsi="Arial" w:eastAsia="Times New Roman" w:cs="Arial"/>
          <w:b/>
          <w:bCs/>
        </w:rPr>
      </w:pPr>
      <w:r w:rsidRPr="00FC2E7E">
        <w:rPr>
          <w:rFonts w:ascii="Arial" w:hAnsi="Arial" w:eastAsia="Times New Roman" w:cs="Arial"/>
          <w:b/>
          <w:bCs/>
        </w:rPr>
        <w:t>3.2 Application of Bowlby’s Attachment Theory</w:t>
      </w:r>
    </w:p>
    <w:p w:rsidRPr="00FC2E7E" w:rsidR="00FC2E7E" w:rsidP="00FC2E7E" w:rsidRDefault="00FC2E7E" w14:paraId="18F84744"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Bowlby’s attachment theory offers vital insights into the emotional and </w:t>
      </w:r>
      <w:r w:rsidRPr="00FC2E7E" w:rsidR="00D45290">
        <w:rPr>
          <w:rFonts w:ascii="Arial" w:hAnsi="Arial" w:eastAsia="Times New Roman" w:cs="Arial"/>
        </w:rPr>
        <w:t>behavioral</w:t>
      </w:r>
      <w:r w:rsidRPr="00FC2E7E">
        <w:rPr>
          <w:rFonts w:ascii="Arial" w:hAnsi="Arial" w:eastAsia="Times New Roman" w:cs="Arial"/>
        </w:rPr>
        <w:t xml:space="preserve"> expressions of older adults with dementia. In UK care homes, residents frequently experience separation distress, attachment-seeking </w:t>
      </w:r>
      <w:r w:rsidRPr="00FC2E7E" w:rsidR="00D45290">
        <w:rPr>
          <w:rFonts w:ascii="Arial" w:hAnsi="Arial" w:eastAsia="Times New Roman" w:cs="Arial"/>
        </w:rPr>
        <w:t>behaviors</w:t>
      </w:r>
      <w:r w:rsidRPr="00FC2E7E">
        <w:rPr>
          <w:rFonts w:ascii="Arial" w:hAnsi="Arial" w:eastAsia="Times New Roman" w:cs="Arial"/>
        </w:rPr>
        <w:t xml:space="preserve">, and anxiety—particularly when unfamiliar staff provide intimate care (Iriss, 2021; Ramsden, 2025). Understanding these </w:t>
      </w:r>
      <w:r w:rsidRPr="00FC2E7E" w:rsidR="00D45290">
        <w:rPr>
          <w:rFonts w:ascii="Arial" w:hAnsi="Arial" w:eastAsia="Times New Roman" w:cs="Arial"/>
        </w:rPr>
        <w:t>behaviors</w:t>
      </w:r>
      <w:r w:rsidRPr="00FC2E7E">
        <w:rPr>
          <w:rFonts w:ascii="Arial" w:hAnsi="Arial" w:eastAsia="Times New Roman" w:cs="Arial"/>
        </w:rPr>
        <w:t xml:space="preserve"> through an attachment lens allows professionals to respond empathetically, viewing agitation or resistance not as “challenging </w:t>
      </w:r>
      <w:r w:rsidRPr="00FC2E7E" w:rsidR="00D45290">
        <w:rPr>
          <w:rFonts w:ascii="Arial" w:hAnsi="Arial" w:eastAsia="Times New Roman" w:cs="Arial"/>
        </w:rPr>
        <w:t>behavior</w:t>
      </w:r>
      <w:r w:rsidRPr="00FC2E7E">
        <w:rPr>
          <w:rFonts w:ascii="Arial" w:hAnsi="Arial" w:eastAsia="Times New Roman" w:cs="Arial"/>
        </w:rPr>
        <w:t xml:space="preserve">” but as </w:t>
      </w:r>
      <w:r w:rsidRPr="00D45290">
        <w:rPr>
          <w:rFonts w:ascii="Arial" w:hAnsi="Arial" w:eastAsia="Times New Roman" w:cs="Arial"/>
          <w:bCs/>
        </w:rPr>
        <w:t>expressions of unmet emotional need</w:t>
      </w:r>
      <w:r w:rsidRPr="00FC2E7E">
        <w:rPr>
          <w:rFonts w:ascii="Arial" w:hAnsi="Arial" w:eastAsia="Times New Roman" w:cs="Arial"/>
        </w:rPr>
        <w:t xml:space="preserve"> (Henderson, 2024).</w:t>
      </w:r>
    </w:p>
    <w:p w:rsidRPr="00FC2E7E" w:rsidR="00FC2E7E" w:rsidP="00FC2E7E" w:rsidRDefault="00FC2E7E" w14:paraId="07D2AE5C"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Attachment-informed care </w:t>
      </w:r>
      <w:r w:rsidRPr="00FC2E7E" w:rsidR="00D45290">
        <w:rPr>
          <w:rFonts w:ascii="Arial" w:hAnsi="Arial" w:eastAsia="Times New Roman" w:cs="Arial"/>
        </w:rPr>
        <w:t>emphasizes</w:t>
      </w:r>
      <w:r w:rsidRPr="00FC2E7E">
        <w:rPr>
          <w:rFonts w:ascii="Arial" w:hAnsi="Arial" w:eastAsia="Times New Roman" w:cs="Arial"/>
        </w:rPr>
        <w:t xml:space="preserve"> </w:t>
      </w:r>
      <w:r w:rsidRPr="00D45290">
        <w:rPr>
          <w:rFonts w:ascii="Arial" w:hAnsi="Arial" w:eastAsia="Times New Roman" w:cs="Arial"/>
          <w:bCs/>
        </w:rPr>
        <w:t>relationship continuity, emotional attunement, and trust-building</w:t>
      </w:r>
      <w:r w:rsidRPr="00D45290">
        <w:rPr>
          <w:rFonts w:ascii="Arial" w:hAnsi="Arial" w:eastAsia="Times New Roman" w:cs="Arial"/>
        </w:rPr>
        <w:t>.</w:t>
      </w:r>
      <w:r w:rsidRPr="00FC2E7E">
        <w:rPr>
          <w:rFonts w:ascii="Arial" w:hAnsi="Arial" w:eastAsia="Times New Roman" w:cs="Arial"/>
        </w:rPr>
        <w:t xml:space="preserve"> NHS England (2019) and the </w:t>
      </w:r>
      <w:r w:rsidRPr="00827B2F">
        <w:rPr>
          <w:rFonts w:ascii="Arial" w:hAnsi="Arial" w:eastAsia="Times New Roman" w:cs="Arial"/>
          <w:iCs/>
        </w:rPr>
        <w:t>Health and Social Care Act 2012</w:t>
      </w:r>
      <w:r w:rsidRPr="00FC2E7E">
        <w:rPr>
          <w:rFonts w:ascii="Arial" w:hAnsi="Arial" w:eastAsia="Times New Roman" w:cs="Arial"/>
        </w:rPr>
        <w:t xml:space="preserve"> both highlight relationship-centred practice as key to compassionate care. Implementing </w:t>
      </w:r>
      <w:r w:rsidRPr="00D45290">
        <w:rPr>
          <w:rFonts w:ascii="Arial" w:hAnsi="Arial" w:eastAsia="Times New Roman" w:cs="Arial"/>
          <w:bCs/>
        </w:rPr>
        <w:t>key worker systems</w:t>
      </w:r>
      <w:r w:rsidRPr="00D45290">
        <w:rPr>
          <w:rFonts w:ascii="Arial" w:hAnsi="Arial" w:eastAsia="Times New Roman" w:cs="Arial"/>
        </w:rPr>
        <w:t>,</w:t>
      </w:r>
      <w:r w:rsidRPr="00FC2E7E">
        <w:rPr>
          <w:rFonts w:ascii="Arial" w:hAnsi="Arial" w:eastAsia="Times New Roman" w:cs="Arial"/>
        </w:rPr>
        <w:t xml:space="preserve"> where residents have a consistent caregiver, helps foster secure attachments and reduces </w:t>
      </w:r>
      <w:r w:rsidRPr="00FC2E7E" w:rsidR="00D45290">
        <w:rPr>
          <w:rFonts w:ascii="Arial" w:hAnsi="Arial" w:eastAsia="Times New Roman" w:cs="Arial"/>
        </w:rPr>
        <w:t>behavioral</w:t>
      </w:r>
      <w:r w:rsidRPr="00FC2E7E">
        <w:rPr>
          <w:rFonts w:ascii="Arial" w:hAnsi="Arial" w:eastAsia="Times New Roman" w:cs="Arial"/>
        </w:rPr>
        <w:t xml:space="preserve"> disturbances (Nelis et al., 2021). Additionally, </w:t>
      </w:r>
      <w:r w:rsidRPr="00D45290">
        <w:rPr>
          <w:rFonts w:ascii="Arial" w:hAnsi="Arial" w:eastAsia="Times New Roman" w:cs="Arial"/>
          <w:bCs/>
        </w:rPr>
        <w:t>attachment-based training</w:t>
      </w:r>
      <w:r w:rsidRPr="00FC2E7E">
        <w:rPr>
          <w:rFonts w:ascii="Arial" w:hAnsi="Arial" w:eastAsia="Times New Roman" w:cs="Arial"/>
        </w:rPr>
        <w:t xml:space="preserve"> improves staff awareness of nonverbal distress signals, supporting timely emotional reassurance (Pereira et al., 2023).</w:t>
      </w:r>
    </w:p>
    <w:p w:rsidR="00FC2E7E" w:rsidP="00FC2E7E" w:rsidRDefault="00FC2E7E" w14:paraId="3877AACE"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Recent UK evidence shows that attachment-informed interventions—such as </w:t>
      </w:r>
      <w:r w:rsidRPr="00054FB2">
        <w:rPr>
          <w:rFonts w:ascii="Arial" w:hAnsi="Arial" w:eastAsia="Times New Roman" w:cs="Arial"/>
          <w:bCs/>
        </w:rPr>
        <w:t>therapeutic doll use</w:t>
      </w:r>
      <w:r w:rsidRPr="00054FB2">
        <w:rPr>
          <w:rFonts w:ascii="Arial" w:hAnsi="Arial" w:eastAsia="Times New Roman" w:cs="Arial"/>
        </w:rPr>
        <w:t xml:space="preserve">, </w:t>
      </w:r>
      <w:r w:rsidRPr="00054FB2">
        <w:rPr>
          <w:rFonts w:ascii="Arial" w:hAnsi="Arial" w:eastAsia="Times New Roman" w:cs="Arial"/>
          <w:bCs/>
        </w:rPr>
        <w:t>music therapy</w:t>
      </w:r>
      <w:r w:rsidRPr="00054FB2">
        <w:rPr>
          <w:rFonts w:ascii="Arial" w:hAnsi="Arial" w:eastAsia="Times New Roman" w:cs="Arial"/>
        </w:rPr>
        <w:t xml:space="preserve">, and </w:t>
      </w:r>
      <w:r w:rsidRPr="00054FB2">
        <w:rPr>
          <w:rFonts w:ascii="Arial" w:hAnsi="Arial" w:eastAsia="Times New Roman" w:cs="Arial"/>
          <w:bCs/>
        </w:rPr>
        <w:t>companion animal programmes</w:t>
      </w:r>
      <w:r w:rsidRPr="00FC2E7E">
        <w:rPr>
          <w:rFonts w:ascii="Arial" w:hAnsi="Arial" w:eastAsia="Times New Roman" w:cs="Arial"/>
        </w:rPr>
        <w:t xml:space="preserve">—can soothe attachment distress and reduce anxiety when implemented ethically (Henderson, 2024). For example, holding a doll or soft toy can activate caregiving schemas, providing comfort through symbolic attachment when verbal communication is limited (Ramsden, 2025). This approach aligns with the </w:t>
      </w:r>
      <w:r w:rsidRPr="00827B2F">
        <w:rPr>
          <w:rFonts w:ascii="Arial" w:hAnsi="Arial" w:eastAsia="Times New Roman" w:cs="Arial"/>
          <w:iCs/>
        </w:rPr>
        <w:t>NICE Dementia Guideline (NG97</w:t>
      </w:r>
      <w:r w:rsidRPr="00FC2E7E">
        <w:rPr>
          <w:rFonts w:ascii="Arial" w:hAnsi="Arial" w:eastAsia="Times New Roman" w:cs="Arial"/>
          <w:i/>
          <w:iCs/>
        </w:rPr>
        <w:t>, 2018)</w:t>
      </w:r>
      <w:r w:rsidRPr="00FC2E7E">
        <w:rPr>
          <w:rFonts w:ascii="Arial" w:hAnsi="Arial" w:eastAsia="Times New Roman" w:cs="Arial"/>
        </w:rPr>
        <w:t xml:space="preserve"> emphasis on non-pharmacological interventions and person-centred practice.</w:t>
      </w:r>
    </w:p>
    <w:p w:rsidRPr="00054FB2" w:rsidR="00054FB2" w:rsidP="00FC2E7E" w:rsidRDefault="00054FB2" w14:paraId="61E08131" w14:textId="77777777">
      <w:pPr>
        <w:spacing w:before="100" w:beforeAutospacing="1" w:after="100" w:afterAutospacing="1" w:line="360" w:lineRule="auto"/>
        <w:jc w:val="both"/>
        <w:rPr>
          <w:rFonts w:ascii="Arial" w:hAnsi="Arial" w:eastAsia="Times New Roman" w:cs="Arial"/>
          <w:b/>
        </w:rPr>
      </w:pPr>
      <w:r w:rsidRPr="00054FB2">
        <w:rPr>
          <w:rFonts w:ascii="Arial" w:hAnsi="Arial" w:cs="Arial"/>
          <w:b/>
        </w:rPr>
        <w:t>Challenges and Strategies</w:t>
      </w:r>
    </w:p>
    <w:p w:rsidRPr="00FC2E7E" w:rsidR="00FC2E7E" w:rsidP="00FC2E7E" w:rsidRDefault="00FC2E7E" w14:paraId="7CC92544"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Nonetheless, professionals face challenges in applying attachment-based care. High staff turnover, inconsistent shift patterns, and limited emotional supervision can undermine the formation of secure bonds (Brooker et al., 2021). Ethical concerns may also arise—for instance, in the use of doll therapy, which some critics argue could </w:t>
      </w:r>
      <w:r w:rsidRPr="00FC2E7E" w:rsidR="00D45290">
        <w:rPr>
          <w:rFonts w:ascii="Arial" w:hAnsi="Arial" w:eastAsia="Times New Roman" w:cs="Arial"/>
        </w:rPr>
        <w:t>infantilize</w:t>
      </w:r>
      <w:r w:rsidRPr="00FC2E7E">
        <w:rPr>
          <w:rFonts w:ascii="Arial" w:hAnsi="Arial" w:eastAsia="Times New Roman" w:cs="Arial"/>
        </w:rPr>
        <w:t xml:space="preserve"> residents (Henderson, 2024). To address these challenges, managers should implement </w:t>
      </w:r>
      <w:r w:rsidRPr="00054FB2">
        <w:rPr>
          <w:rFonts w:ascii="Arial" w:hAnsi="Arial" w:eastAsia="Times New Roman" w:cs="Arial"/>
          <w:bCs/>
        </w:rPr>
        <w:t>consistent staffing models</w:t>
      </w:r>
      <w:r w:rsidRPr="00FC2E7E">
        <w:rPr>
          <w:rFonts w:ascii="Arial" w:hAnsi="Arial" w:eastAsia="Times New Roman" w:cs="Arial"/>
        </w:rPr>
        <w:t xml:space="preserve">, encourage </w:t>
      </w:r>
      <w:r w:rsidRPr="00054FB2">
        <w:rPr>
          <w:rFonts w:ascii="Arial" w:hAnsi="Arial" w:eastAsia="Times New Roman" w:cs="Arial"/>
          <w:bCs/>
        </w:rPr>
        <w:t>reflective supervision</w:t>
      </w:r>
      <w:r w:rsidRPr="00FC2E7E">
        <w:rPr>
          <w:rFonts w:ascii="Arial" w:hAnsi="Arial" w:eastAsia="Times New Roman" w:cs="Arial"/>
        </w:rPr>
        <w:t xml:space="preserve">, and ensure informed consent through family consultation or best-interest decisions under the </w:t>
      </w:r>
      <w:r w:rsidRPr="00827B2F">
        <w:rPr>
          <w:rFonts w:ascii="Arial" w:hAnsi="Arial" w:eastAsia="Times New Roman" w:cs="Arial"/>
          <w:iCs/>
        </w:rPr>
        <w:t>Mental Capacity Act 2005</w:t>
      </w:r>
      <w:r w:rsidRPr="00FC2E7E">
        <w:rPr>
          <w:rFonts w:ascii="Arial" w:hAnsi="Arial" w:eastAsia="Times New Roman" w:cs="Arial"/>
        </w:rPr>
        <w:t xml:space="preserve"> (Department of Health and Social Care, 2022).</w:t>
      </w:r>
    </w:p>
    <w:p w:rsidRPr="00FC2E7E" w:rsidR="00FC2E7E" w:rsidP="00FC2E7E" w:rsidRDefault="00FC2E7E" w14:paraId="4BA79431"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 xml:space="preserve">By embedding attachment principles in daily routines—such as greeting residents warmly, maintaining eye contact, and validating emotional expressions—care professionals can create psychologically safe environments that reduce distress and foster emotional security. Bowlby’s theory thus provides the foundation for a </w:t>
      </w:r>
      <w:r w:rsidRPr="00054FB2">
        <w:rPr>
          <w:rFonts w:ascii="Arial" w:hAnsi="Arial" w:eastAsia="Times New Roman" w:cs="Arial"/>
          <w:bCs/>
        </w:rPr>
        <w:t>relationship-centred model of dementia care</w:t>
      </w:r>
      <w:r w:rsidRPr="00FC2E7E">
        <w:rPr>
          <w:rFonts w:ascii="Arial" w:hAnsi="Arial" w:eastAsia="Times New Roman" w:cs="Arial"/>
        </w:rPr>
        <w:t>, reinforcing the NHS ambition to deliver compassionate, emotionally intelligent practice (NHS England, 2023).</w:t>
      </w:r>
    </w:p>
    <w:p w:rsidRPr="00FC2E7E" w:rsidR="00F6282A" w:rsidP="00FC2E7E" w:rsidRDefault="00607D86" w14:paraId="76ED0A9E" w14:textId="77777777">
      <w:pPr>
        <w:spacing w:line="360" w:lineRule="auto"/>
        <w:jc w:val="both"/>
        <w:rPr>
          <w:rFonts w:ascii="Arial" w:hAnsi="Arial" w:cs="Arial"/>
          <w:b/>
        </w:rPr>
      </w:pPr>
      <w:r>
        <w:rPr>
          <w:rFonts w:ascii="Arial" w:hAnsi="Arial" w:cs="Arial"/>
          <w:b/>
        </w:rPr>
        <w:t xml:space="preserve">Table </w:t>
      </w:r>
      <w:r w:rsidRPr="00FC2E7E" w:rsidR="00FC2E7E">
        <w:rPr>
          <w:rFonts w:ascii="Arial" w:hAnsi="Arial" w:cs="Arial"/>
          <w:b/>
        </w:rPr>
        <w:t>: Practical Use of Psychological Theories in Dementia Care Homes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1"/>
        <w:gridCol w:w="1758"/>
        <w:gridCol w:w="2389"/>
        <w:gridCol w:w="1756"/>
        <w:gridCol w:w="1826"/>
      </w:tblGrid>
      <w:tr w:rsidRPr="00FC2E7E" w:rsidR="00FC2E7E" w:rsidTr="00FC2E7E" w14:paraId="40BEC0B6" w14:textId="77777777">
        <w:trPr>
          <w:tblHeader/>
          <w:tblCellSpacing w:w="15" w:type="dxa"/>
        </w:trPr>
        <w:tc>
          <w:tcPr>
            <w:tcW w:w="0" w:type="auto"/>
            <w:vAlign w:val="center"/>
            <w:hideMark/>
          </w:tcPr>
          <w:p w:rsidRPr="00FC2E7E" w:rsidR="00FC2E7E" w:rsidP="00FC2E7E" w:rsidRDefault="00FC2E7E" w14:paraId="7EBD4209" w14:textId="77777777">
            <w:pPr>
              <w:spacing w:after="0" w:line="276" w:lineRule="auto"/>
              <w:jc w:val="both"/>
              <w:rPr>
                <w:rFonts w:ascii="Arial" w:hAnsi="Arial" w:eastAsia="Times New Roman" w:cs="Arial"/>
                <w:b/>
                <w:bCs/>
              </w:rPr>
            </w:pPr>
            <w:r w:rsidRPr="00FC2E7E">
              <w:rPr>
                <w:rFonts w:ascii="Arial" w:hAnsi="Arial" w:eastAsia="Times New Roman" w:cs="Arial"/>
                <w:b/>
                <w:bCs/>
              </w:rPr>
              <w:t>Theory</w:t>
            </w:r>
          </w:p>
        </w:tc>
        <w:tc>
          <w:tcPr>
            <w:tcW w:w="0" w:type="auto"/>
            <w:vAlign w:val="center"/>
            <w:hideMark/>
          </w:tcPr>
          <w:p w:rsidRPr="00FC2E7E" w:rsidR="00FC2E7E" w:rsidP="00FC2E7E" w:rsidRDefault="00FC2E7E" w14:paraId="3D9B5007" w14:textId="77777777">
            <w:pPr>
              <w:spacing w:after="0" w:line="276" w:lineRule="auto"/>
              <w:jc w:val="both"/>
              <w:rPr>
                <w:rFonts w:ascii="Arial" w:hAnsi="Arial" w:eastAsia="Times New Roman" w:cs="Arial"/>
                <w:b/>
                <w:bCs/>
              </w:rPr>
            </w:pPr>
            <w:r w:rsidRPr="00FC2E7E">
              <w:rPr>
                <w:rFonts w:ascii="Arial" w:hAnsi="Arial" w:eastAsia="Times New Roman" w:cs="Arial"/>
                <w:b/>
                <w:bCs/>
              </w:rPr>
              <w:t>Core Focus</w:t>
            </w:r>
          </w:p>
        </w:tc>
        <w:tc>
          <w:tcPr>
            <w:tcW w:w="0" w:type="auto"/>
            <w:vAlign w:val="center"/>
            <w:hideMark/>
          </w:tcPr>
          <w:p w:rsidRPr="00FC2E7E" w:rsidR="00FC2E7E" w:rsidP="00FC2E7E" w:rsidRDefault="00FC2E7E" w14:paraId="0A59E0A8" w14:textId="77777777">
            <w:pPr>
              <w:spacing w:after="0" w:line="276" w:lineRule="auto"/>
              <w:jc w:val="both"/>
              <w:rPr>
                <w:rFonts w:ascii="Arial" w:hAnsi="Arial" w:eastAsia="Times New Roman" w:cs="Arial"/>
                <w:b/>
                <w:bCs/>
              </w:rPr>
            </w:pPr>
            <w:r w:rsidRPr="00FC2E7E">
              <w:rPr>
                <w:rFonts w:ascii="Arial" w:hAnsi="Arial" w:eastAsia="Times New Roman" w:cs="Arial"/>
                <w:b/>
                <w:bCs/>
              </w:rPr>
              <w:t>Practical Application in Dementia Care</w:t>
            </w:r>
          </w:p>
        </w:tc>
        <w:tc>
          <w:tcPr>
            <w:tcW w:w="0" w:type="auto"/>
            <w:vAlign w:val="center"/>
            <w:hideMark/>
          </w:tcPr>
          <w:p w:rsidRPr="00FC2E7E" w:rsidR="00FC2E7E" w:rsidP="00FC2E7E" w:rsidRDefault="00FC2E7E" w14:paraId="350C44C7" w14:textId="77777777">
            <w:pPr>
              <w:spacing w:after="0" w:line="276" w:lineRule="auto"/>
              <w:jc w:val="both"/>
              <w:rPr>
                <w:rFonts w:ascii="Arial" w:hAnsi="Arial" w:eastAsia="Times New Roman" w:cs="Arial"/>
                <w:b/>
                <w:bCs/>
              </w:rPr>
            </w:pPr>
            <w:r w:rsidRPr="00FC2E7E">
              <w:rPr>
                <w:rFonts w:ascii="Arial" w:hAnsi="Arial" w:eastAsia="Times New Roman" w:cs="Arial"/>
                <w:b/>
                <w:bCs/>
              </w:rPr>
              <w:t>Resident Outcomes</w:t>
            </w:r>
          </w:p>
        </w:tc>
        <w:tc>
          <w:tcPr>
            <w:tcW w:w="0" w:type="auto"/>
            <w:vAlign w:val="center"/>
            <w:hideMark/>
          </w:tcPr>
          <w:p w:rsidRPr="00FC2E7E" w:rsidR="00FC2E7E" w:rsidP="00FC2E7E" w:rsidRDefault="00FC2E7E" w14:paraId="32B76587" w14:textId="77777777">
            <w:pPr>
              <w:spacing w:after="0" w:line="276" w:lineRule="auto"/>
              <w:jc w:val="both"/>
              <w:rPr>
                <w:rFonts w:ascii="Arial" w:hAnsi="Arial" w:eastAsia="Times New Roman" w:cs="Arial"/>
                <w:b/>
                <w:bCs/>
              </w:rPr>
            </w:pPr>
            <w:r w:rsidRPr="00FC2E7E">
              <w:rPr>
                <w:rFonts w:ascii="Arial" w:hAnsi="Arial" w:eastAsia="Times New Roman" w:cs="Arial"/>
                <w:b/>
                <w:bCs/>
              </w:rPr>
              <w:t>Key References</w:t>
            </w:r>
          </w:p>
        </w:tc>
      </w:tr>
      <w:tr w:rsidRPr="00FC2E7E" w:rsidR="00FC2E7E" w:rsidTr="00FC2E7E" w14:paraId="390E30A9" w14:textId="77777777">
        <w:trPr>
          <w:tblCellSpacing w:w="15" w:type="dxa"/>
        </w:trPr>
        <w:tc>
          <w:tcPr>
            <w:tcW w:w="0" w:type="auto"/>
            <w:vAlign w:val="center"/>
            <w:hideMark/>
          </w:tcPr>
          <w:p w:rsidRPr="00FC2E7E" w:rsidR="00FC2E7E" w:rsidP="00FC2E7E" w:rsidRDefault="00FC2E7E" w14:paraId="70F3E9B2" w14:textId="77777777">
            <w:pPr>
              <w:spacing w:after="0" w:line="276" w:lineRule="auto"/>
              <w:jc w:val="both"/>
              <w:rPr>
                <w:rFonts w:ascii="Arial" w:hAnsi="Arial" w:eastAsia="Times New Roman" w:cs="Arial"/>
              </w:rPr>
            </w:pPr>
            <w:r w:rsidRPr="00FC2E7E">
              <w:rPr>
                <w:rFonts w:ascii="Arial" w:hAnsi="Arial" w:eastAsia="Times New Roman" w:cs="Arial"/>
                <w:b/>
                <w:bCs/>
              </w:rPr>
              <w:t>Erikson’s Psychosocial Theory</w:t>
            </w:r>
          </w:p>
        </w:tc>
        <w:tc>
          <w:tcPr>
            <w:tcW w:w="0" w:type="auto"/>
            <w:vAlign w:val="center"/>
            <w:hideMark/>
          </w:tcPr>
          <w:p w:rsidRPr="00FC2E7E" w:rsidR="00FC2E7E" w:rsidP="00FC2E7E" w:rsidRDefault="00FC2E7E" w14:paraId="58593ADD" w14:textId="77777777">
            <w:pPr>
              <w:spacing w:after="0" w:line="276" w:lineRule="auto"/>
              <w:jc w:val="both"/>
              <w:rPr>
                <w:rFonts w:ascii="Arial" w:hAnsi="Arial" w:eastAsia="Times New Roman" w:cs="Arial"/>
              </w:rPr>
            </w:pPr>
            <w:r w:rsidRPr="00FC2E7E">
              <w:rPr>
                <w:rFonts w:ascii="Arial" w:hAnsi="Arial" w:eastAsia="Times New Roman" w:cs="Arial"/>
              </w:rPr>
              <w:t>Supporting identity and life satisfaction in late adulthood</w:t>
            </w:r>
          </w:p>
        </w:tc>
        <w:tc>
          <w:tcPr>
            <w:tcW w:w="0" w:type="auto"/>
            <w:vAlign w:val="center"/>
            <w:hideMark/>
          </w:tcPr>
          <w:p w:rsidRPr="00FC2E7E" w:rsidR="00FC2E7E" w:rsidP="00FC2E7E" w:rsidRDefault="00FC2E7E" w14:paraId="72340B05" w14:textId="77777777">
            <w:pPr>
              <w:spacing w:after="0" w:line="276" w:lineRule="auto"/>
              <w:jc w:val="both"/>
              <w:rPr>
                <w:rFonts w:ascii="Arial" w:hAnsi="Arial" w:eastAsia="Times New Roman" w:cs="Arial"/>
              </w:rPr>
            </w:pPr>
            <w:r w:rsidRPr="00FC2E7E">
              <w:rPr>
                <w:rFonts w:ascii="Arial" w:hAnsi="Arial" w:eastAsia="Times New Roman" w:cs="Arial"/>
              </w:rPr>
              <w:t>• Reminiscence therapy and life-story work • Validation of emotions and past experiences • Encouraging autonomy and self-expression</w:t>
            </w:r>
          </w:p>
        </w:tc>
        <w:tc>
          <w:tcPr>
            <w:tcW w:w="0" w:type="auto"/>
            <w:vAlign w:val="center"/>
            <w:hideMark/>
          </w:tcPr>
          <w:p w:rsidRPr="00FC2E7E" w:rsidR="00FC2E7E" w:rsidP="00FC2E7E" w:rsidRDefault="00D45290" w14:paraId="5197BDBF" w14:textId="77777777">
            <w:pPr>
              <w:spacing w:after="0" w:line="276" w:lineRule="auto"/>
              <w:jc w:val="both"/>
              <w:rPr>
                <w:rFonts w:ascii="Arial" w:hAnsi="Arial" w:eastAsia="Times New Roman" w:cs="Arial"/>
              </w:rPr>
            </w:pPr>
            <w:r>
              <w:rPr>
                <w:rFonts w:ascii="Arial" w:hAnsi="Arial" w:eastAsia="Times New Roman" w:cs="Arial"/>
              </w:rPr>
              <w:t xml:space="preserve">• </w:t>
            </w:r>
            <w:r w:rsidRPr="00FC2E7E" w:rsidR="00FC2E7E">
              <w:rPr>
                <w:rFonts w:ascii="Arial" w:hAnsi="Arial" w:eastAsia="Times New Roman" w:cs="Arial"/>
              </w:rPr>
              <w:t>Reduced depression and despair • Improved self-esteem and sense of meaning</w:t>
            </w:r>
          </w:p>
        </w:tc>
        <w:tc>
          <w:tcPr>
            <w:tcW w:w="0" w:type="auto"/>
            <w:vAlign w:val="center"/>
            <w:hideMark/>
          </w:tcPr>
          <w:p w:rsidRPr="00FC2E7E" w:rsidR="00FC2E7E" w:rsidP="00FC2E7E" w:rsidRDefault="00FC2E7E" w14:paraId="455716B0" w14:textId="77777777">
            <w:pPr>
              <w:spacing w:after="0" w:line="276" w:lineRule="auto"/>
              <w:jc w:val="both"/>
              <w:rPr>
                <w:rFonts w:ascii="Arial" w:hAnsi="Arial" w:eastAsia="Times New Roman" w:cs="Arial"/>
              </w:rPr>
            </w:pPr>
            <w:r w:rsidRPr="00FC2E7E">
              <w:rPr>
                <w:rFonts w:ascii="Arial" w:hAnsi="Arial" w:eastAsia="Times New Roman" w:cs="Arial"/>
              </w:rPr>
              <w:t>Miyawaki (2025); NICE (2023); Subramaniam &amp; Woods (2022)</w:t>
            </w:r>
          </w:p>
        </w:tc>
      </w:tr>
      <w:tr w:rsidRPr="00FC2E7E" w:rsidR="00FC2E7E" w:rsidTr="00FC2E7E" w14:paraId="2D37DC15" w14:textId="77777777">
        <w:trPr>
          <w:tblCellSpacing w:w="15" w:type="dxa"/>
        </w:trPr>
        <w:tc>
          <w:tcPr>
            <w:tcW w:w="0" w:type="auto"/>
            <w:vAlign w:val="center"/>
            <w:hideMark/>
          </w:tcPr>
          <w:p w:rsidRPr="00FC2E7E" w:rsidR="00FC2E7E" w:rsidP="00FC2E7E" w:rsidRDefault="00FC2E7E" w14:paraId="706D8B40" w14:textId="77777777">
            <w:pPr>
              <w:spacing w:after="0" w:line="276" w:lineRule="auto"/>
              <w:jc w:val="both"/>
              <w:rPr>
                <w:rFonts w:ascii="Arial" w:hAnsi="Arial" w:eastAsia="Times New Roman" w:cs="Arial"/>
              </w:rPr>
            </w:pPr>
            <w:r w:rsidRPr="00FC2E7E">
              <w:rPr>
                <w:rFonts w:ascii="Arial" w:hAnsi="Arial" w:eastAsia="Times New Roman" w:cs="Arial"/>
                <w:b/>
                <w:bCs/>
              </w:rPr>
              <w:t>Bowlby’s Attachment Theory</w:t>
            </w:r>
          </w:p>
        </w:tc>
        <w:tc>
          <w:tcPr>
            <w:tcW w:w="0" w:type="auto"/>
            <w:vAlign w:val="center"/>
            <w:hideMark/>
          </w:tcPr>
          <w:p w:rsidRPr="00FC2E7E" w:rsidR="00FC2E7E" w:rsidP="00FC2E7E" w:rsidRDefault="00FC2E7E" w14:paraId="3583F782" w14:textId="77777777">
            <w:pPr>
              <w:spacing w:after="0" w:line="276" w:lineRule="auto"/>
              <w:jc w:val="both"/>
              <w:rPr>
                <w:rFonts w:ascii="Arial" w:hAnsi="Arial" w:eastAsia="Times New Roman" w:cs="Arial"/>
              </w:rPr>
            </w:pPr>
            <w:r w:rsidRPr="00FC2E7E">
              <w:rPr>
                <w:rFonts w:ascii="Arial" w:hAnsi="Arial" w:eastAsia="Times New Roman" w:cs="Arial"/>
              </w:rPr>
              <w:t>Strengthening emotional security and reducing distress</w:t>
            </w:r>
          </w:p>
        </w:tc>
        <w:tc>
          <w:tcPr>
            <w:tcW w:w="0" w:type="auto"/>
            <w:vAlign w:val="center"/>
            <w:hideMark/>
          </w:tcPr>
          <w:p w:rsidRPr="00FC2E7E" w:rsidR="00FC2E7E" w:rsidP="00FC2E7E" w:rsidRDefault="00FC2E7E" w14:paraId="22BB073A" w14:textId="77777777">
            <w:pPr>
              <w:spacing w:after="0" w:line="276" w:lineRule="auto"/>
              <w:jc w:val="both"/>
              <w:rPr>
                <w:rFonts w:ascii="Arial" w:hAnsi="Arial" w:eastAsia="Times New Roman" w:cs="Arial"/>
              </w:rPr>
            </w:pPr>
            <w:r w:rsidRPr="00FC2E7E">
              <w:rPr>
                <w:rFonts w:ascii="Arial" w:hAnsi="Arial" w:eastAsia="Times New Roman" w:cs="Arial"/>
              </w:rPr>
              <w:t>• Consistent key-worker relationships • Family-inclusive care planning • Emotional reassurance during confusion or transition</w:t>
            </w:r>
          </w:p>
        </w:tc>
        <w:tc>
          <w:tcPr>
            <w:tcW w:w="0" w:type="auto"/>
            <w:vAlign w:val="center"/>
            <w:hideMark/>
          </w:tcPr>
          <w:p w:rsidRPr="00FC2E7E" w:rsidR="00FC2E7E" w:rsidP="00FC2E7E" w:rsidRDefault="00FC2E7E" w14:paraId="7C10FD1B" w14:textId="77777777">
            <w:pPr>
              <w:spacing w:after="0" w:line="276" w:lineRule="auto"/>
              <w:jc w:val="both"/>
              <w:rPr>
                <w:rFonts w:ascii="Arial" w:hAnsi="Arial" w:eastAsia="Times New Roman" w:cs="Arial"/>
              </w:rPr>
            </w:pPr>
            <w:r w:rsidRPr="00FC2E7E">
              <w:rPr>
                <w:rFonts w:ascii="Arial" w:hAnsi="Arial" w:eastAsia="Times New Roman" w:cs="Arial"/>
              </w:rPr>
              <w:t>• Lower anxiety and agitation • Greater trust and cooperation</w:t>
            </w:r>
          </w:p>
        </w:tc>
        <w:tc>
          <w:tcPr>
            <w:tcW w:w="0" w:type="auto"/>
            <w:vAlign w:val="center"/>
            <w:hideMark/>
          </w:tcPr>
          <w:p w:rsidRPr="00FC2E7E" w:rsidR="00FC2E7E" w:rsidP="00FC2E7E" w:rsidRDefault="00FC2E7E" w14:paraId="32CAE820" w14:textId="77777777">
            <w:pPr>
              <w:spacing w:after="0" w:line="276" w:lineRule="auto"/>
              <w:jc w:val="both"/>
              <w:rPr>
                <w:rFonts w:ascii="Arial" w:hAnsi="Arial" w:eastAsia="Times New Roman" w:cs="Arial"/>
              </w:rPr>
            </w:pPr>
            <w:r w:rsidRPr="00FC2E7E">
              <w:rPr>
                <w:rFonts w:ascii="Arial" w:hAnsi="Arial" w:eastAsia="Times New Roman" w:cs="Arial"/>
              </w:rPr>
              <w:t>Iriss (2021); McCormack et al. (2023); NHS England (2024)</w:t>
            </w:r>
          </w:p>
        </w:tc>
      </w:tr>
    </w:tbl>
    <w:p w:rsidRPr="00FC2E7E" w:rsidR="00FC2E7E" w:rsidP="00FC2E7E" w:rsidRDefault="00FC2E7E" w14:paraId="5302DDE8" w14:textId="77777777">
      <w:pPr>
        <w:spacing w:line="360" w:lineRule="auto"/>
        <w:jc w:val="both"/>
        <w:rPr>
          <w:rFonts w:ascii="Arial" w:hAnsi="Arial" w:cs="Arial"/>
        </w:rPr>
      </w:pPr>
    </w:p>
    <w:p w:rsidRPr="00FC2E7E" w:rsidR="00FC2E7E" w:rsidP="00FC2E7E" w:rsidRDefault="00FC2E7E" w14:paraId="3007E3AD" w14:textId="77777777">
      <w:pPr>
        <w:spacing w:before="100" w:beforeAutospacing="1" w:after="100" w:afterAutospacing="1" w:line="360" w:lineRule="auto"/>
        <w:jc w:val="both"/>
        <w:outlineLvl w:val="2"/>
        <w:rPr>
          <w:rFonts w:ascii="Arial" w:hAnsi="Arial" w:eastAsia="Times New Roman" w:cs="Arial"/>
          <w:b/>
          <w:bCs/>
        </w:rPr>
      </w:pPr>
      <w:r w:rsidRPr="00FC2E7E">
        <w:rPr>
          <w:rFonts w:ascii="Arial" w:hAnsi="Arial" w:eastAsia="Times New Roman" w:cs="Arial"/>
          <w:b/>
          <w:bCs/>
        </w:rPr>
        <w:t>Conclusion</w:t>
      </w:r>
    </w:p>
    <w:p w:rsidR="00054FB2" w:rsidP="00054FB2" w:rsidRDefault="00FC2E7E" w14:paraId="39B627E2" w14:textId="77777777">
      <w:pPr>
        <w:spacing w:before="100" w:beforeAutospacing="1" w:after="100" w:afterAutospacing="1" w:line="360" w:lineRule="auto"/>
        <w:jc w:val="both"/>
        <w:rPr>
          <w:rFonts w:ascii="Arial" w:hAnsi="Arial" w:eastAsia="Times New Roman" w:cs="Arial"/>
        </w:rPr>
      </w:pPr>
      <w:r w:rsidRPr="00FC2E7E">
        <w:rPr>
          <w:rFonts w:ascii="Arial" w:hAnsi="Arial" w:eastAsia="Times New Roman" w:cs="Arial"/>
        </w:rPr>
        <w:t>Integrating psychological theory into dementia care transforms practice from task-based to person-centred. Erikson’s psychosocial theory helps residents preserve identity and meaning, while Bowlby’s attachment theory ensures emotional security through stable, trusting relationships. Together, they offer a holistic framework for supporting wellbeing, reducing agitation, and fostering dignity in later life. Despite challenges such as staff turnover and time pressures, reflective supervision and attachment-informed training can strengthen implementation. Embedding these theories within UK dementia care promotes compassionate, evidence-based support that values each individual’s life story and emotional needs.</w:t>
      </w:r>
    </w:p>
    <w:p w:rsidRPr="00054FB2" w:rsidR="00054FB2" w:rsidP="00054FB2" w:rsidRDefault="00054FB2" w14:paraId="1C24E03F" w14:textId="77777777">
      <w:pPr>
        <w:spacing w:before="100" w:beforeAutospacing="1" w:after="100" w:afterAutospacing="1" w:line="360" w:lineRule="auto"/>
        <w:jc w:val="both"/>
        <w:rPr>
          <w:rFonts w:ascii="Arial" w:hAnsi="Arial" w:eastAsia="Times New Roman" w:cs="Arial"/>
        </w:rPr>
      </w:pPr>
    </w:p>
    <w:p w:rsidRPr="00054FB2" w:rsidR="00054FB2" w:rsidP="00054FB2" w:rsidRDefault="00054FB2" w14:paraId="4DBB8DE1" w14:textId="77777777">
      <w:pPr>
        <w:spacing w:before="100" w:beforeAutospacing="1" w:after="100" w:afterAutospacing="1" w:line="360" w:lineRule="auto"/>
        <w:jc w:val="both"/>
        <w:outlineLvl w:val="2"/>
        <w:rPr>
          <w:rFonts w:ascii="Arial" w:hAnsi="Arial" w:eastAsia="Times New Roman" w:cs="Arial"/>
          <w:b/>
          <w:bCs/>
        </w:rPr>
      </w:pPr>
      <w:r>
        <w:rPr>
          <w:rFonts w:ascii="Arial" w:hAnsi="Arial" w:eastAsia="Times New Roman" w:cs="Arial"/>
          <w:b/>
          <w:bCs/>
        </w:rPr>
        <w:t>REFERENCES</w:t>
      </w:r>
    </w:p>
    <w:p w:rsidRPr="00054FB2" w:rsidR="00054FB2" w:rsidP="00054FB2" w:rsidRDefault="00054FB2" w14:paraId="2F3EC509"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Alzheimer’s Society (2024) </w:t>
      </w:r>
      <w:r w:rsidRPr="00054FB2">
        <w:rPr>
          <w:rFonts w:ascii="Arial" w:hAnsi="Arial" w:eastAsia="Times New Roman" w:cs="Arial"/>
          <w:i/>
          <w:iCs/>
        </w:rPr>
        <w:t>Dementia UK report: prevalence and projections.</w:t>
      </w:r>
      <w:r w:rsidRPr="00054FB2">
        <w:rPr>
          <w:rFonts w:ascii="Arial" w:hAnsi="Arial" w:eastAsia="Times New Roman" w:cs="Arial"/>
        </w:rPr>
        <w:t xml:space="preserve"> London: Alzheimer’s Society.</w:t>
      </w:r>
    </w:p>
    <w:p w:rsidRPr="00054FB2" w:rsidR="00054FB2" w:rsidP="00054FB2" w:rsidRDefault="00054FB2" w14:paraId="1619AB03"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Cohen-Mansfield, J., Marx, M.S. and Thein, K. (2023) ‘Agitation and emotional needs in dementia care homes: person-centred implications’, </w:t>
      </w:r>
      <w:r w:rsidRPr="00054FB2">
        <w:rPr>
          <w:rFonts w:ascii="Arial" w:hAnsi="Arial" w:eastAsia="Times New Roman" w:cs="Arial"/>
          <w:i/>
          <w:iCs/>
        </w:rPr>
        <w:t>International Psychogeriatrics</w:t>
      </w:r>
      <w:r w:rsidRPr="00054FB2">
        <w:rPr>
          <w:rFonts w:ascii="Arial" w:hAnsi="Arial" w:eastAsia="Times New Roman" w:cs="Arial"/>
        </w:rPr>
        <w:t>, 35(6), pp. 567–579.</w:t>
      </w:r>
    </w:p>
    <w:p w:rsidRPr="00054FB2" w:rsidR="00054FB2" w:rsidP="00054FB2" w:rsidRDefault="00054FB2" w14:paraId="71C2432A"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Iriss (2021) </w:t>
      </w:r>
      <w:r w:rsidRPr="00054FB2">
        <w:rPr>
          <w:rFonts w:ascii="Arial" w:hAnsi="Arial" w:eastAsia="Times New Roman" w:cs="Arial"/>
          <w:i/>
          <w:iCs/>
        </w:rPr>
        <w:t>Dementia: attachment matters.</w:t>
      </w:r>
      <w:r w:rsidRPr="00054FB2">
        <w:rPr>
          <w:rFonts w:ascii="Arial" w:hAnsi="Arial" w:eastAsia="Times New Roman" w:cs="Arial"/>
        </w:rPr>
        <w:t xml:space="preserve"> Glasgow: Institute for Research and Innovation in Social Services.</w:t>
      </w:r>
    </w:p>
    <w:p w:rsidRPr="00054FB2" w:rsidR="00054FB2" w:rsidP="00054FB2" w:rsidRDefault="00054FB2" w14:paraId="4497A17C"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McCormack, B., Dewing, J. and McCance, T. (2023) ‘Developing person-centred, relationship-focused dementia care: theoretical and practice perspectives’, </w:t>
      </w:r>
      <w:r w:rsidRPr="00054FB2">
        <w:rPr>
          <w:rFonts w:ascii="Arial" w:hAnsi="Arial" w:eastAsia="Times New Roman" w:cs="Arial"/>
          <w:i/>
          <w:iCs/>
        </w:rPr>
        <w:t>Journal of Clinical Nursing</w:t>
      </w:r>
      <w:r w:rsidRPr="00054FB2">
        <w:rPr>
          <w:rFonts w:ascii="Arial" w:hAnsi="Arial" w:eastAsia="Times New Roman" w:cs="Arial"/>
        </w:rPr>
        <w:t>, 32(1–2), pp. 112–124.</w:t>
      </w:r>
    </w:p>
    <w:p w:rsidRPr="00054FB2" w:rsidR="00054FB2" w:rsidP="00054FB2" w:rsidRDefault="00054FB2" w14:paraId="081AFC39"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Miyawaki, C.E. (2025) ‘Life review intervention delivered by family caregivers for older adults with cognitive impairment’, </w:t>
      </w:r>
      <w:r w:rsidRPr="00054FB2">
        <w:rPr>
          <w:rFonts w:ascii="Arial" w:hAnsi="Arial" w:eastAsia="Times New Roman" w:cs="Arial"/>
          <w:i/>
          <w:iCs/>
        </w:rPr>
        <w:t>Innovations in Aging</w:t>
      </w:r>
      <w:r w:rsidRPr="00054FB2">
        <w:rPr>
          <w:rFonts w:ascii="Arial" w:hAnsi="Arial" w:eastAsia="Times New Roman" w:cs="Arial"/>
        </w:rPr>
        <w:t>, 9(1), pp. 44–58.</w:t>
      </w:r>
    </w:p>
    <w:p w:rsidRPr="00054FB2" w:rsidR="00054FB2" w:rsidP="00054FB2" w:rsidRDefault="00054FB2" w14:paraId="0E4AD8F2"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National Institute for Health and Care Excellence (NICE) (2023) </w:t>
      </w:r>
      <w:r w:rsidRPr="00054FB2">
        <w:rPr>
          <w:rFonts w:ascii="Arial" w:hAnsi="Arial" w:eastAsia="Times New Roman" w:cs="Arial"/>
          <w:i/>
          <w:iCs/>
        </w:rPr>
        <w:t>Dementia: assessment, management and support for people living with dementia and their carers (NG97).</w:t>
      </w:r>
      <w:r w:rsidRPr="00054FB2">
        <w:rPr>
          <w:rFonts w:ascii="Arial" w:hAnsi="Arial" w:eastAsia="Times New Roman" w:cs="Arial"/>
        </w:rPr>
        <w:t xml:space="preserve"> London: NICE.</w:t>
      </w:r>
    </w:p>
    <w:p w:rsidRPr="00054FB2" w:rsidR="00054FB2" w:rsidP="00054FB2" w:rsidRDefault="00054FB2" w14:paraId="68718544"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NHS England (2023) </w:t>
      </w:r>
      <w:r w:rsidRPr="00054FB2">
        <w:rPr>
          <w:rFonts w:ascii="Arial" w:hAnsi="Arial" w:eastAsia="Times New Roman" w:cs="Arial"/>
          <w:i/>
          <w:iCs/>
        </w:rPr>
        <w:t>Dementia wellbeing pathway.</w:t>
      </w:r>
      <w:r w:rsidRPr="00054FB2">
        <w:rPr>
          <w:rFonts w:ascii="Arial" w:hAnsi="Arial" w:eastAsia="Times New Roman" w:cs="Arial"/>
        </w:rPr>
        <w:t xml:space="preserve"> London: NHS England.</w:t>
      </w:r>
    </w:p>
    <w:p w:rsidRPr="00054FB2" w:rsidR="00054FB2" w:rsidP="00054FB2" w:rsidRDefault="00054FB2" w14:paraId="66127B3C"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NHS England (2024) </w:t>
      </w:r>
      <w:r w:rsidRPr="00054FB2">
        <w:rPr>
          <w:rFonts w:ascii="Arial" w:hAnsi="Arial" w:eastAsia="Times New Roman" w:cs="Arial"/>
          <w:i/>
          <w:iCs/>
        </w:rPr>
        <w:t>Delivering compassionate, person-centred dementia care.</w:t>
      </w:r>
      <w:r w:rsidRPr="00054FB2">
        <w:rPr>
          <w:rFonts w:ascii="Arial" w:hAnsi="Arial" w:eastAsia="Times New Roman" w:cs="Arial"/>
        </w:rPr>
        <w:t xml:space="preserve"> London: NHS England.</w:t>
      </w:r>
    </w:p>
    <w:p w:rsidRPr="00054FB2" w:rsidR="00054FB2" w:rsidP="00054FB2" w:rsidRDefault="00054FB2" w14:paraId="6E0E9E76"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Subramaniam, P. and Woods, B. (2022) ‘The impact of life story work on older adults with dementia: systematic review and narrative synthesis’, </w:t>
      </w:r>
      <w:r w:rsidRPr="00054FB2">
        <w:rPr>
          <w:rFonts w:ascii="Arial" w:hAnsi="Arial" w:eastAsia="Times New Roman" w:cs="Arial"/>
          <w:i/>
          <w:iCs/>
        </w:rPr>
        <w:t>Aging &amp; Mental Health</w:t>
      </w:r>
      <w:r w:rsidRPr="00054FB2">
        <w:rPr>
          <w:rFonts w:ascii="Arial" w:hAnsi="Arial" w:eastAsia="Times New Roman" w:cs="Arial"/>
        </w:rPr>
        <w:t>, 26(4), pp. 672–683.</w:t>
      </w:r>
    </w:p>
    <w:p w:rsidRPr="00054FB2" w:rsidR="00054FB2" w:rsidP="00054FB2" w:rsidRDefault="00054FB2" w14:paraId="41E203C3" w14:textId="77777777">
      <w:pPr>
        <w:spacing w:before="100" w:beforeAutospacing="1" w:after="100" w:afterAutospacing="1" w:line="360" w:lineRule="auto"/>
        <w:jc w:val="both"/>
        <w:rPr>
          <w:rFonts w:ascii="Arial" w:hAnsi="Arial" w:eastAsia="Times New Roman" w:cs="Arial"/>
        </w:rPr>
      </w:pPr>
      <w:r w:rsidRPr="00054FB2">
        <w:rPr>
          <w:rFonts w:ascii="Arial" w:hAnsi="Arial" w:eastAsia="Times New Roman" w:cs="Arial"/>
        </w:rPr>
        <w:t xml:space="preserve">World Health Organization (2023) </w:t>
      </w:r>
      <w:r w:rsidRPr="00054FB2">
        <w:rPr>
          <w:rFonts w:ascii="Arial" w:hAnsi="Arial" w:eastAsia="Times New Roman" w:cs="Arial"/>
          <w:i/>
          <w:iCs/>
        </w:rPr>
        <w:t>Global status report on the public health response to dementia.</w:t>
      </w:r>
      <w:r w:rsidRPr="00054FB2">
        <w:rPr>
          <w:rFonts w:ascii="Arial" w:hAnsi="Arial" w:eastAsia="Times New Roman" w:cs="Arial"/>
        </w:rPr>
        <w:t xml:space="preserve"> Geneva: World Health Organization.</w:t>
      </w:r>
    </w:p>
    <w:p w:rsidRPr="00054FB2" w:rsidR="00054FB2" w:rsidP="00054FB2" w:rsidRDefault="00054FB2" w14:paraId="16B72317" w14:textId="77777777">
      <w:pPr>
        <w:spacing w:after="0" w:line="360" w:lineRule="auto"/>
        <w:jc w:val="both"/>
        <w:rPr>
          <w:rFonts w:ascii="Arial" w:hAnsi="Arial" w:eastAsia="Times New Roman" w:cs="Arial"/>
        </w:rPr>
      </w:pPr>
    </w:p>
    <w:p w:rsidRPr="00054FB2" w:rsidR="00054FB2" w:rsidP="00054FB2" w:rsidRDefault="00054FB2" w14:paraId="0AC9D544" w14:textId="77777777">
      <w:pPr>
        <w:spacing w:line="360" w:lineRule="auto"/>
        <w:jc w:val="both"/>
        <w:rPr>
          <w:rFonts w:ascii="Arial" w:hAnsi="Arial" w:cs="Arial"/>
        </w:rPr>
      </w:pPr>
    </w:p>
    <w:sectPr w:rsidRPr="00054FB2" w:rsidR="00054FB2" w:rsidSect="00D45290">
      <w:footerReference w:type="default" r:id="rId10"/>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40B4" w:rsidP="00D45290" w:rsidRDefault="007240B4" w14:paraId="1A6D6419" w14:textId="77777777">
      <w:pPr>
        <w:spacing w:after="0" w:line="240" w:lineRule="auto"/>
      </w:pPr>
      <w:r>
        <w:separator/>
      </w:r>
    </w:p>
  </w:endnote>
  <w:endnote w:type="continuationSeparator" w:id="0">
    <w:p w:rsidR="007240B4" w:rsidP="00D45290" w:rsidRDefault="007240B4" w14:paraId="01D5D5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001830"/>
      <w:docPartObj>
        <w:docPartGallery w:val="Page Numbers (Bottom of Page)"/>
        <w:docPartUnique/>
      </w:docPartObj>
    </w:sdtPr>
    <w:sdtEndPr>
      <w:rPr>
        <w:noProof/>
      </w:rPr>
    </w:sdtEndPr>
    <w:sdtContent>
      <w:p w:rsidR="00D45290" w:rsidRDefault="00D45290" w14:paraId="52D91A1C" w14:textId="77777777">
        <w:pPr>
          <w:pStyle w:val="Footer"/>
          <w:jc w:val="right"/>
        </w:pPr>
        <w:r>
          <w:fldChar w:fldCharType="begin"/>
        </w:r>
        <w:r>
          <w:instrText xml:space="preserve"> PAGE   \* MERGEFORMAT </w:instrText>
        </w:r>
        <w:r>
          <w:fldChar w:fldCharType="separate"/>
        </w:r>
        <w:r w:rsidR="00827B2F">
          <w:rPr>
            <w:noProof/>
          </w:rPr>
          <w:t>1</w:t>
        </w:r>
        <w:r>
          <w:rPr>
            <w:noProof/>
          </w:rPr>
          <w:fldChar w:fldCharType="end"/>
        </w:r>
      </w:p>
    </w:sdtContent>
  </w:sdt>
  <w:p w:rsidR="00D45290" w:rsidRDefault="00D45290" w14:paraId="6DCB841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40B4" w:rsidP="00D45290" w:rsidRDefault="007240B4" w14:paraId="31FCF4AA" w14:textId="77777777">
      <w:pPr>
        <w:spacing w:after="0" w:line="240" w:lineRule="auto"/>
      </w:pPr>
      <w:r>
        <w:separator/>
      </w:r>
    </w:p>
  </w:footnote>
  <w:footnote w:type="continuationSeparator" w:id="0">
    <w:p w:rsidR="007240B4" w:rsidP="00D45290" w:rsidRDefault="007240B4" w14:paraId="32F0C7F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0224A"/>
    <w:multiLevelType w:val="multilevel"/>
    <w:tmpl w:val="38DE0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536EE8"/>
    <w:multiLevelType w:val="multilevel"/>
    <w:tmpl w:val="2F681A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69A55C7"/>
    <w:multiLevelType w:val="multilevel"/>
    <w:tmpl w:val="08E21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0344373">
    <w:abstractNumId w:val="1"/>
  </w:num>
  <w:num w:numId="2" w16cid:durableId="1123307873">
    <w:abstractNumId w:val="0"/>
  </w:num>
  <w:num w:numId="3" w16cid:durableId="407532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6"/>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E7E"/>
    <w:rsid w:val="00054FB2"/>
    <w:rsid w:val="003A7C35"/>
    <w:rsid w:val="00607D86"/>
    <w:rsid w:val="007240B4"/>
    <w:rsid w:val="007E182F"/>
    <w:rsid w:val="00827B2F"/>
    <w:rsid w:val="00A90FA2"/>
    <w:rsid w:val="00D45290"/>
    <w:rsid w:val="00F6282A"/>
    <w:rsid w:val="00FC2E7E"/>
    <w:rsid w:val="28575616"/>
    <w:rsid w:val="317C506C"/>
    <w:rsid w:val="481B99D5"/>
    <w:rsid w:val="75116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0F1DD"/>
  <w15:chartTrackingRefBased/>
  <w15:docId w15:val="{0CCDA97C-9C1F-4146-999D-C719DB74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link w:val="Heading3Char"/>
    <w:uiPriority w:val="9"/>
    <w:unhideWhenUsed/>
    <w:qFormat/>
    <w:rsid w:val="007E182F"/>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45290"/>
    <w:pPr>
      <w:tabs>
        <w:tab w:val="center" w:pos="4680"/>
        <w:tab w:val="right" w:pos="9360"/>
      </w:tabs>
      <w:spacing w:after="0" w:line="240" w:lineRule="auto"/>
    </w:pPr>
  </w:style>
  <w:style w:type="character" w:styleId="HeaderChar" w:customStyle="1">
    <w:name w:val="Header Char"/>
    <w:basedOn w:val="DefaultParagraphFont"/>
    <w:link w:val="Header"/>
    <w:uiPriority w:val="99"/>
    <w:rsid w:val="00D45290"/>
  </w:style>
  <w:style w:type="paragraph" w:styleId="Footer">
    <w:name w:val="footer"/>
    <w:basedOn w:val="Normal"/>
    <w:link w:val="FooterChar"/>
    <w:uiPriority w:val="99"/>
    <w:unhideWhenUsed/>
    <w:rsid w:val="00D45290"/>
    <w:pPr>
      <w:tabs>
        <w:tab w:val="center" w:pos="4680"/>
        <w:tab w:val="right" w:pos="9360"/>
      </w:tabs>
      <w:spacing w:after="0" w:line="240" w:lineRule="auto"/>
    </w:pPr>
  </w:style>
  <w:style w:type="character" w:styleId="FooterChar" w:customStyle="1">
    <w:name w:val="Footer Char"/>
    <w:basedOn w:val="DefaultParagraphFont"/>
    <w:link w:val="Footer"/>
    <w:uiPriority w:val="99"/>
    <w:rsid w:val="00D45290"/>
  </w:style>
  <w:style w:type="table" w:styleId="TableGrid">
    <w:name w:val="Table Grid"/>
    <w:basedOn w:val="TableNormal"/>
    <w:uiPriority w:val="39"/>
    <w:rsid w:val="00D452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basedOn w:val="DefaultParagraphFont"/>
    <w:link w:val="Heading3"/>
    <w:uiPriority w:val="9"/>
    <w:rsid w:val="007E182F"/>
    <w:rPr>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205442">
      <w:bodyDiv w:val="1"/>
      <w:marLeft w:val="0"/>
      <w:marRight w:val="0"/>
      <w:marTop w:val="0"/>
      <w:marBottom w:val="0"/>
      <w:divBdr>
        <w:top w:val="none" w:sz="0" w:space="0" w:color="auto"/>
        <w:left w:val="none" w:sz="0" w:space="0" w:color="auto"/>
        <w:bottom w:val="none" w:sz="0" w:space="0" w:color="auto"/>
        <w:right w:val="none" w:sz="0" w:space="0" w:color="auto"/>
      </w:divBdr>
    </w:div>
    <w:div w:id="655378669">
      <w:bodyDiv w:val="1"/>
      <w:marLeft w:val="0"/>
      <w:marRight w:val="0"/>
      <w:marTop w:val="0"/>
      <w:marBottom w:val="0"/>
      <w:divBdr>
        <w:top w:val="none" w:sz="0" w:space="0" w:color="auto"/>
        <w:left w:val="none" w:sz="0" w:space="0" w:color="auto"/>
        <w:bottom w:val="none" w:sz="0" w:space="0" w:color="auto"/>
        <w:right w:val="none" w:sz="0" w:space="0" w:color="auto"/>
      </w:divBdr>
    </w:div>
    <w:div w:id="921182362">
      <w:bodyDiv w:val="1"/>
      <w:marLeft w:val="0"/>
      <w:marRight w:val="0"/>
      <w:marTop w:val="0"/>
      <w:marBottom w:val="0"/>
      <w:divBdr>
        <w:top w:val="none" w:sz="0" w:space="0" w:color="auto"/>
        <w:left w:val="none" w:sz="0" w:space="0" w:color="auto"/>
        <w:bottom w:val="none" w:sz="0" w:space="0" w:color="auto"/>
        <w:right w:val="none" w:sz="0" w:space="0" w:color="auto"/>
      </w:divBdr>
    </w:div>
    <w:div w:id="1014114782">
      <w:bodyDiv w:val="1"/>
      <w:marLeft w:val="0"/>
      <w:marRight w:val="0"/>
      <w:marTop w:val="0"/>
      <w:marBottom w:val="0"/>
      <w:divBdr>
        <w:top w:val="none" w:sz="0" w:space="0" w:color="auto"/>
        <w:left w:val="none" w:sz="0" w:space="0" w:color="auto"/>
        <w:bottom w:val="none" w:sz="0" w:space="0" w:color="auto"/>
        <w:right w:val="none" w:sz="0" w:space="0" w:color="auto"/>
      </w:divBdr>
    </w:div>
    <w:div w:id="1161505248">
      <w:bodyDiv w:val="1"/>
      <w:marLeft w:val="0"/>
      <w:marRight w:val="0"/>
      <w:marTop w:val="0"/>
      <w:marBottom w:val="0"/>
      <w:divBdr>
        <w:top w:val="none" w:sz="0" w:space="0" w:color="auto"/>
        <w:left w:val="none" w:sz="0" w:space="0" w:color="auto"/>
        <w:bottom w:val="none" w:sz="0" w:space="0" w:color="auto"/>
        <w:right w:val="none" w:sz="0" w:space="0" w:color="auto"/>
      </w:divBdr>
    </w:div>
    <w:div w:id="1236352694">
      <w:bodyDiv w:val="1"/>
      <w:marLeft w:val="0"/>
      <w:marRight w:val="0"/>
      <w:marTop w:val="0"/>
      <w:marBottom w:val="0"/>
      <w:divBdr>
        <w:top w:val="none" w:sz="0" w:space="0" w:color="auto"/>
        <w:left w:val="none" w:sz="0" w:space="0" w:color="auto"/>
        <w:bottom w:val="none" w:sz="0" w:space="0" w:color="auto"/>
        <w:right w:val="none" w:sz="0" w:space="0" w:color="auto"/>
      </w:divBdr>
    </w:div>
    <w:div w:id="1521893401">
      <w:bodyDiv w:val="1"/>
      <w:marLeft w:val="0"/>
      <w:marRight w:val="0"/>
      <w:marTop w:val="0"/>
      <w:marBottom w:val="0"/>
      <w:divBdr>
        <w:top w:val="none" w:sz="0" w:space="0" w:color="auto"/>
        <w:left w:val="none" w:sz="0" w:space="0" w:color="auto"/>
        <w:bottom w:val="none" w:sz="0" w:space="0" w:color="auto"/>
        <w:right w:val="none" w:sz="0" w:space="0" w:color="auto"/>
      </w:divBdr>
    </w:div>
    <w:div w:id="1691563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3.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Zuhra Asghar</dc:creator>
  <keywords/>
  <dc:description/>
  <lastModifiedBy>Munaza Sakindar (2419348)</lastModifiedBy>
  <revision>3</revision>
  <dcterms:created xsi:type="dcterms:W3CDTF">2025-11-06T11:21:00.0000000Z</dcterms:created>
  <dcterms:modified xsi:type="dcterms:W3CDTF">2025-11-07T14:07:40.4629655Z</dcterms:modified>
</coreProperties>
</file>