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4C637" w14:textId="5D4CCA1D" w:rsidR="00C00019" w:rsidRDefault="0081563D">
      <w:pPr>
        <w:rPr>
          <w:u w:val="single"/>
        </w:rPr>
      </w:pPr>
      <w:r>
        <w:rPr>
          <w:u w:val="single"/>
        </w:rPr>
        <w:t>Professionals in practice</w:t>
      </w:r>
      <w:r w:rsidR="007B2D9B">
        <w:rPr>
          <w:u w:val="single"/>
        </w:rPr>
        <w:t>- Part 1</w:t>
      </w:r>
      <w:bookmarkStart w:id="0" w:name="_GoBack"/>
      <w:bookmarkEnd w:id="0"/>
    </w:p>
    <w:p w14:paraId="57639165" w14:textId="53C23C10" w:rsidR="0081563D" w:rsidRDefault="00D02B4E">
      <w:r>
        <w:t xml:space="preserve">I will holistically look at the start, middle and ending of </w:t>
      </w:r>
      <w:r w:rsidR="00486BB5">
        <w:t xml:space="preserve">2 sessions that I’ve observed. </w:t>
      </w:r>
    </w:p>
    <w:p w14:paraId="49C20FCC" w14:textId="0B161913" w:rsidR="00AF2DCE" w:rsidRPr="00AF2DCE" w:rsidRDefault="00AF2DCE">
      <w:pPr>
        <w:rPr>
          <w:u w:val="single"/>
        </w:rPr>
      </w:pPr>
      <w:r>
        <w:rPr>
          <w:u w:val="single"/>
        </w:rPr>
        <w:t>Start</w:t>
      </w:r>
    </w:p>
    <w:p w14:paraId="31CA85C6" w14:textId="517AB76E" w:rsidR="00167213" w:rsidRDefault="00D02B4E">
      <w:r>
        <w:t xml:space="preserve">I made note of how the trainers started </w:t>
      </w:r>
      <w:r w:rsidR="00F3077B">
        <w:t xml:space="preserve">both </w:t>
      </w:r>
      <w:r>
        <w:t>sessions that set out the aims and objectives. This followed</w:t>
      </w:r>
      <w:r w:rsidR="00F20B94">
        <w:t xml:space="preserve"> with an explanation of</w:t>
      </w:r>
      <w:r>
        <w:t xml:space="preserve"> how the sessions were going to be delivered, what to expect, ensuring everyone knew where the facilities were, break times, welfare etc. This was a good point that I want to continue in my sessions as this puts the students</w:t>
      </w:r>
      <w:r w:rsidR="0070125B">
        <w:t xml:space="preserve"> at ease.</w:t>
      </w:r>
      <w:r w:rsidR="00EB62AE">
        <w:t xml:space="preserve"> Maslow (1943) referred to this as physiological needs. </w:t>
      </w:r>
      <w:r w:rsidR="0070125B">
        <w:t xml:space="preserve"> I will continue to</w:t>
      </w:r>
      <w:r>
        <w:t xml:space="preserve"> </w:t>
      </w:r>
      <w:r w:rsidR="0070125B">
        <w:t xml:space="preserve">have a slide on the Maslow’s (1943) that address any basic needs the students may have prior to moving up the triangle and be in a good position to learn. </w:t>
      </w:r>
    </w:p>
    <w:p w14:paraId="2B9341A6" w14:textId="33BF5C38" w:rsidR="00334E01" w:rsidRDefault="00D10F00">
      <w:r>
        <w:t xml:space="preserve">The one session that I </w:t>
      </w:r>
      <w:r w:rsidR="00F3023D">
        <w:t xml:space="preserve">observed, the trainer </w:t>
      </w:r>
      <w:r w:rsidR="002138AA">
        <w:t xml:space="preserve">had the </w:t>
      </w:r>
      <w:r w:rsidR="00D56AAD">
        <w:t>student’s</w:t>
      </w:r>
      <w:r w:rsidR="002138AA">
        <w:t xml:space="preserve"> names on the board with a welcome sign</w:t>
      </w:r>
      <w:r w:rsidR="00F7571C">
        <w:t xml:space="preserve"> all in different colours</w:t>
      </w:r>
      <w:r w:rsidR="002138AA">
        <w:t>.</w:t>
      </w:r>
      <w:r w:rsidR="00F7571C">
        <w:t xml:space="preserve"> </w:t>
      </w:r>
      <w:r w:rsidR="00491BBF">
        <w:t>When the students walked into the classroom</w:t>
      </w:r>
      <w:r w:rsidR="007D55CB">
        <w:t xml:space="preserve"> </w:t>
      </w:r>
      <w:r w:rsidR="00491BBF">
        <w:t>the trainer was waiting near to the door</w:t>
      </w:r>
      <w:r w:rsidR="007D55CB">
        <w:t xml:space="preserve">, </w:t>
      </w:r>
      <w:r w:rsidR="00FB5E96">
        <w:t>intr</w:t>
      </w:r>
      <w:r w:rsidR="009637DC">
        <w:t xml:space="preserve">oduced herself, </w:t>
      </w:r>
      <w:r w:rsidR="007D55CB">
        <w:t xml:space="preserve">asked their names and welcomed them into the room. I thought this was an excellent touch that </w:t>
      </w:r>
      <w:r w:rsidR="000241F1">
        <w:t xml:space="preserve">showed good engagement from the start. </w:t>
      </w:r>
      <w:r w:rsidR="008602F6">
        <w:t xml:space="preserve">This positive </w:t>
      </w:r>
      <w:r w:rsidR="00071FEA">
        <w:t xml:space="preserve">behaviour demonstrated </w:t>
      </w:r>
      <w:r w:rsidR="00567036">
        <w:t xml:space="preserve">by the trainer </w:t>
      </w:r>
      <w:r w:rsidR="00071FEA">
        <w:t xml:space="preserve">showed good engagement </w:t>
      </w:r>
      <w:r w:rsidR="007F4413">
        <w:t xml:space="preserve">on a personal level and </w:t>
      </w:r>
      <w:r w:rsidR="001E0198">
        <w:t>offered a</w:t>
      </w:r>
      <w:r w:rsidR="007F4413">
        <w:t xml:space="preserve"> caring relationship to the </w:t>
      </w:r>
      <w:r w:rsidR="009E64B5">
        <w:t xml:space="preserve">student. </w:t>
      </w:r>
      <w:r w:rsidR="000622EA">
        <w:t>As I noted this, my th</w:t>
      </w:r>
      <w:r w:rsidR="009E6633">
        <w:t>oughts</w:t>
      </w:r>
      <w:r w:rsidR="000622EA">
        <w:t xml:space="preserve"> turned to </w:t>
      </w:r>
      <w:r w:rsidR="00102755">
        <w:t xml:space="preserve">these positive learning behaviours in teaching that was mentioned by Brandsford (1999) and Lampert (2002) </w:t>
      </w:r>
      <w:r w:rsidR="009E6633">
        <w:t xml:space="preserve">This is </w:t>
      </w:r>
      <w:r w:rsidR="00CF6513">
        <w:t xml:space="preserve">a </w:t>
      </w:r>
      <w:r w:rsidR="00913F85">
        <w:t>positive concept that I want to introduce to my sessions</w:t>
      </w:r>
      <w:r w:rsidR="00F11226">
        <w:t xml:space="preserve"> as this demonstrates that I would have the purpose </w:t>
      </w:r>
      <w:r w:rsidR="0014354D">
        <w:t xml:space="preserve">and motivation to facilitate learning to my students as mentioned by the above reference. </w:t>
      </w:r>
    </w:p>
    <w:p w14:paraId="3436EECB" w14:textId="086A1009" w:rsidR="0014354D" w:rsidRDefault="00320D7A">
      <w:r>
        <w:t xml:space="preserve">Having reflected on one of the sessions, I </w:t>
      </w:r>
      <w:r w:rsidR="007E7087">
        <w:t>liked the use of two icebreakers as this was the start of a new course</w:t>
      </w:r>
      <w:r w:rsidR="00B408C0">
        <w:t xml:space="preserve">. </w:t>
      </w:r>
      <w:r w:rsidR="007B548F">
        <w:t xml:space="preserve">I could see that </w:t>
      </w:r>
      <w:r w:rsidR="00E1046B">
        <w:t>all students were actively engaging with the activities</w:t>
      </w:r>
      <w:r w:rsidR="00CD343A">
        <w:t xml:space="preserve"> and appeared to be </w:t>
      </w:r>
      <w:r w:rsidR="00361E32">
        <w:t xml:space="preserve">having </w:t>
      </w:r>
      <w:r w:rsidR="00CD343A">
        <w:t>fun. As such, if I am leading a session</w:t>
      </w:r>
      <w:r w:rsidR="00086AAA">
        <w:t xml:space="preserve"> and time allows, I would like to introduce </w:t>
      </w:r>
      <w:r w:rsidR="0065206C">
        <w:t xml:space="preserve">icebreakers which </w:t>
      </w:r>
      <w:r w:rsidR="00820106">
        <w:t>appeared</w:t>
      </w:r>
      <w:r w:rsidR="0065206C">
        <w:t xml:space="preserve"> to set the tone for the students to engage </w:t>
      </w:r>
      <w:r w:rsidR="00FC1240">
        <w:t>during the session. This essentially helped deliver an effective</w:t>
      </w:r>
      <w:r w:rsidR="00820106">
        <w:t xml:space="preserve"> session. </w:t>
      </w:r>
    </w:p>
    <w:p w14:paraId="4BEB6B07" w14:textId="0AB612B6" w:rsidR="00666EF2" w:rsidRDefault="00663A17">
      <w:pPr>
        <w:rPr>
          <w:u w:val="single"/>
        </w:rPr>
      </w:pPr>
      <w:r>
        <w:rPr>
          <w:u w:val="single"/>
        </w:rPr>
        <w:t>Middle</w:t>
      </w:r>
    </w:p>
    <w:p w14:paraId="487CEBD1" w14:textId="77777777" w:rsidR="00521B87" w:rsidRDefault="00CD3085">
      <w:r>
        <w:t xml:space="preserve">I was interested to see how the trainers used different teaching strategies </w:t>
      </w:r>
      <w:r w:rsidR="008E079D">
        <w:t xml:space="preserve">in order to facilitate the </w:t>
      </w:r>
      <w:r w:rsidR="0079292F">
        <w:t>learning during the middle of the sessions</w:t>
      </w:r>
      <w:r w:rsidR="00FE5DE3">
        <w:t xml:space="preserve"> with the groups varying from </w:t>
      </w:r>
      <w:r w:rsidR="008A4A9B">
        <w:t xml:space="preserve">8-20 </w:t>
      </w:r>
      <w:r w:rsidR="00857698">
        <w:t xml:space="preserve">respectively. Having observed the trainers, I could see that they incorporated </w:t>
      </w:r>
      <w:r w:rsidR="00F076EE">
        <w:t xml:space="preserve">the appropriate strategies that Reece </w:t>
      </w:r>
      <w:r w:rsidR="00FF4D35">
        <w:t xml:space="preserve">&amp; Walker </w:t>
      </w:r>
      <w:r w:rsidR="00645F97">
        <w:t xml:space="preserve">(2007) highlighted </w:t>
      </w:r>
      <w:r w:rsidR="009C3772">
        <w:t>with</w:t>
      </w:r>
      <w:r w:rsidR="00C84B68">
        <w:t xml:space="preserve"> the use of</w:t>
      </w:r>
      <w:r w:rsidR="00645F97">
        <w:t xml:space="preserve"> lectures, discussion, </w:t>
      </w:r>
      <w:r w:rsidR="00EA2675">
        <w:t xml:space="preserve">Question and answers etc. </w:t>
      </w:r>
      <w:r w:rsidR="0087399A">
        <w:t xml:space="preserve">I’ve learnt that different strategies will be needed depending on </w:t>
      </w:r>
      <w:r w:rsidR="009C3772">
        <w:t xml:space="preserve">the group size and I may have to be flexible around this. </w:t>
      </w:r>
    </w:p>
    <w:p w14:paraId="05F8986D" w14:textId="13B89492" w:rsidR="00663A17" w:rsidRDefault="00800C07">
      <w:r>
        <w:t>A</w:t>
      </w:r>
      <w:r w:rsidR="002B7B88">
        <w:t xml:space="preserve">s the sessions progressed, I </w:t>
      </w:r>
      <w:r w:rsidR="00113EC0">
        <w:t>could see that</w:t>
      </w:r>
      <w:r w:rsidR="002B7B88">
        <w:t xml:space="preserve"> some of the top ten teaching strategies again highlighted by Reece &amp; Walker (2007) </w:t>
      </w:r>
      <w:r w:rsidR="00CF1ECA">
        <w:t xml:space="preserve">was present. </w:t>
      </w:r>
      <w:r w:rsidR="006809D2">
        <w:t xml:space="preserve">I identified this as a good area of practice as different strategies help </w:t>
      </w:r>
      <w:r w:rsidR="005A4DAB">
        <w:t>create effective learning</w:t>
      </w:r>
      <w:r w:rsidR="002C4E9A">
        <w:t xml:space="preserve"> and I want to utilise more group </w:t>
      </w:r>
      <w:r w:rsidR="0086675E">
        <w:t xml:space="preserve">work </w:t>
      </w:r>
      <w:r w:rsidR="00764D8C">
        <w:t>in my sessions</w:t>
      </w:r>
      <w:r w:rsidR="00152819">
        <w:t xml:space="preserve">. Through my observations, I could see that all students were </w:t>
      </w:r>
      <w:r w:rsidR="00554C53">
        <w:t>engaging, offerin</w:t>
      </w:r>
      <w:r w:rsidR="00603AEB">
        <w:t>g different views</w:t>
      </w:r>
      <w:r w:rsidR="00554C53">
        <w:t xml:space="preserve"> and </w:t>
      </w:r>
      <w:r w:rsidR="00527BB2">
        <w:t xml:space="preserve">some good learning came out of </w:t>
      </w:r>
      <w:r w:rsidR="00521B87">
        <w:t xml:space="preserve">the group work. </w:t>
      </w:r>
    </w:p>
    <w:p w14:paraId="2B28628F" w14:textId="7424861A" w:rsidR="003A08D5" w:rsidRDefault="003A08D5">
      <w:r>
        <w:t xml:space="preserve">When thinking about the above point, I did think about the requirement of a judicious and flexible balance of group work as Skinner (2011) eluded to. I will have to think about the time </w:t>
      </w:r>
      <w:r w:rsidR="00D94DA4">
        <w:t xml:space="preserve">element to </w:t>
      </w:r>
      <w:r>
        <w:t>complete group work</w:t>
      </w:r>
      <w:r w:rsidR="00D94DA4">
        <w:t>, facilities and</w:t>
      </w:r>
      <w:r>
        <w:t xml:space="preserve"> what type of learners that I have. For example, </w:t>
      </w:r>
      <w:r w:rsidR="00D94DA4">
        <w:t xml:space="preserve">if dynamics are not working then I would have to be flexible in my strategy and dip out of the group work and perhaps go back into a presentation. </w:t>
      </w:r>
    </w:p>
    <w:p w14:paraId="0D5412BE" w14:textId="7AEFC8A1" w:rsidR="00D94DA4" w:rsidRDefault="00D94DA4">
      <w:r>
        <w:t>I could see that the trainers were walking around the groups, observing and taking note of the dynamics.  This is an area that I will look to develop in my sessions</w:t>
      </w:r>
      <w:r w:rsidR="002A31CC">
        <w:t xml:space="preserve"> and being flexible with any contingencies that may take place. </w:t>
      </w:r>
      <w:r>
        <w:t xml:space="preserve"> </w:t>
      </w:r>
    </w:p>
    <w:p w14:paraId="0C90EA2E" w14:textId="77777777" w:rsidR="00867E57" w:rsidRDefault="00B462FA">
      <w:r>
        <w:t xml:space="preserve">Following on from this, I observed different paradigm’s being used. These were centred around the learner having different ways to explore what was being facilitated through the use of visual presentations, utilising videos to learn, handouts and the strategies </w:t>
      </w:r>
      <w:r w:rsidR="00867E57">
        <w:t>earlier</w:t>
      </w:r>
      <w:r>
        <w:t xml:space="preserve"> mentioned. </w:t>
      </w:r>
    </w:p>
    <w:p w14:paraId="66EDC0CE" w14:textId="62FBF0E5" w:rsidR="00521B87" w:rsidRDefault="00B462FA">
      <w:r>
        <w:t xml:space="preserve">Having reflected on this, I could see that the trainers had moved away from the instructional paradigm (something that I grew up with) to a learning one. This was suggested by Arend and Davis (2013) </w:t>
      </w:r>
      <w:r w:rsidR="00C943EB">
        <w:t xml:space="preserve">who </w:t>
      </w:r>
      <w:r w:rsidR="00867E57">
        <w:t>referred</w:t>
      </w:r>
      <w:r w:rsidR="00C943EB">
        <w:t xml:space="preserve"> to having a good match between student outcomes and ways of learning. In these sessions, the student outcome would have to understanding the content for an exam and the trainer using the learning paradigm activities. I see this as good practice and something that I would like to take into my sessions with the emphasis on empowering the student</w:t>
      </w:r>
      <w:r w:rsidR="00867E57">
        <w:t xml:space="preserve"> through the use of engaging and stimulating activities. </w:t>
      </w:r>
    </w:p>
    <w:p w14:paraId="76556D29" w14:textId="658649A7" w:rsidR="00867E57" w:rsidRDefault="00B17CAE">
      <w:pPr>
        <w:rPr>
          <w:u w:val="single"/>
        </w:rPr>
      </w:pPr>
      <w:r>
        <w:rPr>
          <w:u w:val="single"/>
        </w:rPr>
        <w:t>Ending</w:t>
      </w:r>
    </w:p>
    <w:p w14:paraId="6BC47E4E" w14:textId="7D8239D5" w:rsidR="00B17CAE" w:rsidRDefault="000A50A5">
      <w:r>
        <w:t>At the end of the sessions, I noted some similarities with regards how the trainers utilised various assessment methods to check the understanding of the content. This included the use of group quiz’ along with question and answers. Upon observing this, I could see the students were engaging whilst having that fun element to achieve an assessment</w:t>
      </w:r>
      <w:r w:rsidR="00020C85">
        <w:t xml:space="preserve"> objective</w:t>
      </w:r>
      <w:r>
        <w:t xml:space="preserve">. Again, this is something that I will look to incorporate into my strategies when delivering sessions. </w:t>
      </w:r>
    </w:p>
    <w:p w14:paraId="07F1968B" w14:textId="5ADBDCFA" w:rsidR="00020C85" w:rsidRDefault="00020C85">
      <w:pPr>
        <w:rPr>
          <w:u w:val="single"/>
        </w:rPr>
      </w:pPr>
      <w:r>
        <w:rPr>
          <w:u w:val="single"/>
        </w:rPr>
        <w:t>Evaluation</w:t>
      </w:r>
    </w:p>
    <w:p w14:paraId="3FB94DF8" w14:textId="7A45C63D" w:rsidR="00020C85" w:rsidRDefault="00020C85">
      <w:r>
        <w:t>Following on from my commentary above, I could see that the trainers se</w:t>
      </w:r>
      <w:r w:rsidR="00CB03D7">
        <w:t>t</w:t>
      </w:r>
      <w:r>
        <w:t xml:space="preserve"> out clear aims and objectives. I noted the trainers </w:t>
      </w:r>
      <w:r w:rsidR="00CB03D7">
        <w:t xml:space="preserve">aligned their teaching strategies as described, in line with the objectives and this flowed into their assessment strategy. This ensured the sessions flowed well and had the desired effect of successful sessions with learning. This alignment that was mentioned by Jackson (2020) who referred to having an aligned teaching strategy. </w:t>
      </w:r>
    </w:p>
    <w:p w14:paraId="61D3095F" w14:textId="1F173F07" w:rsidR="00CB03D7" w:rsidRPr="00020C85" w:rsidRDefault="00CB03D7">
      <w:r>
        <w:t xml:space="preserve">As a result of this, I learnt that having a detailed lesson plan with continued strategies helps delivery but more importantly helps facilitate the learning. Having observed this, I will look to ensure I have a clear alignment of </w:t>
      </w:r>
      <w:r w:rsidR="00D46C67">
        <w:t xml:space="preserve">objectives, strategies (activities) and fun assessment methods where applicable in my sessions. </w:t>
      </w:r>
      <w:r>
        <w:t xml:space="preserve"> </w:t>
      </w:r>
    </w:p>
    <w:p w14:paraId="4BFEE035" w14:textId="7AAEFB22" w:rsidR="00E062C5" w:rsidRPr="00AB184C" w:rsidRDefault="00E062C5" w:rsidP="00E062C5">
      <w:pPr>
        <w:rPr>
          <w:b/>
          <w:bCs/>
          <w:sz w:val="24"/>
          <w:szCs w:val="24"/>
        </w:rPr>
      </w:pPr>
      <w:r w:rsidRPr="00AB184C">
        <w:rPr>
          <w:b/>
          <w:bCs/>
          <w:sz w:val="24"/>
          <w:szCs w:val="24"/>
        </w:rPr>
        <w:t xml:space="preserve">Word count </w:t>
      </w:r>
      <w:r>
        <w:rPr>
          <w:b/>
          <w:bCs/>
          <w:sz w:val="24"/>
          <w:szCs w:val="24"/>
        </w:rPr>
        <w:t>972</w:t>
      </w:r>
      <w:r w:rsidRPr="00AB184C">
        <w:rPr>
          <w:b/>
          <w:bCs/>
          <w:sz w:val="24"/>
          <w:szCs w:val="24"/>
        </w:rPr>
        <w:t>.</w:t>
      </w:r>
    </w:p>
    <w:p w14:paraId="0BEC3224" w14:textId="77777777" w:rsidR="00E062C5" w:rsidRPr="00AB184C" w:rsidRDefault="00E062C5" w:rsidP="00E062C5">
      <w:pPr>
        <w:rPr>
          <w:b/>
          <w:bCs/>
          <w:sz w:val="24"/>
          <w:szCs w:val="24"/>
        </w:rPr>
      </w:pPr>
      <w:r w:rsidRPr="00AB184C">
        <w:rPr>
          <w:b/>
          <w:bCs/>
          <w:sz w:val="24"/>
          <w:szCs w:val="24"/>
        </w:rPr>
        <w:t xml:space="preserve">Bibliography </w:t>
      </w:r>
    </w:p>
    <w:p w14:paraId="2104FBC6" w14:textId="092C1F9E" w:rsidR="00B92A96" w:rsidRDefault="00B92A96" w:rsidP="00B92A96">
      <w:pPr>
        <w:pStyle w:val="ListParagraph"/>
        <w:numPr>
          <w:ilvl w:val="0"/>
          <w:numId w:val="1"/>
        </w:numPr>
        <w:rPr>
          <w:rFonts w:cstheme="minorHAnsi"/>
          <w:sz w:val="24"/>
          <w:szCs w:val="24"/>
        </w:rPr>
      </w:pPr>
      <w:r w:rsidRPr="00B92A96">
        <w:rPr>
          <w:rFonts w:cstheme="minorHAnsi"/>
          <w:color w:val="3A3A3A"/>
          <w:sz w:val="24"/>
          <w:szCs w:val="24"/>
          <w:shd w:val="clear" w:color="auto" w:fill="FFFFFF"/>
        </w:rPr>
        <w:t xml:space="preserve">Bransford J.D, 1999. </w:t>
      </w:r>
      <w:r w:rsidRPr="00B92A96">
        <w:rPr>
          <w:rFonts w:cstheme="minorHAnsi"/>
          <w:sz w:val="24"/>
          <w:szCs w:val="24"/>
        </w:rPr>
        <w:t>How People Learn: Bridging Research and Practice</w:t>
      </w:r>
      <w:r>
        <w:rPr>
          <w:rFonts w:cstheme="minorHAnsi"/>
          <w:sz w:val="24"/>
          <w:szCs w:val="24"/>
        </w:rPr>
        <w:t>, Washington DC</w:t>
      </w:r>
    </w:p>
    <w:p w14:paraId="7CC5ABAA" w14:textId="40D4BB5A" w:rsidR="00F31E80" w:rsidRDefault="00F31E80" w:rsidP="00F31E80">
      <w:pPr>
        <w:pStyle w:val="citation"/>
        <w:numPr>
          <w:ilvl w:val="0"/>
          <w:numId w:val="1"/>
        </w:numPr>
        <w:shd w:val="clear" w:color="auto" w:fill="FFFFFF"/>
        <w:spacing w:after="150" w:afterAutospacing="0" w:line="312" w:lineRule="atLeast"/>
        <w:rPr>
          <w:rFonts w:asciiTheme="minorHAnsi" w:hAnsiTheme="minorHAnsi" w:cstheme="minorHAnsi"/>
          <w:color w:val="000000"/>
        </w:rPr>
      </w:pPr>
      <w:r w:rsidRPr="00E71F69">
        <w:rPr>
          <w:rFonts w:asciiTheme="minorHAnsi" w:hAnsiTheme="minorHAnsi" w:cstheme="minorHAnsi"/>
          <w:color w:val="000000"/>
        </w:rPr>
        <w:t>D</w:t>
      </w:r>
      <w:r>
        <w:rPr>
          <w:rFonts w:asciiTheme="minorHAnsi" w:hAnsiTheme="minorHAnsi" w:cstheme="minorHAnsi"/>
          <w:color w:val="000000"/>
        </w:rPr>
        <w:t>avis</w:t>
      </w:r>
      <w:r w:rsidRPr="00E71F69">
        <w:rPr>
          <w:rFonts w:asciiTheme="minorHAnsi" w:hAnsiTheme="minorHAnsi" w:cstheme="minorHAnsi"/>
          <w:color w:val="000000"/>
        </w:rPr>
        <w:t xml:space="preserve">, J. R., &amp; </w:t>
      </w:r>
      <w:r>
        <w:rPr>
          <w:rFonts w:asciiTheme="minorHAnsi" w:hAnsiTheme="minorHAnsi" w:cstheme="minorHAnsi"/>
          <w:color w:val="000000"/>
        </w:rPr>
        <w:t>Arend</w:t>
      </w:r>
      <w:r w:rsidRPr="00E71F69">
        <w:rPr>
          <w:rFonts w:asciiTheme="minorHAnsi" w:hAnsiTheme="minorHAnsi" w:cstheme="minorHAnsi"/>
          <w:color w:val="000000"/>
        </w:rPr>
        <w:t>, B. (2013). </w:t>
      </w:r>
      <w:r w:rsidRPr="00E71F69">
        <w:rPr>
          <w:rFonts w:asciiTheme="minorHAnsi" w:hAnsiTheme="minorHAnsi" w:cstheme="minorHAnsi"/>
          <w:i/>
          <w:iCs/>
          <w:color w:val="000000"/>
        </w:rPr>
        <w:t>Facilitating seven ways of learning: a resource for more purposeful, effective, and enjoyable college teaching</w:t>
      </w:r>
      <w:r w:rsidRPr="00E71F69">
        <w:rPr>
          <w:rFonts w:asciiTheme="minorHAnsi" w:hAnsiTheme="minorHAnsi" w:cstheme="minorHAnsi"/>
          <w:color w:val="000000"/>
        </w:rPr>
        <w:t>. Sterling, Va, Stylus.</w:t>
      </w:r>
    </w:p>
    <w:p w14:paraId="3C243C9E" w14:textId="2B45CD62" w:rsidR="00F31E80" w:rsidRPr="00F31E80" w:rsidRDefault="00F31E80" w:rsidP="00F31E80">
      <w:pPr>
        <w:pStyle w:val="citation"/>
        <w:numPr>
          <w:ilvl w:val="0"/>
          <w:numId w:val="1"/>
        </w:numPr>
        <w:shd w:val="clear" w:color="auto" w:fill="FFFFFF"/>
        <w:spacing w:after="150" w:afterAutospacing="0" w:line="312" w:lineRule="atLeast"/>
        <w:rPr>
          <w:rFonts w:asciiTheme="minorHAnsi" w:hAnsiTheme="minorHAnsi" w:cstheme="minorHAnsi"/>
          <w:color w:val="000000"/>
        </w:rPr>
      </w:pPr>
      <w:r w:rsidRPr="00AB184C">
        <w:rPr>
          <w:rFonts w:cstheme="minorHAnsi"/>
          <w:color w:val="3A3A3A"/>
          <w:shd w:val="clear" w:color="auto" w:fill="FFFFFF"/>
        </w:rPr>
        <w:t>Maslow, A.H. &amp; American Psychological Association, 1943. </w:t>
      </w:r>
      <w:r w:rsidRPr="00AB184C">
        <w:rPr>
          <w:rFonts w:cstheme="minorHAnsi"/>
          <w:i/>
          <w:iCs/>
          <w:color w:val="3A3A3A"/>
          <w:shd w:val="clear" w:color="auto" w:fill="FFFFFF"/>
        </w:rPr>
        <w:t>A theory of human motivation</w:t>
      </w:r>
      <w:r w:rsidRPr="00AB184C">
        <w:rPr>
          <w:rFonts w:cstheme="minorHAnsi"/>
          <w:color w:val="3A3A3A"/>
          <w:shd w:val="clear" w:color="auto" w:fill="FFFFFF"/>
        </w:rPr>
        <w:t>, Indianapolis: Bobbs-Merrill</w:t>
      </w:r>
      <w:r w:rsidRPr="00AB184C">
        <w:rPr>
          <w:rFonts w:cstheme="minorHAnsi"/>
          <w:color w:val="3A3A3A"/>
          <w:sz w:val="23"/>
          <w:szCs w:val="23"/>
          <w:shd w:val="clear" w:color="auto" w:fill="FFFFFF"/>
        </w:rPr>
        <w:t>.</w:t>
      </w:r>
    </w:p>
    <w:p w14:paraId="2FE4F268" w14:textId="0C836960" w:rsidR="00F31E80" w:rsidRPr="00F31E80" w:rsidRDefault="00F31E80" w:rsidP="00F31E80">
      <w:pPr>
        <w:pStyle w:val="ListParagraph"/>
        <w:numPr>
          <w:ilvl w:val="0"/>
          <w:numId w:val="1"/>
        </w:numPr>
        <w:rPr>
          <w:rFonts w:cstheme="minorHAnsi"/>
          <w:sz w:val="24"/>
          <w:szCs w:val="24"/>
        </w:rPr>
      </w:pPr>
      <w:r w:rsidRPr="00B92A96">
        <w:rPr>
          <w:rFonts w:cstheme="minorHAnsi"/>
          <w:sz w:val="24"/>
          <w:szCs w:val="24"/>
        </w:rPr>
        <w:t xml:space="preserve">Reece, L. and Walker, S. (2007) </w:t>
      </w:r>
      <w:r w:rsidRPr="00B92A96">
        <w:rPr>
          <w:rFonts w:cstheme="minorHAnsi"/>
          <w:i/>
          <w:sz w:val="24"/>
          <w:szCs w:val="24"/>
        </w:rPr>
        <w:t>Teaching, Training and Learning: A Practical Guide. 5</w:t>
      </w:r>
      <w:r w:rsidRPr="00B92A96">
        <w:rPr>
          <w:rFonts w:cstheme="minorHAnsi"/>
          <w:i/>
          <w:sz w:val="24"/>
          <w:szCs w:val="24"/>
          <w:vertAlign w:val="superscript"/>
        </w:rPr>
        <w:t>th</w:t>
      </w:r>
      <w:r w:rsidRPr="00B92A96">
        <w:rPr>
          <w:rFonts w:cstheme="minorHAnsi"/>
          <w:i/>
          <w:sz w:val="24"/>
          <w:szCs w:val="24"/>
        </w:rPr>
        <w:t xml:space="preserve"> edition</w:t>
      </w:r>
      <w:r w:rsidRPr="00B92A96">
        <w:rPr>
          <w:rFonts w:cstheme="minorHAnsi"/>
          <w:sz w:val="24"/>
          <w:szCs w:val="24"/>
        </w:rPr>
        <w:t>. Tyne and Wear: Business Education Publishers Ltd.</w:t>
      </w:r>
    </w:p>
    <w:p w14:paraId="01ED7A84" w14:textId="001C6403" w:rsidR="00F31E80" w:rsidRPr="00F31E80" w:rsidRDefault="00F31E80" w:rsidP="00F31E80">
      <w:pPr>
        <w:pStyle w:val="ListParagraph"/>
        <w:numPr>
          <w:ilvl w:val="0"/>
          <w:numId w:val="1"/>
        </w:numPr>
        <w:rPr>
          <w:rFonts w:cstheme="minorHAnsi"/>
          <w:sz w:val="24"/>
          <w:szCs w:val="24"/>
        </w:rPr>
      </w:pPr>
      <w:r w:rsidRPr="00F31E80">
        <w:rPr>
          <w:rFonts w:cstheme="minorHAnsi"/>
          <w:color w:val="3A3A3A"/>
          <w:sz w:val="24"/>
          <w:szCs w:val="24"/>
          <w:shd w:val="clear" w:color="auto" w:fill="FFFFFF"/>
        </w:rPr>
        <w:t>Skinner, D., 2010. </w:t>
      </w:r>
      <w:r w:rsidRPr="00F31E80">
        <w:rPr>
          <w:rFonts w:cstheme="minorHAnsi"/>
          <w:i/>
          <w:iCs/>
          <w:color w:val="3A3A3A"/>
          <w:sz w:val="24"/>
          <w:szCs w:val="24"/>
          <w:shd w:val="clear" w:color="auto" w:fill="FFFFFF"/>
        </w:rPr>
        <w:t>Effective teaching and learning in practice</w:t>
      </w:r>
      <w:r w:rsidRPr="00F31E80">
        <w:rPr>
          <w:rFonts w:cstheme="minorHAnsi"/>
          <w:color w:val="3A3A3A"/>
          <w:sz w:val="24"/>
          <w:szCs w:val="24"/>
          <w:shd w:val="clear" w:color="auto" w:fill="FFFFFF"/>
        </w:rPr>
        <w:t>, London ; New York: Continuum International Pub. Group.</w:t>
      </w:r>
    </w:p>
    <w:p w14:paraId="6A6BF82E" w14:textId="120A94DE" w:rsidR="00B92A96" w:rsidRDefault="00B92A96" w:rsidP="00B92A96">
      <w:pPr>
        <w:rPr>
          <w:rFonts w:cstheme="minorHAnsi"/>
          <w:sz w:val="24"/>
          <w:szCs w:val="24"/>
        </w:rPr>
      </w:pPr>
    </w:p>
    <w:p w14:paraId="016373FE" w14:textId="77777777" w:rsidR="007B2D9B" w:rsidRPr="00CF56D3" w:rsidRDefault="007B2D9B" w:rsidP="007B2D9B">
      <w:pPr>
        <w:rPr>
          <w:sz w:val="24"/>
          <w:szCs w:val="24"/>
          <w:u w:val="single"/>
        </w:rPr>
      </w:pPr>
      <w:r w:rsidRPr="00CF56D3">
        <w:rPr>
          <w:sz w:val="24"/>
          <w:szCs w:val="24"/>
          <w:u w:val="single"/>
        </w:rPr>
        <w:t>Assessment in context- Part 2.</w:t>
      </w:r>
    </w:p>
    <w:p w14:paraId="5F659204" w14:textId="77777777" w:rsidR="007B2D9B" w:rsidRDefault="007B2D9B" w:rsidP="007B2D9B">
      <w:pPr>
        <w:rPr>
          <w:sz w:val="24"/>
          <w:szCs w:val="24"/>
        </w:rPr>
      </w:pPr>
      <w:r w:rsidRPr="00CF56D3">
        <w:rPr>
          <w:sz w:val="24"/>
          <w:szCs w:val="24"/>
        </w:rPr>
        <w:t xml:space="preserve">In this part of my critical review of assessment methods, I will be writing about a recent course </w:t>
      </w:r>
      <w:r>
        <w:rPr>
          <w:sz w:val="24"/>
          <w:szCs w:val="24"/>
        </w:rPr>
        <w:t>where</w:t>
      </w:r>
      <w:r w:rsidRPr="00CF56D3">
        <w:rPr>
          <w:sz w:val="24"/>
          <w:szCs w:val="24"/>
        </w:rPr>
        <w:t xml:space="preserve"> I was part of the delivery team and assessed several of the </w:t>
      </w:r>
      <w:r>
        <w:rPr>
          <w:sz w:val="24"/>
          <w:szCs w:val="24"/>
        </w:rPr>
        <w:t>students</w:t>
      </w:r>
      <w:r w:rsidRPr="00CF56D3">
        <w:rPr>
          <w:sz w:val="24"/>
          <w:szCs w:val="24"/>
        </w:rPr>
        <w:t>. I will look to review these assessment methods</w:t>
      </w:r>
      <w:r>
        <w:rPr>
          <w:sz w:val="24"/>
          <w:szCs w:val="24"/>
        </w:rPr>
        <w:t xml:space="preserve"> used during the course and make comments</w:t>
      </w:r>
      <w:r w:rsidRPr="00CF56D3">
        <w:rPr>
          <w:sz w:val="24"/>
          <w:szCs w:val="24"/>
        </w:rPr>
        <w:t xml:space="preserve"> </w:t>
      </w:r>
      <w:r>
        <w:rPr>
          <w:sz w:val="24"/>
          <w:szCs w:val="24"/>
        </w:rPr>
        <w:t xml:space="preserve">on </w:t>
      </w:r>
      <w:r w:rsidRPr="00CF56D3">
        <w:rPr>
          <w:sz w:val="24"/>
          <w:szCs w:val="24"/>
        </w:rPr>
        <w:t>the summative and formative assessment</w:t>
      </w:r>
      <w:r>
        <w:rPr>
          <w:sz w:val="24"/>
          <w:szCs w:val="24"/>
        </w:rPr>
        <w:t xml:space="preserve"> process.</w:t>
      </w:r>
      <w:r w:rsidRPr="00CF56D3">
        <w:rPr>
          <w:sz w:val="24"/>
          <w:szCs w:val="24"/>
        </w:rPr>
        <w:t xml:space="preserve"> I will incorporate some of my thoughts on the methods used.  </w:t>
      </w:r>
    </w:p>
    <w:p w14:paraId="569F8CE1" w14:textId="77777777" w:rsidR="007B2D9B" w:rsidRPr="00CF56D3" w:rsidRDefault="007B2D9B" w:rsidP="007B2D9B">
      <w:pPr>
        <w:rPr>
          <w:sz w:val="24"/>
          <w:szCs w:val="24"/>
        </w:rPr>
      </w:pPr>
    </w:p>
    <w:p w14:paraId="41EC687B" w14:textId="77777777" w:rsidR="007B2D9B" w:rsidRPr="00C3411A" w:rsidRDefault="007B2D9B" w:rsidP="007B2D9B">
      <w:pPr>
        <w:rPr>
          <w:sz w:val="24"/>
          <w:szCs w:val="24"/>
          <w:u w:val="single"/>
        </w:rPr>
      </w:pPr>
      <w:r w:rsidRPr="00CF56D3">
        <w:rPr>
          <w:sz w:val="24"/>
          <w:szCs w:val="24"/>
          <w:u w:val="single"/>
        </w:rPr>
        <w:t xml:space="preserve">Introduction. </w:t>
      </w:r>
    </w:p>
    <w:p w14:paraId="2571213C" w14:textId="77777777" w:rsidR="007B2D9B" w:rsidRDefault="007B2D9B" w:rsidP="007B2D9B">
      <w:pPr>
        <w:pStyle w:val="BulletedList"/>
        <w:ind w:left="360" w:firstLine="0"/>
        <w:jc w:val="both"/>
        <w:rPr>
          <w:sz w:val="24"/>
          <w:szCs w:val="24"/>
        </w:rPr>
      </w:pPr>
      <w:r w:rsidRPr="00CF56D3">
        <w:rPr>
          <w:sz w:val="24"/>
          <w:szCs w:val="24"/>
        </w:rPr>
        <w:t>At the start of t</w:t>
      </w:r>
      <w:r>
        <w:rPr>
          <w:sz w:val="24"/>
          <w:szCs w:val="24"/>
        </w:rPr>
        <w:t>he</w:t>
      </w:r>
      <w:r w:rsidRPr="00CF56D3">
        <w:rPr>
          <w:sz w:val="24"/>
          <w:szCs w:val="24"/>
        </w:rPr>
        <w:t xml:space="preserve"> course, I explained the aims/objectives</w:t>
      </w:r>
      <w:r>
        <w:rPr>
          <w:sz w:val="24"/>
          <w:szCs w:val="24"/>
        </w:rPr>
        <w:t>,</w:t>
      </w:r>
      <w:r w:rsidRPr="00CF56D3">
        <w:rPr>
          <w:sz w:val="24"/>
          <w:szCs w:val="24"/>
        </w:rPr>
        <w:t xml:space="preserve"> gave the</w:t>
      </w:r>
      <w:r>
        <w:rPr>
          <w:sz w:val="24"/>
          <w:szCs w:val="24"/>
        </w:rPr>
        <w:t xml:space="preserve"> students</w:t>
      </w:r>
      <w:r w:rsidRPr="00CF56D3">
        <w:rPr>
          <w:sz w:val="24"/>
          <w:szCs w:val="24"/>
        </w:rPr>
        <w:t xml:space="preserve"> an overview of the respective qualification</w:t>
      </w:r>
      <w:r>
        <w:rPr>
          <w:sz w:val="24"/>
          <w:szCs w:val="24"/>
        </w:rPr>
        <w:t xml:space="preserve"> and what assessment methods would be used</w:t>
      </w:r>
      <w:r w:rsidRPr="00CF56D3">
        <w:rPr>
          <w:sz w:val="24"/>
          <w:szCs w:val="24"/>
        </w:rPr>
        <w:t>. Following this, I explained how the sessions were going to be delivered, how the students would be assessed throughout the cours</w:t>
      </w:r>
      <w:r>
        <w:rPr>
          <w:sz w:val="24"/>
          <w:szCs w:val="24"/>
        </w:rPr>
        <w:t xml:space="preserve">e, </w:t>
      </w:r>
      <w:r w:rsidRPr="00CF56D3">
        <w:rPr>
          <w:sz w:val="24"/>
          <w:szCs w:val="24"/>
        </w:rPr>
        <w:t xml:space="preserve">more commonly known as </w:t>
      </w:r>
      <w:r>
        <w:rPr>
          <w:sz w:val="24"/>
          <w:szCs w:val="24"/>
        </w:rPr>
        <w:t>formative</w:t>
      </w:r>
      <w:r w:rsidRPr="00CF56D3">
        <w:rPr>
          <w:sz w:val="24"/>
          <w:szCs w:val="24"/>
        </w:rPr>
        <w:t xml:space="preserve"> assessment and how they would be assessed at the</w:t>
      </w:r>
      <w:r>
        <w:rPr>
          <w:sz w:val="24"/>
          <w:szCs w:val="24"/>
        </w:rPr>
        <w:t xml:space="preserve"> end of the course which is the</w:t>
      </w:r>
      <w:r w:rsidRPr="00CF56D3">
        <w:rPr>
          <w:sz w:val="24"/>
          <w:szCs w:val="24"/>
        </w:rPr>
        <w:t xml:space="preserve"> </w:t>
      </w:r>
      <w:r>
        <w:rPr>
          <w:sz w:val="24"/>
          <w:szCs w:val="24"/>
        </w:rPr>
        <w:t>summative</w:t>
      </w:r>
      <w:r w:rsidRPr="00CF56D3">
        <w:rPr>
          <w:sz w:val="24"/>
          <w:szCs w:val="24"/>
        </w:rPr>
        <w:t xml:space="preserve"> assessment point. This is more commonly known as the assessment at the end of the course to gain the qualification. I thought it was important to be clear what the students </w:t>
      </w:r>
      <w:r>
        <w:rPr>
          <w:sz w:val="24"/>
          <w:szCs w:val="24"/>
        </w:rPr>
        <w:t>could</w:t>
      </w:r>
      <w:r w:rsidRPr="00CF56D3">
        <w:rPr>
          <w:sz w:val="24"/>
          <w:szCs w:val="24"/>
        </w:rPr>
        <w:t xml:space="preserve"> expect throughout the</w:t>
      </w:r>
      <w:r>
        <w:rPr>
          <w:sz w:val="24"/>
          <w:szCs w:val="24"/>
        </w:rPr>
        <w:t xml:space="preserve"> course</w:t>
      </w:r>
      <w:r w:rsidRPr="00CF56D3">
        <w:rPr>
          <w:sz w:val="24"/>
          <w:szCs w:val="24"/>
        </w:rPr>
        <w:t xml:space="preserve"> and how they would be assessed to achieve the qualification. </w:t>
      </w:r>
    </w:p>
    <w:p w14:paraId="0014B984" w14:textId="77777777" w:rsidR="007B2D9B" w:rsidRDefault="007B2D9B" w:rsidP="007B2D9B">
      <w:pPr>
        <w:pStyle w:val="BulletedList"/>
        <w:ind w:left="360" w:firstLine="0"/>
        <w:jc w:val="both"/>
        <w:rPr>
          <w:sz w:val="24"/>
          <w:szCs w:val="24"/>
        </w:rPr>
      </w:pPr>
      <w:r>
        <w:rPr>
          <w:sz w:val="24"/>
          <w:szCs w:val="24"/>
        </w:rPr>
        <w:t xml:space="preserve">I explained how the set criteria would be used to make the summative assessment point to ensure that the information was transparent and fair to all. I thought this was important following information that Race (2014) refers to assessment being broken in education where student’s perception of assessment criteria not being clear. As a result of me explaining the assessment criteria, I could mitigate any such perceptions. </w:t>
      </w:r>
    </w:p>
    <w:p w14:paraId="361DB1B4" w14:textId="77777777" w:rsidR="007B2D9B" w:rsidRDefault="007B2D9B" w:rsidP="007B2D9B">
      <w:pPr>
        <w:rPr>
          <w:sz w:val="24"/>
          <w:szCs w:val="24"/>
        </w:rPr>
      </w:pPr>
      <w:r w:rsidRPr="00CF56D3">
        <w:rPr>
          <w:sz w:val="24"/>
          <w:szCs w:val="24"/>
        </w:rPr>
        <w:t>By obtaining some feedback from the student</w:t>
      </w:r>
      <w:r>
        <w:rPr>
          <w:sz w:val="24"/>
          <w:szCs w:val="24"/>
        </w:rPr>
        <w:t>s</w:t>
      </w:r>
      <w:r w:rsidRPr="00CF56D3">
        <w:rPr>
          <w:sz w:val="24"/>
          <w:szCs w:val="24"/>
        </w:rPr>
        <w:t xml:space="preserve"> after the course</w:t>
      </w:r>
      <w:r>
        <w:rPr>
          <w:sz w:val="24"/>
          <w:szCs w:val="24"/>
        </w:rPr>
        <w:t xml:space="preserve"> through different methods</w:t>
      </w:r>
      <w:r w:rsidRPr="00CF56D3">
        <w:rPr>
          <w:sz w:val="24"/>
          <w:szCs w:val="24"/>
        </w:rPr>
        <w:t>, I was pleased to learn that the initial information provided was clear and they were happy with having the assessment criteria explained at the early stage. G Petty (2014) suggests that one of the most powerful tools for teachers is feedback</w:t>
      </w:r>
      <w:r>
        <w:rPr>
          <w:sz w:val="24"/>
          <w:szCs w:val="24"/>
        </w:rPr>
        <w:t xml:space="preserve"> and as a result of this positive feedback, I will continue with this practice going forward.  </w:t>
      </w:r>
    </w:p>
    <w:p w14:paraId="2C371B70" w14:textId="77777777" w:rsidR="007B2D9B" w:rsidRDefault="007B2D9B" w:rsidP="007B2D9B">
      <w:pPr>
        <w:rPr>
          <w:sz w:val="24"/>
          <w:szCs w:val="24"/>
        </w:rPr>
      </w:pPr>
      <w:r>
        <w:rPr>
          <w:sz w:val="24"/>
          <w:szCs w:val="24"/>
        </w:rPr>
        <w:t xml:space="preserve">The feedback that I received suggested that the students were put at ease by being informed of what was going to happen throughout the course in terms of how they would be assessed. This could be incorporated into the work of Maslow (1943) who referred to this as students having physiological needs. By doing this, the students were in a better position to move up the triangle and be in a positive position to learn and be assessed. </w:t>
      </w:r>
    </w:p>
    <w:p w14:paraId="59245F05" w14:textId="77777777" w:rsidR="007B2D9B" w:rsidRPr="00CF56D3" w:rsidRDefault="007B2D9B" w:rsidP="007B2D9B">
      <w:pPr>
        <w:rPr>
          <w:sz w:val="24"/>
          <w:szCs w:val="24"/>
        </w:rPr>
      </w:pPr>
    </w:p>
    <w:p w14:paraId="635E19A8" w14:textId="77777777" w:rsidR="007B2D9B" w:rsidRPr="009A5EFE" w:rsidRDefault="007B2D9B" w:rsidP="007B2D9B">
      <w:pPr>
        <w:rPr>
          <w:sz w:val="24"/>
          <w:szCs w:val="24"/>
          <w:u w:val="single"/>
        </w:rPr>
      </w:pPr>
      <w:r w:rsidRPr="009A5EFE">
        <w:rPr>
          <w:sz w:val="24"/>
          <w:szCs w:val="24"/>
          <w:u w:val="single"/>
        </w:rPr>
        <w:t>Formative assessment.</w:t>
      </w:r>
    </w:p>
    <w:p w14:paraId="2C0B2FE1" w14:textId="77777777" w:rsidR="007B2D9B" w:rsidRDefault="007B2D9B" w:rsidP="007B2D9B">
      <w:pPr>
        <w:rPr>
          <w:sz w:val="24"/>
          <w:szCs w:val="24"/>
        </w:rPr>
      </w:pPr>
      <w:r>
        <w:rPr>
          <w:sz w:val="24"/>
          <w:szCs w:val="24"/>
        </w:rPr>
        <w:t>The formative assessment stage is an approach to teaching and learning that can create feedback which is used to improve student’s performance and help build towards the summative assessment. This stage is otherwise known as the assessment for learning (AFL)</w:t>
      </w:r>
    </w:p>
    <w:p w14:paraId="44388927" w14:textId="77777777" w:rsidR="007B2D9B" w:rsidRDefault="007B2D9B" w:rsidP="007B2D9B">
      <w:pPr>
        <w:rPr>
          <w:sz w:val="24"/>
          <w:szCs w:val="24"/>
        </w:rPr>
      </w:pPr>
      <w:r w:rsidRPr="009A5EFE">
        <w:rPr>
          <w:sz w:val="24"/>
          <w:szCs w:val="24"/>
        </w:rPr>
        <w:t xml:space="preserve">During the course that I </w:t>
      </w:r>
      <w:r>
        <w:rPr>
          <w:sz w:val="24"/>
          <w:szCs w:val="24"/>
        </w:rPr>
        <w:t xml:space="preserve">mentioned in my introduction, I was given the initial task of delivery of ice breakers at the start of the course. </w:t>
      </w:r>
      <w:r w:rsidRPr="009A5EFE">
        <w:rPr>
          <w:sz w:val="24"/>
          <w:szCs w:val="24"/>
        </w:rPr>
        <w:t>Having delivered some of the theoretical side of the session</w:t>
      </w:r>
      <w:r>
        <w:rPr>
          <w:sz w:val="24"/>
          <w:szCs w:val="24"/>
        </w:rPr>
        <w:t xml:space="preserve"> through a visual presentation and group discussion around the topic, I was able to monitor the student’s engagement. To ensure that they had understood the objective of this mini topic area, </w:t>
      </w:r>
      <w:r w:rsidRPr="009A5EFE">
        <w:rPr>
          <w:sz w:val="24"/>
          <w:szCs w:val="24"/>
        </w:rPr>
        <w:t>I split the group into pairs and set them a task to come up with an ice breaker that they would use</w:t>
      </w:r>
      <w:r>
        <w:rPr>
          <w:sz w:val="24"/>
          <w:szCs w:val="24"/>
        </w:rPr>
        <w:t xml:space="preserve"> if applicable</w:t>
      </w:r>
      <w:r w:rsidRPr="009A5EFE">
        <w:rPr>
          <w:sz w:val="24"/>
          <w:szCs w:val="24"/>
        </w:rPr>
        <w:t xml:space="preserve">. </w:t>
      </w:r>
      <w:r>
        <w:rPr>
          <w:sz w:val="24"/>
          <w:szCs w:val="24"/>
        </w:rPr>
        <w:t xml:space="preserve">Whilst this was going on, I was making on-going assessments of the group task/assessment. </w:t>
      </w:r>
    </w:p>
    <w:p w14:paraId="47F282C5" w14:textId="77777777" w:rsidR="007B2D9B" w:rsidRDefault="007B2D9B" w:rsidP="007B2D9B">
      <w:pPr>
        <w:rPr>
          <w:sz w:val="24"/>
          <w:szCs w:val="24"/>
        </w:rPr>
      </w:pPr>
      <w:r w:rsidRPr="009A5EFE">
        <w:rPr>
          <w:sz w:val="24"/>
          <w:szCs w:val="24"/>
        </w:rPr>
        <w:t>Following this, I asked the students to role play the task. As such, I was able to carry out an observation assessment which is one of the strongest forms of assessment</w:t>
      </w:r>
      <w:r>
        <w:rPr>
          <w:sz w:val="24"/>
          <w:szCs w:val="24"/>
        </w:rPr>
        <w:t xml:space="preserve"> and ensuring they had understood the delivery. Following this, I was able to enter the feedback phase with students around their performance. This was conducted in a secure learning environment with the emphasis on being constructive and developmental. Race (2014) refers to some of these points as effective assessment. Having observed the students, I was happy with the observation assessment as an indicator of assessment of learning. </w:t>
      </w:r>
    </w:p>
    <w:p w14:paraId="3D8FA518" w14:textId="77777777" w:rsidR="007B2D9B" w:rsidRDefault="007B2D9B" w:rsidP="007B2D9B">
      <w:pPr>
        <w:widowControl w:val="0"/>
        <w:spacing w:after="120" w:line="276" w:lineRule="auto"/>
        <w:ind w:right="-20"/>
        <w:rPr>
          <w:sz w:val="24"/>
          <w:szCs w:val="24"/>
        </w:rPr>
      </w:pPr>
      <w:r w:rsidRPr="007C1422">
        <w:rPr>
          <w:sz w:val="24"/>
          <w:szCs w:val="24"/>
        </w:rPr>
        <w:t>As the course progressed, I utilised a further observation assessment</w:t>
      </w:r>
      <w:r>
        <w:rPr>
          <w:sz w:val="24"/>
          <w:szCs w:val="24"/>
        </w:rPr>
        <w:t>s</w:t>
      </w:r>
      <w:r w:rsidRPr="007C1422">
        <w:rPr>
          <w:sz w:val="24"/>
          <w:szCs w:val="24"/>
        </w:rPr>
        <w:t xml:space="preserve"> of the student’s ability to deliver a 10-minute presentation on a topic of their choice</w:t>
      </w:r>
      <w:r>
        <w:rPr>
          <w:sz w:val="24"/>
          <w:szCs w:val="24"/>
        </w:rPr>
        <w:t xml:space="preserve"> prior to them having their main observation assessment the following day where they would have to complete a 20-minute microteach</w:t>
      </w:r>
      <w:r w:rsidRPr="007C1422">
        <w:rPr>
          <w:sz w:val="24"/>
          <w:szCs w:val="24"/>
        </w:rPr>
        <w:t>. The assessment would be assessed against a set-criteria that was earlier shown to the students for transparency reasons.</w:t>
      </w:r>
      <w:r>
        <w:rPr>
          <w:sz w:val="24"/>
          <w:szCs w:val="24"/>
        </w:rPr>
        <w:t xml:space="preserve"> Following the presentation, I would ask the student to reflect on their performance using a series of open questions to draw information relating to the Gibbs’ (1988) reflective cycle. This included asking the students to describe what happened, how they were feeling, self-evaluate assessment, analyse their performance, what they concluded about their presentation and come up with an action plan ready to improve for their main assessment the following day. </w:t>
      </w:r>
    </w:p>
    <w:p w14:paraId="4ABD6847" w14:textId="77777777" w:rsidR="007B2D9B" w:rsidRDefault="007B2D9B" w:rsidP="007B2D9B">
      <w:pPr>
        <w:widowControl w:val="0"/>
        <w:spacing w:after="120" w:line="276" w:lineRule="auto"/>
        <w:ind w:right="-20"/>
        <w:rPr>
          <w:sz w:val="24"/>
          <w:szCs w:val="24"/>
        </w:rPr>
      </w:pPr>
      <w:r>
        <w:rPr>
          <w:sz w:val="24"/>
          <w:szCs w:val="24"/>
        </w:rPr>
        <w:t xml:space="preserve">By utilising self-assessment and reflection, I learnt that this would enhance AFL phase and put the student at the heart of their continuous learning and improvement. Black (1998) referred to self-assessment as success in the formative assessment phase as invaluable. I found that most of the students picked up on some of the assessment decisions and feedback that I’d noted. Following this, I asked the other students to provide some peer-assessment comments which Black (1998) again referred to enhancing this phase of the assessment.    </w:t>
      </w:r>
    </w:p>
    <w:p w14:paraId="5F564E79" w14:textId="77777777" w:rsidR="007B2D9B" w:rsidRDefault="007B2D9B" w:rsidP="007B2D9B">
      <w:pPr>
        <w:widowControl w:val="0"/>
        <w:spacing w:after="120" w:line="276" w:lineRule="auto"/>
        <w:ind w:right="-20"/>
        <w:rPr>
          <w:sz w:val="24"/>
          <w:szCs w:val="24"/>
        </w:rPr>
      </w:pPr>
      <w:r>
        <w:rPr>
          <w:sz w:val="24"/>
          <w:szCs w:val="24"/>
        </w:rPr>
        <w:t xml:space="preserve">I will continue to utilise self and peer assessment as a tool for the progressive learning as students become more involved in the AFL. I note that Hattie (2019) refers to feedback as the most powerful influences of learning and achievement that can be incorporated in this stage by the teacher listening more and talking less. By utilising the self-assessment process, I feel that I have become a better teacher/assessor and will continue to use this theory.  </w:t>
      </w:r>
    </w:p>
    <w:p w14:paraId="0D0D5A44" w14:textId="77777777" w:rsidR="007B2D9B" w:rsidRDefault="007B2D9B" w:rsidP="007B2D9B">
      <w:pPr>
        <w:widowControl w:val="0"/>
        <w:spacing w:after="120" w:line="276" w:lineRule="auto"/>
        <w:ind w:right="-20"/>
        <w:rPr>
          <w:sz w:val="24"/>
          <w:szCs w:val="24"/>
        </w:rPr>
      </w:pPr>
      <w:r>
        <w:rPr>
          <w:sz w:val="24"/>
          <w:szCs w:val="24"/>
        </w:rPr>
        <w:t xml:space="preserve">I do take on board what (Black 1998) refers to by trying to avoid comparison to other students when it comes to assessment and be specific to my feedback about individual students. </w:t>
      </w:r>
    </w:p>
    <w:p w14:paraId="544CA22B" w14:textId="77777777" w:rsidR="007B2D9B" w:rsidRPr="009763FA" w:rsidRDefault="007B2D9B" w:rsidP="007B2D9B">
      <w:pPr>
        <w:widowControl w:val="0"/>
        <w:spacing w:after="120" w:line="276" w:lineRule="auto"/>
        <w:ind w:right="-20"/>
        <w:rPr>
          <w:rFonts w:eastAsia="Times New Roman"/>
          <w:sz w:val="20"/>
          <w:szCs w:val="20"/>
        </w:rPr>
      </w:pPr>
      <w:r>
        <w:rPr>
          <w:sz w:val="24"/>
          <w:szCs w:val="24"/>
        </w:rPr>
        <w:t xml:space="preserve">I regularly attend standardisation meetings where assessment is discussed, and practise is standardised across the qualification to ensuring the points raised by Race (2015) having through attendance at the meetings, I have made some suggestions to utilising the same feedback and assessment methods in all courses. </w:t>
      </w:r>
    </w:p>
    <w:p w14:paraId="1AF61FB1" w14:textId="77777777" w:rsidR="007B2D9B" w:rsidRDefault="007B2D9B" w:rsidP="007B2D9B">
      <w:pPr>
        <w:spacing w:before="100" w:beforeAutospacing="1" w:after="100" w:afterAutospacing="1" w:line="240" w:lineRule="auto"/>
        <w:rPr>
          <w:sz w:val="24"/>
          <w:szCs w:val="24"/>
        </w:rPr>
      </w:pPr>
      <w:r w:rsidRPr="00D856F9">
        <w:rPr>
          <w:sz w:val="24"/>
          <w:szCs w:val="24"/>
        </w:rPr>
        <w:t xml:space="preserve">As the sessions went on, I utilised other forms of assessment </w:t>
      </w:r>
      <w:r>
        <w:rPr>
          <w:sz w:val="24"/>
          <w:szCs w:val="24"/>
        </w:rPr>
        <w:t>for</w:t>
      </w:r>
      <w:r w:rsidRPr="00D856F9">
        <w:rPr>
          <w:sz w:val="24"/>
          <w:szCs w:val="24"/>
        </w:rPr>
        <w:t xml:space="preserve"> learning which included utilising group discussions, break out groups along with question and answers. I particularly like these type of assessment methods as this can give a good indicator if people have understood what was being delivered, give the trainer scope to get everyone involved in the process and make use of the short informal assessments. I was mindful of Reece and Walker (2007) who highlighted the top ten teaching strategies to help create effective learning. I overlapped some of these strategies into assessment methods.  I found this beneficial to achieve an objective of a session. </w:t>
      </w:r>
    </w:p>
    <w:p w14:paraId="6F2A9B7F" w14:textId="77777777" w:rsidR="007B2D9B" w:rsidRDefault="007B2D9B" w:rsidP="007B2D9B">
      <w:pPr>
        <w:spacing w:before="100" w:beforeAutospacing="1" w:after="100" w:afterAutospacing="1" w:line="240" w:lineRule="auto"/>
        <w:rPr>
          <w:rFonts w:eastAsia="Times New Roman" w:cstheme="minorHAnsi"/>
          <w:color w:val="333333"/>
          <w:sz w:val="24"/>
          <w:szCs w:val="24"/>
          <w:lang w:eastAsia="en-GB"/>
        </w:rPr>
      </w:pPr>
      <w:r w:rsidRPr="00D856F9">
        <w:rPr>
          <w:sz w:val="24"/>
          <w:szCs w:val="24"/>
        </w:rPr>
        <w:t>Where I used these assessment methods as mentioned above, I could provide instant feedback on anything that may not have been correct</w:t>
      </w:r>
      <w:r>
        <w:rPr>
          <w:sz w:val="24"/>
          <w:szCs w:val="24"/>
        </w:rPr>
        <w:t xml:space="preserve"> or where the students could improve on prior to the summative assessment. By providing the constant feedback during the </w:t>
      </w:r>
      <w:r w:rsidRPr="004E05E8">
        <w:rPr>
          <w:rFonts w:cstheme="minorHAnsi"/>
          <w:sz w:val="24"/>
          <w:szCs w:val="24"/>
        </w:rPr>
        <w:t xml:space="preserve">AFL </w:t>
      </w:r>
      <w:r>
        <w:rPr>
          <w:rFonts w:cstheme="minorHAnsi"/>
          <w:sz w:val="24"/>
          <w:szCs w:val="24"/>
        </w:rPr>
        <w:t xml:space="preserve">stage, I was mindful of what Hattie (2012) mentioned where </w:t>
      </w:r>
      <w:r>
        <w:rPr>
          <w:rFonts w:eastAsia="Times New Roman" w:cstheme="minorHAnsi"/>
          <w:color w:val="333333"/>
          <w:sz w:val="24"/>
          <w:szCs w:val="24"/>
          <w:lang w:eastAsia="en-GB"/>
        </w:rPr>
        <w:t>f</w:t>
      </w:r>
      <w:r w:rsidRPr="004E05E8">
        <w:rPr>
          <w:rFonts w:eastAsia="Times New Roman" w:cstheme="minorHAnsi"/>
          <w:color w:val="333333"/>
          <w:sz w:val="24"/>
          <w:szCs w:val="24"/>
          <w:lang w:eastAsia="en-GB"/>
        </w:rPr>
        <w:t>eedback has a positive effect on learner achievement</w:t>
      </w:r>
      <w:r>
        <w:rPr>
          <w:rFonts w:eastAsia="Times New Roman" w:cstheme="minorHAnsi"/>
          <w:color w:val="333333"/>
          <w:sz w:val="24"/>
          <w:szCs w:val="24"/>
          <w:lang w:eastAsia="en-GB"/>
        </w:rPr>
        <w:t>. Hattie (2012) ranked feedback strategy 10</w:t>
      </w:r>
      <w:r w:rsidRPr="004E05E8">
        <w:rPr>
          <w:rFonts w:eastAsia="Times New Roman" w:cstheme="minorHAnsi"/>
          <w:color w:val="333333"/>
          <w:sz w:val="24"/>
          <w:szCs w:val="24"/>
          <w:vertAlign w:val="superscript"/>
          <w:lang w:eastAsia="en-GB"/>
        </w:rPr>
        <w:t>th</w:t>
      </w:r>
      <w:r>
        <w:rPr>
          <w:rFonts w:eastAsia="Times New Roman" w:cstheme="minorHAnsi"/>
          <w:color w:val="333333"/>
          <w:sz w:val="24"/>
          <w:szCs w:val="24"/>
          <w:lang w:eastAsia="en-GB"/>
        </w:rPr>
        <w:t xml:space="preserve"> out of 150 </w:t>
      </w:r>
      <w:r w:rsidRPr="004E05E8">
        <w:rPr>
          <w:rFonts w:eastAsia="Times New Roman" w:cstheme="minorHAnsi"/>
          <w:color w:val="333333"/>
          <w:sz w:val="24"/>
          <w:szCs w:val="24"/>
          <w:lang w:eastAsia="en-GB"/>
        </w:rPr>
        <w:t>factors that bring about significant improvements in learner outcomes</w:t>
      </w:r>
      <w:r>
        <w:rPr>
          <w:rFonts w:eastAsia="Times New Roman" w:cstheme="minorHAnsi"/>
          <w:color w:val="333333"/>
          <w:sz w:val="24"/>
          <w:szCs w:val="24"/>
          <w:lang w:eastAsia="en-GB"/>
        </w:rPr>
        <w:t>.</w:t>
      </w:r>
    </w:p>
    <w:p w14:paraId="509C3AF1" w14:textId="77777777" w:rsidR="007B2D9B" w:rsidRPr="004E05E8" w:rsidRDefault="007B2D9B" w:rsidP="007B2D9B">
      <w:pPr>
        <w:spacing w:before="100" w:beforeAutospacing="1" w:after="100" w:afterAutospacing="1" w:line="240" w:lineRule="auto"/>
        <w:rPr>
          <w:rFonts w:eastAsia="Times New Roman" w:cstheme="minorHAnsi"/>
          <w:color w:val="333333"/>
          <w:sz w:val="24"/>
          <w:szCs w:val="24"/>
          <w:lang w:eastAsia="en-GB"/>
        </w:rPr>
      </w:pPr>
      <w:r>
        <w:rPr>
          <w:rFonts w:eastAsia="Times New Roman" w:cstheme="minorHAnsi"/>
          <w:color w:val="333333"/>
          <w:sz w:val="24"/>
          <w:szCs w:val="24"/>
          <w:lang w:eastAsia="en-GB"/>
        </w:rPr>
        <w:t xml:space="preserve">If I were to make any changes to assessment in this stage (the assessment methods are stipulated by the awarding body) I would perhaps include a question and answer informal exam at the end of certain topic areas. This may cater for students who may struggle or get nervous in other assessment methods. By incorporating this, as assessor may get a more rounded assessment of the individual student. </w:t>
      </w:r>
    </w:p>
    <w:p w14:paraId="148E074B" w14:textId="77777777" w:rsidR="007B2D9B" w:rsidRDefault="007B2D9B" w:rsidP="007B2D9B">
      <w:pPr>
        <w:rPr>
          <w:sz w:val="24"/>
          <w:szCs w:val="24"/>
        </w:rPr>
      </w:pPr>
    </w:p>
    <w:p w14:paraId="27BA969F" w14:textId="77777777" w:rsidR="007B2D9B" w:rsidRDefault="007B2D9B" w:rsidP="007B2D9B">
      <w:pPr>
        <w:rPr>
          <w:sz w:val="24"/>
          <w:szCs w:val="24"/>
          <w:u w:val="single"/>
        </w:rPr>
      </w:pPr>
      <w:r>
        <w:rPr>
          <w:sz w:val="24"/>
          <w:szCs w:val="24"/>
          <w:u w:val="single"/>
        </w:rPr>
        <w:t>Summative assessment</w:t>
      </w:r>
    </w:p>
    <w:p w14:paraId="3C312B74" w14:textId="77777777" w:rsidR="007B2D9B" w:rsidRDefault="007B2D9B" w:rsidP="007B2D9B">
      <w:pPr>
        <w:rPr>
          <w:sz w:val="24"/>
          <w:szCs w:val="24"/>
        </w:rPr>
      </w:pPr>
      <w:r>
        <w:rPr>
          <w:sz w:val="24"/>
          <w:szCs w:val="24"/>
        </w:rPr>
        <w:t xml:space="preserve">The summative assessment stage takes place at the end of a programme of study and can be used for certification. This stage is otherwise known as the assessment of learning (AOL) </w:t>
      </w:r>
    </w:p>
    <w:p w14:paraId="455CC4E0" w14:textId="77777777" w:rsidR="007B2D9B" w:rsidRDefault="007B2D9B" w:rsidP="007B2D9B">
      <w:pPr>
        <w:rPr>
          <w:sz w:val="24"/>
          <w:szCs w:val="24"/>
        </w:rPr>
      </w:pPr>
      <w:r>
        <w:rPr>
          <w:sz w:val="24"/>
          <w:szCs w:val="24"/>
        </w:rPr>
        <w:t xml:space="preserve">At the end of the course that I delivered; I was part of the assessment process of students who had to deliver a 20 minute microteach of their choice.  I would be assessing their learning with regards to the topic areas for the qualification against the set criteria. The main assessment method that I would use was that of an observation assessment. I particularly like to utilise this type of assessment method (even though this was a mandatory assessment method) as this is a great way to assess students’ practical skills that are needed for the respective qualification. </w:t>
      </w:r>
    </w:p>
    <w:p w14:paraId="12F9A702" w14:textId="77777777" w:rsidR="007B2D9B" w:rsidRDefault="007B2D9B" w:rsidP="007B2D9B">
      <w:pPr>
        <w:rPr>
          <w:sz w:val="24"/>
          <w:szCs w:val="24"/>
        </w:rPr>
      </w:pPr>
      <w:r>
        <w:rPr>
          <w:sz w:val="24"/>
          <w:szCs w:val="24"/>
        </w:rPr>
        <w:t>This type of assessment method can offer numerous advantages such as being authentic and valid. When I analyse any assessment method,</w:t>
      </w:r>
      <w:r w:rsidRPr="007C1422">
        <w:rPr>
          <w:sz w:val="24"/>
          <w:szCs w:val="24"/>
        </w:rPr>
        <w:t xml:space="preserve"> I</w:t>
      </w:r>
      <w:r>
        <w:rPr>
          <w:sz w:val="24"/>
          <w:szCs w:val="24"/>
        </w:rPr>
        <w:t xml:space="preserve">’m mindful that assessment needs to have validity, reliability, authenticity and needs to be transparent. This is mentioned by Race (2015) when it comes to assessment language and discussion. By conducting an observation assessment, I’m of the opinion that this meet the above checklist and can avoid any plagiarism.  </w:t>
      </w:r>
    </w:p>
    <w:p w14:paraId="0E88C535" w14:textId="77777777" w:rsidR="007B2D9B" w:rsidRDefault="007B2D9B" w:rsidP="007B2D9B">
      <w:pPr>
        <w:rPr>
          <w:sz w:val="24"/>
          <w:szCs w:val="24"/>
        </w:rPr>
      </w:pPr>
      <w:r>
        <w:rPr>
          <w:sz w:val="24"/>
          <w:szCs w:val="24"/>
        </w:rPr>
        <w:t xml:space="preserve">I have thought about the negatives of utilising a direct observation assessment with the main emphasis being on the presence of an assessor in the room can change a student’s performance as being watched can be intimidating. Also, I’ve previously seen students during an observation assessment make a mistake or change their intended delivery which have a negative impact on their assessment. This is more commonly known as reflection in action which was mentioned by Schon (1983) Having been in that position previously, I fully understand how a student may dwell on a mistake during an observation assessment. </w:t>
      </w:r>
    </w:p>
    <w:p w14:paraId="30022EB0" w14:textId="77777777" w:rsidR="007B2D9B" w:rsidRDefault="007B2D9B" w:rsidP="007B2D9B">
      <w:pPr>
        <w:rPr>
          <w:sz w:val="24"/>
          <w:szCs w:val="24"/>
        </w:rPr>
      </w:pPr>
      <w:r>
        <w:rPr>
          <w:sz w:val="24"/>
          <w:szCs w:val="24"/>
        </w:rPr>
        <w:t xml:space="preserve">As I previously touched upon, by completing observation assessments, this can inevitably reduce the risk of plagiarism say for that of a workbook submission, assignments and essays etc. Every organisation will have a plagiarism policy including higher education. I found it interesting to note Walker’s (2010) research into what students do, not what they say they do findings when measuring plagiarism. However, as I mentioned, there was a significantly reduced risk of plagiarism through the observation assessment.  As Walker (2010) eluded to that plagiarism is a controversial topic which is mentioned by him through the research on the topic. </w:t>
      </w:r>
    </w:p>
    <w:p w14:paraId="5EC5E4C3" w14:textId="77777777" w:rsidR="007B2D9B" w:rsidRDefault="007B2D9B" w:rsidP="007B2D9B">
      <w:pPr>
        <w:rPr>
          <w:sz w:val="24"/>
          <w:szCs w:val="24"/>
        </w:rPr>
      </w:pPr>
      <w:r>
        <w:rPr>
          <w:sz w:val="24"/>
          <w:szCs w:val="24"/>
        </w:rPr>
        <w:t xml:space="preserve">As a result of completing this type of assessment method and seeing the results of the microteach that I observed and graded, I was able to see the progress of the students from the formative to the summative assessment point. This is quite an important point for me to reflect on the summative assessment of student grades as this reflects my teaching, formative assessment decisions and feedback. As a result of analysing the results, gives evidence that improving the formative stages of assessment does raise standards. This was echoed by Black (1998) who suggested this and as a result of raised standards would ultimately suggest that the summative assessment grades would be improved. </w:t>
      </w:r>
    </w:p>
    <w:p w14:paraId="68E5E9F9" w14:textId="77777777" w:rsidR="007B2D9B" w:rsidRDefault="007B2D9B" w:rsidP="007B2D9B">
      <w:pPr>
        <w:rPr>
          <w:sz w:val="24"/>
          <w:szCs w:val="24"/>
        </w:rPr>
      </w:pPr>
      <w:r>
        <w:rPr>
          <w:sz w:val="24"/>
          <w:szCs w:val="24"/>
        </w:rPr>
        <w:t xml:space="preserve">If I were to make any changes to this part of the assessment process, I would introduce a workbook with a series of question and answers. This workbook could cover some of the criteria that maybe left outstanding and would give some of the students an opportunity to use this assessment method to achieve a more rounded grade. As I mentioned above, some students may feel intimidated during an observation and by utilising another assessment method to score on certain parts of the criteria could have been used. This could be interpreted as constructive alignment where assessment methods are designed to best achieve an intended outcome and to assess the standard at which they have been achieved. This was outlined by Biggs (2014) where he refers to this. </w:t>
      </w:r>
    </w:p>
    <w:p w14:paraId="574DED31" w14:textId="77777777" w:rsidR="007B2D9B" w:rsidRDefault="007B2D9B" w:rsidP="007B2D9B">
      <w:pPr>
        <w:rPr>
          <w:sz w:val="24"/>
          <w:szCs w:val="24"/>
        </w:rPr>
      </w:pPr>
      <w:r>
        <w:rPr>
          <w:sz w:val="24"/>
          <w:szCs w:val="24"/>
        </w:rPr>
        <w:t xml:space="preserve">In relation to assessment in general and best practice, I will continue to ensure that all assessments are valid, fair and transparent. The importance for valid assessment is to ensure that assessors are measuring what is supposed to be measured against the appropriate level. This includes over assessment of the criteria. I will continue to be part of the quality assurance process that ensures the practices are transparent where there is clear documentation of a decision and ensuring that all decisions are fair. RACE (2015) suggests that these elements are part of effective assessment and he gives his thoughts on these specific areas. </w:t>
      </w:r>
    </w:p>
    <w:p w14:paraId="639154AE" w14:textId="77777777" w:rsidR="007B2D9B" w:rsidRDefault="007B2D9B" w:rsidP="007B2D9B"/>
    <w:p w14:paraId="596A75EB" w14:textId="77777777" w:rsidR="007B2D9B" w:rsidRPr="00FB087E" w:rsidRDefault="007B2D9B" w:rsidP="007B2D9B">
      <w:pPr>
        <w:rPr>
          <w:u w:val="single"/>
        </w:rPr>
      </w:pPr>
      <w:r w:rsidRPr="00FB087E">
        <w:rPr>
          <w:u w:val="single"/>
        </w:rPr>
        <w:t xml:space="preserve">Total word count- </w:t>
      </w:r>
      <w:r>
        <w:rPr>
          <w:u w:val="single"/>
        </w:rPr>
        <w:t>2014</w:t>
      </w:r>
    </w:p>
    <w:p w14:paraId="643AA8FD" w14:textId="77777777" w:rsidR="007B2D9B" w:rsidRDefault="007B2D9B" w:rsidP="007B2D9B"/>
    <w:p w14:paraId="3971CBFA" w14:textId="77777777" w:rsidR="007B2D9B" w:rsidRDefault="007B2D9B" w:rsidP="007B2D9B">
      <w:pPr>
        <w:rPr>
          <w:u w:val="single"/>
        </w:rPr>
      </w:pPr>
      <w:r w:rsidRPr="00B22A6F">
        <w:rPr>
          <w:u w:val="single"/>
        </w:rPr>
        <w:t xml:space="preserve">Bibliography </w:t>
      </w:r>
    </w:p>
    <w:p w14:paraId="5DAAF608" w14:textId="77777777" w:rsidR="007B2D9B" w:rsidRPr="00B22A6F" w:rsidRDefault="007B2D9B" w:rsidP="007B2D9B">
      <w:pPr>
        <w:pStyle w:val="ListParagraph"/>
        <w:numPr>
          <w:ilvl w:val="0"/>
          <w:numId w:val="1"/>
        </w:numPr>
        <w:rPr>
          <w:rFonts w:cstheme="minorHAnsi"/>
          <w:sz w:val="24"/>
          <w:szCs w:val="24"/>
        </w:rPr>
      </w:pPr>
      <w:r w:rsidRPr="00B22A6F">
        <w:rPr>
          <w:rFonts w:cstheme="minorHAnsi"/>
          <w:color w:val="3A3A3A"/>
          <w:sz w:val="24"/>
          <w:szCs w:val="24"/>
          <w:shd w:val="clear" w:color="auto" w:fill="FFFFFF"/>
        </w:rPr>
        <w:t>Biggs, J. (2014) HERDSA Review of higher education, Volume 1, constructive alignment in university teaching, pp.5-12.</w:t>
      </w:r>
    </w:p>
    <w:p w14:paraId="02AD844D" w14:textId="77777777" w:rsidR="007B2D9B" w:rsidRPr="00B22A6F" w:rsidRDefault="007B2D9B" w:rsidP="007B2D9B">
      <w:pPr>
        <w:pStyle w:val="ListParagraph"/>
        <w:numPr>
          <w:ilvl w:val="0"/>
          <w:numId w:val="1"/>
        </w:numPr>
        <w:rPr>
          <w:rFonts w:cstheme="minorHAnsi"/>
          <w:sz w:val="24"/>
          <w:szCs w:val="24"/>
        </w:rPr>
      </w:pPr>
      <w:r w:rsidRPr="00B22A6F">
        <w:rPr>
          <w:rFonts w:cstheme="minorHAnsi"/>
          <w:color w:val="3A3A3A"/>
          <w:sz w:val="24"/>
          <w:szCs w:val="24"/>
          <w:shd w:val="clear" w:color="auto" w:fill="FFFFFF"/>
        </w:rPr>
        <w:t xml:space="preserve"> Black, P., Wiliam, D. &amp; King's College London. Department of Education Professional Studies, 1998. </w:t>
      </w:r>
      <w:r w:rsidRPr="00B22A6F">
        <w:rPr>
          <w:rFonts w:cstheme="minorHAnsi"/>
          <w:i/>
          <w:iCs/>
          <w:color w:val="3A3A3A"/>
          <w:sz w:val="24"/>
          <w:szCs w:val="24"/>
          <w:shd w:val="clear" w:color="auto" w:fill="FFFFFF"/>
        </w:rPr>
        <w:t>Inside the black box : raising standards through classroom assessment</w:t>
      </w:r>
      <w:r w:rsidRPr="00B22A6F">
        <w:rPr>
          <w:rFonts w:cstheme="minorHAnsi"/>
          <w:color w:val="3A3A3A"/>
          <w:sz w:val="24"/>
          <w:szCs w:val="24"/>
          <w:shd w:val="clear" w:color="auto" w:fill="FFFFFF"/>
        </w:rPr>
        <w:t xml:space="preserve">. </w:t>
      </w:r>
    </w:p>
    <w:p w14:paraId="55B926F5" w14:textId="77777777" w:rsidR="007B2D9B" w:rsidRPr="00B22A6F" w:rsidRDefault="007B2D9B" w:rsidP="007B2D9B">
      <w:pPr>
        <w:pStyle w:val="ListParagraph"/>
        <w:numPr>
          <w:ilvl w:val="0"/>
          <w:numId w:val="1"/>
        </w:numPr>
        <w:rPr>
          <w:rFonts w:cstheme="minorHAnsi"/>
          <w:sz w:val="24"/>
          <w:szCs w:val="24"/>
        </w:rPr>
      </w:pPr>
      <w:r w:rsidRPr="00B22A6F">
        <w:rPr>
          <w:rFonts w:cstheme="minorHAnsi"/>
          <w:color w:val="3A3A3A"/>
          <w:sz w:val="24"/>
          <w:szCs w:val="24"/>
          <w:shd w:val="clear" w:color="auto" w:fill="FFFFFF"/>
        </w:rPr>
        <w:t>Hattie, J. &amp; Clarke, S., 2019. </w:t>
      </w:r>
      <w:r w:rsidRPr="00B22A6F">
        <w:rPr>
          <w:rFonts w:cstheme="minorHAnsi"/>
          <w:i/>
          <w:iCs/>
          <w:color w:val="3A3A3A"/>
          <w:sz w:val="24"/>
          <w:szCs w:val="24"/>
          <w:shd w:val="clear" w:color="auto" w:fill="FFFFFF"/>
        </w:rPr>
        <w:t>Visible learning : feedback</w:t>
      </w:r>
      <w:r w:rsidRPr="00B22A6F">
        <w:rPr>
          <w:rFonts w:cstheme="minorHAnsi"/>
          <w:color w:val="3A3A3A"/>
          <w:sz w:val="24"/>
          <w:szCs w:val="24"/>
          <w:shd w:val="clear" w:color="auto" w:fill="FFFFFF"/>
        </w:rPr>
        <w:t>, London ; New York: Routledge, Taylor &amp; Francis Group.</w:t>
      </w:r>
    </w:p>
    <w:p w14:paraId="3B186C8F" w14:textId="77777777" w:rsidR="007B2D9B" w:rsidRPr="00B22A6F" w:rsidRDefault="007B2D9B" w:rsidP="007B2D9B">
      <w:pPr>
        <w:pStyle w:val="ListParagraph"/>
        <w:numPr>
          <w:ilvl w:val="0"/>
          <w:numId w:val="1"/>
        </w:numPr>
        <w:rPr>
          <w:rFonts w:cstheme="minorHAnsi"/>
          <w:color w:val="333333"/>
          <w:sz w:val="24"/>
          <w:szCs w:val="24"/>
          <w:shd w:val="clear" w:color="auto" w:fill="FFFFFF"/>
        </w:rPr>
      </w:pPr>
      <w:r w:rsidRPr="00B22A6F">
        <w:rPr>
          <w:rFonts w:cstheme="minorHAnsi"/>
          <w:color w:val="392529"/>
          <w:sz w:val="24"/>
          <w:szCs w:val="24"/>
          <w:shd w:val="clear" w:color="auto" w:fill="FFFFFF"/>
        </w:rPr>
        <w:t>Hattie, John.  2012,  </w:t>
      </w:r>
      <w:r w:rsidRPr="00B22A6F">
        <w:rPr>
          <w:rFonts w:cstheme="minorHAnsi"/>
          <w:i/>
          <w:iCs/>
          <w:color w:val="392529"/>
          <w:sz w:val="24"/>
          <w:szCs w:val="24"/>
          <w:shd w:val="clear" w:color="auto" w:fill="FFFFFF"/>
        </w:rPr>
        <w:t>Visible learning for teachers : maximizing impact on learning / John Hattie</w:t>
      </w:r>
      <w:r w:rsidRPr="00B22A6F">
        <w:rPr>
          <w:rFonts w:cstheme="minorHAnsi"/>
          <w:color w:val="392529"/>
          <w:sz w:val="24"/>
          <w:szCs w:val="24"/>
          <w:shd w:val="clear" w:color="auto" w:fill="FFFFFF"/>
        </w:rPr>
        <w:t>  Routledge London ; New York</w:t>
      </w:r>
    </w:p>
    <w:p w14:paraId="3309757A" w14:textId="77777777" w:rsidR="007B2D9B" w:rsidRPr="00B22A6F" w:rsidRDefault="007B2D9B" w:rsidP="007B2D9B">
      <w:pPr>
        <w:pStyle w:val="ListParagraph"/>
        <w:numPr>
          <w:ilvl w:val="0"/>
          <w:numId w:val="1"/>
        </w:numPr>
        <w:spacing w:line="256" w:lineRule="auto"/>
        <w:rPr>
          <w:rFonts w:cstheme="minorHAnsi"/>
          <w:sz w:val="24"/>
          <w:szCs w:val="24"/>
        </w:rPr>
      </w:pPr>
      <w:r w:rsidRPr="00B22A6F">
        <w:rPr>
          <w:rFonts w:cstheme="minorHAnsi"/>
          <w:color w:val="3A3A3A"/>
          <w:sz w:val="24"/>
          <w:szCs w:val="24"/>
          <w:shd w:val="clear" w:color="auto" w:fill="FFFFFF"/>
        </w:rPr>
        <w:t>Maslow, A.H. &amp; American Psychological Association, 1943. </w:t>
      </w:r>
      <w:r w:rsidRPr="00B22A6F">
        <w:rPr>
          <w:rFonts w:cstheme="minorHAnsi"/>
          <w:i/>
          <w:iCs/>
          <w:color w:val="3A3A3A"/>
          <w:sz w:val="24"/>
          <w:szCs w:val="24"/>
          <w:shd w:val="clear" w:color="auto" w:fill="FFFFFF"/>
        </w:rPr>
        <w:t>A theory of human motivation</w:t>
      </w:r>
      <w:r w:rsidRPr="00B22A6F">
        <w:rPr>
          <w:rFonts w:cstheme="minorHAnsi"/>
          <w:color w:val="3A3A3A"/>
          <w:sz w:val="24"/>
          <w:szCs w:val="24"/>
          <w:shd w:val="clear" w:color="auto" w:fill="FFFFFF"/>
        </w:rPr>
        <w:t>, Indianapolis: Bobbs-Merrill.</w:t>
      </w:r>
    </w:p>
    <w:p w14:paraId="0CECA6C2" w14:textId="77777777" w:rsidR="007B2D9B" w:rsidRPr="00B22A6F" w:rsidRDefault="007B2D9B" w:rsidP="007B2D9B">
      <w:pPr>
        <w:pStyle w:val="ListParagraph"/>
        <w:numPr>
          <w:ilvl w:val="0"/>
          <w:numId w:val="1"/>
        </w:numPr>
        <w:spacing w:line="256" w:lineRule="auto"/>
        <w:jc w:val="both"/>
        <w:rPr>
          <w:rFonts w:cstheme="minorHAnsi"/>
          <w:sz w:val="24"/>
          <w:szCs w:val="24"/>
        </w:rPr>
      </w:pPr>
      <w:r w:rsidRPr="00B22A6F">
        <w:rPr>
          <w:rFonts w:cstheme="minorHAnsi"/>
          <w:sz w:val="24"/>
          <w:szCs w:val="24"/>
        </w:rPr>
        <w:t>Petty G (2014) – “Teaching Today” 5</w:t>
      </w:r>
      <w:r w:rsidRPr="00B22A6F">
        <w:rPr>
          <w:rFonts w:cstheme="minorHAnsi"/>
          <w:sz w:val="24"/>
          <w:szCs w:val="24"/>
          <w:vertAlign w:val="superscript"/>
        </w:rPr>
        <w:t>th</w:t>
      </w:r>
      <w:r w:rsidRPr="00B22A6F">
        <w:rPr>
          <w:rFonts w:cstheme="minorHAnsi"/>
          <w:sz w:val="24"/>
          <w:szCs w:val="24"/>
        </w:rPr>
        <w:t xml:space="preserve"> Edition   Oxford Publication</w:t>
      </w:r>
    </w:p>
    <w:p w14:paraId="6DC6275B" w14:textId="77777777" w:rsidR="007B2D9B" w:rsidRPr="00B22A6F" w:rsidRDefault="007B2D9B" w:rsidP="007B2D9B">
      <w:pPr>
        <w:pStyle w:val="ListParagraph"/>
        <w:numPr>
          <w:ilvl w:val="0"/>
          <w:numId w:val="1"/>
        </w:numPr>
        <w:rPr>
          <w:rFonts w:cstheme="minorHAnsi"/>
          <w:sz w:val="24"/>
          <w:szCs w:val="24"/>
        </w:rPr>
      </w:pPr>
      <w:r w:rsidRPr="00B22A6F">
        <w:rPr>
          <w:rFonts w:eastAsia="Times New Roman" w:cstheme="minorHAnsi"/>
          <w:sz w:val="24"/>
          <w:szCs w:val="24"/>
        </w:rPr>
        <w:t xml:space="preserve">Race, P. (2014) </w:t>
      </w:r>
      <w:r w:rsidRPr="00B22A6F">
        <w:rPr>
          <w:rFonts w:eastAsia="Times New Roman" w:cstheme="minorHAnsi"/>
          <w:i/>
          <w:sz w:val="24"/>
          <w:szCs w:val="24"/>
        </w:rPr>
        <w:t>Making Learning Happen: 3</w:t>
      </w:r>
      <w:r w:rsidRPr="00B22A6F">
        <w:rPr>
          <w:rFonts w:eastAsia="Times New Roman" w:cstheme="minorHAnsi"/>
          <w:i/>
          <w:sz w:val="24"/>
          <w:szCs w:val="24"/>
          <w:vertAlign w:val="superscript"/>
        </w:rPr>
        <w:t>rd</w:t>
      </w:r>
      <w:r w:rsidRPr="00B22A6F">
        <w:rPr>
          <w:rFonts w:eastAsia="Times New Roman" w:cstheme="minorHAnsi"/>
          <w:i/>
          <w:sz w:val="24"/>
          <w:szCs w:val="24"/>
        </w:rPr>
        <w:t xml:space="preserve"> edition, </w:t>
      </w:r>
      <w:r w:rsidRPr="00B22A6F">
        <w:rPr>
          <w:rFonts w:eastAsia="Times New Roman" w:cstheme="minorHAnsi"/>
          <w:sz w:val="24"/>
          <w:szCs w:val="24"/>
        </w:rPr>
        <w:t>London: Sage.</w:t>
      </w:r>
    </w:p>
    <w:p w14:paraId="65E0C7D1" w14:textId="77777777" w:rsidR="007B2D9B" w:rsidRPr="00B22A6F" w:rsidRDefault="007B2D9B" w:rsidP="007B2D9B">
      <w:pPr>
        <w:pStyle w:val="ListParagraph"/>
        <w:numPr>
          <w:ilvl w:val="0"/>
          <w:numId w:val="1"/>
        </w:numPr>
        <w:rPr>
          <w:rFonts w:cstheme="minorHAnsi"/>
          <w:sz w:val="24"/>
          <w:szCs w:val="24"/>
        </w:rPr>
      </w:pPr>
      <w:r w:rsidRPr="00B22A6F">
        <w:rPr>
          <w:rFonts w:eastAsia="Times New Roman" w:cstheme="minorHAnsi"/>
          <w:sz w:val="24"/>
          <w:szCs w:val="24"/>
        </w:rPr>
        <w:t xml:space="preserve">Race, P. (2015) </w:t>
      </w:r>
      <w:r w:rsidRPr="00B22A6F">
        <w:rPr>
          <w:rFonts w:eastAsia="Times New Roman" w:cstheme="minorHAnsi"/>
          <w:i/>
          <w:sz w:val="24"/>
          <w:szCs w:val="24"/>
        </w:rPr>
        <w:t>The Lecturer’s Toolkit: 4</w:t>
      </w:r>
      <w:r w:rsidRPr="00B22A6F">
        <w:rPr>
          <w:rFonts w:eastAsia="Times New Roman" w:cstheme="minorHAnsi"/>
          <w:i/>
          <w:sz w:val="24"/>
          <w:szCs w:val="24"/>
          <w:vertAlign w:val="superscript"/>
        </w:rPr>
        <w:t>th</w:t>
      </w:r>
      <w:r w:rsidRPr="00B22A6F">
        <w:rPr>
          <w:rFonts w:eastAsia="Times New Roman" w:cstheme="minorHAnsi"/>
          <w:i/>
          <w:sz w:val="24"/>
          <w:szCs w:val="24"/>
        </w:rPr>
        <w:t xml:space="preserve"> edition: </w:t>
      </w:r>
      <w:r w:rsidRPr="00B22A6F">
        <w:rPr>
          <w:rFonts w:eastAsia="Times New Roman" w:cstheme="minorHAnsi"/>
          <w:sz w:val="24"/>
          <w:szCs w:val="24"/>
        </w:rPr>
        <w:t>Abingdon, Routledge.</w:t>
      </w:r>
    </w:p>
    <w:p w14:paraId="7B5E7D35" w14:textId="77777777" w:rsidR="007B2D9B" w:rsidRPr="00B22A6F" w:rsidRDefault="007B2D9B" w:rsidP="007B2D9B">
      <w:pPr>
        <w:pStyle w:val="ListParagraph"/>
        <w:numPr>
          <w:ilvl w:val="0"/>
          <w:numId w:val="1"/>
        </w:numPr>
        <w:rPr>
          <w:rFonts w:cstheme="minorHAnsi"/>
          <w:sz w:val="24"/>
          <w:szCs w:val="24"/>
        </w:rPr>
      </w:pPr>
      <w:r w:rsidRPr="00B22A6F">
        <w:rPr>
          <w:rFonts w:cstheme="minorHAnsi"/>
          <w:sz w:val="24"/>
          <w:szCs w:val="24"/>
        </w:rPr>
        <w:t xml:space="preserve">Reece, L. and Walker, S. (2007) </w:t>
      </w:r>
      <w:r w:rsidRPr="00B22A6F">
        <w:rPr>
          <w:rFonts w:cstheme="minorHAnsi"/>
          <w:i/>
          <w:sz w:val="24"/>
          <w:szCs w:val="24"/>
        </w:rPr>
        <w:t>Teaching, Training and Learning: A Practical Guide. 5</w:t>
      </w:r>
      <w:r w:rsidRPr="00B22A6F">
        <w:rPr>
          <w:rFonts w:cstheme="minorHAnsi"/>
          <w:i/>
          <w:sz w:val="24"/>
          <w:szCs w:val="24"/>
          <w:vertAlign w:val="superscript"/>
        </w:rPr>
        <w:t>th</w:t>
      </w:r>
      <w:r w:rsidRPr="00B22A6F">
        <w:rPr>
          <w:rFonts w:cstheme="minorHAnsi"/>
          <w:i/>
          <w:sz w:val="24"/>
          <w:szCs w:val="24"/>
        </w:rPr>
        <w:t xml:space="preserve"> edition</w:t>
      </w:r>
      <w:r w:rsidRPr="00B22A6F">
        <w:rPr>
          <w:rFonts w:cstheme="minorHAnsi"/>
          <w:sz w:val="24"/>
          <w:szCs w:val="24"/>
        </w:rPr>
        <w:t>. Tyne and Wear: Business Education Publishers Ltd.</w:t>
      </w:r>
    </w:p>
    <w:p w14:paraId="72F643C0" w14:textId="77777777" w:rsidR="007B2D9B" w:rsidRPr="00B22A6F" w:rsidRDefault="007B2D9B" w:rsidP="007B2D9B">
      <w:pPr>
        <w:pStyle w:val="ListParagraph"/>
        <w:numPr>
          <w:ilvl w:val="0"/>
          <w:numId w:val="1"/>
        </w:numPr>
        <w:rPr>
          <w:rFonts w:cstheme="minorHAnsi"/>
          <w:sz w:val="24"/>
          <w:szCs w:val="24"/>
        </w:rPr>
      </w:pPr>
      <w:r w:rsidRPr="00B22A6F">
        <w:rPr>
          <w:rFonts w:cstheme="minorHAnsi"/>
          <w:color w:val="3A3A3A"/>
          <w:sz w:val="24"/>
          <w:szCs w:val="24"/>
          <w:shd w:val="clear" w:color="auto" w:fill="FFFFFF"/>
        </w:rPr>
        <w:t>Schon, D.A., 1991. </w:t>
      </w:r>
      <w:r w:rsidRPr="00B22A6F">
        <w:rPr>
          <w:rFonts w:cstheme="minorHAnsi"/>
          <w:i/>
          <w:iCs/>
          <w:color w:val="3A3A3A"/>
          <w:sz w:val="24"/>
          <w:szCs w:val="24"/>
          <w:shd w:val="clear" w:color="auto" w:fill="FFFFFF"/>
        </w:rPr>
        <w:t>The reflective practitioner</w:t>
      </w:r>
      <w:r w:rsidRPr="00B22A6F">
        <w:rPr>
          <w:rFonts w:cstheme="minorHAnsi"/>
          <w:color w:val="3A3A3A"/>
          <w:sz w:val="24"/>
          <w:szCs w:val="24"/>
          <w:shd w:val="clear" w:color="auto" w:fill="FFFFFF"/>
        </w:rPr>
        <w:t xml:space="preserve">, Aldershot: Avebury. </w:t>
      </w:r>
    </w:p>
    <w:p w14:paraId="6C92135C" w14:textId="77777777" w:rsidR="007B2D9B" w:rsidRPr="00B22A6F" w:rsidRDefault="007B2D9B" w:rsidP="007B2D9B">
      <w:pPr>
        <w:pStyle w:val="ListParagraph"/>
        <w:numPr>
          <w:ilvl w:val="0"/>
          <w:numId w:val="1"/>
        </w:numPr>
        <w:rPr>
          <w:rFonts w:cstheme="minorHAnsi"/>
          <w:sz w:val="24"/>
          <w:szCs w:val="24"/>
        </w:rPr>
      </w:pPr>
      <w:r w:rsidRPr="00B22A6F">
        <w:rPr>
          <w:rFonts w:cstheme="minorHAnsi"/>
          <w:color w:val="3A3A3A"/>
          <w:sz w:val="24"/>
          <w:szCs w:val="24"/>
          <w:shd w:val="clear" w:color="auto" w:fill="FFFFFF"/>
        </w:rPr>
        <w:t>Walker, John, 2010. Measuring plagiarism: researching what students do, not what they say they do. </w:t>
      </w:r>
      <w:r w:rsidRPr="00B22A6F">
        <w:rPr>
          <w:rFonts w:cstheme="minorHAnsi"/>
          <w:i/>
          <w:iCs/>
          <w:color w:val="3A3A3A"/>
          <w:sz w:val="24"/>
          <w:szCs w:val="24"/>
          <w:shd w:val="clear" w:color="auto" w:fill="FFFFFF"/>
        </w:rPr>
        <w:t>Studies in higher education (Dorchester-on-Thames)</w:t>
      </w:r>
      <w:r w:rsidRPr="00B22A6F">
        <w:rPr>
          <w:rFonts w:cstheme="minorHAnsi"/>
          <w:color w:val="3A3A3A"/>
          <w:sz w:val="24"/>
          <w:szCs w:val="24"/>
          <w:shd w:val="clear" w:color="auto" w:fill="FFFFFF"/>
        </w:rPr>
        <w:t>, 35(1), pp.41–59.</w:t>
      </w:r>
    </w:p>
    <w:p w14:paraId="3AFD9EF1" w14:textId="77777777" w:rsidR="007B2D9B" w:rsidRPr="00891BF8" w:rsidRDefault="007B2D9B" w:rsidP="007B2D9B">
      <w:pPr>
        <w:pStyle w:val="ListParagraph"/>
        <w:rPr>
          <w:sz w:val="24"/>
          <w:szCs w:val="24"/>
        </w:rPr>
      </w:pPr>
    </w:p>
    <w:p w14:paraId="2465FF33" w14:textId="77777777" w:rsidR="00527BB2" w:rsidRPr="00663A17" w:rsidRDefault="00527BB2"/>
    <w:sectPr w:rsidR="00527BB2" w:rsidRPr="00663A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76E3E" w14:textId="77777777" w:rsidR="00A531B0" w:rsidRDefault="00A531B0" w:rsidP="0070125B">
      <w:pPr>
        <w:spacing w:after="0" w:line="240" w:lineRule="auto"/>
      </w:pPr>
      <w:r>
        <w:separator/>
      </w:r>
    </w:p>
  </w:endnote>
  <w:endnote w:type="continuationSeparator" w:id="0">
    <w:p w14:paraId="12C6C7C1" w14:textId="77777777" w:rsidR="00A531B0" w:rsidRDefault="00A531B0" w:rsidP="00701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B35F2" w14:textId="77777777" w:rsidR="00A531B0" w:rsidRDefault="00A531B0" w:rsidP="0070125B">
      <w:pPr>
        <w:spacing w:after="0" w:line="240" w:lineRule="auto"/>
      </w:pPr>
      <w:r>
        <w:separator/>
      </w:r>
    </w:p>
  </w:footnote>
  <w:footnote w:type="continuationSeparator" w:id="0">
    <w:p w14:paraId="5EDDE718" w14:textId="77777777" w:rsidR="00A531B0" w:rsidRDefault="00A531B0" w:rsidP="007012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303A7"/>
    <w:multiLevelType w:val="multilevel"/>
    <w:tmpl w:val="851E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B0715"/>
    <w:multiLevelType w:val="hybridMultilevel"/>
    <w:tmpl w:val="695663B4"/>
    <w:lvl w:ilvl="0" w:tplc="5CF24B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63D"/>
    <w:rsid w:val="000110F6"/>
    <w:rsid w:val="00020C85"/>
    <w:rsid w:val="000241F1"/>
    <w:rsid w:val="00042199"/>
    <w:rsid w:val="000622EA"/>
    <w:rsid w:val="000674CD"/>
    <w:rsid w:val="00071FEA"/>
    <w:rsid w:val="00086AAA"/>
    <w:rsid w:val="000A50A5"/>
    <w:rsid w:val="00102755"/>
    <w:rsid w:val="00104397"/>
    <w:rsid w:val="00113EC0"/>
    <w:rsid w:val="0014354D"/>
    <w:rsid w:val="00152819"/>
    <w:rsid w:val="00163C0B"/>
    <w:rsid w:val="00167213"/>
    <w:rsid w:val="001E0198"/>
    <w:rsid w:val="002138AA"/>
    <w:rsid w:val="00285B0A"/>
    <w:rsid w:val="002A31CC"/>
    <w:rsid w:val="002B7B88"/>
    <w:rsid w:val="002C4E9A"/>
    <w:rsid w:val="00320D7A"/>
    <w:rsid w:val="00334E01"/>
    <w:rsid w:val="00361E32"/>
    <w:rsid w:val="003A08D5"/>
    <w:rsid w:val="003A4BDE"/>
    <w:rsid w:val="00437FC1"/>
    <w:rsid w:val="00486BB5"/>
    <w:rsid w:val="00491BBF"/>
    <w:rsid w:val="004B31F2"/>
    <w:rsid w:val="00521B87"/>
    <w:rsid w:val="00527BB2"/>
    <w:rsid w:val="00554C53"/>
    <w:rsid w:val="00567036"/>
    <w:rsid w:val="00581CF8"/>
    <w:rsid w:val="005A4DAB"/>
    <w:rsid w:val="00603AEB"/>
    <w:rsid w:val="00645F97"/>
    <w:rsid w:val="0065206C"/>
    <w:rsid w:val="00663A17"/>
    <w:rsid w:val="00666EF2"/>
    <w:rsid w:val="006809D2"/>
    <w:rsid w:val="006C0112"/>
    <w:rsid w:val="0070125B"/>
    <w:rsid w:val="00744B3D"/>
    <w:rsid w:val="00764D8C"/>
    <w:rsid w:val="0079292F"/>
    <w:rsid w:val="007B2D9B"/>
    <w:rsid w:val="007B548F"/>
    <w:rsid w:val="007D55CB"/>
    <w:rsid w:val="007E7087"/>
    <w:rsid w:val="007F4413"/>
    <w:rsid w:val="00800C07"/>
    <w:rsid w:val="0081563D"/>
    <w:rsid w:val="00820106"/>
    <w:rsid w:val="00846C35"/>
    <w:rsid w:val="00857698"/>
    <w:rsid w:val="008602F6"/>
    <w:rsid w:val="0086675E"/>
    <w:rsid w:val="00867E57"/>
    <w:rsid w:val="0087399A"/>
    <w:rsid w:val="008A4A9B"/>
    <w:rsid w:val="008E079D"/>
    <w:rsid w:val="00913F85"/>
    <w:rsid w:val="009637DC"/>
    <w:rsid w:val="00971673"/>
    <w:rsid w:val="009B18C1"/>
    <w:rsid w:val="009C3772"/>
    <w:rsid w:val="009E64B5"/>
    <w:rsid w:val="009E6633"/>
    <w:rsid w:val="00A531B0"/>
    <w:rsid w:val="00AF2DCE"/>
    <w:rsid w:val="00B12897"/>
    <w:rsid w:val="00B17CAE"/>
    <w:rsid w:val="00B408C0"/>
    <w:rsid w:val="00B462FA"/>
    <w:rsid w:val="00B849D2"/>
    <w:rsid w:val="00B92A96"/>
    <w:rsid w:val="00BD6C11"/>
    <w:rsid w:val="00BF3615"/>
    <w:rsid w:val="00C00019"/>
    <w:rsid w:val="00C33B38"/>
    <w:rsid w:val="00C42244"/>
    <w:rsid w:val="00C745CE"/>
    <w:rsid w:val="00C84B68"/>
    <w:rsid w:val="00C943EB"/>
    <w:rsid w:val="00CA0D4D"/>
    <w:rsid w:val="00CB03D7"/>
    <w:rsid w:val="00CD3085"/>
    <w:rsid w:val="00CD343A"/>
    <w:rsid w:val="00CF1ECA"/>
    <w:rsid w:val="00CF6513"/>
    <w:rsid w:val="00D02B4E"/>
    <w:rsid w:val="00D10F00"/>
    <w:rsid w:val="00D46C67"/>
    <w:rsid w:val="00D56538"/>
    <w:rsid w:val="00D56AAD"/>
    <w:rsid w:val="00D94DA4"/>
    <w:rsid w:val="00DB251A"/>
    <w:rsid w:val="00E062C5"/>
    <w:rsid w:val="00E1046B"/>
    <w:rsid w:val="00E33B57"/>
    <w:rsid w:val="00E3555D"/>
    <w:rsid w:val="00E65DAC"/>
    <w:rsid w:val="00E71F69"/>
    <w:rsid w:val="00EA2675"/>
    <w:rsid w:val="00EB62AE"/>
    <w:rsid w:val="00EC2E11"/>
    <w:rsid w:val="00F076EE"/>
    <w:rsid w:val="00F11226"/>
    <w:rsid w:val="00F20B94"/>
    <w:rsid w:val="00F3023D"/>
    <w:rsid w:val="00F3077B"/>
    <w:rsid w:val="00F31E80"/>
    <w:rsid w:val="00F63737"/>
    <w:rsid w:val="00F7571C"/>
    <w:rsid w:val="00FB5E96"/>
    <w:rsid w:val="00FC1240"/>
    <w:rsid w:val="00FE5DE3"/>
    <w:rsid w:val="00FF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6C646B"/>
  <w15:chartTrackingRefBased/>
  <w15:docId w15:val="{41493130-4445-420B-B74D-5A222F12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2C5"/>
    <w:pPr>
      <w:ind w:left="720"/>
      <w:contextualSpacing/>
    </w:pPr>
  </w:style>
  <w:style w:type="paragraph" w:customStyle="1" w:styleId="citation">
    <w:name w:val="citation"/>
    <w:basedOn w:val="Normal"/>
    <w:rsid w:val="00E71F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edList">
    <w:name w:val="Bulleted List"/>
    <w:basedOn w:val="ListBullet"/>
    <w:uiPriority w:val="99"/>
    <w:qFormat/>
    <w:rsid w:val="007B2D9B"/>
    <w:pPr>
      <w:numPr>
        <w:numId w:val="0"/>
      </w:numPr>
      <w:spacing w:after="200" w:line="276" w:lineRule="auto"/>
      <w:ind w:left="720" w:hanging="360"/>
    </w:pPr>
  </w:style>
  <w:style w:type="paragraph" w:styleId="ListBullet">
    <w:name w:val="List Bullet"/>
    <w:basedOn w:val="Normal"/>
    <w:uiPriority w:val="99"/>
    <w:semiHidden/>
    <w:unhideWhenUsed/>
    <w:rsid w:val="007B2D9B"/>
    <w:pPr>
      <w:numPr>
        <w:numId w:val="3"/>
      </w:numPr>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80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9B6236660E5E448BBCE4CCB54BA9F9" ma:contentTypeVersion="8" ma:contentTypeDescription="Create a new document." ma:contentTypeScope="" ma:versionID="b5c5187d27107acf8cedd8f0b3d9d33b">
  <xsd:schema xmlns:xsd="http://www.w3.org/2001/XMLSchema" xmlns:xs="http://www.w3.org/2001/XMLSchema" xmlns:p="http://schemas.microsoft.com/office/2006/metadata/properties" xmlns:ns3="9afd28a5-efe1-40fe-9ee1-0cab68d7624c" targetNamespace="http://schemas.microsoft.com/office/2006/metadata/properties" ma:root="true" ma:fieldsID="3d9a342fb378cdb4dba62e8643107afd" ns3:_="">
    <xsd:import namespace="9afd28a5-efe1-40fe-9ee1-0cab68d7624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d28a5-efe1-40fe-9ee1-0cab68d76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BC8DD0-8845-4561-81F2-E8DFB2A79D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1600D0-FDBE-4CB9-BED0-7470F2F55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d28a5-efe1-40fe-9ee1-0cab68d76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D46E5-74F2-4DCB-A322-9081DE4527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3013</Words>
  <Characters>17176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Michael</dc:creator>
  <cp:keywords/>
  <dc:description/>
  <cp:lastModifiedBy>Griffiths, Michael</cp:lastModifiedBy>
  <cp:revision>14</cp:revision>
  <dcterms:created xsi:type="dcterms:W3CDTF">2021-03-12T09:39:00Z</dcterms:created>
  <dcterms:modified xsi:type="dcterms:W3CDTF">2021-07-07T12:31:00Z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2021-03-10T12:05:00.7780094Z</vt:lpwstr>
  </property>
  <property fmtid="{D5CDD505-2E9C-101B-9397-08002B2CF9AE}" pid="5" name="MSIP_Label_f2acd28b-79a3-4a0f-b0ff-4b75658b1549_Name">
    <vt:lpwstr>OFFICIAL</vt:lpwstr>
  </property>
  <property fmtid="{D5CDD505-2E9C-101B-9397-08002B2CF9AE}" pid="6" name="MSIP_Label_f2acd28b-79a3-4a0f-b0ff-4b75658b1549_ActionId">
    <vt:lpwstr>38498177-562b-49d0-a2b0-83513d194ed8</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y fmtid="{D5CDD505-2E9C-101B-9397-08002B2CF9AE}" pid="9" name="ContentTypeId">
    <vt:lpwstr>0x010100F99B6236660E5E448BBCE4CCB54BA9F9</vt:lpwstr>
  </property>
</Properties>
</file>