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9A92FD" w14:textId="734E9BFB" w:rsidR="00D31181" w:rsidRPr="00E04DD7" w:rsidRDefault="00DF2773" w:rsidP="00DF2773">
      <w:pPr>
        <w:spacing w:line="360" w:lineRule="auto"/>
        <w:jc w:val="center"/>
        <w:rPr>
          <w:rFonts w:cstheme="minorHAnsi"/>
          <w:b/>
          <w:bCs/>
          <w:sz w:val="24"/>
          <w:szCs w:val="24"/>
        </w:rPr>
      </w:pPr>
      <w:r w:rsidRPr="00E04DD7">
        <w:rPr>
          <w:rFonts w:cstheme="minorHAnsi"/>
          <w:b/>
          <w:bCs/>
          <w:sz w:val="24"/>
          <w:szCs w:val="24"/>
        </w:rPr>
        <w:t>Report</w:t>
      </w:r>
    </w:p>
    <w:p w14:paraId="29C2D802" w14:textId="21D84D0F" w:rsidR="00DF2773" w:rsidRPr="00E04DD7" w:rsidRDefault="00DF2773" w:rsidP="00DF2773">
      <w:pPr>
        <w:spacing w:line="360" w:lineRule="auto"/>
        <w:jc w:val="center"/>
        <w:rPr>
          <w:rFonts w:cstheme="minorHAnsi"/>
          <w:b/>
          <w:bCs/>
          <w:sz w:val="24"/>
          <w:szCs w:val="24"/>
        </w:rPr>
      </w:pPr>
      <w:r w:rsidRPr="00E04DD7">
        <w:rPr>
          <w:rFonts w:cstheme="minorHAnsi"/>
          <w:b/>
          <w:bCs/>
          <w:sz w:val="24"/>
          <w:szCs w:val="24"/>
        </w:rPr>
        <w:t xml:space="preserve">To: </w:t>
      </w:r>
      <w:r w:rsidRPr="00E04DD7">
        <w:rPr>
          <w:rFonts w:cstheme="minorHAnsi"/>
          <w:b/>
          <w:bCs/>
          <w:sz w:val="24"/>
          <w:szCs w:val="24"/>
        </w:rPr>
        <w:t>Supper Tyres Global</w:t>
      </w:r>
    </w:p>
    <w:p w14:paraId="0211088D" w14:textId="21DF9C06" w:rsidR="00DF2773" w:rsidRPr="00E04DD7" w:rsidRDefault="00DF2773" w:rsidP="00DF2773">
      <w:pPr>
        <w:spacing w:line="360" w:lineRule="auto"/>
        <w:jc w:val="center"/>
        <w:rPr>
          <w:rFonts w:cstheme="minorHAnsi"/>
          <w:b/>
          <w:bCs/>
          <w:sz w:val="24"/>
          <w:szCs w:val="24"/>
        </w:rPr>
      </w:pPr>
      <w:r w:rsidRPr="00E04DD7">
        <w:rPr>
          <w:rFonts w:cstheme="minorHAnsi"/>
          <w:b/>
          <w:bCs/>
          <w:sz w:val="24"/>
          <w:szCs w:val="24"/>
        </w:rPr>
        <w:t>From: Account management</w:t>
      </w:r>
    </w:p>
    <w:p w14:paraId="22C69704" w14:textId="1A716906" w:rsidR="00DF2773" w:rsidRPr="00E04DD7" w:rsidRDefault="00DF2773" w:rsidP="00DF2773">
      <w:pPr>
        <w:spacing w:line="360" w:lineRule="auto"/>
        <w:jc w:val="center"/>
        <w:rPr>
          <w:rFonts w:cstheme="minorHAnsi"/>
          <w:b/>
          <w:bCs/>
          <w:sz w:val="24"/>
          <w:szCs w:val="24"/>
        </w:rPr>
      </w:pPr>
      <w:r w:rsidRPr="00E04DD7">
        <w:rPr>
          <w:rFonts w:cstheme="minorHAnsi"/>
          <w:b/>
          <w:bCs/>
          <w:sz w:val="24"/>
          <w:szCs w:val="24"/>
        </w:rPr>
        <w:t>Date: 23</w:t>
      </w:r>
      <w:r w:rsidRPr="00E04DD7">
        <w:rPr>
          <w:rFonts w:cstheme="minorHAnsi"/>
          <w:b/>
          <w:bCs/>
          <w:sz w:val="24"/>
          <w:szCs w:val="24"/>
          <w:vertAlign w:val="superscript"/>
        </w:rPr>
        <w:t>rd</w:t>
      </w:r>
      <w:r w:rsidRPr="00E04DD7">
        <w:rPr>
          <w:rFonts w:cstheme="minorHAnsi"/>
          <w:b/>
          <w:bCs/>
          <w:sz w:val="24"/>
          <w:szCs w:val="24"/>
        </w:rPr>
        <w:t xml:space="preserve"> October 2022</w:t>
      </w:r>
    </w:p>
    <w:p w14:paraId="0F962D59" w14:textId="0BD6D2AA" w:rsidR="00DF2773" w:rsidRPr="00E04DD7" w:rsidRDefault="00DF2773" w:rsidP="00DF2773">
      <w:pPr>
        <w:spacing w:line="360" w:lineRule="auto"/>
        <w:jc w:val="center"/>
        <w:rPr>
          <w:rFonts w:cstheme="minorHAnsi"/>
          <w:b/>
          <w:bCs/>
          <w:sz w:val="24"/>
          <w:szCs w:val="24"/>
        </w:rPr>
      </w:pPr>
      <w:r w:rsidRPr="00E04DD7">
        <w:rPr>
          <w:rFonts w:cstheme="minorHAnsi"/>
          <w:b/>
          <w:bCs/>
          <w:sz w:val="24"/>
          <w:szCs w:val="24"/>
        </w:rPr>
        <w:t>Subject: Adviser report</w:t>
      </w:r>
    </w:p>
    <w:p w14:paraId="4B5C822C" w14:textId="36FAB797" w:rsidR="00DF2773" w:rsidRDefault="00DF2773">
      <w:pPr>
        <w:rPr>
          <w:rFonts w:ascii="Arial" w:hAnsi="Arial" w:cs="Arial"/>
          <w:sz w:val="24"/>
          <w:szCs w:val="24"/>
        </w:rPr>
      </w:pPr>
    </w:p>
    <w:p w14:paraId="4B61DB05" w14:textId="041C2D61" w:rsidR="00DF2773" w:rsidRDefault="00DF2773">
      <w:pPr>
        <w:rPr>
          <w:rFonts w:ascii="Arial" w:hAnsi="Arial" w:cs="Arial"/>
          <w:sz w:val="24"/>
          <w:szCs w:val="24"/>
        </w:rPr>
      </w:pPr>
    </w:p>
    <w:p w14:paraId="48059E8E" w14:textId="1AA08FE5" w:rsidR="00DF2773" w:rsidRDefault="00DF2773">
      <w:pPr>
        <w:rPr>
          <w:rFonts w:ascii="Arial" w:hAnsi="Arial" w:cs="Arial"/>
          <w:sz w:val="24"/>
          <w:szCs w:val="24"/>
        </w:rPr>
      </w:pPr>
    </w:p>
    <w:p w14:paraId="1CBD03A8" w14:textId="1A42181A" w:rsidR="00DF2773" w:rsidRDefault="00DF2773">
      <w:pPr>
        <w:rPr>
          <w:rFonts w:ascii="Arial" w:hAnsi="Arial" w:cs="Arial"/>
          <w:sz w:val="24"/>
          <w:szCs w:val="24"/>
        </w:rPr>
      </w:pPr>
    </w:p>
    <w:p w14:paraId="74A36FA4" w14:textId="3CFECA62" w:rsidR="00DF2773" w:rsidRDefault="00DF2773">
      <w:pPr>
        <w:rPr>
          <w:rFonts w:ascii="Arial" w:hAnsi="Arial" w:cs="Arial"/>
          <w:sz w:val="24"/>
          <w:szCs w:val="24"/>
        </w:rPr>
      </w:pPr>
    </w:p>
    <w:p w14:paraId="15A6E958" w14:textId="3F52A358" w:rsidR="00DF2773" w:rsidRDefault="00DF2773">
      <w:pPr>
        <w:rPr>
          <w:rFonts w:ascii="Arial" w:hAnsi="Arial" w:cs="Arial"/>
          <w:sz w:val="24"/>
          <w:szCs w:val="24"/>
        </w:rPr>
      </w:pPr>
    </w:p>
    <w:p w14:paraId="605140A8" w14:textId="282A5722" w:rsidR="00DF2773" w:rsidRDefault="00DF2773">
      <w:pPr>
        <w:rPr>
          <w:rFonts w:ascii="Arial" w:hAnsi="Arial" w:cs="Arial"/>
          <w:sz w:val="24"/>
          <w:szCs w:val="24"/>
        </w:rPr>
      </w:pPr>
    </w:p>
    <w:p w14:paraId="7B5D6E9E" w14:textId="4A69973D" w:rsidR="00DF2773" w:rsidRDefault="00DF2773">
      <w:pPr>
        <w:rPr>
          <w:rFonts w:ascii="Arial" w:hAnsi="Arial" w:cs="Arial"/>
          <w:sz w:val="24"/>
          <w:szCs w:val="24"/>
        </w:rPr>
      </w:pPr>
    </w:p>
    <w:p w14:paraId="4FDBD21B" w14:textId="3F183292" w:rsidR="00DF2773" w:rsidRDefault="00DF2773">
      <w:pPr>
        <w:rPr>
          <w:rFonts w:ascii="Arial" w:hAnsi="Arial" w:cs="Arial"/>
          <w:sz w:val="24"/>
          <w:szCs w:val="24"/>
        </w:rPr>
      </w:pPr>
    </w:p>
    <w:p w14:paraId="1E58DFEF" w14:textId="5293A5F2" w:rsidR="00DF2773" w:rsidRDefault="00DF2773">
      <w:pPr>
        <w:rPr>
          <w:rFonts w:ascii="Arial" w:hAnsi="Arial" w:cs="Arial"/>
          <w:sz w:val="24"/>
          <w:szCs w:val="24"/>
        </w:rPr>
      </w:pPr>
    </w:p>
    <w:p w14:paraId="055211C1" w14:textId="387FCE9D" w:rsidR="00DF2773" w:rsidRDefault="00DF2773">
      <w:pPr>
        <w:rPr>
          <w:rFonts w:ascii="Arial" w:hAnsi="Arial" w:cs="Arial"/>
          <w:sz w:val="24"/>
          <w:szCs w:val="24"/>
        </w:rPr>
      </w:pPr>
    </w:p>
    <w:p w14:paraId="1A262B0A" w14:textId="454DD57B" w:rsidR="00DF2773" w:rsidRDefault="00DF2773">
      <w:pPr>
        <w:rPr>
          <w:rFonts w:ascii="Arial" w:hAnsi="Arial" w:cs="Arial"/>
          <w:sz w:val="24"/>
          <w:szCs w:val="24"/>
        </w:rPr>
      </w:pPr>
    </w:p>
    <w:p w14:paraId="5603A806" w14:textId="6551CDF0" w:rsidR="00DF2773" w:rsidRDefault="00DF2773">
      <w:pPr>
        <w:rPr>
          <w:rFonts w:ascii="Arial" w:hAnsi="Arial" w:cs="Arial"/>
          <w:sz w:val="24"/>
          <w:szCs w:val="24"/>
        </w:rPr>
      </w:pPr>
    </w:p>
    <w:p w14:paraId="0E564F46" w14:textId="202BF72A" w:rsidR="00DF2773" w:rsidRDefault="00DF2773">
      <w:pPr>
        <w:rPr>
          <w:rFonts w:ascii="Arial" w:hAnsi="Arial" w:cs="Arial"/>
          <w:sz w:val="24"/>
          <w:szCs w:val="24"/>
        </w:rPr>
      </w:pPr>
    </w:p>
    <w:p w14:paraId="51B5CBB7" w14:textId="465513EE" w:rsidR="00DF2773" w:rsidRDefault="00DF2773">
      <w:pPr>
        <w:rPr>
          <w:rFonts w:ascii="Arial" w:hAnsi="Arial" w:cs="Arial"/>
          <w:sz w:val="24"/>
          <w:szCs w:val="24"/>
        </w:rPr>
      </w:pPr>
    </w:p>
    <w:p w14:paraId="48EA733E" w14:textId="6553ECEF" w:rsidR="00DF2773" w:rsidRDefault="00DF2773">
      <w:pPr>
        <w:rPr>
          <w:rFonts w:ascii="Arial" w:hAnsi="Arial" w:cs="Arial"/>
          <w:sz w:val="24"/>
          <w:szCs w:val="24"/>
        </w:rPr>
      </w:pPr>
    </w:p>
    <w:p w14:paraId="5FB57DBD" w14:textId="50A5B199" w:rsidR="00DF2773" w:rsidRDefault="00DF2773">
      <w:pPr>
        <w:rPr>
          <w:rFonts w:ascii="Arial" w:hAnsi="Arial" w:cs="Arial"/>
          <w:sz w:val="24"/>
          <w:szCs w:val="24"/>
        </w:rPr>
      </w:pPr>
    </w:p>
    <w:p w14:paraId="7F9B10AC" w14:textId="7ADB8B5F" w:rsidR="00DF2773" w:rsidRDefault="00DF2773">
      <w:pPr>
        <w:rPr>
          <w:rFonts w:ascii="Arial" w:hAnsi="Arial" w:cs="Arial"/>
          <w:sz w:val="24"/>
          <w:szCs w:val="24"/>
        </w:rPr>
      </w:pPr>
    </w:p>
    <w:p w14:paraId="537EA323" w14:textId="3C4557A6" w:rsidR="00DF2773" w:rsidRDefault="00DF2773">
      <w:pPr>
        <w:rPr>
          <w:rFonts w:ascii="Arial" w:hAnsi="Arial" w:cs="Arial"/>
          <w:sz w:val="24"/>
          <w:szCs w:val="24"/>
        </w:rPr>
      </w:pPr>
    </w:p>
    <w:p w14:paraId="4B403E4A" w14:textId="7AA2858E" w:rsidR="00DF2773" w:rsidRDefault="00DF2773">
      <w:pPr>
        <w:rPr>
          <w:rFonts w:ascii="Arial" w:hAnsi="Arial" w:cs="Arial"/>
          <w:sz w:val="24"/>
          <w:szCs w:val="24"/>
        </w:rPr>
      </w:pPr>
    </w:p>
    <w:p w14:paraId="47EA8F46" w14:textId="0C873F7C" w:rsidR="00DF2773" w:rsidRDefault="00DF2773">
      <w:pPr>
        <w:rPr>
          <w:rFonts w:ascii="Arial" w:hAnsi="Arial" w:cs="Arial"/>
          <w:sz w:val="24"/>
          <w:szCs w:val="24"/>
        </w:rPr>
      </w:pPr>
    </w:p>
    <w:p w14:paraId="3B9B1D5D" w14:textId="48C23DCB" w:rsidR="00DF2773" w:rsidRDefault="00DF2773">
      <w:pPr>
        <w:rPr>
          <w:rFonts w:ascii="Arial" w:hAnsi="Arial" w:cs="Arial"/>
          <w:sz w:val="24"/>
          <w:szCs w:val="24"/>
        </w:rPr>
      </w:pPr>
    </w:p>
    <w:p w14:paraId="5EC979BF" w14:textId="72508EE4" w:rsidR="00DF2773" w:rsidRDefault="00DF2773">
      <w:pPr>
        <w:rPr>
          <w:rFonts w:ascii="Arial" w:hAnsi="Arial" w:cs="Arial"/>
          <w:sz w:val="24"/>
          <w:szCs w:val="24"/>
        </w:rPr>
      </w:pPr>
    </w:p>
    <w:p w14:paraId="1786C05C" w14:textId="278E42E5" w:rsidR="00DF2773" w:rsidRDefault="00DF2773">
      <w:pPr>
        <w:rPr>
          <w:rFonts w:ascii="Arial" w:hAnsi="Arial" w:cs="Arial"/>
          <w:sz w:val="24"/>
          <w:szCs w:val="24"/>
        </w:rPr>
      </w:pPr>
    </w:p>
    <w:p w14:paraId="5B0C2673" w14:textId="7C2BE70F" w:rsidR="00DF2773" w:rsidRDefault="00DF2773">
      <w:pPr>
        <w:rPr>
          <w:rFonts w:ascii="Arial" w:hAnsi="Arial" w:cs="Arial"/>
          <w:sz w:val="24"/>
          <w:szCs w:val="24"/>
        </w:rPr>
      </w:pPr>
    </w:p>
    <w:sdt>
      <w:sdtPr>
        <w:rPr>
          <w:rFonts w:ascii="Times New Roman" w:eastAsiaTheme="minorHAnsi" w:hAnsi="Times New Roman" w:cstheme="minorBidi"/>
          <w:color w:val="auto"/>
          <w:sz w:val="24"/>
          <w:szCs w:val="22"/>
          <w:lang w:val="en-IN"/>
        </w:rPr>
        <w:id w:val="938571833"/>
        <w:docPartObj>
          <w:docPartGallery w:val="Table of Contents"/>
          <w:docPartUnique/>
        </w:docPartObj>
      </w:sdtPr>
      <w:sdtEndPr>
        <w:rPr>
          <w:rFonts w:asciiTheme="minorHAnsi" w:hAnsiTheme="minorHAnsi"/>
          <w:b/>
          <w:bCs/>
          <w:noProof/>
          <w:sz w:val="22"/>
          <w:lang w:val="en-GB"/>
        </w:rPr>
      </w:sdtEndPr>
      <w:sdtContent>
        <w:p w14:paraId="0FD1C65B" w14:textId="77777777" w:rsidR="00DF2773" w:rsidRPr="00E04DD7" w:rsidRDefault="00DF2773" w:rsidP="00DF2773">
          <w:pPr>
            <w:pStyle w:val="TOCHeading"/>
            <w:spacing w:line="360" w:lineRule="auto"/>
            <w:rPr>
              <w:rFonts w:asciiTheme="minorHAnsi" w:hAnsiTheme="minorHAnsi" w:cstheme="minorHAnsi"/>
              <w:color w:val="auto"/>
              <w:sz w:val="24"/>
              <w:szCs w:val="24"/>
            </w:rPr>
          </w:pPr>
          <w:r w:rsidRPr="00E04DD7">
            <w:rPr>
              <w:rFonts w:asciiTheme="minorHAnsi" w:hAnsiTheme="minorHAnsi" w:cstheme="minorHAnsi"/>
              <w:color w:val="auto"/>
              <w:sz w:val="24"/>
              <w:szCs w:val="24"/>
            </w:rPr>
            <w:t>Table of Contents</w:t>
          </w:r>
        </w:p>
        <w:p w14:paraId="7DB342F5" w14:textId="77777777" w:rsidR="00DF2773" w:rsidRPr="00E04DD7" w:rsidRDefault="00DF2773" w:rsidP="00DF2773">
          <w:pPr>
            <w:pStyle w:val="TOC1"/>
            <w:tabs>
              <w:tab w:val="right" w:leader="dot" w:pos="9016"/>
            </w:tabs>
            <w:rPr>
              <w:rFonts w:asciiTheme="minorHAnsi" w:hAnsiTheme="minorHAnsi" w:cstheme="minorHAnsi"/>
              <w:noProof/>
              <w:szCs w:val="24"/>
            </w:rPr>
          </w:pPr>
          <w:r w:rsidRPr="00E04DD7">
            <w:rPr>
              <w:rFonts w:asciiTheme="minorHAnsi" w:hAnsiTheme="minorHAnsi" w:cstheme="minorHAnsi"/>
              <w:szCs w:val="24"/>
            </w:rPr>
            <w:fldChar w:fldCharType="begin"/>
          </w:r>
          <w:r w:rsidRPr="00E04DD7">
            <w:rPr>
              <w:rFonts w:asciiTheme="minorHAnsi" w:hAnsiTheme="minorHAnsi" w:cstheme="minorHAnsi"/>
              <w:szCs w:val="24"/>
            </w:rPr>
            <w:instrText xml:space="preserve"> TOC \o "1-3" \h \z \u </w:instrText>
          </w:r>
          <w:r w:rsidRPr="00E04DD7">
            <w:rPr>
              <w:rFonts w:asciiTheme="minorHAnsi" w:hAnsiTheme="minorHAnsi" w:cstheme="minorHAnsi"/>
              <w:szCs w:val="24"/>
            </w:rPr>
            <w:fldChar w:fldCharType="separate"/>
          </w:r>
          <w:hyperlink w:anchor="_Toc117345875" w:history="1">
            <w:r w:rsidRPr="00E04DD7">
              <w:rPr>
                <w:rStyle w:val="Hyperlink"/>
                <w:rFonts w:asciiTheme="minorHAnsi" w:hAnsiTheme="minorHAnsi" w:cstheme="minorHAnsi"/>
                <w:noProof/>
                <w:szCs w:val="24"/>
              </w:rPr>
              <w:t>Introduction</w:t>
            </w:r>
            <w:r w:rsidRPr="00E04DD7">
              <w:rPr>
                <w:rFonts w:asciiTheme="minorHAnsi" w:hAnsiTheme="minorHAnsi" w:cstheme="minorHAnsi"/>
                <w:noProof/>
                <w:webHidden/>
                <w:szCs w:val="24"/>
              </w:rPr>
              <w:tab/>
            </w:r>
            <w:r w:rsidRPr="00E04DD7">
              <w:rPr>
                <w:rFonts w:asciiTheme="minorHAnsi" w:hAnsiTheme="minorHAnsi" w:cstheme="minorHAnsi"/>
                <w:noProof/>
                <w:webHidden/>
                <w:szCs w:val="24"/>
              </w:rPr>
              <w:fldChar w:fldCharType="begin"/>
            </w:r>
            <w:r w:rsidRPr="00E04DD7">
              <w:rPr>
                <w:rFonts w:asciiTheme="minorHAnsi" w:hAnsiTheme="minorHAnsi" w:cstheme="minorHAnsi"/>
                <w:noProof/>
                <w:webHidden/>
                <w:szCs w:val="24"/>
              </w:rPr>
              <w:instrText xml:space="preserve"> PAGEREF _Toc117345875 \h </w:instrText>
            </w:r>
            <w:r w:rsidRPr="00E04DD7">
              <w:rPr>
                <w:rFonts w:asciiTheme="minorHAnsi" w:hAnsiTheme="minorHAnsi" w:cstheme="minorHAnsi"/>
                <w:noProof/>
                <w:webHidden/>
                <w:szCs w:val="24"/>
              </w:rPr>
            </w:r>
            <w:r w:rsidRPr="00E04DD7">
              <w:rPr>
                <w:rFonts w:asciiTheme="minorHAnsi" w:hAnsiTheme="minorHAnsi" w:cstheme="minorHAnsi"/>
                <w:noProof/>
                <w:webHidden/>
                <w:szCs w:val="24"/>
              </w:rPr>
              <w:fldChar w:fldCharType="separate"/>
            </w:r>
            <w:r w:rsidRPr="00E04DD7">
              <w:rPr>
                <w:rFonts w:asciiTheme="minorHAnsi" w:hAnsiTheme="minorHAnsi" w:cstheme="minorHAnsi"/>
                <w:noProof/>
                <w:webHidden/>
                <w:szCs w:val="24"/>
              </w:rPr>
              <w:t>3</w:t>
            </w:r>
            <w:r w:rsidRPr="00E04DD7">
              <w:rPr>
                <w:rFonts w:asciiTheme="minorHAnsi" w:hAnsiTheme="minorHAnsi" w:cstheme="minorHAnsi"/>
                <w:noProof/>
                <w:webHidden/>
                <w:szCs w:val="24"/>
              </w:rPr>
              <w:fldChar w:fldCharType="end"/>
            </w:r>
          </w:hyperlink>
        </w:p>
        <w:p w14:paraId="611CB028" w14:textId="77777777" w:rsidR="00DF2773" w:rsidRPr="00E04DD7" w:rsidRDefault="00DF2773" w:rsidP="00DF2773">
          <w:pPr>
            <w:pStyle w:val="TOC1"/>
            <w:tabs>
              <w:tab w:val="left" w:pos="660"/>
              <w:tab w:val="right" w:leader="dot" w:pos="9016"/>
            </w:tabs>
            <w:rPr>
              <w:rFonts w:asciiTheme="minorHAnsi" w:hAnsiTheme="minorHAnsi" w:cstheme="minorHAnsi"/>
              <w:noProof/>
              <w:szCs w:val="24"/>
            </w:rPr>
          </w:pPr>
          <w:hyperlink w:anchor="_Toc117345876" w:history="1">
            <w:r w:rsidRPr="00E04DD7">
              <w:rPr>
                <w:rStyle w:val="Hyperlink"/>
                <w:rFonts w:asciiTheme="minorHAnsi" w:hAnsiTheme="minorHAnsi" w:cstheme="minorHAnsi"/>
                <w:noProof/>
                <w:szCs w:val="24"/>
              </w:rPr>
              <w:t>1.1-</w:t>
            </w:r>
            <w:r w:rsidRPr="00E04DD7">
              <w:rPr>
                <w:rFonts w:asciiTheme="minorHAnsi" w:hAnsiTheme="minorHAnsi" w:cstheme="minorHAnsi"/>
                <w:noProof/>
                <w:szCs w:val="24"/>
              </w:rPr>
              <w:tab/>
            </w:r>
            <w:r w:rsidRPr="00E04DD7">
              <w:rPr>
                <w:rStyle w:val="Hyperlink"/>
                <w:rFonts w:asciiTheme="minorHAnsi" w:hAnsiTheme="minorHAnsi" w:cstheme="minorHAnsi"/>
                <w:noProof/>
                <w:szCs w:val="24"/>
              </w:rPr>
              <w:t>Segregation of Semi-Variable Overhead</w:t>
            </w:r>
            <w:r w:rsidRPr="00E04DD7">
              <w:rPr>
                <w:rFonts w:asciiTheme="minorHAnsi" w:hAnsiTheme="minorHAnsi" w:cstheme="minorHAnsi"/>
                <w:noProof/>
                <w:webHidden/>
                <w:szCs w:val="24"/>
              </w:rPr>
              <w:tab/>
            </w:r>
            <w:r w:rsidRPr="00E04DD7">
              <w:rPr>
                <w:rFonts w:asciiTheme="minorHAnsi" w:hAnsiTheme="minorHAnsi" w:cstheme="minorHAnsi"/>
                <w:noProof/>
                <w:webHidden/>
                <w:szCs w:val="24"/>
              </w:rPr>
              <w:fldChar w:fldCharType="begin"/>
            </w:r>
            <w:r w:rsidRPr="00E04DD7">
              <w:rPr>
                <w:rFonts w:asciiTheme="minorHAnsi" w:hAnsiTheme="minorHAnsi" w:cstheme="minorHAnsi"/>
                <w:noProof/>
                <w:webHidden/>
                <w:szCs w:val="24"/>
              </w:rPr>
              <w:instrText xml:space="preserve"> PAGEREF _Toc117345876 \h </w:instrText>
            </w:r>
            <w:r w:rsidRPr="00E04DD7">
              <w:rPr>
                <w:rFonts w:asciiTheme="minorHAnsi" w:hAnsiTheme="minorHAnsi" w:cstheme="minorHAnsi"/>
                <w:noProof/>
                <w:webHidden/>
                <w:szCs w:val="24"/>
              </w:rPr>
            </w:r>
            <w:r w:rsidRPr="00E04DD7">
              <w:rPr>
                <w:rFonts w:asciiTheme="minorHAnsi" w:hAnsiTheme="minorHAnsi" w:cstheme="minorHAnsi"/>
                <w:noProof/>
                <w:webHidden/>
                <w:szCs w:val="24"/>
              </w:rPr>
              <w:fldChar w:fldCharType="separate"/>
            </w:r>
            <w:r w:rsidRPr="00E04DD7">
              <w:rPr>
                <w:rFonts w:asciiTheme="minorHAnsi" w:hAnsiTheme="minorHAnsi" w:cstheme="minorHAnsi"/>
                <w:noProof/>
                <w:webHidden/>
                <w:szCs w:val="24"/>
              </w:rPr>
              <w:t>4</w:t>
            </w:r>
            <w:r w:rsidRPr="00E04DD7">
              <w:rPr>
                <w:rFonts w:asciiTheme="minorHAnsi" w:hAnsiTheme="minorHAnsi" w:cstheme="minorHAnsi"/>
                <w:noProof/>
                <w:webHidden/>
                <w:szCs w:val="24"/>
              </w:rPr>
              <w:fldChar w:fldCharType="end"/>
            </w:r>
          </w:hyperlink>
        </w:p>
        <w:p w14:paraId="249ED1D0" w14:textId="49ED5141" w:rsidR="00DF2773" w:rsidRPr="00E04DD7" w:rsidRDefault="00DF2773" w:rsidP="00DF2773">
          <w:pPr>
            <w:pStyle w:val="TOC1"/>
            <w:tabs>
              <w:tab w:val="right" w:leader="dot" w:pos="9016"/>
            </w:tabs>
            <w:rPr>
              <w:rFonts w:asciiTheme="minorHAnsi" w:hAnsiTheme="minorHAnsi" w:cstheme="minorHAnsi"/>
              <w:noProof/>
              <w:szCs w:val="24"/>
            </w:rPr>
          </w:pPr>
          <w:hyperlink w:anchor="_Toc117345877" w:history="1">
            <w:r w:rsidRPr="00E04DD7">
              <w:rPr>
                <w:rStyle w:val="Hyperlink"/>
                <w:rFonts w:asciiTheme="minorHAnsi" w:hAnsiTheme="minorHAnsi" w:cstheme="minorHAnsi"/>
                <w:noProof/>
                <w:szCs w:val="24"/>
              </w:rPr>
              <w:t>1.2 – Produc</w:t>
            </w:r>
            <w:r w:rsidR="0081731B">
              <w:rPr>
                <w:rStyle w:val="Hyperlink"/>
                <w:rFonts w:asciiTheme="minorHAnsi" w:hAnsiTheme="minorHAnsi" w:cstheme="minorHAnsi"/>
                <w:noProof/>
                <w:szCs w:val="24"/>
              </w:rPr>
              <w:t xml:space="preserve">tion </w:t>
            </w:r>
            <w:r w:rsidRPr="00E04DD7">
              <w:rPr>
                <w:rStyle w:val="Hyperlink"/>
                <w:rFonts w:asciiTheme="minorHAnsi" w:hAnsiTheme="minorHAnsi" w:cstheme="minorHAnsi"/>
                <w:noProof/>
                <w:szCs w:val="24"/>
              </w:rPr>
              <w:t>cost statement in case the budget contract is honoured.</w:t>
            </w:r>
            <w:r w:rsidRPr="00E04DD7">
              <w:rPr>
                <w:rFonts w:asciiTheme="minorHAnsi" w:hAnsiTheme="minorHAnsi" w:cstheme="minorHAnsi"/>
                <w:noProof/>
                <w:webHidden/>
                <w:szCs w:val="24"/>
              </w:rPr>
              <w:tab/>
            </w:r>
            <w:r w:rsidRPr="00E04DD7">
              <w:rPr>
                <w:rFonts w:asciiTheme="minorHAnsi" w:hAnsiTheme="minorHAnsi" w:cstheme="minorHAnsi"/>
                <w:noProof/>
                <w:webHidden/>
                <w:szCs w:val="24"/>
              </w:rPr>
              <w:fldChar w:fldCharType="begin"/>
            </w:r>
            <w:r w:rsidRPr="00E04DD7">
              <w:rPr>
                <w:rFonts w:asciiTheme="minorHAnsi" w:hAnsiTheme="minorHAnsi" w:cstheme="minorHAnsi"/>
                <w:noProof/>
                <w:webHidden/>
                <w:szCs w:val="24"/>
              </w:rPr>
              <w:instrText xml:space="preserve"> PAGEREF _Toc117345877 \h </w:instrText>
            </w:r>
            <w:r w:rsidRPr="00E04DD7">
              <w:rPr>
                <w:rFonts w:asciiTheme="minorHAnsi" w:hAnsiTheme="minorHAnsi" w:cstheme="minorHAnsi"/>
                <w:noProof/>
                <w:webHidden/>
                <w:szCs w:val="24"/>
              </w:rPr>
            </w:r>
            <w:r w:rsidRPr="00E04DD7">
              <w:rPr>
                <w:rFonts w:asciiTheme="minorHAnsi" w:hAnsiTheme="minorHAnsi" w:cstheme="minorHAnsi"/>
                <w:noProof/>
                <w:webHidden/>
                <w:szCs w:val="24"/>
              </w:rPr>
              <w:fldChar w:fldCharType="separate"/>
            </w:r>
            <w:r w:rsidRPr="00E04DD7">
              <w:rPr>
                <w:rFonts w:asciiTheme="minorHAnsi" w:hAnsiTheme="minorHAnsi" w:cstheme="minorHAnsi"/>
                <w:noProof/>
                <w:webHidden/>
                <w:szCs w:val="24"/>
              </w:rPr>
              <w:t>5</w:t>
            </w:r>
            <w:r w:rsidRPr="00E04DD7">
              <w:rPr>
                <w:rFonts w:asciiTheme="minorHAnsi" w:hAnsiTheme="minorHAnsi" w:cstheme="minorHAnsi"/>
                <w:noProof/>
                <w:webHidden/>
                <w:szCs w:val="24"/>
              </w:rPr>
              <w:fldChar w:fldCharType="end"/>
            </w:r>
          </w:hyperlink>
        </w:p>
        <w:p w14:paraId="7BE3E5E3" w14:textId="584AF80D" w:rsidR="00DF2773" w:rsidRPr="00E04DD7" w:rsidRDefault="00DF2773" w:rsidP="00DF2773">
          <w:pPr>
            <w:pStyle w:val="TOC1"/>
            <w:tabs>
              <w:tab w:val="right" w:leader="dot" w:pos="9016"/>
            </w:tabs>
            <w:rPr>
              <w:rFonts w:asciiTheme="minorHAnsi" w:hAnsiTheme="minorHAnsi" w:cstheme="minorHAnsi"/>
              <w:noProof/>
              <w:szCs w:val="24"/>
            </w:rPr>
          </w:pPr>
          <w:hyperlink w:anchor="_Toc117345878" w:history="1">
            <w:r w:rsidRPr="00E04DD7">
              <w:rPr>
                <w:rStyle w:val="Hyperlink"/>
                <w:rFonts w:asciiTheme="minorHAnsi" w:hAnsiTheme="minorHAnsi" w:cstheme="minorHAnsi"/>
                <w:noProof/>
                <w:szCs w:val="24"/>
              </w:rPr>
              <w:t>1.3- Production cost statement in case the budget contract is not honoured</w:t>
            </w:r>
            <w:r w:rsidRPr="00E04DD7">
              <w:rPr>
                <w:rFonts w:asciiTheme="minorHAnsi" w:hAnsiTheme="minorHAnsi" w:cstheme="minorHAnsi"/>
                <w:noProof/>
                <w:webHidden/>
                <w:szCs w:val="24"/>
              </w:rPr>
              <w:tab/>
            </w:r>
            <w:r w:rsidRPr="00E04DD7">
              <w:rPr>
                <w:rFonts w:asciiTheme="minorHAnsi" w:hAnsiTheme="minorHAnsi" w:cstheme="minorHAnsi"/>
                <w:noProof/>
                <w:webHidden/>
                <w:szCs w:val="24"/>
              </w:rPr>
              <w:fldChar w:fldCharType="begin"/>
            </w:r>
            <w:r w:rsidRPr="00E04DD7">
              <w:rPr>
                <w:rFonts w:asciiTheme="minorHAnsi" w:hAnsiTheme="minorHAnsi" w:cstheme="minorHAnsi"/>
                <w:noProof/>
                <w:webHidden/>
                <w:szCs w:val="24"/>
              </w:rPr>
              <w:instrText xml:space="preserve"> PAGEREF _Toc117345878 \h </w:instrText>
            </w:r>
            <w:r w:rsidRPr="00E04DD7">
              <w:rPr>
                <w:rFonts w:asciiTheme="minorHAnsi" w:hAnsiTheme="minorHAnsi" w:cstheme="minorHAnsi"/>
                <w:noProof/>
                <w:webHidden/>
                <w:szCs w:val="24"/>
              </w:rPr>
            </w:r>
            <w:r w:rsidRPr="00E04DD7">
              <w:rPr>
                <w:rFonts w:asciiTheme="minorHAnsi" w:hAnsiTheme="minorHAnsi" w:cstheme="minorHAnsi"/>
                <w:noProof/>
                <w:webHidden/>
                <w:szCs w:val="24"/>
              </w:rPr>
              <w:fldChar w:fldCharType="separate"/>
            </w:r>
            <w:r w:rsidRPr="00E04DD7">
              <w:rPr>
                <w:rFonts w:asciiTheme="minorHAnsi" w:hAnsiTheme="minorHAnsi" w:cstheme="minorHAnsi"/>
                <w:noProof/>
                <w:webHidden/>
                <w:szCs w:val="24"/>
              </w:rPr>
              <w:t>7</w:t>
            </w:r>
            <w:r w:rsidRPr="00E04DD7">
              <w:rPr>
                <w:rFonts w:asciiTheme="minorHAnsi" w:hAnsiTheme="minorHAnsi" w:cstheme="minorHAnsi"/>
                <w:noProof/>
                <w:webHidden/>
                <w:szCs w:val="24"/>
              </w:rPr>
              <w:fldChar w:fldCharType="end"/>
            </w:r>
          </w:hyperlink>
        </w:p>
        <w:p w14:paraId="70F720AF" w14:textId="77777777" w:rsidR="00DF2773" w:rsidRPr="00E04DD7" w:rsidRDefault="00DF2773" w:rsidP="00DF2773">
          <w:pPr>
            <w:pStyle w:val="TOC1"/>
            <w:tabs>
              <w:tab w:val="right" w:leader="dot" w:pos="9016"/>
            </w:tabs>
            <w:rPr>
              <w:rFonts w:asciiTheme="minorHAnsi" w:hAnsiTheme="minorHAnsi" w:cstheme="minorHAnsi"/>
              <w:noProof/>
              <w:szCs w:val="24"/>
            </w:rPr>
          </w:pPr>
          <w:hyperlink w:anchor="_Toc117345879" w:history="1">
            <w:r w:rsidRPr="00E04DD7">
              <w:rPr>
                <w:rStyle w:val="Hyperlink"/>
                <w:rFonts w:asciiTheme="minorHAnsi" w:hAnsiTheme="minorHAnsi" w:cstheme="minorHAnsi"/>
                <w:noProof/>
                <w:szCs w:val="24"/>
              </w:rPr>
              <w:t>1.4 Advice to STG management</w:t>
            </w:r>
            <w:r w:rsidRPr="00E04DD7">
              <w:rPr>
                <w:rFonts w:asciiTheme="minorHAnsi" w:hAnsiTheme="minorHAnsi" w:cstheme="minorHAnsi"/>
                <w:noProof/>
                <w:webHidden/>
                <w:szCs w:val="24"/>
              </w:rPr>
              <w:tab/>
            </w:r>
            <w:r w:rsidRPr="00E04DD7">
              <w:rPr>
                <w:rFonts w:asciiTheme="minorHAnsi" w:hAnsiTheme="minorHAnsi" w:cstheme="minorHAnsi"/>
                <w:noProof/>
                <w:webHidden/>
                <w:szCs w:val="24"/>
              </w:rPr>
              <w:fldChar w:fldCharType="begin"/>
            </w:r>
            <w:r w:rsidRPr="00E04DD7">
              <w:rPr>
                <w:rFonts w:asciiTheme="minorHAnsi" w:hAnsiTheme="minorHAnsi" w:cstheme="minorHAnsi"/>
                <w:noProof/>
                <w:webHidden/>
                <w:szCs w:val="24"/>
              </w:rPr>
              <w:instrText xml:space="preserve"> PAGEREF _Toc117345879 \h </w:instrText>
            </w:r>
            <w:r w:rsidRPr="00E04DD7">
              <w:rPr>
                <w:rFonts w:asciiTheme="minorHAnsi" w:hAnsiTheme="minorHAnsi" w:cstheme="minorHAnsi"/>
                <w:noProof/>
                <w:webHidden/>
                <w:szCs w:val="24"/>
              </w:rPr>
            </w:r>
            <w:r w:rsidRPr="00E04DD7">
              <w:rPr>
                <w:rFonts w:asciiTheme="minorHAnsi" w:hAnsiTheme="minorHAnsi" w:cstheme="minorHAnsi"/>
                <w:noProof/>
                <w:webHidden/>
                <w:szCs w:val="24"/>
              </w:rPr>
              <w:fldChar w:fldCharType="separate"/>
            </w:r>
            <w:r w:rsidRPr="00E04DD7">
              <w:rPr>
                <w:rFonts w:asciiTheme="minorHAnsi" w:hAnsiTheme="minorHAnsi" w:cstheme="minorHAnsi"/>
                <w:noProof/>
                <w:webHidden/>
                <w:szCs w:val="24"/>
              </w:rPr>
              <w:t>8</w:t>
            </w:r>
            <w:r w:rsidRPr="00E04DD7">
              <w:rPr>
                <w:rFonts w:asciiTheme="minorHAnsi" w:hAnsiTheme="minorHAnsi" w:cstheme="minorHAnsi"/>
                <w:noProof/>
                <w:webHidden/>
                <w:szCs w:val="24"/>
              </w:rPr>
              <w:fldChar w:fldCharType="end"/>
            </w:r>
          </w:hyperlink>
        </w:p>
        <w:p w14:paraId="53ADD714" w14:textId="77777777" w:rsidR="00DF2773" w:rsidRPr="00E04DD7" w:rsidRDefault="00DF2773" w:rsidP="00DF2773">
          <w:pPr>
            <w:pStyle w:val="TOC1"/>
            <w:tabs>
              <w:tab w:val="right" w:leader="dot" w:pos="9016"/>
            </w:tabs>
            <w:rPr>
              <w:rFonts w:asciiTheme="minorHAnsi" w:hAnsiTheme="minorHAnsi" w:cstheme="minorHAnsi"/>
              <w:noProof/>
              <w:szCs w:val="24"/>
            </w:rPr>
          </w:pPr>
          <w:hyperlink w:anchor="_Toc117345880" w:history="1">
            <w:r w:rsidRPr="00E04DD7">
              <w:rPr>
                <w:rStyle w:val="Hyperlink"/>
                <w:rFonts w:asciiTheme="minorHAnsi" w:hAnsiTheme="minorHAnsi" w:cstheme="minorHAnsi"/>
                <w:noProof/>
                <w:szCs w:val="24"/>
              </w:rPr>
              <w:t>1.5 – Limiting Factor and CVP analysis</w:t>
            </w:r>
            <w:r w:rsidRPr="00E04DD7">
              <w:rPr>
                <w:rFonts w:asciiTheme="minorHAnsi" w:hAnsiTheme="minorHAnsi" w:cstheme="minorHAnsi"/>
                <w:noProof/>
                <w:webHidden/>
                <w:szCs w:val="24"/>
              </w:rPr>
              <w:tab/>
            </w:r>
            <w:r w:rsidRPr="00E04DD7">
              <w:rPr>
                <w:rFonts w:asciiTheme="minorHAnsi" w:hAnsiTheme="minorHAnsi" w:cstheme="minorHAnsi"/>
                <w:noProof/>
                <w:webHidden/>
                <w:szCs w:val="24"/>
              </w:rPr>
              <w:fldChar w:fldCharType="begin"/>
            </w:r>
            <w:r w:rsidRPr="00E04DD7">
              <w:rPr>
                <w:rFonts w:asciiTheme="minorHAnsi" w:hAnsiTheme="minorHAnsi" w:cstheme="minorHAnsi"/>
                <w:noProof/>
                <w:webHidden/>
                <w:szCs w:val="24"/>
              </w:rPr>
              <w:instrText xml:space="preserve"> PAGEREF _Toc117345880 \h </w:instrText>
            </w:r>
            <w:r w:rsidRPr="00E04DD7">
              <w:rPr>
                <w:rFonts w:asciiTheme="minorHAnsi" w:hAnsiTheme="minorHAnsi" w:cstheme="minorHAnsi"/>
                <w:noProof/>
                <w:webHidden/>
                <w:szCs w:val="24"/>
              </w:rPr>
            </w:r>
            <w:r w:rsidRPr="00E04DD7">
              <w:rPr>
                <w:rFonts w:asciiTheme="minorHAnsi" w:hAnsiTheme="minorHAnsi" w:cstheme="minorHAnsi"/>
                <w:noProof/>
                <w:webHidden/>
                <w:szCs w:val="24"/>
              </w:rPr>
              <w:fldChar w:fldCharType="separate"/>
            </w:r>
            <w:r w:rsidRPr="00E04DD7">
              <w:rPr>
                <w:rFonts w:asciiTheme="minorHAnsi" w:hAnsiTheme="minorHAnsi" w:cstheme="minorHAnsi"/>
                <w:noProof/>
                <w:webHidden/>
                <w:szCs w:val="24"/>
              </w:rPr>
              <w:t>9</w:t>
            </w:r>
            <w:r w:rsidRPr="00E04DD7">
              <w:rPr>
                <w:rFonts w:asciiTheme="minorHAnsi" w:hAnsiTheme="minorHAnsi" w:cstheme="minorHAnsi"/>
                <w:noProof/>
                <w:webHidden/>
                <w:szCs w:val="24"/>
              </w:rPr>
              <w:fldChar w:fldCharType="end"/>
            </w:r>
          </w:hyperlink>
        </w:p>
        <w:p w14:paraId="4F20FDB2" w14:textId="77777777" w:rsidR="00DF2773" w:rsidRPr="00E04DD7" w:rsidRDefault="00DF2773" w:rsidP="00DF2773">
          <w:pPr>
            <w:pStyle w:val="TOC1"/>
            <w:tabs>
              <w:tab w:val="right" w:leader="dot" w:pos="9016"/>
            </w:tabs>
            <w:rPr>
              <w:rFonts w:asciiTheme="minorHAnsi" w:hAnsiTheme="minorHAnsi" w:cstheme="minorHAnsi"/>
              <w:noProof/>
              <w:szCs w:val="24"/>
            </w:rPr>
          </w:pPr>
          <w:hyperlink w:anchor="_Toc117345881" w:history="1">
            <w:r w:rsidRPr="00E04DD7">
              <w:rPr>
                <w:rStyle w:val="Hyperlink"/>
                <w:rFonts w:asciiTheme="minorHAnsi" w:hAnsiTheme="minorHAnsi" w:cstheme="minorHAnsi"/>
                <w:noProof/>
                <w:szCs w:val="24"/>
              </w:rPr>
              <w:t>Conclusion</w:t>
            </w:r>
            <w:r w:rsidRPr="00E04DD7">
              <w:rPr>
                <w:rFonts w:asciiTheme="minorHAnsi" w:hAnsiTheme="minorHAnsi" w:cstheme="minorHAnsi"/>
                <w:noProof/>
                <w:webHidden/>
                <w:szCs w:val="24"/>
              </w:rPr>
              <w:tab/>
            </w:r>
            <w:r w:rsidRPr="00E04DD7">
              <w:rPr>
                <w:rFonts w:asciiTheme="minorHAnsi" w:hAnsiTheme="minorHAnsi" w:cstheme="minorHAnsi"/>
                <w:noProof/>
                <w:webHidden/>
                <w:szCs w:val="24"/>
              </w:rPr>
              <w:fldChar w:fldCharType="begin"/>
            </w:r>
            <w:r w:rsidRPr="00E04DD7">
              <w:rPr>
                <w:rFonts w:asciiTheme="minorHAnsi" w:hAnsiTheme="minorHAnsi" w:cstheme="minorHAnsi"/>
                <w:noProof/>
                <w:webHidden/>
                <w:szCs w:val="24"/>
              </w:rPr>
              <w:instrText xml:space="preserve"> PAGEREF _Toc117345881 \h </w:instrText>
            </w:r>
            <w:r w:rsidRPr="00E04DD7">
              <w:rPr>
                <w:rFonts w:asciiTheme="minorHAnsi" w:hAnsiTheme="minorHAnsi" w:cstheme="minorHAnsi"/>
                <w:noProof/>
                <w:webHidden/>
                <w:szCs w:val="24"/>
              </w:rPr>
            </w:r>
            <w:r w:rsidRPr="00E04DD7">
              <w:rPr>
                <w:rFonts w:asciiTheme="minorHAnsi" w:hAnsiTheme="minorHAnsi" w:cstheme="minorHAnsi"/>
                <w:noProof/>
                <w:webHidden/>
                <w:szCs w:val="24"/>
              </w:rPr>
              <w:fldChar w:fldCharType="separate"/>
            </w:r>
            <w:r w:rsidRPr="00E04DD7">
              <w:rPr>
                <w:rFonts w:asciiTheme="minorHAnsi" w:hAnsiTheme="minorHAnsi" w:cstheme="minorHAnsi"/>
                <w:noProof/>
                <w:webHidden/>
                <w:szCs w:val="24"/>
              </w:rPr>
              <w:t>11</w:t>
            </w:r>
            <w:r w:rsidRPr="00E04DD7">
              <w:rPr>
                <w:rFonts w:asciiTheme="minorHAnsi" w:hAnsiTheme="minorHAnsi" w:cstheme="minorHAnsi"/>
                <w:noProof/>
                <w:webHidden/>
                <w:szCs w:val="24"/>
              </w:rPr>
              <w:fldChar w:fldCharType="end"/>
            </w:r>
          </w:hyperlink>
        </w:p>
        <w:p w14:paraId="3FB170ED" w14:textId="77777777" w:rsidR="00DF2773" w:rsidRPr="00E04DD7" w:rsidRDefault="00DF2773" w:rsidP="00DF2773">
          <w:pPr>
            <w:pStyle w:val="TOC1"/>
            <w:tabs>
              <w:tab w:val="right" w:leader="dot" w:pos="9016"/>
            </w:tabs>
            <w:rPr>
              <w:rFonts w:asciiTheme="minorHAnsi" w:hAnsiTheme="minorHAnsi" w:cstheme="minorHAnsi"/>
              <w:noProof/>
              <w:szCs w:val="24"/>
            </w:rPr>
          </w:pPr>
          <w:hyperlink w:anchor="_Toc117345882" w:history="1">
            <w:r w:rsidRPr="00E04DD7">
              <w:rPr>
                <w:rStyle w:val="Hyperlink"/>
                <w:rFonts w:asciiTheme="minorHAnsi" w:hAnsiTheme="minorHAnsi" w:cstheme="minorHAnsi"/>
                <w:noProof/>
                <w:szCs w:val="24"/>
              </w:rPr>
              <w:t>References</w:t>
            </w:r>
            <w:r w:rsidRPr="00E04DD7">
              <w:rPr>
                <w:rFonts w:asciiTheme="minorHAnsi" w:hAnsiTheme="minorHAnsi" w:cstheme="minorHAnsi"/>
                <w:noProof/>
                <w:webHidden/>
                <w:szCs w:val="24"/>
              </w:rPr>
              <w:tab/>
            </w:r>
            <w:r w:rsidRPr="00E04DD7">
              <w:rPr>
                <w:rFonts w:asciiTheme="minorHAnsi" w:hAnsiTheme="minorHAnsi" w:cstheme="minorHAnsi"/>
                <w:noProof/>
                <w:webHidden/>
                <w:szCs w:val="24"/>
              </w:rPr>
              <w:fldChar w:fldCharType="begin"/>
            </w:r>
            <w:r w:rsidRPr="00E04DD7">
              <w:rPr>
                <w:rFonts w:asciiTheme="minorHAnsi" w:hAnsiTheme="minorHAnsi" w:cstheme="minorHAnsi"/>
                <w:noProof/>
                <w:webHidden/>
                <w:szCs w:val="24"/>
              </w:rPr>
              <w:instrText xml:space="preserve"> PAGEREF _Toc117345882 \h </w:instrText>
            </w:r>
            <w:r w:rsidRPr="00E04DD7">
              <w:rPr>
                <w:rFonts w:asciiTheme="minorHAnsi" w:hAnsiTheme="minorHAnsi" w:cstheme="minorHAnsi"/>
                <w:noProof/>
                <w:webHidden/>
                <w:szCs w:val="24"/>
              </w:rPr>
            </w:r>
            <w:r w:rsidRPr="00E04DD7">
              <w:rPr>
                <w:rFonts w:asciiTheme="minorHAnsi" w:hAnsiTheme="minorHAnsi" w:cstheme="minorHAnsi"/>
                <w:noProof/>
                <w:webHidden/>
                <w:szCs w:val="24"/>
              </w:rPr>
              <w:fldChar w:fldCharType="separate"/>
            </w:r>
            <w:r w:rsidRPr="00E04DD7">
              <w:rPr>
                <w:rFonts w:asciiTheme="minorHAnsi" w:hAnsiTheme="minorHAnsi" w:cstheme="minorHAnsi"/>
                <w:noProof/>
                <w:webHidden/>
                <w:szCs w:val="24"/>
              </w:rPr>
              <w:t>12</w:t>
            </w:r>
            <w:r w:rsidRPr="00E04DD7">
              <w:rPr>
                <w:rFonts w:asciiTheme="minorHAnsi" w:hAnsiTheme="minorHAnsi" w:cstheme="minorHAnsi"/>
                <w:noProof/>
                <w:webHidden/>
                <w:szCs w:val="24"/>
              </w:rPr>
              <w:fldChar w:fldCharType="end"/>
            </w:r>
          </w:hyperlink>
        </w:p>
        <w:p w14:paraId="15461715" w14:textId="77777777" w:rsidR="00DF2773" w:rsidRDefault="00DF2773" w:rsidP="00DF2773">
          <w:pPr>
            <w:spacing w:line="360" w:lineRule="auto"/>
            <w:rPr>
              <w:b/>
              <w:bCs/>
              <w:noProof/>
            </w:rPr>
          </w:pPr>
          <w:r w:rsidRPr="00E04DD7">
            <w:rPr>
              <w:rFonts w:cstheme="minorHAnsi"/>
              <w:b/>
              <w:bCs/>
              <w:noProof/>
              <w:sz w:val="24"/>
              <w:szCs w:val="24"/>
            </w:rPr>
            <w:fldChar w:fldCharType="end"/>
          </w:r>
        </w:p>
      </w:sdtContent>
    </w:sdt>
    <w:p w14:paraId="3B4C301F" w14:textId="6474CAC9" w:rsidR="00DF2773" w:rsidRDefault="00DF2773"/>
    <w:p w14:paraId="6F946B91" w14:textId="2BEF7EC1" w:rsidR="00DF2773" w:rsidRDefault="00DF2773"/>
    <w:p w14:paraId="1DDE8D4E" w14:textId="7DDF9EFB" w:rsidR="00DF2773" w:rsidRDefault="00DF2773"/>
    <w:p w14:paraId="06E3057D" w14:textId="4E563B17" w:rsidR="00DF2773" w:rsidRDefault="00DF2773"/>
    <w:p w14:paraId="5D25C169" w14:textId="0C79D41B" w:rsidR="00DF2773" w:rsidRDefault="00DF2773"/>
    <w:p w14:paraId="38CAC60F" w14:textId="561CF468" w:rsidR="00DF2773" w:rsidRDefault="00DF2773"/>
    <w:p w14:paraId="2FD91425" w14:textId="35E6AB87" w:rsidR="00DF2773" w:rsidRDefault="00DF2773"/>
    <w:p w14:paraId="6D4F3CF2" w14:textId="13E20721" w:rsidR="00DF2773" w:rsidRDefault="00DF2773"/>
    <w:p w14:paraId="6138302A" w14:textId="439C976B" w:rsidR="00DF2773" w:rsidRDefault="00DF2773"/>
    <w:p w14:paraId="6969CDBE" w14:textId="1B06E51E" w:rsidR="00DF2773" w:rsidRDefault="00DF2773"/>
    <w:p w14:paraId="7290635F" w14:textId="28412B8C" w:rsidR="00DF2773" w:rsidRDefault="00DF2773"/>
    <w:p w14:paraId="67307366" w14:textId="48C7EC37" w:rsidR="00DF2773" w:rsidRDefault="00DF2773"/>
    <w:p w14:paraId="38BDE3DB" w14:textId="67DB1548" w:rsidR="00DF2773" w:rsidRDefault="00DF2773"/>
    <w:p w14:paraId="5ACC6B5B" w14:textId="6F3F7A17" w:rsidR="00DF2773" w:rsidRDefault="00DF2773"/>
    <w:p w14:paraId="7A69D863" w14:textId="4F1AE802" w:rsidR="00DF2773" w:rsidRDefault="00DF2773"/>
    <w:p w14:paraId="56437409" w14:textId="74C758E7" w:rsidR="0081731B" w:rsidRDefault="0081731B"/>
    <w:p w14:paraId="1EAA9BBE" w14:textId="383FB532" w:rsidR="0081731B" w:rsidRDefault="0081731B"/>
    <w:p w14:paraId="7F171015" w14:textId="77777777" w:rsidR="0081731B" w:rsidRDefault="0081731B"/>
    <w:p w14:paraId="3DB7B953" w14:textId="77777777" w:rsidR="00DF2773" w:rsidRPr="00E04DD7" w:rsidRDefault="00DF2773" w:rsidP="00E04DD7">
      <w:pPr>
        <w:pStyle w:val="Heading1"/>
        <w:spacing w:line="360" w:lineRule="auto"/>
        <w:jc w:val="both"/>
        <w:rPr>
          <w:rFonts w:asciiTheme="minorHAnsi" w:hAnsiTheme="minorHAnsi" w:cstheme="minorHAnsi"/>
          <w:b/>
          <w:bCs/>
          <w:color w:val="auto"/>
          <w:sz w:val="24"/>
          <w:szCs w:val="24"/>
        </w:rPr>
      </w:pPr>
      <w:bookmarkStart w:id="0" w:name="_Toc117345875"/>
      <w:r w:rsidRPr="00E04DD7">
        <w:rPr>
          <w:rFonts w:asciiTheme="minorHAnsi" w:hAnsiTheme="minorHAnsi" w:cstheme="minorHAnsi"/>
          <w:b/>
          <w:bCs/>
          <w:color w:val="auto"/>
          <w:sz w:val="24"/>
          <w:szCs w:val="24"/>
        </w:rPr>
        <w:lastRenderedPageBreak/>
        <w:t>Introduction</w:t>
      </w:r>
      <w:bookmarkEnd w:id="0"/>
    </w:p>
    <w:p w14:paraId="7E72A5C8" w14:textId="032E57F6" w:rsidR="00DF2773" w:rsidRPr="00E04DD7" w:rsidRDefault="00DF2773" w:rsidP="00E04DD7">
      <w:pPr>
        <w:spacing w:line="360" w:lineRule="auto"/>
        <w:rPr>
          <w:rFonts w:cstheme="minorHAnsi"/>
          <w:sz w:val="24"/>
          <w:szCs w:val="24"/>
        </w:rPr>
      </w:pPr>
      <w:r w:rsidRPr="00E04DD7">
        <w:rPr>
          <w:rFonts w:cstheme="minorHAnsi"/>
          <w:sz w:val="24"/>
          <w:szCs w:val="24"/>
        </w:rPr>
        <w:t xml:space="preserve">The report below would involve the use of various types of management accounting concepts for the chosen company- STG. It will use various concepts such as the high-low method, the CVP analysis, the concept of limiting factor, and the marginal costing </w:t>
      </w:r>
      <w:r w:rsidRPr="00E04DD7">
        <w:rPr>
          <w:rFonts w:cstheme="minorHAnsi"/>
          <w:sz w:val="24"/>
          <w:szCs w:val="24"/>
        </w:rPr>
        <w:t>to</w:t>
      </w:r>
      <w:r w:rsidRPr="00E04DD7">
        <w:rPr>
          <w:rFonts w:cstheme="minorHAnsi"/>
          <w:sz w:val="24"/>
          <w:szCs w:val="24"/>
        </w:rPr>
        <w:t xml:space="preserve"> enable the formulation of various types of decisions for the enterprise. In the report, the decision on the contract made by STG management about the production of 1200 units for the product standard would be made by the application of the most profitable product mix and the limiting factor concept for the business.</w:t>
      </w:r>
    </w:p>
    <w:p w14:paraId="3FEB7010" w14:textId="4636DF64" w:rsidR="00DF2773" w:rsidRDefault="00DF2773" w:rsidP="00DF2773"/>
    <w:p w14:paraId="4224E767" w14:textId="1CCE3FB9" w:rsidR="00DF2773" w:rsidRDefault="00DF2773" w:rsidP="00DF2773"/>
    <w:p w14:paraId="2F6F65DD" w14:textId="5FA397F7" w:rsidR="00DF2773" w:rsidRDefault="00DF2773" w:rsidP="00DF2773"/>
    <w:p w14:paraId="2209BFEA" w14:textId="6B143E09" w:rsidR="00DF2773" w:rsidRDefault="00DF2773" w:rsidP="00DF2773"/>
    <w:p w14:paraId="029CCACC" w14:textId="541C9A66" w:rsidR="00DF2773" w:rsidRDefault="00DF2773" w:rsidP="00DF2773"/>
    <w:p w14:paraId="685C0DED" w14:textId="2E8F29E5" w:rsidR="00DF2773" w:rsidRDefault="00DF2773" w:rsidP="00DF2773"/>
    <w:p w14:paraId="45470624" w14:textId="50C365A6" w:rsidR="00DF2773" w:rsidRDefault="00DF2773" w:rsidP="00DF2773"/>
    <w:p w14:paraId="731F7196" w14:textId="185570FE" w:rsidR="00DF2773" w:rsidRDefault="00DF2773" w:rsidP="00DF2773"/>
    <w:p w14:paraId="20DC9086" w14:textId="48A12CC3" w:rsidR="00DF2773" w:rsidRDefault="00DF2773" w:rsidP="00DF2773"/>
    <w:p w14:paraId="6A3F04A3" w14:textId="0EA1CC37" w:rsidR="00DF2773" w:rsidRDefault="00DF2773" w:rsidP="00DF2773"/>
    <w:p w14:paraId="70241C24" w14:textId="345879D4" w:rsidR="00DF2773" w:rsidRDefault="00DF2773" w:rsidP="00DF2773"/>
    <w:p w14:paraId="41469175" w14:textId="4B470E5E" w:rsidR="00DF2773" w:rsidRDefault="00DF2773" w:rsidP="00DF2773"/>
    <w:p w14:paraId="7FFF1651" w14:textId="78083063" w:rsidR="00DF2773" w:rsidRDefault="00DF2773" w:rsidP="00DF2773"/>
    <w:p w14:paraId="6D3535AE" w14:textId="2D594DD2" w:rsidR="00DF2773" w:rsidRDefault="00DF2773" w:rsidP="00DF2773"/>
    <w:p w14:paraId="560B43A2" w14:textId="092E8F99" w:rsidR="00DF2773" w:rsidRDefault="00DF2773" w:rsidP="00DF2773"/>
    <w:p w14:paraId="5A4789B7" w14:textId="057B26F9" w:rsidR="00DF2773" w:rsidRDefault="00DF2773" w:rsidP="00DF2773"/>
    <w:p w14:paraId="6092CABD" w14:textId="7A789BE8" w:rsidR="00DF2773" w:rsidRDefault="00DF2773" w:rsidP="00DF2773"/>
    <w:p w14:paraId="00021F07" w14:textId="6C6CF9E0" w:rsidR="00DF2773" w:rsidRDefault="00DF2773" w:rsidP="00DF2773"/>
    <w:p w14:paraId="2BBAF845" w14:textId="3ED33413" w:rsidR="00DF2773" w:rsidRDefault="00DF2773" w:rsidP="00DF2773"/>
    <w:p w14:paraId="4781A1E8" w14:textId="532D156D" w:rsidR="00DF2773" w:rsidRDefault="00DF2773" w:rsidP="00DF2773"/>
    <w:p w14:paraId="039BCFC4" w14:textId="0B7E4B87" w:rsidR="00DF2773" w:rsidRDefault="00DF2773" w:rsidP="00DF2773"/>
    <w:p w14:paraId="55DAA1CB" w14:textId="160A111D" w:rsidR="00DF2773" w:rsidRDefault="00DF2773" w:rsidP="00DF2773"/>
    <w:p w14:paraId="1B3F3844" w14:textId="77777777" w:rsidR="00E04DD7" w:rsidRDefault="00E04DD7" w:rsidP="00DF2773"/>
    <w:p w14:paraId="569346AE" w14:textId="27DCD705" w:rsidR="00DF2773" w:rsidRPr="00E04DD7" w:rsidRDefault="00912E44" w:rsidP="00DF2773">
      <w:pPr>
        <w:rPr>
          <w:b/>
          <w:bCs/>
          <w:sz w:val="24"/>
          <w:szCs w:val="24"/>
        </w:rPr>
      </w:pPr>
      <w:r w:rsidRPr="00E04DD7">
        <w:rPr>
          <w:b/>
          <w:bCs/>
          <w:sz w:val="24"/>
          <w:szCs w:val="24"/>
        </w:rPr>
        <w:lastRenderedPageBreak/>
        <w:t xml:space="preserve">1.1 Segregation of </w:t>
      </w:r>
      <w:r w:rsidR="0081731B">
        <w:rPr>
          <w:b/>
          <w:bCs/>
          <w:sz w:val="24"/>
          <w:szCs w:val="24"/>
        </w:rPr>
        <w:t>semi-variable</w:t>
      </w:r>
      <w:r w:rsidRPr="00E04DD7">
        <w:rPr>
          <w:b/>
          <w:bCs/>
          <w:sz w:val="24"/>
          <w:szCs w:val="24"/>
        </w:rPr>
        <w:t xml:space="preserve"> overhead</w:t>
      </w:r>
    </w:p>
    <w:p w14:paraId="265006D8" w14:textId="77777777" w:rsidR="00DF2773" w:rsidRDefault="00DF2773" w:rsidP="00DF2773">
      <w:pPr>
        <w:jc w:val="both"/>
        <w:rPr>
          <w:b/>
          <w:bCs/>
        </w:rPr>
      </w:pPr>
      <w:r>
        <w:rPr>
          <w:b/>
          <w:bCs/>
        </w:rPr>
        <w:t>Calculation of fixed and variable costs using the High-low method</w:t>
      </w:r>
    </w:p>
    <w:tbl>
      <w:tblPr>
        <w:tblW w:w="5000" w:type="pct"/>
        <w:tblLook w:val="04A0" w:firstRow="1" w:lastRow="0" w:firstColumn="1" w:lastColumn="0" w:noHBand="0" w:noVBand="1"/>
      </w:tblPr>
      <w:tblGrid>
        <w:gridCol w:w="4625"/>
        <w:gridCol w:w="2297"/>
        <w:gridCol w:w="2094"/>
      </w:tblGrid>
      <w:tr w:rsidR="00DF2773" w:rsidRPr="00754AFD" w14:paraId="6D4601B4" w14:textId="77777777" w:rsidTr="00CC3CDB">
        <w:trPr>
          <w:trHeight w:val="300"/>
        </w:trPr>
        <w:tc>
          <w:tcPr>
            <w:tcW w:w="25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235FDD" w14:textId="77777777" w:rsidR="00DF2773" w:rsidRPr="00754AFD" w:rsidRDefault="00DF2773" w:rsidP="00CC3CDB">
            <w:pPr>
              <w:spacing w:after="0"/>
              <w:jc w:val="both"/>
              <w:rPr>
                <w:rFonts w:eastAsia="Times New Roman" w:cs="Times New Roman"/>
                <w:b/>
                <w:bCs/>
                <w:color w:val="000000"/>
                <w:szCs w:val="24"/>
                <w:lang w:eastAsia="en-IN"/>
              </w:rPr>
            </w:pPr>
            <w:r w:rsidRPr="00754AFD">
              <w:rPr>
                <w:rFonts w:eastAsia="Times New Roman" w:cs="Times New Roman"/>
                <w:b/>
                <w:bCs/>
                <w:color w:val="000000"/>
                <w:szCs w:val="24"/>
                <w:lang w:eastAsia="en-IN"/>
              </w:rPr>
              <w:t>Particulars</w:t>
            </w:r>
          </w:p>
        </w:tc>
        <w:tc>
          <w:tcPr>
            <w:tcW w:w="1274" w:type="pct"/>
            <w:tcBorders>
              <w:top w:val="single" w:sz="4" w:space="0" w:color="auto"/>
              <w:left w:val="nil"/>
              <w:bottom w:val="single" w:sz="4" w:space="0" w:color="auto"/>
              <w:right w:val="single" w:sz="4" w:space="0" w:color="auto"/>
            </w:tcBorders>
            <w:shd w:val="clear" w:color="auto" w:fill="auto"/>
            <w:noWrap/>
            <w:vAlign w:val="bottom"/>
            <w:hideMark/>
          </w:tcPr>
          <w:p w14:paraId="5321817E" w14:textId="77777777" w:rsidR="00DF2773" w:rsidRPr="00754AFD" w:rsidRDefault="00DF2773" w:rsidP="00CC3CDB">
            <w:pPr>
              <w:spacing w:after="0"/>
              <w:jc w:val="both"/>
              <w:rPr>
                <w:rFonts w:eastAsia="Times New Roman" w:cs="Times New Roman"/>
                <w:b/>
                <w:bCs/>
                <w:color w:val="000000"/>
                <w:szCs w:val="24"/>
                <w:lang w:eastAsia="en-IN"/>
              </w:rPr>
            </w:pPr>
            <w:r w:rsidRPr="00754AFD">
              <w:rPr>
                <w:rFonts w:eastAsia="Times New Roman" w:cs="Times New Roman"/>
                <w:b/>
                <w:bCs/>
                <w:color w:val="000000"/>
                <w:szCs w:val="24"/>
                <w:lang w:eastAsia="en-IN"/>
              </w:rPr>
              <w:t>2022</w:t>
            </w:r>
          </w:p>
        </w:tc>
        <w:tc>
          <w:tcPr>
            <w:tcW w:w="1161" w:type="pct"/>
            <w:tcBorders>
              <w:top w:val="single" w:sz="4" w:space="0" w:color="auto"/>
              <w:left w:val="nil"/>
              <w:bottom w:val="single" w:sz="4" w:space="0" w:color="auto"/>
              <w:right w:val="single" w:sz="4" w:space="0" w:color="auto"/>
            </w:tcBorders>
            <w:shd w:val="clear" w:color="auto" w:fill="auto"/>
            <w:noWrap/>
            <w:vAlign w:val="bottom"/>
            <w:hideMark/>
          </w:tcPr>
          <w:p w14:paraId="4771A14E" w14:textId="77777777" w:rsidR="00DF2773" w:rsidRPr="00754AFD" w:rsidRDefault="00DF2773" w:rsidP="00CC3CDB">
            <w:pPr>
              <w:spacing w:after="0"/>
              <w:jc w:val="both"/>
              <w:rPr>
                <w:rFonts w:eastAsia="Times New Roman" w:cs="Times New Roman"/>
                <w:b/>
                <w:bCs/>
                <w:color w:val="000000"/>
                <w:szCs w:val="24"/>
                <w:lang w:eastAsia="en-IN"/>
              </w:rPr>
            </w:pPr>
            <w:r w:rsidRPr="00754AFD">
              <w:rPr>
                <w:rFonts w:eastAsia="Times New Roman" w:cs="Times New Roman"/>
                <w:b/>
                <w:bCs/>
                <w:color w:val="000000"/>
                <w:szCs w:val="24"/>
                <w:lang w:eastAsia="en-IN"/>
              </w:rPr>
              <w:t>2021</w:t>
            </w:r>
          </w:p>
        </w:tc>
      </w:tr>
      <w:tr w:rsidR="00DF2773" w:rsidRPr="00754AFD" w14:paraId="41EC4564" w14:textId="77777777" w:rsidTr="00CC3CDB">
        <w:trPr>
          <w:trHeight w:val="300"/>
        </w:trPr>
        <w:tc>
          <w:tcPr>
            <w:tcW w:w="2565" w:type="pct"/>
            <w:tcBorders>
              <w:top w:val="nil"/>
              <w:left w:val="single" w:sz="4" w:space="0" w:color="auto"/>
              <w:bottom w:val="single" w:sz="4" w:space="0" w:color="auto"/>
              <w:right w:val="single" w:sz="4" w:space="0" w:color="auto"/>
            </w:tcBorders>
            <w:shd w:val="clear" w:color="auto" w:fill="auto"/>
            <w:noWrap/>
            <w:vAlign w:val="bottom"/>
            <w:hideMark/>
          </w:tcPr>
          <w:p w14:paraId="31BC4476"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 </w:t>
            </w:r>
          </w:p>
        </w:tc>
        <w:tc>
          <w:tcPr>
            <w:tcW w:w="1274" w:type="pct"/>
            <w:tcBorders>
              <w:top w:val="nil"/>
              <w:left w:val="nil"/>
              <w:bottom w:val="single" w:sz="4" w:space="0" w:color="auto"/>
              <w:right w:val="single" w:sz="4" w:space="0" w:color="auto"/>
            </w:tcBorders>
            <w:shd w:val="clear" w:color="auto" w:fill="auto"/>
            <w:noWrap/>
            <w:vAlign w:val="bottom"/>
            <w:hideMark/>
          </w:tcPr>
          <w:p w14:paraId="1E9B3644"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 </w:t>
            </w:r>
          </w:p>
        </w:tc>
        <w:tc>
          <w:tcPr>
            <w:tcW w:w="1161" w:type="pct"/>
            <w:tcBorders>
              <w:top w:val="nil"/>
              <w:left w:val="nil"/>
              <w:bottom w:val="single" w:sz="4" w:space="0" w:color="auto"/>
              <w:right w:val="single" w:sz="4" w:space="0" w:color="auto"/>
            </w:tcBorders>
            <w:shd w:val="clear" w:color="auto" w:fill="auto"/>
            <w:noWrap/>
            <w:vAlign w:val="bottom"/>
            <w:hideMark/>
          </w:tcPr>
          <w:p w14:paraId="437D888C"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 </w:t>
            </w:r>
          </w:p>
        </w:tc>
      </w:tr>
      <w:tr w:rsidR="00DF2773" w:rsidRPr="00754AFD" w14:paraId="375F78A4" w14:textId="77777777" w:rsidTr="00CC3CDB">
        <w:trPr>
          <w:trHeight w:val="300"/>
        </w:trPr>
        <w:tc>
          <w:tcPr>
            <w:tcW w:w="2565" w:type="pct"/>
            <w:tcBorders>
              <w:top w:val="nil"/>
              <w:left w:val="single" w:sz="4" w:space="0" w:color="auto"/>
              <w:bottom w:val="single" w:sz="4" w:space="0" w:color="auto"/>
              <w:right w:val="single" w:sz="4" w:space="0" w:color="auto"/>
            </w:tcBorders>
            <w:shd w:val="clear" w:color="auto" w:fill="auto"/>
            <w:noWrap/>
            <w:vAlign w:val="bottom"/>
            <w:hideMark/>
          </w:tcPr>
          <w:p w14:paraId="202EE1B3"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Highest activity level</w:t>
            </w:r>
          </w:p>
        </w:tc>
        <w:tc>
          <w:tcPr>
            <w:tcW w:w="1274" w:type="pct"/>
            <w:tcBorders>
              <w:top w:val="nil"/>
              <w:left w:val="nil"/>
              <w:bottom w:val="single" w:sz="4" w:space="0" w:color="auto"/>
              <w:right w:val="single" w:sz="4" w:space="0" w:color="auto"/>
            </w:tcBorders>
            <w:shd w:val="clear" w:color="auto" w:fill="auto"/>
            <w:noWrap/>
            <w:vAlign w:val="bottom"/>
            <w:hideMark/>
          </w:tcPr>
          <w:p w14:paraId="419557BC"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1700</w:t>
            </w:r>
          </w:p>
        </w:tc>
        <w:tc>
          <w:tcPr>
            <w:tcW w:w="1161" w:type="pct"/>
            <w:tcBorders>
              <w:top w:val="nil"/>
              <w:left w:val="nil"/>
              <w:bottom w:val="single" w:sz="4" w:space="0" w:color="auto"/>
              <w:right w:val="single" w:sz="4" w:space="0" w:color="auto"/>
            </w:tcBorders>
            <w:shd w:val="clear" w:color="auto" w:fill="auto"/>
            <w:noWrap/>
            <w:vAlign w:val="bottom"/>
            <w:hideMark/>
          </w:tcPr>
          <w:p w14:paraId="19539A9F"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1460</w:t>
            </w:r>
          </w:p>
        </w:tc>
      </w:tr>
      <w:tr w:rsidR="00DF2773" w:rsidRPr="00754AFD" w14:paraId="0827198D" w14:textId="77777777" w:rsidTr="00CC3CDB">
        <w:trPr>
          <w:trHeight w:val="300"/>
        </w:trPr>
        <w:tc>
          <w:tcPr>
            <w:tcW w:w="2565" w:type="pct"/>
            <w:tcBorders>
              <w:top w:val="nil"/>
              <w:left w:val="single" w:sz="4" w:space="0" w:color="auto"/>
              <w:bottom w:val="single" w:sz="4" w:space="0" w:color="auto"/>
              <w:right w:val="single" w:sz="4" w:space="0" w:color="auto"/>
            </w:tcBorders>
            <w:shd w:val="clear" w:color="auto" w:fill="auto"/>
            <w:noWrap/>
            <w:vAlign w:val="bottom"/>
            <w:hideMark/>
          </w:tcPr>
          <w:p w14:paraId="64A3EBDD"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Lowest activity level</w:t>
            </w:r>
          </w:p>
        </w:tc>
        <w:tc>
          <w:tcPr>
            <w:tcW w:w="1274" w:type="pct"/>
            <w:tcBorders>
              <w:top w:val="nil"/>
              <w:left w:val="nil"/>
              <w:bottom w:val="single" w:sz="4" w:space="0" w:color="auto"/>
              <w:right w:val="single" w:sz="4" w:space="0" w:color="auto"/>
            </w:tcBorders>
            <w:shd w:val="clear" w:color="auto" w:fill="auto"/>
            <w:noWrap/>
            <w:vAlign w:val="bottom"/>
            <w:hideMark/>
          </w:tcPr>
          <w:p w14:paraId="7F9C77A4"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760</w:t>
            </w:r>
          </w:p>
        </w:tc>
        <w:tc>
          <w:tcPr>
            <w:tcW w:w="1161" w:type="pct"/>
            <w:tcBorders>
              <w:top w:val="nil"/>
              <w:left w:val="nil"/>
              <w:bottom w:val="single" w:sz="4" w:space="0" w:color="auto"/>
              <w:right w:val="single" w:sz="4" w:space="0" w:color="auto"/>
            </w:tcBorders>
            <w:shd w:val="clear" w:color="auto" w:fill="auto"/>
            <w:noWrap/>
            <w:vAlign w:val="bottom"/>
            <w:hideMark/>
          </w:tcPr>
          <w:p w14:paraId="30A6C02C"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670</w:t>
            </w:r>
          </w:p>
        </w:tc>
      </w:tr>
      <w:tr w:rsidR="00DF2773" w:rsidRPr="00754AFD" w14:paraId="15AF4D68" w14:textId="77777777" w:rsidTr="00CC3CDB">
        <w:trPr>
          <w:trHeight w:val="300"/>
        </w:trPr>
        <w:tc>
          <w:tcPr>
            <w:tcW w:w="2565" w:type="pct"/>
            <w:tcBorders>
              <w:top w:val="nil"/>
              <w:left w:val="single" w:sz="4" w:space="0" w:color="auto"/>
              <w:bottom w:val="single" w:sz="4" w:space="0" w:color="auto"/>
              <w:right w:val="single" w:sz="4" w:space="0" w:color="auto"/>
            </w:tcBorders>
            <w:shd w:val="clear" w:color="auto" w:fill="auto"/>
            <w:noWrap/>
            <w:vAlign w:val="bottom"/>
            <w:hideMark/>
          </w:tcPr>
          <w:p w14:paraId="5F0BE739"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 </w:t>
            </w:r>
          </w:p>
        </w:tc>
        <w:tc>
          <w:tcPr>
            <w:tcW w:w="1274" w:type="pct"/>
            <w:tcBorders>
              <w:top w:val="nil"/>
              <w:left w:val="nil"/>
              <w:bottom w:val="single" w:sz="4" w:space="0" w:color="auto"/>
              <w:right w:val="single" w:sz="4" w:space="0" w:color="auto"/>
            </w:tcBorders>
            <w:shd w:val="clear" w:color="auto" w:fill="auto"/>
            <w:noWrap/>
            <w:vAlign w:val="bottom"/>
            <w:hideMark/>
          </w:tcPr>
          <w:p w14:paraId="66B26DF7"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 </w:t>
            </w:r>
          </w:p>
        </w:tc>
        <w:tc>
          <w:tcPr>
            <w:tcW w:w="1161" w:type="pct"/>
            <w:tcBorders>
              <w:top w:val="nil"/>
              <w:left w:val="nil"/>
              <w:bottom w:val="single" w:sz="4" w:space="0" w:color="auto"/>
              <w:right w:val="single" w:sz="4" w:space="0" w:color="auto"/>
            </w:tcBorders>
            <w:shd w:val="clear" w:color="auto" w:fill="auto"/>
            <w:noWrap/>
            <w:vAlign w:val="bottom"/>
            <w:hideMark/>
          </w:tcPr>
          <w:p w14:paraId="66318B06"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 </w:t>
            </w:r>
          </w:p>
        </w:tc>
      </w:tr>
      <w:tr w:rsidR="00DF2773" w:rsidRPr="00754AFD" w14:paraId="2A835721" w14:textId="77777777" w:rsidTr="00CC3CDB">
        <w:trPr>
          <w:trHeight w:val="300"/>
        </w:trPr>
        <w:tc>
          <w:tcPr>
            <w:tcW w:w="2565" w:type="pct"/>
            <w:tcBorders>
              <w:top w:val="nil"/>
              <w:left w:val="single" w:sz="4" w:space="0" w:color="auto"/>
              <w:bottom w:val="single" w:sz="4" w:space="0" w:color="auto"/>
              <w:right w:val="single" w:sz="4" w:space="0" w:color="auto"/>
            </w:tcBorders>
            <w:shd w:val="clear" w:color="auto" w:fill="auto"/>
            <w:noWrap/>
            <w:vAlign w:val="bottom"/>
            <w:hideMark/>
          </w:tcPr>
          <w:p w14:paraId="01395BA9"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Highest activity Cost</w:t>
            </w:r>
          </w:p>
        </w:tc>
        <w:tc>
          <w:tcPr>
            <w:tcW w:w="1274" w:type="pct"/>
            <w:tcBorders>
              <w:top w:val="nil"/>
              <w:left w:val="nil"/>
              <w:bottom w:val="single" w:sz="4" w:space="0" w:color="auto"/>
              <w:right w:val="single" w:sz="4" w:space="0" w:color="auto"/>
            </w:tcBorders>
            <w:shd w:val="clear" w:color="auto" w:fill="auto"/>
            <w:noWrap/>
            <w:vAlign w:val="bottom"/>
            <w:hideMark/>
          </w:tcPr>
          <w:p w14:paraId="107E23CF"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18200</w:t>
            </w:r>
          </w:p>
        </w:tc>
        <w:tc>
          <w:tcPr>
            <w:tcW w:w="1161" w:type="pct"/>
            <w:tcBorders>
              <w:top w:val="nil"/>
              <w:left w:val="nil"/>
              <w:bottom w:val="single" w:sz="4" w:space="0" w:color="auto"/>
              <w:right w:val="single" w:sz="4" w:space="0" w:color="auto"/>
            </w:tcBorders>
            <w:shd w:val="clear" w:color="auto" w:fill="auto"/>
            <w:noWrap/>
            <w:vAlign w:val="bottom"/>
            <w:hideMark/>
          </w:tcPr>
          <w:p w14:paraId="523085A1"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16545</w:t>
            </w:r>
          </w:p>
        </w:tc>
      </w:tr>
      <w:tr w:rsidR="00DF2773" w:rsidRPr="00754AFD" w14:paraId="72EE42FE" w14:textId="77777777" w:rsidTr="00CC3CDB">
        <w:trPr>
          <w:trHeight w:val="300"/>
        </w:trPr>
        <w:tc>
          <w:tcPr>
            <w:tcW w:w="2565" w:type="pct"/>
            <w:tcBorders>
              <w:top w:val="nil"/>
              <w:left w:val="single" w:sz="4" w:space="0" w:color="auto"/>
              <w:bottom w:val="single" w:sz="4" w:space="0" w:color="auto"/>
              <w:right w:val="single" w:sz="4" w:space="0" w:color="auto"/>
            </w:tcBorders>
            <w:shd w:val="clear" w:color="auto" w:fill="auto"/>
            <w:noWrap/>
            <w:vAlign w:val="bottom"/>
            <w:hideMark/>
          </w:tcPr>
          <w:p w14:paraId="0BB262DC"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Lowest activity Cost</w:t>
            </w:r>
          </w:p>
        </w:tc>
        <w:tc>
          <w:tcPr>
            <w:tcW w:w="1274" w:type="pct"/>
            <w:tcBorders>
              <w:top w:val="nil"/>
              <w:left w:val="nil"/>
              <w:bottom w:val="single" w:sz="4" w:space="0" w:color="auto"/>
              <w:right w:val="single" w:sz="4" w:space="0" w:color="auto"/>
            </w:tcBorders>
            <w:shd w:val="clear" w:color="auto" w:fill="auto"/>
            <w:noWrap/>
            <w:vAlign w:val="bottom"/>
            <w:hideMark/>
          </w:tcPr>
          <w:p w14:paraId="55874B8A"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12600</w:t>
            </w:r>
          </w:p>
        </w:tc>
        <w:tc>
          <w:tcPr>
            <w:tcW w:w="1161" w:type="pct"/>
            <w:tcBorders>
              <w:top w:val="nil"/>
              <w:left w:val="nil"/>
              <w:bottom w:val="single" w:sz="4" w:space="0" w:color="auto"/>
              <w:right w:val="single" w:sz="4" w:space="0" w:color="auto"/>
            </w:tcBorders>
            <w:shd w:val="clear" w:color="auto" w:fill="auto"/>
            <w:noWrap/>
            <w:vAlign w:val="bottom"/>
            <w:hideMark/>
          </w:tcPr>
          <w:p w14:paraId="4269E11F"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11455</w:t>
            </w:r>
          </w:p>
        </w:tc>
      </w:tr>
      <w:tr w:rsidR="00DF2773" w:rsidRPr="00754AFD" w14:paraId="0D9C0FCE" w14:textId="77777777" w:rsidTr="00CC3CDB">
        <w:trPr>
          <w:trHeight w:val="300"/>
        </w:trPr>
        <w:tc>
          <w:tcPr>
            <w:tcW w:w="2565" w:type="pct"/>
            <w:tcBorders>
              <w:top w:val="nil"/>
              <w:left w:val="single" w:sz="4" w:space="0" w:color="auto"/>
              <w:bottom w:val="single" w:sz="4" w:space="0" w:color="auto"/>
              <w:right w:val="single" w:sz="4" w:space="0" w:color="auto"/>
            </w:tcBorders>
            <w:shd w:val="clear" w:color="auto" w:fill="auto"/>
            <w:noWrap/>
            <w:vAlign w:val="bottom"/>
            <w:hideMark/>
          </w:tcPr>
          <w:p w14:paraId="398CF738"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 </w:t>
            </w:r>
          </w:p>
        </w:tc>
        <w:tc>
          <w:tcPr>
            <w:tcW w:w="1274" w:type="pct"/>
            <w:tcBorders>
              <w:top w:val="nil"/>
              <w:left w:val="nil"/>
              <w:bottom w:val="single" w:sz="4" w:space="0" w:color="auto"/>
              <w:right w:val="single" w:sz="4" w:space="0" w:color="auto"/>
            </w:tcBorders>
            <w:shd w:val="clear" w:color="auto" w:fill="auto"/>
            <w:noWrap/>
            <w:vAlign w:val="bottom"/>
            <w:hideMark/>
          </w:tcPr>
          <w:p w14:paraId="6FF4FD60"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 </w:t>
            </w:r>
          </w:p>
        </w:tc>
        <w:tc>
          <w:tcPr>
            <w:tcW w:w="1161" w:type="pct"/>
            <w:tcBorders>
              <w:top w:val="nil"/>
              <w:left w:val="nil"/>
              <w:bottom w:val="single" w:sz="4" w:space="0" w:color="auto"/>
              <w:right w:val="single" w:sz="4" w:space="0" w:color="auto"/>
            </w:tcBorders>
            <w:shd w:val="clear" w:color="auto" w:fill="auto"/>
            <w:noWrap/>
            <w:vAlign w:val="bottom"/>
            <w:hideMark/>
          </w:tcPr>
          <w:p w14:paraId="24A94A81"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 </w:t>
            </w:r>
          </w:p>
        </w:tc>
      </w:tr>
      <w:tr w:rsidR="00DF2773" w:rsidRPr="00754AFD" w14:paraId="086C453A" w14:textId="77777777" w:rsidTr="00CC3CDB">
        <w:trPr>
          <w:trHeight w:val="300"/>
        </w:trPr>
        <w:tc>
          <w:tcPr>
            <w:tcW w:w="2565" w:type="pct"/>
            <w:tcBorders>
              <w:top w:val="nil"/>
              <w:left w:val="single" w:sz="4" w:space="0" w:color="auto"/>
              <w:bottom w:val="single" w:sz="4" w:space="0" w:color="auto"/>
              <w:right w:val="single" w:sz="4" w:space="0" w:color="auto"/>
            </w:tcBorders>
            <w:shd w:val="clear" w:color="auto" w:fill="auto"/>
            <w:noWrap/>
            <w:vAlign w:val="bottom"/>
            <w:hideMark/>
          </w:tcPr>
          <w:p w14:paraId="37171C9E" w14:textId="77777777" w:rsidR="00DF2773" w:rsidRPr="00754AFD" w:rsidRDefault="00DF2773" w:rsidP="00CC3CDB">
            <w:pPr>
              <w:spacing w:after="0"/>
              <w:jc w:val="both"/>
              <w:rPr>
                <w:rFonts w:eastAsia="Times New Roman" w:cs="Times New Roman"/>
                <w:b/>
                <w:bCs/>
                <w:color w:val="000000"/>
                <w:szCs w:val="24"/>
                <w:lang w:eastAsia="en-IN"/>
              </w:rPr>
            </w:pPr>
            <w:r w:rsidRPr="00754AFD">
              <w:rPr>
                <w:rFonts w:eastAsia="Times New Roman" w:cs="Times New Roman"/>
                <w:b/>
                <w:bCs/>
                <w:color w:val="000000"/>
                <w:szCs w:val="24"/>
                <w:lang w:eastAsia="en-IN"/>
              </w:rPr>
              <w:t>Variable cost per unit</w:t>
            </w:r>
          </w:p>
        </w:tc>
        <w:tc>
          <w:tcPr>
            <w:tcW w:w="1274" w:type="pct"/>
            <w:tcBorders>
              <w:top w:val="nil"/>
              <w:left w:val="nil"/>
              <w:bottom w:val="single" w:sz="4" w:space="0" w:color="auto"/>
              <w:right w:val="single" w:sz="4" w:space="0" w:color="auto"/>
            </w:tcBorders>
            <w:shd w:val="clear" w:color="auto" w:fill="auto"/>
            <w:noWrap/>
            <w:vAlign w:val="bottom"/>
            <w:hideMark/>
          </w:tcPr>
          <w:p w14:paraId="0CB19784" w14:textId="77777777" w:rsidR="00DF2773" w:rsidRPr="00754AFD" w:rsidRDefault="00DF2773" w:rsidP="00CC3CDB">
            <w:pPr>
              <w:spacing w:after="0"/>
              <w:jc w:val="both"/>
              <w:rPr>
                <w:rFonts w:eastAsia="Times New Roman" w:cs="Times New Roman"/>
                <w:b/>
                <w:bCs/>
                <w:color w:val="000000"/>
                <w:szCs w:val="24"/>
                <w:lang w:eastAsia="en-IN"/>
              </w:rPr>
            </w:pPr>
            <w:r w:rsidRPr="00754AFD">
              <w:rPr>
                <w:rFonts w:eastAsia="Times New Roman" w:cs="Times New Roman"/>
                <w:b/>
                <w:bCs/>
                <w:color w:val="000000"/>
                <w:szCs w:val="24"/>
                <w:lang w:eastAsia="en-IN"/>
              </w:rPr>
              <w:t>5.96</w:t>
            </w:r>
          </w:p>
        </w:tc>
        <w:tc>
          <w:tcPr>
            <w:tcW w:w="1161" w:type="pct"/>
            <w:tcBorders>
              <w:top w:val="nil"/>
              <w:left w:val="nil"/>
              <w:bottom w:val="single" w:sz="4" w:space="0" w:color="auto"/>
              <w:right w:val="single" w:sz="4" w:space="0" w:color="auto"/>
            </w:tcBorders>
            <w:shd w:val="clear" w:color="auto" w:fill="auto"/>
            <w:noWrap/>
            <w:vAlign w:val="bottom"/>
            <w:hideMark/>
          </w:tcPr>
          <w:p w14:paraId="140E6CB0" w14:textId="77777777" w:rsidR="00DF2773" w:rsidRPr="00754AFD" w:rsidRDefault="00DF2773" w:rsidP="00CC3CDB">
            <w:pPr>
              <w:spacing w:after="0"/>
              <w:jc w:val="both"/>
              <w:rPr>
                <w:rFonts w:eastAsia="Times New Roman" w:cs="Times New Roman"/>
                <w:b/>
                <w:bCs/>
                <w:color w:val="000000"/>
                <w:szCs w:val="24"/>
                <w:lang w:eastAsia="en-IN"/>
              </w:rPr>
            </w:pPr>
            <w:r w:rsidRPr="00754AFD">
              <w:rPr>
                <w:rFonts w:eastAsia="Times New Roman" w:cs="Times New Roman"/>
                <w:b/>
                <w:bCs/>
                <w:color w:val="000000"/>
                <w:szCs w:val="24"/>
                <w:lang w:eastAsia="en-IN"/>
              </w:rPr>
              <w:t>6.44</w:t>
            </w:r>
          </w:p>
        </w:tc>
      </w:tr>
      <w:tr w:rsidR="00DF2773" w:rsidRPr="00754AFD" w14:paraId="2182600E" w14:textId="77777777" w:rsidTr="00CC3CDB">
        <w:trPr>
          <w:trHeight w:val="300"/>
        </w:trPr>
        <w:tc>
          <w:tcPr>
            <w:tcW w:w="2565" w:type="pct"/>
            <w:tcBorders>
              <w:top w:val="nil"/>
              <w:left w:val="single" w:sz="4" w:space="0" w:color="auto"/>
              <w:bottom w:val="single" w:sz="4" w:space="0" w:color="auto"/>
              <w:right w:val="single" w:sz="4" w:space="0" w:color="auto"/>
            </w:tcBorders>
            <w:shd w:val="clear" w:color="auto" w:fill="auto"/>
            <w:noWrap/>
            <w:vAlign w:val="bottom"/>
            <w:hideMark/>
          </w:tcPr>
          <w:p w14:paraId="3CA878C5"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Total Variable cost</w:t>
            </w:r>
          </w:p>
        </w:tc>
        <w:tc>
          <w:tcPr>
            <w:tcW w:w="1274" w:type="pct"/>
            <w:tcBorders>
              <w:top w:val="nil"/>
              <w:left w:val="nil"/>
              <w:bottom w:val="single" w:sz="4" w:space="0" w:color="auto"/>
              <w:right w:val="single" w:sz="4" w:space="0" w:color="auto"/>
            </w:tcBorders>
            <w:shd w:val="clear" w:color="auto" w:fill="auto"/>
            <w:noWrap/>
            <w:vAlign w:val="bottom"/>
            <w:hideMark/>
          </w:tcPr>
          <w:p w14:paraId="262DE7F9"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10127.66</w:t>
            </w:r>
          </w:p>
        </w:tc>
        <w:tc>
          <w:tcPr>
            <w:tcW w:w="1161" w:type="pct"/>
            <w:tcBorders>
              <w:top w:val="nil"/>
              <w:left w:val="nil"/>
              <w:bottom w:val="single" w:sz="4" w:space="0" w:color="auto"/>
              <w:right w:val="single" w:sz="4" w:space="0" w:color="auto"/>
            </w:tcBorders>
            <w:shd w:val="clear" w:color="auto" w:fill="auto"/>
            <w:noWrap/>
            <w:vAlign w:val="bottom"/>
            <w:hideMark/>
          </w:tcPr>
          <w:p w14:paraId="4A28FD18" w14:textId="77777777" w:rsidR="00DF2773" w:rsidRPr="00754AFD" w:rsidRDefault="00DF2773" w:rsidP="00CC3CDB">
            <w:pPr>
              <w:spacing w:after="0"/>
              <w:jc w:val="both"/>
              <w:rPr>
                <w:rFonts w:eastAsia="Times New Roman" w:cs="Times New Roman"/>
                <w:color w:val="000000"/>
                <w:szCs w:val="24"/>
                <w:lang w:eastAsia="en-IN"/>
              </w:rPr>
            </w:pPr>
            <w:r w:rsidRPr="00754AFD">
              <w:rPr>
                <w:rFonts w:eastAsia="Times New Roman" w:cs="Times New Roman"/>
                <w:color w:val="000000"/>
                <w:szCs w:val="24"/>
                <w:lang w:eastAsia="en-IN"/>
              </w:rPr>
              <w:t>9406.84</w:t>
            </w:r>
          </w:p>
        </w:tc>
      </w:tr>
      <w:tr w:rsidR="00DF2773" w:rsidRPr="00754AFD" w14:paraId="1DAA1196" w14:textId="77777777" w:rsidTr="00CC3CDB">
        <w:trPr>
          <w:trHeight w:val="300"/>
        </w:trPr>
        <w:tc>
          <w:tcPr>
            <w:tcW w:w="2565" w:type="pct"/>
            <w:tcBorders>
              <w:top w:val="nil"/>
              <w:left w:val="single" w:sz="4" w:space="0" w:color="auto"/>
              <w:bottom w:val="single" w:sz="4" w:space="0" w:color="auto"/>
              <w:right w:val="single" w:sz="4" w:space="0" w:color="auto"/>
            </w:tcBorders>
            <w:shd w:val="clear" w:color="auto" w:fill="auto"/>
            <w:noWrap/>
            <w:vAlign w:val="bottom"/>
            <w:hideMark/>
          </w:tcPr>
          <w:p w14:paraId="21ABC6DD" w14:textId="77777777" w:rsidR="00DF2773" w:rsidRPr="00754AFD" w:rsidRDefault="00DF2773" w:rsidP="00CC3CDB">
            <w:pPr>
              <w:spacing w:after="0"/>
              <w:jc w:val="both"/>
              <w:rPr>
                <w:rFonts w:eastAsia="Times New Roman" w:cs="Times New Roman"/>
                <w:b/>
                <w:bCs/>
                <w:color w:val="000000"/>
                <w:szCs w:val="24"/>
                <w:lang w:eastAsia="en-IN"/>
              </w:rPr>
            </w:pPr>
            <w:r w:rsidRPr="00754AFD">
              <w:rPr>
                <w:rFonts w:eastAsia="Times New Roman" w:cs="Times New Roman"/>
                <w:b/>
                <w:bCs/>
                <w:color w:val="000000"/>
                <w:szCs w:val="24"/>
                <w:lang w:eastAsia="en-IN"/>
              </w:rPr>
              <w:t>Fixed Cost</w:t>
            </w:r>
          </w:p>
        </w:tc>
        <w:tc>
          <w:tcPr>
            <w:tcW w:w="1274" w:type="pct"/>
            <w:tcBorders>
              <w:top w:val="nil"/>
              <w:left w:val="nil"/>
              <w:bottom w:val="single" w:sz="4" w:space="0" w:color="auto"/>
              <w:right w:val="single" w:sz="4" w:space="0" w:color="auto"/>
            </w:tcBorders>
            <w:shd w:val="clear" w:color="auto" w:fill="auto"/>
            <w:noWrap/>
            <w:vAlign w:val="bottom"/>
            <w:hideMark/>
          </w:tcPr>
          <w:p w14:paraId="55F8D497" w14:textId="77777777" w:rsidR="00DF2773" w:rsidRPr="00754AFD" w:rsidRDefault="00DF2773" w:rsidP="00CC3CDB">
            <w:pPr>
              <w:spacing w:after="0"/>
              <w:jc w:val="both"/>
              <w:rPr>
                <w:rFonts w:eastAsia="Times New Roman" w:cs="Times New Roman"/>
                <w:b/>
                <w:bCs/>
                <w:color w:val="000000"/>
                <w:szCs w:val="24"/>
                <w:lang w:eastAsia="en-IN"/>
              </w:rPr>
            </w:pPr>
            <w:r w:rsidRPr="00754AFD">
              <w:rPr>
                <w:rFonts w:eastAsia="Times New Roman" w:cs="Times New Roman"/>
                <w:b/>
                <w:bCs/>
                <w:color w:val="000000"/>
                <w:szCs w:val="24"/>
                <w:lang w:eastAsia="en-IN"/>
              </w:rPr>
              <w:t>8072.34</w:t>
            </w:r>
          </w:p>
        </w:tc>
        <w:tc>
          <w:tcPr>
            <w:tcW w:w="1161" w:type="pct"/>
            <w:tcBorders>
              <w:top w:val="nil"/>
              <w:left w:val="nil"/>
              <w:bottom w:val="single" w:sz="4" w:space="0" w:color="auto"/>
              <w:right w:val="single" w:sz="4" w:space="0" w:color="auto"/>
            </w:tcBorders>
            <w:shd w:val="clear" w:color="auto" w:fill="auto"/>
            <w:noWrap/>
            <w:vAlign w:val="bottom"/>
            <w:hideMark/>
          </w:tcPr>
          <w:p w14:paraId="4600898F" w14:textId="77777777" w:rsidR="00DF2773" w:rsidRPr="00754AFD" w:rsidRDefault="00DF2773" w:rsidP="00CC3CDB">
            <w:pPr>
              <w:spacing w:after="0"/>
              <w:jc w:val="both"/>
              <w:rPr>
                <w:rFonts w:eastAsia="Times New Roman" w:cs="Times New Roman"/>
                <w:b/>
                <w:bCs/>
                <w:color w:val="000000"/>
                <w:szCs w:val="24"/>
                <w:lang w:eastAsia="en-IN"/>
              </w:rPr>
            </w:pPr>
            <w:r w:rsidRPr="00754AFD">
              <w:rPr>
                <w:rFonts w:eastAsia="Times New Roman" w:cs="Times New Roman"/>
                <w:b/>
                <w:bCs/>
                <w:color w:val="000000"/>
                <w:szCs w:val="24"/>
                <w:lang w:eastAsia="en-IN"/>
              </w:rPr>
              <w:t>7138.16</w:t>
            </w:r>
          </w:p>
        </w:tc>
      </w:tr>
    </w:tbl>
    <w:p w14:paraId="20716AC8" w14:textId="77777777" w:rsidR="00DF2773" w:rsidRDefault="00DF2773" w:rsidP="00DF2773">
      <w:pPr>
        <w:jc w:val="both"/>
        <w:rPr>
          <w:b/>
          <w:bCs/>
        </w:rPr>
      </w:pPr>
    </w:p>
    <w:p w14:paraId="3A1A327B" w14:textId="77777777" w:rsidR="00DF2773" w:rsidRPr="00E04DD7" w:rsidRDefault="00DF2773" w:rsidP="00E04DD7">
      <w:pPr>
        <w:spacing w:line="360" w:lineRule="auto"/>
        <w:jc w:val="both"/>
        <w:rPr>
          <w:rFonts w:cstheme="minorHAnsi"/>
          <w:sz w:val="24"/>
          <w:szCs w:val="24"/>
        </w:rPr>
      </w:pPr>
      <w:r w:rsidRPr="00E04DD7">
        <w:rPr>
          <w:rFonts w:cstheme="minorHAnsi"/>
          <w:sz w:val="24"/>
          <w:szCs w:val="24"/>
        </w:rPr>
        <w:t>The following formula has been used for the computation of the variable cost per unit-</w:t>
      </w:r>
    </w:p>
    <w:p w14:paraId="1A0F5886" w14:textId="2B5FEE6C" w:rsidR="00DF2773" w:rsidRPr="00E04DD7" w:rsidRDefault="00DF2773" w:rsidP="00E04DD7">
      <w:pPr>
        <w:spacing w:line="360" w:lineRule="auto"/>
        <w:jc w:val="both"/>
        <w:rPr>
          <w:rFonts w:eastAsiaTheme="minorEastAsia" w:cstheme="minorHAnsi"/>
          <w:sz w:val="24"/>
          <w:szCs w:val="24"/>
        </w:rPr>
      </w:pPr>
      <w:r w:rsidRPr="00E04DD7">
        <w:rPr>
          <w:rFonts w:cstheme="minorHAnsi"/>
          <w:sz w:val="24"/>
          <w:szCs w:val="24"/>
        </w:rPr>
        <w:t xml:space="preserve">= </w:t>
      </w:r>
      <m:oMath>
        <m:f>
          <m:fPr>
            <m:ctrlPr>
              <w:rPr>
                <w:rFonts w:ascii="Cambria Math" w:hAnsi="Cambria Math" w:cstheme="minorHAnsi"/>
                <w:i/>
                <w:sz w:val="24"/>
                <w:szCs w:val="24"/>
              </w:rPr>
            </m:ctrlPr>
          </m:fPr>
          <m:num>
            <m:r>
              <w:rPr>
                <w:rFonts w:ascii="Cambria Math" w:hAnsi="Cambria Math" w:cstheme="minorHAnsi"/>
                <w:sz w:val="24"/>
                <w:szCs w:val="24"/>
              </w:rPr>
              <m:t>Cost highest level-Cost Lowest level</m:t>
            </m:r>
          </m:num>
          <m:den>
            <m:r>
              <w:rPr>
                <w:rFonts w:ascii="Cambria Math" w:hAnsi="Cambria Math" w:cstheme="minorHAnsi"/>
                <w:sz w:val="24"/>
                <w:szCs w:val="24"/>
              </w:rPr>
              <m:t xml:space="preserve">Highest </m:t>
            </m:r>
            <m:r>
              <w:rPr>
                <w:rFonts w:ascii="Cambria Math" w:hAnsi="Cambria Math" w:cstheme="minorHAnsi"/>
                <w:sz w:val="24"/>
                <w:szCs w:val="24"/>
              </w:rPr>
              <m:t>quality</m:t>
            </m:r>
            <m:r>
              <w:rPr>
                <w:rFonts w:ascii="Cambria Math" w:hAnsi="Cambria Math" w:cstheme="minorHAnsi"/>
                <w:sz w:val="24"/>
                <w:szCs w:val="24"/>
              </w:rPr>
              <m:t xml:space="preserve"> units-Lowest </m:t>
            </m:r>
            <m:r>
              <w:rPr>
                <w:rFonts w:ascii="Cambria Math" w:hAnsi="Cambria Math" w:cstheme="minorHAnsi"/>
                <w:sz w:val="24"/>
                <w:szCs w:val="24"/>
              </w:rPr>
              <m:t xml:space="preserve">quality </m:t>
            </m:r>
            <m:r>
              <w:rPr>
                <w:rFonts w:ascii="Cambria Math" w:hAnsi="Cambria Math" w:cstheme="minorHAnsi"/>
                <w:sz w:val="24"/>
                <w:szCs w:val="24"/>
              </w:rPr>
              <m:t>units</m:t>
            </m:r>
          </m:den>
        </m:f>
      </m:oMath>
    </w:p>
    <w:p w14:paraId="59C3DD3A" w14:textId="35E058F7" w:rsidR="00DF2773" w:rsidRPr="00E04DD7" w:rsidRDefault="00DF2773" w:rsidP="00E04DD7">
      <w:pPr>
        <w:spacing w:line="360" w:lineRule="auto"/>
        <w:jc w:val="both"/>
        <w:rPr>
          <w:rFonts w:eastAsiaTheme="minorEastAsia" w:cstheme="minorHAnsi"/>
          <w:sz w:val="24"/>
          <w:szCs w:val="24"/>
        </w:rPr>
      </w:pPr>
      <w:r w:rsidRPr="00E04DD7">
        <w:rPr>
          <w:rFonts w:eastAsiaTheme="minorEastAsia" w:cstheme="minorHAnsi"/>
          <w:sz w:val="24"/>
          <w:szCs w:val="24"/>
        </w:rPr>
        <w:t>The total variable cost has been computed below-</w:t>
      </w:r>
    </w:p>
    <w:p w14:paraId="4A0ADE06" w14:textId="5B3DCBE4" w:rsidR="00DF2773" w:rsidRPr="00E04DD7" w:rsidRDefault="00DF2773" w:rsidP="00E04DD7">
      <w:pPr>
        <w:spacing w:line="360" w:lineRule="auto"/>
        <w:jc w:val="both"/>
        <w:rPr>
          <w:rFonts w:eastAsiaTheme="minorEastAsia" w:cstheme="minorHAnsi"/>
          <w:sz w:val="24"/>
          <w:szCs w:val="24"/>
        </w:rPr>
      </w:pPr>
      <w:r w:rsidRPr="00E04DD7">
        <w:rPr>
          <w:rFonts w:eastAsiaTheme="minorEastAsia" w:cstheme="minorHAnsi"/>
          <w:sz w:val="24"/>
          <w:szCs w:val="24"/>
        </w:rPr>
        <w:t xml:space="preserve">= Highest </w:t>
      </w:r>
      <w:r w:rsidRPr="00E04DD7">
        <w:rPr>
          <w:rFonts w:eastAsiaTheme="minorEastAsia" w:cstheme="minorHAnsi"/>
          <w:sz w:val="24"/>
          <w:szCs w:val="24"/>
        </w:rPr>
        <w:t>quality</w:t>
      </w:r>
      <w:r w:rsidRPr="00E04DD7">
        <w:rPr>
          <w:rFonts w:eastAsiaTheme="minorEastAsia" w:cstheme="minorHAnsi"/>
          <w:sz w:val="24"/>
          <w:szCs w:val="24"/>
        </w:rPr>
        <w:t xml:space="preserve"> units × Variable cost per unit. </w:t>
      </w:r>
    </w:p>
    <w:p w14:paraId="1DF471DC" w14:textId="77777777" w:rsidR="00DF2773" w:rsidRPr="00E04DD7" w:rsidRDefault="00DF2773" w:rsidP="00E04DD7">
      <w:pPr>
        <w:spacing w:line="360" w:lineRule="auto"/>
        <w:jc w:val="both"/>
        <w:rPr>
          <w:rFonts w:eastAsiaTheme="minorEastAsia" w:cstheme="minorHAnsi"/>
          <w:sz w:val="24"/>
          <w:szCs w:val="24"/>
        </w:rPr>
      </w:pPr>
      <w:r w:rsidRPr="00E04DD7">
        <w:rPr>
          <w:rFonts w:eastAsiaTheme="minorEastAsia" w:cstheme="minorHAnsi"/>
          <w:sz w:val="24"/>
          <w:szCs w:val="24"/>
        </w:rPr>
        <w:t xml:space="preserve">The total fixed cost has been calculated as follows- </w:t>
      </w:r>
    </w:p>
    <w:p w14:paraId="45C0CB0E" w14:textId="1E8479D7" w:rsidR="00DF2773" w:rsidRPr="00E04DD7" w:rsidRDefault="00DF2773" w:rsidP="00E04DD7">
      <w:pPr>
        <w:spacing w:line="360" w:lineRule="auto"/>
        <w:jc w:val="both"/>
        <w:rPr>
          <w:rFonts w:eastAsiaTheme="minorEastAsia" w:cstheme="minorHAnsi"/>
          <w:sz w:val="24"/>
          <w:szCs w:val="24"/>
        </w:rPr>
      </w:pPr>
      <w:r w:rsidRPr="00E04DD7">
        <w:rPr>
          <w:rFonts w:eastAsiaTheme="minorEastAsia" w:cstheme="minorHAnsi"/>
          <w:sz w:val="24"/>
          <w:szCs w:val="24"/>
        </w:rPr>
        <w:t xml:space="preserve">= Total Overhead at </w:t>
      </w:r>
      <w:r w:rsidRPr="00E04DD7">
        <w:rPr>
          <w:rFonts w:eastAsiaTheme="minorEastAsia" w:cstheme="minorHAnsi"/>
          <w:sz w:val="24"/>
          <w:szCs w:val="24"/>
        </w:rPr>
        <w:t xml:space="preserve">the </w:t>
      </w:r>
      <w:r w:rsidRPr="00E04DD7">
        <w:rPr>
          <w:rFonts w:eastAsiaTheme="minorEastAsia" w:cstheme="minorHAnsi"/>
          <w:sz w:val="24"/>
          <w:szCs w:val="24"/>
        </w:rPr>
        <w:t xml:space="preserve">highest level – Total Variable cost.  </w:t>
      </w:r>
    </w:p>
    <w:p w14:paraId="103AB287" w14:textId="6F049992" w:rsidR="00DF2773" w:rsidRPr="00E04DD7" w:rsidRDefault="00DF2773" w:rsidP="00DF2773">
      <w:pPr>
        <w:jc w:val="both"/>
        <w:rPr>
          <w:b/>
          <w:bCs/>
          <w:sz w:val="24"/>
          <w:szCs w:val="24"/>
        </w:rPr>
      </w:pPr>
      <w:r w:rsidRPr="00E04DD7">
        <w:rPr>
          <w:b/>
          <w:bCs/>
          <w:sz w:val="24"/>
          <w:szCs w:val="24"/>
        </w:rPr>
        <w:t xml:space="preserve">Statement showing per unit cost for each of the </w:t>
      </w:r>
      <w:r w:rsidRPr="00E04DD7">
        <w:rPr>
          <w:b/>
          <w:bCs/>
          <w:sz w:val="24"/>
          <w:szCs w:val="24"/>
        </w:rPr>
        <w:t>products</w:t>
      </w:r>
      <w:r w:rsidRPr="00E04DD7">
        <w:rPr>
          <w:b/>
          <w:bCs/>
          <w:sz w:val="24"/>
          <w:szCs w:val="24"/>
        </w:rPr>
        <w:t xml:space="preserve">, the </w:t>
      </w:r>
      <w:r w:rsidRPr="00E04DD7">
        <w:rPr>
          <w:b/>
          <w:bCs/>
          <w:sz w:val="24"/>
          <w:szCs w:val="24"/>
        </w:rPr>
        <w:t>contribution</w:t>
      </w:r>
      <w:r w:rsidRPr="00E04DD7">
        <w:rPr>
          <w:b/>
          <w:bCs/>
          <w:sz w:val="24"/>
          <w:szCs w:val="24"/>
        </w:rPr>
        <w:t xml:space="preserve"> per unit, the contribution per limiting factor, the total fixed </w:t>
      </w:r>
      <w:r w:rsidRPr="00E04DD7">
        <w:rPr>
          <w:b/>
          <w:bCs/>
          <w:sz w:val="24"/>
          <w:szCs w:val="24"/>
        </w:rPr>
        <w:t>cost,</w:t>
      </w:r>
      <w:r w:rsidRPr="00E04DD7">
        <w:rPr>
          <w:b/>
          <w:bCs/>
          <w:sz w:val="24"/>
          <w:szCs w:val="24"/>
        </w:rPr>
        <w:t xml:space="preserve"> and the rankings of products. </w:t>
      </w:r>
    </w:p>
    <w:tbl>
      <w:tblPr>
        <w:tblW w:w="8543" w:type="dxa"/>
        <w:tblLook w:val="04A0" w:firstRow="1" w:lastRow="0" w:firstColumn="1" w:lastColumn="0" w:noHBand="0" w:noVBand="1"/>
      </w:tblPr>
      <w:tblGrid>
        <w:gridCol w:w="3363"/>
        <w:gridCol w:w="1213"/>
        <w:gridCol w:w="1482"/>
        <w:gridCol w:w="1525"/>
        <w:gridCol w:w="960"/>
      </w:tblGrid>
      <w:tr w:rsidR="00DF2773" w:rsidRPr="002E3C98" w14:paraId="1EFCA724" w14:textId="77777777" w:rsidTr="00CC3CDB">
        <w:trPr>
          <w:trHeight w:val="315"/>
        </w:trPr>
        <w:tc>
          <w:tcPr>
            <w:tcW w:w="33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DFA1BC"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Particulars</w:t>
            </w:r>
          </w:p>
        </w:tc>
        <w:tc>
          <w:tcPr>
            <w:tcW w:w="4220" w:type="dxa"/>
            <w:gridSpan w:val="3"/>
            <w:tcBorders>
              <w:top w:val="single" w:sz="4" w:space="0" w:color="auto"/>
              <w:left w:val="nil"/>
              <w:bottom w:val="single" w:sz="4" w:space="0" w:color="auto"/>
              <w:right w:val="single" w:sz="4" w:space="0" w:color="auto"/>
            </w:tcBorders>
            <w:shd w:val="clear" w:color="auto" w:fill="auto"/>
            <w:noWrap/>
            <w:vAlign w:val="bottom"/>
            <w:hideMark/>
          </w:tcPr>
          <w:p w14:paraId="3C4C8815"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Amount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F0D5ED9"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r>
      <w:tr w:rsidR="00DF2773" w:rsidRPr="002E3C98" w14:paraId="04ED043F" w14:textId="77777777" w:rsidTr="00CC3CDB">
        <w:trPr>
          <w:trHeight w:val="315"/>
        </w:trPr>
        <w:tc>
          <w:tcPr>
            <w:tcW w:w="3363" w:type="dxa"/>
            <w:tcBorders>
              <w:top w:val="nil"/>
              <w:left w:val="single" w:sz="4" w:space="0" w:color="auto"/>
              <w:bottom w:val="single" w:sz="4" w:space="0" w:color="auto"/>
              <w:right w:val="single" w:sz="4" w:space="0" w:color="auto"/>
            </w:tcBorders>
            <w:shd w:val="clear" w:color="auto" w:fill="auto"/>
            <w:noWrap/>
            <w:vAlign w:val="bottom"/>
            <w:hideMark/>
          </w:tcPr>
          <w:p w14:paraId="5DA4D0AA"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1213" w:type="dxa"/>
            <w:tcBorders>
              <w:top w:val="nil"/>
              <w:left w:val="nil"/>
              <w:bottom w:val="single" w:sz="4" w:space="0" w:color="auto"/>
              <w:right w:val="single" w:sz="4" w:space="0" w:color="auto"/>
            </w:tcBorders>
            <w:shd w:val="clear" w:color="auto" w:fill="auto"/>
            <w:noWrap/>
            <w:vAlign w:val="bottom"/>
            <w:hideMark/>
          </w:tcPr>
          <w:p w14:paraId="16E5F9A1"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Budget</w:t>
            </w:r>
          </w:p>
        </w:tc>
        <w:tc>
          <w:tcPr>
            <w:tcW w:w="1482" w:type="dxa"/>
            <w:tcBorders>
              <w:top w:val="nil"/>
              <w:left w:val="nil"/>
              <w:bottom w:val="single" w:sz="4" w:space="0" w:color="auto"/>
              <w:right w:val="single" w:sz="4" w:space="0" w:color="auto"/>
            </w:tcBorders>
            <w:shd w:val="clear" w:color="auto" w:fill="auto"/>
            <w:noWrap/>
            <w:vAlign w:val="bottom"/>
            <w:hideMark/>
          </w:tcPr>
          <w:p w14:paraId="0FA6503C"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xml:space="preserve">Standard </w:t>
            </w:r>
          </w:p>
        </w:tc>
        <w:tc>
          <w:tcPr>
            <w:tcW w:w="1525" w:type="dxa"/>
            <w:tcBorders>
              <w:top w:val="nil"/>
              <w:left w:val="nil"/>
              <w:bottom w:val="single" w:sz="4" w:space="0" w:color="auto"/>
              <w:right w:val="single" w:sz="4" w:space="0" w:color="auto"/>
            </w:tcBorders>
            <w:shd w:val="clear" w:color="auto" w:fill="auto"/>
            <w:noWrap/>
            <w:vAlign w:val="bottom"/>
            <w:hideMark/>
          </w:tcPr>
          <w:p w14:paraId="7A60D0D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Premium</w:t>
            </w:r>
          </w:p>
        </w:tc>
        <w:tc>
          <w:tcPr>
            <w:tcW w:w="960" w:type="dxa"/>
            <w:tcBorders>
              <w:top w:val="nil"/>
              <w:left w:val="nil"/>
              <w:bottom w:val="single" w:sz="4" w:space="0" w:color="auto"/>
              <w:right w:val="single" w:sz="4" w:space="0" w:color="auto"/>
            </w:tcBorders>
            <w:shd w:val="clear" w:color="auto" w:fill="auto"/>
            <w:noWrap/>
            <w:vAlign w:val="bottom"/>
            <w:hideMark/>
          </w:tcPr>
          <w:p w14:paraId="6F395133"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Total</w:t>
            </w:r>
          </w:p>
        </w:tc>
      </w:tr>
      <w:tr w:rsidR="00DF2773" w:rsidRPr="002E3C98" w14:paraId="3D57DAB0" w14:textId="77777777" w:rsidTr="00CC3CDB">
        <w:trPr>
          <w:trHeight w:val="315"/>
        </w:trPr>
        <w:tc>
          <w:tcPr>
            <w:tcW w:w="3363" w:type="dxa"/>
            <w:tcBorders>
              <w:top w:val="nil"/>
              <w:left w:val="single" w:sz="4" w:space="0" w:color="auto"/>
              <w:bottom w:val="single" w:sz="4" w:space="0" w:color="auto"/>
              <w:right w:val="single" w:sz="4" w:space="0" w:color="auto"/>
            </w:tcBorders>
            <w:shd w:val="clear" w:color="auto" w:fill="auto"/>
            <w:noWrap/>
            <w:vAlign w:val="bottom"/>
            <w:hideMark/>
          </w:tcPr>
          <w:p w14:paraId="13C89BF6"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Selling Price</w:t>
            </w:r>
          </w:p>
        </w:tc>
        <w:tc>
          <w:tcPr>
            <w:tcW w:w="1213" w:type="dxa"/>
            <w:tcBorders>
              <w:top w:val="nil"/>
              <w:left w:val="nil"/>
              <w:bottom w:val="single" w:sz="4" w:space="0" w:color="auto"/>
              <w:right w:val="single" w:sz="4" w:space="0" w:color="auto"/>
            </w:tcBorders>
            <w:shd w:val="clear" w:color="auto" w:fill="auto"/>
            <w:noWrap/>
            <w:vAlign w:val="bottom"/>
            <w:hideMark/>
          </w:tcPr>
          <w:p w14:paraId="1213F341"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60.00</w:t>
            </w:r>
          </w:p>
        </w:tc>
        <w:tc>
          <w:tcPr>
            <w:tcW w:w="1482" w:type="dxa"/>
            <w:tcBorders>
              <w:top w:val="nil"/>
              <w:left w:val="nil"/>
              <w:bottom w:val="single" w:sz="4" w:space="0" w:color="auto"/>
              <w:right w:val="single" w:sz="4" w:space="0" w:color="auto"/>
            </w:tcBorders>
            <w:shd w:val="clear" w:color="auto" w:fill="auto"/>
            <w:noWrap/>
            <w:vAlign w:val="bottom"/>
            <w:hideMark/>
          </w:tcPr>
          <w:p w14:paraId="2267B1A6"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90.00</w:t>
            </w:r>
          </w:p>
        </w:tc>
        <w:tc>
          <w:tcPr>
            <w:tcW w:w="1525" w:type="dxa"/>
            <w:tcBorders>
              <w:top w:val="nil"/>
              <w:left w:val="nil"/>
              <w:bottom w:val="single" w:sz="4" w:space="0" w:color="auto"/>
              <w:right w:val="single" w:sz="4" w:space="0" w:color="auto"/>
            </w:tcBorders>
            <w:shd w:val="clear" w:color="auto" w:fill="auto"/>
            <w:noWrap/>
            <w:vAlign w:val="bottom"/>
            <w:hideMark/>
          </w:tcPr>
          <w:p w14:paraId="7F16E725"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120.00</w:t>
            </w:r>
          </w:p>
        </w:tc>
        <w:tc>
          <w:tcPr>
            <w:tcW w:w="960" w:type="dxa"/>
            <w:tcBorders>
              <w:top w:val="nil"/>
              <w:left w:val="nil"/>
              <w:bottom w:val="single" w:sz="4" w:space="0" w:color="auto"/>
              <w:right w:val="single" w:sz="4" w:space="0" w:color="auto"/>
            </w:tcBorders>
            <w:shd w:val="clear" w:color="auto" w:fill="auto"/>
            <w:noWrap/>
            <w:vAlign w:val="bottom"/>
            <w:hideMark/>
          </w:tcPr>
          <w:p w14:paraId="2CAE7F56"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270.00</w:t>
            </w:r>
          </w:p>
        </w:tc>
      </w:tr>
      <w:tr w:rsidR="00DF2773" w:rsidRPr="002E3C98" w14:paraId="0A218925" w14:textId="77777777" w:rsidTr="00CC3CDB">
        <w:trPr>
          <w:trHeight w:val="315"/>
        </w:trPr>
        <w:tc>
          <w:tcPr>
            <w:tcW w:w="3363" w:type="dxa"/>
            <w:tcBorders>
              <w:top w:val="nil"/>
              <w:left w:val="single" w:sz="4" w:space="0" w:color="auto"/>
              <w:bottom w:val="single" w:sz="4" w:space="0" w:color="auto"/>
              <w:right w:val="single" w:sz="4" w:space="0" w:color="auto"/>
            </w:tcBorders>
            <w:shd w:val="clear" w:color="auto" w:fill="auto"/>
            <w:noWrap/>
            <w:vAlign w:val="bottom"/>
            <w:hideMark/>
          </w:tcPr>
          <w:p w14:paraId="6E6D609C" w14:textId="77777777" w:rsidR="00DF2773" w:rsidRPr="002E3C98" w:rsidRDefault="00DF2773" w:rsidP="00CC3CDB">
            <w:pPr>
              <w:spacing w:after="0"/>
              <w:jc w:val="both"/>
              <w:rPr>
                <w:rFonts w:eastAsia="Times New Roman" w:cs="Times New Roman"/>
                <w:color w:val="000000"/>
                <w:szCs w:val="24"/>
                <w:u w:val="single"/>
                <w:lang w:eastAsia="en-IN"/>
              </w:rPr>
            </w:pPr>
            <w:r w:rsidRPr="002E3C98">
              <w:rPr>
                <w:rFonts w:eastAsia="Times New Roman" w:cs="Times New Roman"/>
                <w:color w:val="000000"/>
                <w:szCs w:val="24"/>
                <w:u w:val="single"/>
                <w:lang w:eastAsia="en-IN"/>
              </w:rPr>
              <w:t>Variable Cost:</w:t>
            </w:r>
          </w:p>
        </w:tc>
        <w:tc>
          <w:tcPr>
            <w:tcW w:w="1213" w:type="dxa"/>
            <w:tcBorders>
              <w:top w:val="nil"/>
              <w:left w:val="nil"/>
              <w:bottom w:val="single" w:sz="4" w:space="0" w:color="auto"/>
              <w:right w:val="single" w:sz="4" w:space="0" w:color="auto"/>
            </w:tcBorders>
            <w:shd w:val="clear" w:color="auto" w:fill="auto"/>
            <w:noWrap/>
            <w:vAlign w:val="bottom"/>
            <w:hideMark/>
          </w:tcPr>
          <w:p w14:paraId="7520363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1482" w:type="dxa"/>
            <w:tcBorders>
              <w:top w:val="nil"/>
              <w:left w:val="nil"/>
              <w:bottom w:val="single" w:sz="4" w:space="0" w:color="auto"/>
              <w:right w:val="single" w:sz="4" w:space="0" w:color="auto"/>
            </w:tcBorders>
            <w:shd w:val="clear" w:color="auto" w:fill="auto"/>
            <w:noWrap/>
            <w:vAlign w:val="bottom"/>
            <w:hideMark/>
          </w:tcPr>
          <w:p w14:paraId="6FCD757C"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1525" w:type="dxa"/>
            <w:tcBorders>
              <w:top w:val="nil"/>
              <w:left w:val="nil"/>
              <w:bottom w:val="single" w:sz="4" w:space="0" w:color="auto"/>
              <w:right w:val="single" w:sz="4" w:space="0" w:color="auto"/>
            </w:tcBorders>
            <w:shd w:val="clear" w:color="auto" w:fill="auto"/>
            <w:noWrap/>
            <w:vAlign w:val="bottom"/>
            <w:hideMark/>
          </w:tcPr>
          <w:p w14:paraId="38210039"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5124D04"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r>
      <w:tr w:rsidR="00DF2773" w:rsidRPr="002E3C98" w14:paraId="723F8708" w14:textId="77777777" w:rsidTr="00CC3CDB">
        <w:trPr>
          <w:trHeight w:val="315"/>
        </w:trPr>
        <w:tc>
          <w:tcPr>
            <w:tcW w:w="3363" w:type="dxa"/>
            <w:tcBorders>
              <w:top w:val="nil"/>
              <w:left w:val="single" w:sz="4" w:space="0" w:color="auto"/>
              <w:bottom w:val="single" w:sz="4" w:space="0" w:color="auto"/>
              <w:right w:val="single" w:sz="4" w:space="0" w:color="auto"/>
            </w:tcBorders>
            <w:shd w:val="clear" w:color="auto" w:fill="auto"/>
            <w:noWrap/>
            <w:vAlign w:val="bottom"/>
            <w:hideMark/>
          </w:tcPr>
          <w:p w14:paraId="4396F921"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xml:space="preserve">Material </w:t>
            </w:r>
          </w:p>
        </w:tc>
        <w:tc>
          <w:tcPr>
            <w:tcW w:w="1213" w:type="dxa"/>
            <w:tcBorders>
              <w:top w:val="nil"/>
              <w:left w:val="nil"/>
              <w:bottom w:val="single" w:sz="4" w:space="0" w:color="auto"/>
              <w:right w:val="single" w:sz="4" w:space="0" w:color="auto"/>
            </w:tcBorders>
            <w:shd w:val="clear" w:color="auto" w:fill="auto"/>
            <w:noWrap/>
            <w:vAlign w:val="bottom"/>
            <w:hideMark/>
          </w:tcPr>
          <w:p w14:paraId="11E032A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27.53</w:t>
            </w:r>
          </w:p>
        </w:tc>
        <w:tc>
          <w:tcPr>
            <w:tcW w:w="1482" w:type="dxa"/>
            <w:tcBorders>
              <w:top w:val="nil"/>
              <w:left w:val="nil"/>
              <w:bottom w:val="single" w:sz="4" w:space="0" w:color="auto"/>
              <w:right w:val="single" w:sz="4" w:space="0" w:color="auto"/>
            </w:tcBorders>
            <w:shd w:val="clear" w:color="auto" w:fill="auto"/>
            <w:noWrap/>
            <w:vAlign w:val="bottom"/>
            <w:hideMark/>
          </w:tcPr>
          <w:p w14:paraId="61048F21"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31.13</w:t>
            </w:r>
          </w:p>
        </w:tc>
        <w:tc>
          <w:tcPr>
            <w:tcW w:w="1525" w:type="dxa"/>
            <w:tcBorders>
              <w:top w:val="nil"/>
              <w:left w:val="nil"/>
              <w:bottom w:val="single" w:sz="4" w:space="0" w:color="auto"/>
              <w:right w:val="single" w:sz="4" w:space="0" w:color="auto"/>
            </w:tcBorders>
            <w:shd w:val="clear" w:color="auto" w:fill="auto"/>
            <w:noWrap/>
            <w:vAlign w:val="bottom"/>
            <w:hideMark/>
          </w:tcPr>
          <w:p w14:paraId="06F3C9FF"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24.08</w:t>
            </w:r>
          </w:p>
        </w:tc>
        <w:tc>
          <w:tcPr>
            <w:tcW w:w="960" w:type="dxa"/>
            <w:tcBorders>
              <w:top w:val="nil"/>
              <w:left w:val="nil"/>
              <w:bottom w:val="single" w:sz="4" w:space="0" w:color="auto"/>
              <w:right w:val="single" w:sz="4" w:space="0" w:color="auto"/>
            </w:tcBorders>
            <w:shd w:val="clear" w:color="auto" w:fill="auto"/>
            <w:noWrap/>
            <w:vAlign w:val="bottom"/>
            <w:hideMark/>
          </w:tcPr>
          <w:p w14:paraId="5198E96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82.74</w:t>
            </w:r>
          </w:p>
        </w:tc>
      </w:tr>
      <w:tr w:rsidR="00DF2773" w:rsidRPr="002E3C98" w14:paraId="2EC21EDF" w14:textId="77777777" w:rsidTr="00CC3CDB">
        <w:trPr>
          <w:trHeight w:val="315"/>
        </w:trPr>
        <w:tc>
          <w:tcPr>
            <w:tcW w:w="3363" w:type="dxa"/>
            <w:tcBorders>
              <w:top w:val="nil"/>
              <w:left w:val="single" w:sz="4" w:space="0" w:color="auto"/>
              <w:bottom w:val="single" w:sz="4" w:space="0" w:color="auto"/>
              <w:right w:val="single" w:sz="4" w:space="0" w:color="auto"/>
            </w:tcBorders>
            <w:shd w:val="clear" w:color="auto" w:fill="auto"/>
            <w:noWrap/>
            <w:vAlign w:val="bottom"/>
            <w:hideMark/>
          </w:tcPr>
          <w:p w14:paraId="0A2C43F5"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Labour</w:t>
            </w:r>
          </w:p>
        </w:tc>
        <w:tc>
          <w:tcPr>
            <w:tcW w:w="1213" w:type="dxa"/>
            <w:tcBorders>
              <w:top w:val="nil"/>
              <w:left w:val="nil"/>
              <w:bottom w:val="single" w:sz="4" w:space="0" w:color="auto"/>
              <w:right w:val="single" w:sz="4" w:space="0" w:color="auto"/>
            </w:tcBorders>
            <w:shd w:val="clear" w:color="auto" w:fill="auto"/>
            <w:noWrap/>
            <w:vAlign w:val="bottom"/>
            <w:hideMark/>
          </w:tcPr>
          <w:p w14:paraId="5F37BFD4"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14.35</w:t>
            </w:r>
          </w:p>
        </w:tc>
        <w:tc>
          <w:tcPr>
            <w:tcW w:w="1482" w:type="dxa"/>
            <w:tcBorders>
              <w:top w:val="nil"/>
              <w:left w:val="nil"/>
              <w:bottom w:val="single" w:sz="4" w:space="0" w:color="auto"/>
              <w:right w:val="single" w:sz="4" w:space="0" w:color="auto"/>
            </w:tcBorders>
            <w:shd w:val="clear" w:color="auto" w:fill="auto"/>
            <w:noWrap/>
            <w:vAlign w:val="bottom"/>
            <w:hideMark/>
          </w:tcPr>
          <w:p w14:paraId="78C72033"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23.31</w:t>
            </w:r>
          </w:p>
        </w:tc>
        <w:tc>
          <w:tcPr>
            <w:tcW w:w="1525" w:type="dxa"/>
            <w:tcBorders>
              <w:top w:val="nil"/>
              <w:left w:val="nil"/>
              <w:bottom w:val="single" w:sz="4" w:space="0" w:color="auto"/>
              <w:right w:val="single" w:sz="4" w:space="0" w:color="auto"/>
            </w:tcBorders>
            <w:shd w:val="clear" w:color="auto" w:fill="auto"/>
            <w:noWrap/>
            <w:vAlign w:val="bottom"/>
            <w:hideMark/>
          </w:tcPr>
          <w:p w14:paraId="0A2B2BD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31.84</w:t>
            </w:r>
          </w:p>
        </w:tc>
        <w:tc>
          <w:tcPr>
            <w:tcW w:w="960" w:type="dxa"/>
            <w:tcBorders>
              <w:top w:val="nil"/>
              <w:left w:val="nil"/>
              <w:bottom w:val="single" w:sz="4" w:space="0" w:color="auto"/>
              <w:right w:val="single" w:sz="4" w:space="0" w:color="auto"/>
            </w:tcBorders>
            <w:shd w:val="clear" w:color="auto" w:fill="auto"/>
            <w:noWrap/>
            <w:vAlign w:val="bottom"/>
            <w:hideMark/>
          </w:tcPr>
          <w:p w14:paraId="353E369E"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69.50</w:t>
            </w:r>
          </w:p>
        </w:tc>
      </w:tr>
      <w:tr w:rsidR="00DF2773" w:rsidRPr="002E3C98" w14:paraId="11D76E14" w14:textId="77777777" w:rsidTr="00CC3CDB">
        <w:trPr>
          <w:trHeight w:val="315"/>
        </w:trPr>
        <w:tc>
          <w:tcPr>
            <w:tcW w:w="3363" w:type="dxa"/>
            <w:tcBorders>
              <w:top w:val="nil"/>
              <w:left w:val="single" w:sz="4" w:space="0" w:color="auto"/>
              <w:bottom w:val="single" w:sz="4" w:space="0" w:color="auto"/>
              <w:right w:val="single" w:sz="4" w:space="0" w:color="auto"/>
            </w:tcBorders>
            <w:shd w:val="clear" w:color="auto" w:fill="auto"/>
            <w:noWrap/>
            <w:vAlign w:val="bottom"/>
            <w:hideMark/>
          </w:tcPr>
          <w:p w14:paraId="682711D3"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Overhead</w:t>
            </w:r>
          </w:p>
        </w:tc>
        <w:tc>
          <w:tcPr>
            <w:tcW w:w="1213" w:type="dxa"/>
            <w:tcBorders>
              <w:top w:val="nil"/>
              <w:left w:val="nil"/>
              <w:bottom w:val="single" w:sz="4" w:space="0" w:color="auto"/>
              <w:right w:val="single" w:sz="4" w:space="0" w:color="auto"/>
            </w:tcBorders>
            <w:shd w:val="clear" w:color="auto" w:fill="auto"/>
            <w:noWrap/>
            <w:vAlign w:val="bottom"/>
            <w:hideMark/>
          </w:tcPr>
          <w:p w14:paraId="3DE3AA10"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5.96</w:t>
            </w:r>
          </w:p>
        </w:tc>
        <w:tc>
          <w:tcPr>
            <w:tcW w:w="1482" w:type="dxa"/>
            <w:tcBorders>
              <w:top w:val="nil"/>
              <w:left w:val="nil"/>
              <w:bottom w:val="single" w:sz="4" w:space="0" w:color="auto"/>
              <w:right w:val="single" w:sz="4" w:space="0" w:color="auto"/>
            </w:tcBorders>
            <w:shd w:val="clear" w:color="auto" w:fill="auto"/>
            <w:noWrap/>
            <w:vAlign w:val="bottom"/>
            <w:hideMark/>
          </w:tcPr>
          <w:p w14:paraId="61FFFC8E"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5.96</w:t>
            </w:r>
          </w:p>
        </w:tc>
        <w:tc>
          <w:tcPr>
            <w:tcW w:w="1525" w:type="dxa"/>
            <w:tcBorders>
              <w:top w:val="nil"/>
              <w:left w:val="nil"/>
              <w:bottom w:val="single" w:sz="4" w:space="0" w:color="auto"/>
              <w:right w:val="single" w:sz="4" w:space="0" w:color="auto"/>
            </w:tcBorders>
            <w:shd w:val="clear" w:color="auto" w:fill="auto"/>
            <w:noWrap/>
            <w:vAlign w:val="bottom"/>
            <w:hideMark/>
          </w:tcPr>
          <w:p w14:paraId="3488BE23"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5.96</w:t>
            </w:r>
          </w:p>
        </w:tc>
        <w:tc>
          <w:tcPr>
            <w:tcW w:w="960" w:type="dxa"/>
            <w:tcBorders>
              <w:top w:val="nil"/>
              <w:left w:val="nil"/>
              <w:bottom w:val="single" w:sz="4" w:space="0" w:color="auto"/>
              <w:right w:val="single" w:sz="4" w:space="0" w:color="auto"/>
            </w:tcBorders>
            <w:shd w:val="clear" w:color="auto" w:fill="auto"/>
            <w:noWrap/>
            <w:vAlign w:val="bottom"/>
            <w:hideMark/>
          </w:tcPr>
          <w:p w14:paraId="7CF3036D"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17.88</w:t>
            </w:r>
          </w:p>
        </w:tc>
      </w:tr>
      <w:tr w:rsidR="00DF2773" w:rsidRPr="002E3C98" w14:paraId="0124FAE5" w14:textId="77777777" w:rsidTr="00CC3CDB">
        <w:trPr>
          <w:trHeight w:val="315"/>
        </w:trPr>
        <w:tc>
          <w:tcPr>
            <w:tcW w:w="3363" w:type="dxa"/>
            <w:tcBorders>
              <w:top w:val="nil"/>
              <w:left w:val="single" w:sz="4" w:space="0" w:color="auto"/>
              <w:bottom w:val="single" w:sz="4" w:space="0" w:color="auto"/>
              <w:right w:val="single" w:sz="4" w:space="0" w:color="auto"/>
            </w:tcBorders>
            <w:shd w:val="clear" w:color="auto" w:fill="auto"/>
            <w:noWrap/>
            <w:vAlign w:val="bottom"/>
            <w:hideMark/>
          </w:tcPr>
          <w:p w14:paraId="10A6A3F3"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Contribution per unit (tyre)</w:t>
            </w:r>
          </w:p>
        </w:tc>
        <w:tc>
          <w:tcPr>
            <w:tcW w:w="1213" w:type="dxa"/>
            <w:tcBorders>
              <w:top w:val="nil"/>
              <w:left w:val="nil"/>
              <w:bottom w:val="single" w:sz="4" w:space="0" w:color="auto"/>
              <w:right w:val="single" w:sz="4" w:space="0" w:color="auto"/>
            </w:tcBorders>
            <w:shd w:val="clear" w:color="auto" w:fill="auto"/>
            <w:noWrap/>
            <w:vAlign w:val="bottom"/>
            <w:hideMark/>
          </w:tcPr>
          <w:p w14:paraId="63EC5AF8"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12.16</w:t>
            </w:r>
          </w:p>
        </w:tc>
        <w:tc>
          <w:tcPr>
            <w:tcW w:w="1482" w:type="dxa"/>
            <w:tcBorders>
              <w:top w:val="nil"/>
              <w:left w:val="nil"/>
              <w:bottom w:val="single" w:sz="4" w:space="0" w:color="auto"/>
              <w:right w:val="single" w:sz="4" w:space="0" w:color="auto"/>
            </w:tcBorders>
            <w:shd w:val="clear" w:color="auto" w:fill="auto"/>
            <w:noWrap/>
            <w:vAlign w:val="bottom"/>
            <w:hideMark/>
          </w:tcPr>
          <w:p w14:paraId="7D6AD70C"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29.60</w:t>
            </w:r>
          </w:p>
        </w:tc>
        <w:tc>
          <w:tcPr>
            <w:tcW w:w="1525" w:type="dxa"/>
            <w:tcBorders>
              <w:top w:val="nil"/>
              <w:left w:val="nil"/>
              <w:bottom w:val="single" w:sz="4" w:space="0" w:color="auto"/>
              <w:right w:val="single" w:sz="4" w:space="0" w:color="auto"/>
            </w:tcBorders>
            <w:shd w:val="clear" w:color="auto" w:fill="auto"/>
            <w:noWrap/>
            <w:vAlign w:val="bottom"/>
            <w:hideMark/>
          </w:tcPr>
          <w:p w14:paraId="06C8EA56"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58.12</w:t>
            </w:r>
          </w:p>
        </w:tc>
        <w:tc>
          <w:tcPr>
            <w:tcW w:w="960" w:type="dxa"/>
            <w:tcBorders>
              <w:top w:val="nil"/>
              <w:left w:val="nil"/>
              <w:bottom w:val="single" w:sz="4" w:space="0" w:color="auto"/>
              <w:right w:val="single" w:sz="4" w:space="0" w:color="auto"/>
            </w:tcBorders>
            <w:shd w:val="clear" w:color="auto" w:fill="auto"/>
            <w:noWrap/>
            <w:vAlign w:val="bottom"/>
            <w:hideMark/>
          </w:tcPr>
          <w:p w14:paraId="64D2AC33"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99.88</w:t>
            </w:r>
          </w:p>
        </w:tc>
      </w:tr>
      <w:tr w:rsidR="00DF2773" w:rsidRPr="002E3C98" w14:paraId="2814373D" w14:textId="77777777" w:rsidTr="00CC3CDB">
        <w:trPr>
          <w:trHeight w:val="315"/>
        </w:trPr>
        <w:tc>
          <w:tcPr>
            <w:tcW w:w="3363" w:type="dxa"/>
            <w:tcBorders>
              <w:top w:val="nil"/>
              <w:left w:val="single" w:sz="4" w:space="0" w:color="auto"/>
              <w:bottom w:val="single" w:sz="4" w:space="0" w:color="auto"/>
              <w:right w:val="single" w:sz="4" w:space="0" w:color="auto"/>
            </w:tcBorders>
            <w:shd w:val="clear" w:color="auto" w:fill="auto"/>
            <w:noWrap/>
            <w:vAlign w:val="bottom"/>
            <w:hideMark/>
          </w:tcPr>
          <w:p w14:paraId="02B9D8E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Special Strengthening Wire per tyre</w:t>
            </w:r>
          </w:p>
        </w:tc>
        <w:tc>
          <w:tcPr>
            <w:tcW w:w="1213" w:type="dxa"/>
            <w:tcBorders>
              <w:top w:val="nil"/>
              <w:left w:val="nil"/>
              <w:bottom w:val="single" w:sz="4" w:space="0" w:color="auto"/>
              <w:right w:val="single" w:sz="4" w:space="0" w:color="auto"/>
            </w:tcBorders>
            <w:shd w:val="clear" w:color="auto" w:fill="auto"/>
            <w:noWrap/>
            <w:vAlign w:val="bottom"/>
            <w:hideMark/>
          </w:tcPr>
          <w:p w14:paraId="2EC36BEA"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4.00</w:t>
            </w:r>
          </w:p>
        </w:tc>
        <w:tc>
          <w:tcPr>
            <w:tcW w:w="1482" w:type="dxa"/>
            <w:tcBorders>
              <w:top w:val="nil"/>
              <w:left w:val="nil"/>
              <w:bottom w:val="single" w:sz="4" w:space="0" w:color="auto"/>
              <w:right w:val="single" w:sz="4" w:space="0" w:color="auto"/>
            </w:tcBorders>
            <w:shd w:val="clear" w:color="auto" w:fill="auto"/>
            <w:noWrap/>
            <w:vAlign w:val="bottom"/>
            <w:hideMark/>
          </w:tcPr>
          <w:p w14:paraId="1A0FCC5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6.00</w:t>
            </w:r>
          </w:p>
        </w:tc>
        <w:tc>
          <w:tcPr>
            <w:tcW w:w="1525" w:type="dxa"/>
            <w:tcBorders>
              <w:top w:val="nil"/>
              <w:left w:val="nil"/>
              <w:bottom w:val="single" w:sz="4" w:space="0" w:color="auto"/>
              <w:right w:val="single" w:sz="4" w:space="0" w:color="auto"/>
            </w:tcBorders>
            <w:shd w:val="clear" w:color="auto" w:fill="auto"/>
            <w:noWrap/>
            <w:vAlign w:val="bottom"/>
            <w:hideMark/>
          </w:tcPr>
          <w:p w14:paraId="6B1F902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12.00</w:t>
            </w:r>
          </w:p>
        </w:tc>
        <w:tc>
          <w:tcPr>
            <w:tcW w:w="960" w:type="dxa"/>
            <w:tcBorders>
              <w:top w:val="nil"/>
              <w:left w:val="nil"/>
              <w:bottom w:val="single" w:sz="4" w:space="0" w:color="auto"/>
              <w:right w:val="single" w:sz="4" w:space="0" w:color="auto"/>
            </w:tcBorders>
            <w:shd w:val="clear" w:color="auto" w:fill="auto"/>
            <w:noWrap/>
            <w:vAlign w:val="bottom"/>
            <w:hideMark/>
          </w:tcPr>
          <w:p w14:paraId="34EAA04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22.00</w:t>
            </w:r>
          </w:p>
        </w:tc>
      </w:tr>
      <w:tr w:rsidR="00DF2773" w:rsidRPr="002E3C98" w14:paraId="1F25C9B5" w14:textId="77777777" w:rsidTr="00CC3CDB">
        <w:trPr>
          <w:trHeight w:val="315"/>
        </w:trPr>
        <w:tc>
          <w:tcPr>
            <w:tcW w:w="3363" w:type="dxa"/>
            <w:tcBorders>
              <w:top w:val="nil"/>
              <w:left w:val="single" w:sz="4" w:space="0" w:color="auto"/>
              <w:bottom w:val="single" w:sz="4" w:space="0" w:color="auto"/>
              <w:right w:val="single" w:sz="4" w:space="0" w:color="auto"/>
            </w:tcBorders>
            <w:shd w:val="clear" w:color="auto" w:fill="auto"/>
            <w:noWrap/>
            <w:vAlign w:val="bottom"/>
            <w:hideMark/>
          </w:tcPr>
          <w:p w14:paraId="2A97D868"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Contribution per wire</w:t>
            </w:r>
          </w:p>
        </w:tc>
        <w:tc>
          <w:tcPr>
            <w:tcW w:w="1213" w:type="dxa"/>
            <w:tcBorders>
              <w:top w:val="nil"/>
              <w:left w:val="nil"/>
              <w:bottom w:val="single" w:sz="4" w:space="0" w:color="auto"/>
              <w:right w:val="single" w:sz="4" w:space="0" w:color="auto"/>
            </w:tcBorders>
            <w:shd w:val="clear" w:color="auto" w:fill="auto"/>
            <w:noWrap/>
            <w:vAlign w:val="bottom"/>
            <w:hideMark/>
          </w:tcPr>
          <w:p w14:paraId="1E55DEEE"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3.04</w:t>
            </w:r>
          </w:p>
        </w:tc>
        <w:tc>
          <w:tcPr>
            <w:tcW w:w="1482" w:type="dxa"/>
            <w:tcBorders>
              <w:top w:val="nil"/>
              <w:left w:val="nil"/>
              <w:bottom w:val="single" w:sz="4" w:space="0" w:color="auto"/>
              <w:right w:val="single" w:sz="4" w:space="0" w:color="auto"/>
            </w:tcBorders>
            <w:shd w:val="clear" w:color="auto" w:fill="auto"/>
            <w:noWrap/>
            <w:vAlign w:val="bottom"/>
            <w:hideMark/>
          </w:tcPr>
          <w:p w14:paraId="5F561F6F"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4.93</w:t>
            </w:r>
          </w:p>
        </w:tc>
        <w:tc>
          <w:tcPr>
            <w:tcW w:w="1525" w:type="dxa"/>
            <w:tcBorders>
              <w:top w:val="nil"/>
              <w:left w:val="nil"/>
              <w:bottom w:val="single" w:sz="4" w:space="0" w:color="auto"/>
              <w:right w:val="single" w:sz="4" w:space="0" w:color="auto"/>
            </w:tcBorders>
            <w:shd w:val="clear" w:color="auto" w:fill="auto"/>
            <w:noWrap/>
            <w:vAlign w:val="bottom"/>
            <w:hideMark/>
          </w:tcPr>
          <w:p w14:paraId="0600D067"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4.84</w:t>
            </w:r>
          </w:p>
        </w:tc>
        <w:tc>
          <w:tcPr>
            <w:tcW w:w="960" w:type="dxa"/>
            <w:tcBorders>
              <w:top w:val="nil"/>
              <w:left w:val="nil"/>
              <w:bottom w:val="single" w:sz="4" w:space="0" w:color="auto"/>
              <w:right w:val="single" w:sz="4" w:space="0" w:color="auto"/>
            </w:tcBorders>
            <w:shd w:val="clear" w:color="auto" w:fill="auto"/>
            <w:noWrap/>
            <w:vAlign w:val="bottom"/>
            <w:hideMark/>
          </w:tcPr>
          <w:p w14:paraId="6847A22F"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12.82</w:t>
            </w:r>
          </w:p>
        </w:tc>
      </w:tr>
      <w:tr w:rsidR="00DF2773" w:rsidRPr="002E3C98" w14:paraId="44DEE357" w14:textId="77777777" w:rsidTr="00CC3CDB">
        <w:trPr>
          <w:trHeight w:val="315"/>
        </w:trPr>
        <w:tc>
          <w:tcPr>
            <w:tcW w:w="3363" w:type="dxa"/>
            <w:tcBorders>
              <w:top w:val="nil"/>
              <w:left w:val="single" w:sz="4" w:space="0" w:color="auto"/>
              <w:bottom w:val="single" w:sz="4" w:space="0" w:color="auto"/>
              <w:right w:val="single" w:sz="4" w:space="0" w:color="auto"/>
            </w:tcBorders>
            <w:shd w:val="clear" w:color="auto" w:fill="auto"/>
            <w:noWrap/>
            <w:vAlign w:val="bottom"/>
            <w:hideMark/>
          </w:tcPr>
          <w:p w14:paraId="07B7D60F"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Fixed Cost</w:t>
            </w:r>
          </w:p>
        </w:tc>
        <w:tc>
          <w:tcPr>
            <w:tcW w:w="1213" w:type="dxa"/>
            <w:tcBorders>
              <w:top w:val="nil"/>
              <w:left w:val="nil"/>
              <w:bottom w:val="single" w:sz="4" w:space="0" w:color="auto"/>
              <w:right w:val="single" w:sz="4" w:space="0" w:color="auto"/>
            </w:tcBorders>
            <w:shd w:val="clear" w:color="auto" w:fill="auto"/>
            <w:noWrap/>
            <w:vAlign w:val="bottom"/>
            <w:hideMark/>
          </w:tcPr>
          <w:p w14:paraId="329BC4D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1482" w:type="dxa"/>
            <w:tcBorders>
              <w:top w:val="nil"/>
              <w:left w:val="nil"/>
              <w:bottom w:val="single" w:sz="4" w:space="0" w:color="auto"/>
              <w:right w:val="single" w:sz="4" w:space="0" w:color="auto"/>
            </w:tcBorders>
            <w:shd w:val="clear" w:color="auto" w:fill="auto"/>
            <w:noWrap/>
            <w:vAlign w:val="bottom"/>
            <w:hideMark/>
          </w:tcPr>
          <w:p w14:paraId="1CDBE35F"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1525" w:type="dxa"/>
            <w:tcBorders>
              <w:top w:val="nil"/>
              <w:left w:val="nil"/>
              <w:bottom w:val="single" w:sz="4" w:space="0" w:color="auto"/>
              <w:right w:val="single" w:sz="4" w:space="0" w:color="auto"/>
            </w:tcBorders>
            <w:shd w:val="clear" w:color="auto" w:fill="auto"/>
            <w:noWrap/>
            <w:vAlign w:val="bottom"/>
            <w:hideMark/>
          </w:tcPr>
          <w:p w14:paraId="3AAE76DF"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2132E2A"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8072.34</w:t>
            </w:r>
          </w:p>
        </w:tc>
      </w:tr>
      <w:tr w:rsidR="00DF2773" w:rsidRPr="002E3C98" w14:paraId="1A852E8D" w14:textId="77777777" w:rsidTr="00CC3CDB">
        <w:trPr>
          <w:trHeight w:val="315"/>
        </w:trPr>
        <w:tc>
          <w:tcPr>
            <w:tcW w:w="3363" w:type="dxa"/>
            <w:tcBorders>
              <w:top w:val="nil"/>
              <w:left w:val="single" w:sz="4" w:space="0" w:color="auto"/>
              <w:bottom w:val="single" w:sz="4" w:space="0" w:color="auto"/>
              <w:right w:val="single" w:sz="4" w:space="0" w:color="auto"/>
            </w:tcBorders>
            <w:shd w:val="clear" w:color="auto" w:fill="auto"/>
            <w:noWrap/>
            <w:vAlign w:val="bottom"/>
            <w:hideMark/>
          </w:tcPr>
          <w:p w14:paraId="35C45187"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Rankings</w:t>
            </w:r>
          </w:p>
        </w:tc>
        <w:tc>
          <w:tcPr>
            <w:tcW w:w="1213" w:type="dxa"/>
            <w:tcBorders>
              <w:top w:val="nil"/>
              <w:left w:val="nil"/>
              <w:bottom w:val="single" w:sz="4" w:space="0" w:color="auto"/>
              <w:right w:val="single" w:sz="4" w:space="0" w:color="auto"/>
            </w:tcBorders>
            <w:shd w:val="clear" w:color="auto" w:fill="auto"/>
            <w:noWrap/>
            <w:vAlign w:val="bottom"/>
            <w:hideMark/>
          </w:tcPr>
          <w:p w14:paraId="4778887A"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3</w:t>
            </w:r>
          </w:p>
        </w:tc>
        <w:tc>
          <w:tcPr>
            <w:tcW w:w="1482" w:type="dxa"/>
            <w:tcBorders>
              <w:top w:val="nil"/>
              <w:left w:val="nil"/>
              <w:bottom w:val="single" w:sz="4" w:space="0" w:color="auto"/>
              <w:right w:val="single" w:sz="4" w:space="0" w:color="auto"/>
            </w:tcBorders>
            <w:shd w:val="clear" w:color="auto" w:fill="auto"/>
            <w:noWrap/>
            <w:vAlign w:val="bottom"/>
            <w:hideMark/>
          </w:tcPr>
          <w:p w14:paraId="76188164"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1</w:t>
            </w:r>
          </w:p>
        </w:tc>
        <w:tc>
          <w:tcPr>
            <w:tcW w:w="1525" w:type="dxa"/>
            <w:tcBorders>
              <w:top w:val="nil"/>
              <w:left w:val="nil"/>
              <w:bottom w:val="single" w:sz="4" w:space="0" w:color="auto"/>
              <w:right w:val="single" w:sz="4" w:space="0" w:color="auto"/>
            </w:tcBorders>
            <w:shd w:val="clear" w:color="auto" w:fill="auto"/>
            <w:noWrap/>
            <w:vAlign w:val="bottom"/>
            <w:hideMark/>
          </w:tcPr>
          <w:p w14:paraId="2528C7B3"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2</w:t>
            </w:r>
          </w:p>
        </w:tc>
        <w:tc>
          <w:tcPr>
            <w:tcW w:w="960" w:type="dxa"/>
            <w:tcBorders>
              <w:top w:val="nil"/>
              <w:left w:val="nil"/>
              <w:bottom w:val="single" w:sz="4" w:space="0" w:color="auto"/>
              <w:right w:val="single" w:sz="4" w:space="0" w:color="auto"/>
            </w:tcBorders>
            <w:shd w:val="clear" w:color="auto" w:fill="auto"/>
            <w:noWrap/>
            <w:vAlign w:val="bottom"/>
            <w:hideMark/>
          </w:tcPr>
          <w:p w14:paraId="2881E6EF"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r>
    </w:tbl>
    <w:p w14:paraId="025794E5" w14:textId="77777777" w:rsidR="00DF2773" w:rsidRPr="00E04DD7" w:rsidRDefault="00DF2773" w:rsidP="00E04DD7">
      <w:pPr>
        <w:spacing w:line="360" w:lineRule="auto"/>
        <w:jc w:val="both"/>
        <w:rPr>
          <w:sz w:val="24"/>
          <w:szCs w:val="24"/>
        </w:rPr>
      </w:pPr>
    </w:p>
    <w:p w14:paraId="74F7B51C" w14:textId="4B0580E6" w:rsidR="00DF2773" w:rsidRPr="00E04DD7" w:rsidRDefault="00DF2773" w:rsidP="00E04DD7">
      <w:pPr>
        <w:spacing w:line="360" w:lineRule="auto"/>
        <w:jc w:val="both"/>
        <w:rPr>
          <w:sz w:val="24"/>
          <w:szCs w:val="24"/>
        </w:rPr>
      </w:pPr>
      <w:r w:rsidRPr="00E04DD7">
        <w:rPr>
          <w:sz w:val="24"/>
          <w:szCs w:val="24"/>
        </w:rPr>
        <w:lastRenderedPageBreak/>
        <w:t xml:space="preserve">The above-computed rankings for the three products for STG suggest that the various </w:t>
      </w:r>
      <w:r w:rsidRPr="00E04DD7">
        <w:rPr>
          <w:sz w:val="24"/>
          <w:szCs w:val="24"/>
        </w:rPr>
        <w:t>types of</w:t>
      </w:r>
      <w:r w:rsidRPr="00E04DD7">
        <w:rPr>
          <w:sz w:val="24"/>
          <w:szCs w:val="24"/>
        </w:rPr>
        <w:t xml:space="preserve"> the company should attempt to fulfil the annual demand for the standard product as the said product provides the maximum contribution per wire (limiting factor). Once the annual demand for the standard is fulfilled the company would attempt to go ahead with the demand </w:t>
      </w:r>
      <w:r w:rsidRPr="00E04DD7">
        <w:rPr>
          <w:sz w:val="24"/>
          <w:szCs w:val="24"/>
        </w:rPr>
        <w:t>for</w:t>
      </w:r>
      <w:r w:rsidRPr="00E04DD7">
        <w:rPr>
          <w:sz w:val="24"/>
          <w:szCs w:val="24"/>
        </w:rPr>
        <w:t xml:space="preserve"> the premium product (</w:t>
      </w:r>
      <w:proofErr w:type="spellStart"/>
      <w:r w:rsidRPr="00E04DD7">
        <w:rPr>
          <w:sz w:val="24"/>
          <w:szCs w:val="24"/>
        </w:rPr>
        <w:t>Aldieri</w:t>
      </w:r>
      <w:proofErr w:type="spellEnd"/>
      <w:r w:rsidRPr="00E04DD7">
        <w:rPr>
          <w:sz w:val="24"/>
          <w:szCs w:val="24"/>
        </w:rPr>
        <w:t xml:space="preserve"> and Vinci 2018). The residual wire would be used towards the computation of the total maximum production for the standard product. The resulting production mix is the most profitable mix of products for the company as it would provide maximum profit for the business. </w:t>
      </w:r>
    </w:p>
    <w:p w14:paraId="5DEBDB8C" w14:textId="779D388E" w:rsidR="00DF2773" w:rsidRPr="00E04DD7" w:rsidRDefault="00DF2773" w:rsidP="00DF2773">
      <w:pPr>
        <w:pStyle w:val="Heading1"/>
        <w:jc w:val="both"/>
        <w:rPr>
          <w:rFonts w:asciiTheme="minorHAnsi" w:hAnsiTheme="minorHAnsi" w:cstheme="minorHAnsi"/>
          <w:b/>
          <w:bCs/>
          <w:color w:val="auto"/>
          <w:sz w:val="24"/>
          <w:szCs w:val="24"/>
        </w:rPr>
      </w:pPr>
      <w:bookmarkStart w:id="1" w:name="_Toc117345877"/>
      <w:r w:rsidRPr="00E04DD7">
        <w:rPr>
          <w:rFonts w:asciiTheme="minorHAnsi" w:hAnsiTheme="minorHAnsi" w:cstheme="minorHAnsi"/>
          <w:b/>
          <w:bCs/>
          <w:color w:val="auto"/>
          <w:sz w:val="24"/>
          <w:szCs w:val="24"/>
        </w:rPr>
        <w:t>1.2 – Production schedule and marginal cost statement in case the budget contract is honoured.</w:t>
      </w:r>
      <w:bookmarkEnd w:id="1"/>
      <w:r w:rsidRPr="00E04DD7">
        <w:rPr>
          <w:rFonts w:asciiTheme="minorHAnsi" w:hAnsiTheme="minorHAnsi" w:cstheme="minorHAnsi"/>
          <w:b/>
          <w:bCs/>
          <w:color w:val="auto"/>
          <w:sz w:val="24"/>
          <w:szCs w:val="24"/>
        </w:rPr>
        <w:t xml:space="preserve"> </w:t>
      </w:r>
    </w:p>
    <w:p w14:paraId="658F8E7A" w14:textId="77777777" w:rsidR="00912E44" w:rsidRPr="00912E44" w:rsidRDefault="00912E44" w:rsidP="00912E44"/>
    <w:tbl>
      <w:tblPr>
        <w:tblW w:w="5000" w:type="pct"/>
        <w:tblLook w:val="04A0" w:firstRow="1" w:lastRow="0" w:firstColumn="1" w:lastColumn="0" w:noHBand="0" w:noVBand="1"/>
      </w:tblPr>
      <w:tblGrid>
        <w:gridCol w:w="1381"/>
        <w:gridCol w:w="1340"/>
        <w:gridCol w:w="2343"/>
        <w:gridCol w:w="1783"/>
        <w:gridCol w:w="1311"/>
        <w:gridCol w:w="858"/>
      </w:tblGrid>
      <w:tr w:rsidR="00DF2773" w:rsidRPr="002E3C98" w14:paraId="4ACF6627" w14:textId="77777777" w:rsidTr="00CC3CDB">
        <w:trPr>
          <w:trHeight w:val="315"/>
        </w:trPr>
        <w:tc>
          <w:tcPr>
            <w:tcW w:w="75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527BAD"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Particulars</w:t>
            </w:r>
          </w:p>
        </w:tc>
        <w:tc>
          <w:tcPr>
            <w:tcW w:w="725" w:type="pct"/>
            <w:tcBorders>
              <w:top w:val="single" w:sz="4" w:space="0" w:color="auto"/>
              <w:left w:val="nil"/>
              <w:bottom w:val="single" w:sz="4" w:space="0" w:color="auto"/>
              <w:right w:val="single" w:sz="4" w:space="0" w:color="auto"/>
            </w:tcBorders>
            <w:shd w:val="clear" w:color="auto" w:fill="auto"/>
            <w:noWrap/>
            <w:vAlign w:val="bottom"/>
            <w:hideMark/>
          </w:tcPr>
          <w:p w14:paraId="435F7251"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Annual Demand</w:t>
            </w:r>
          </w:p>
        </w:tc>
        <w:tc>
          <w:tcPr>
            <w:tcW w:w="1407" w:type="pct"/>
            <w:tcBorders>
              <w:top w:val="single" w:sz="4" w:space="0" w:color="auto"/>
              <w:left w:val="nil"/>
              <w:bottom w:val="single" w:sz="4" w:space="0" w:color="auto"/>
              <w:right w:val="single" w:sz="4" w:space="0" w:color="auto"/>
            </w:tcBorders>
            <w:shd w:val="clear" w:color="auto" w:fill="auto"/>
            <w:noWrap/>
            <w:vAlign w:val="bottom"/>
            <w:hideMark/>
          </w:tcPr>
          <w:p w14:paraId="3FB1586E"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Maximum Possible Production</w:t>
            </w:r>
          </w:p>
        </w:tc>
        <w:tc>
          <w:tcPr>
            <w:tcW w:w="970" w:type="pct"/>
            <w:tcBorders>
              <w:top w:val="single" w:sz="4" w:space="0" w:color="auto"/>
              <w:left w:val="nil"/>
              <w:bottom w:val="single" w:sz="4" w:space="0" w:color="auto"/>
              <w:right w:val="single" w:sz="4" w:space="0" w:color="auto"/>
            </w:tcBorders>
            <w:shd w:val="clear" w:color="auto" w:fill="auto"/>
            <w:noWrap/>
            <w:vAlign w:val="bottom"/>
            <w:hideMark/>
          </w:tcPr>
          <w:p w14:paraId="119A46FC"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Wire required per tyre</w:t>
            </w:r>
          </w:p>
        </w:tc>
        <w:tc>
          <w:tcPr>
            <w:tcW w:w="690" w:type="pct"/>
            <w:tcBorders>
              <w:top w:val="single" w:sz="4" w:space="0" w:color="auto"/>
              <w:left w:val="nil"/>
              <w:bottom w:val="single" w:sz="4" w:space="0" w:color="auto"/>
              <w:right w:val="single" w:sz="4" w:space="0" w:color="auto"/>
            </w:tcBorders>
            <w:shd w:val="clear" w:color="auto" w:fill="auto"/>
            <w:noWrap/>
            <w:vAlign w:val="bottom"/>
            <w:hideMark/>
          </w:tcPr>
          <w:p w14:paraId="66A1EEE9"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Wire consumed</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14:paraId="6D5757C7"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Wire Left</w:t>
            </w:r>
          </w:p>
        </w:tc>
      </w:tr>
      <w:tr w:rsidR="00DF2773" w:rsidRPr="002E3C98" w14:paraId="5555C775" w14:textId="77777777" w:rsidTr="00CC3CDB">
        <w:trPr>
          <w:trHeight w:val="315"/>
        </w:trPr>
        <w:tc>
          <w:tcPr>
            <w:tcW w:w="753" w:type="pct"/>
            <w:tcBorders>
              <w:top w:val="nil"/>
              <w:left w:val="single" w:sz="4" w:space="0" w:color="auto"/>
              <w:bottom w:val="single" w:sz="4" w:space="0" w:color="auto"/>
              <w:right w:val="single" w:sz="4" w:space="0" w:color="auto"/>
            </w:tcBorders>
            <w:shd w:val="clear" w:color="auto" w:fill="auto"/>
            <w:noWrap/>
            <w:vAlign w:val="bottom"/>
            <w:hideMark/>
          </w:tcPr>
          <w:p w14:paraId="118EBF90"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725" w:type="pct"/>
            <w:tcBorders>
              <w:top w:val="nil"/>
              <w:left w:val="nil"/>
              <w:bottom w:val="single" w:sz="4" w:space="0" w:color="auto"/>
              <w:right w:val="single" w:sz="4" w:space="0" w:color="auto"/>
            </w:tcBorders>
            <w:shd w:val="clear" w:color="auto" w:fill="auto"/>
            <w:noWrap/>
            <w:vAlign w:val="bottom"/>
            <w:hideMark/>
          </w:tcPr>
          <w:p w14:paraId="2C579F2D"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1407" w:type="pct"/>
            <w:tcBorders>
              <w:top w:val="nil"/>
              <w:left w:val="nil"/>
              <w:bottom w:val="single" w:sz="4" w:space="0" w:color="auto"/>
              <w:right w:val="single" w:sz="4" w:space="0" w:color="auto"/>
            </w:tcBorders>
            <w:shd w:val="clear" w:color="auto" w:fill="auto"/>
            <w:noWrap/>
            <w:vAlign w:val="bottom"/>
            <w:hideMark/>
          </w:tcPr>
          <w:p w14:paraId="38824D1A"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970" w:type="pct"/>
            <w:tcBorders>
              <w:top w:val="nil"/>
              <w:left w:val="nil"/>
              <w:bottom w:val="single" w:sz="4" w:space="0" w:color="auto"/>
              <w:right w:val="single" w:sz="4" w:space="0" w:color="auto"/>
            </w:tcBorders>
            <w:shd w:val="clear" w:color="auto" w:fill="auto"/>
            <w:noWrap/>
            <w:vAlign w:val="bottom"/>
            <w:hideMark/>
          </w:tcPr>
          <w:p w14:paraId="79D4AA6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690" w:type="pct"/>
            <w:tcBorders>
              <w:top w:val="nil"/>
              <w:left w:val="nil"/>
              <w:bottom w:val="single" w:sz="4" w:space="0" w:color="auto"/>
              <w:right w:val="single" w:sz="4" w:space="0" w:color="auto"/>
            </w:tcBorders>
            <w:shd w:val="clear" w:color="auto" w:fill="auto"/>
            <w:noWrap/>
            <w:vAlign w:val="bottom"/>
            <w:hideMark/>
          </w:tcPr>
          <w:p w14:paraId="6E9AD21D"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454" w:type="pct"/>
            <w:tcBorders>
              <w:top w:val="nil"/>
              <w:left w:val="nil"/>
              <w:bottom w:val="single" w:sz="4" w:space="0" w:color="auto"/>
              <w:right w:val="single" w:sz="4" w:space="0" w:color="auto"/>
            </w:tcBorders>
            <w:shd w:val="clear" w:color="auto" w:fill="auto"/>
            <w:noWrap/>
            <w:vAlign w:val="bottom"/>
            <w:hideMark/>
          </w:tcPr>
          <w:p w14:paraId="447B9D7E"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25140</w:t>
            </w:r>
          </w:p>
        </w:tc>
      </w:tr>
      <w:tr w:rsidR="00DF2773" w:rsidRPr="002E3C98" w14:paraId="69796C5C" w14:textId="77777777" w:rsidTr="00CC3CDB">
        <w:trPr>
          <w:trHeight w:val="315"/>
        </w:trPr>
        <w:tc>
          <w:tcPr>
            <w:tcW w:w="753" w:type="pct"/>
            <w:tcBorders>
              <w:top w:val="nil"/>
              <w:left w:val="single" w:sz="4" w:space="0" w:color="auto"/>
              <w:bottom w:val="single" w:sz="4" w:space="0" w:color="auto"/>
              <w:right w:val="single" w:sz="4" w:space="0" w:color="auto"/>
            </w:tcBorders>
            <w:shd w:val="clear" w:color="auto" w:fill="auto"/>
            <w:noWrap/>
            <w:vAlign w:val="bottom"/>
            <w:hideMark/>
          </w:tcPr>
          <w:p w14:paraId="56D1C7CB" w14:textId="77777777" w:rsidR="00DF2773" w:rsidRPr="002E3C98" w:rsidRDefault="00DF2773" w:rsidP="00CC3CDB">
            <w:pPr>
              <w:spacing w:after="0"/>
              <w:jc w:val="both"/>
              <w:rPr>
                <w:rFonts w:eastAsia="Times New Roman" w:cs="Times New Roman"/>
                <w:color w:val="000000"/>
                <w:szCs w:val="24"/>
                <w:u w:val="single"/>
                <w:lang w:eastAsia="en-IN"/>
              </w:rPr>
            </w:pPr>
            <w:r w:rsidRPr="002E3C98">
              <w:rPr>
                <w:rFonts w:eastAsia="Times New Roman" w:cs="Times New Roman"/>
                <w:color w:val="000000"/>
                <w:szCs w:val="24"/>
                <w:u w:val="single"/>
                <w:lang w:eastAsia="en-IN"/>
              </w:rPr>
              <w:t>Rank 1: Standard</w:t>
            </w:r>
          </w:p>
        </w:tc>
        <w:tc>
          <w:tcPr>
            <w:tcW w:w="725" w:type="pct"/>
            <w:tcBorders>
              <w:top w:val="nil"/>
              <w:left w:val="nil"/>
              <w:bottom w:val="single" w:sz="4" w:space="0" w:color="auto"/>
              <w:right w:val="single" w:sz="4" w:space="0" w:color="auto"/>
            </w:tcBorders>
            <w:shd w:val="clear" w:color="auto" w:fill="auto"/>
            <w:noWrap/>
            <w:vAlign w:val="bottom"/>
            <w:hideMark/>
          </w:tcPr>
          <w:p w14:paraId="48EA8CFD"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1600</w:t>
            </w:r>
          </w:p>
        </w:tc>
        <w:tc>
          <w:tcPr>
            <w:tcW w:w="1407" w:type="pct"/>
            <w:tcBorders>
              <w:top w:val="nil"/>
              <w:left w:val="nil"/>
              <w:bottom w:val="single" w:sz="4" w:space="0" w:color="auto"/>
              <w:right w:val="single" w:sz="4" w:space="0" w:color="auto"/>
            </w:tcBorders>
            <w:shd w:val="clear" w:color="auto" w:fill="auto"/>
            <w:noWrap/>
            <w:vAlign w:val="bottom"/>
            <w:hideMark/>
          </w:tcPr>
          <w:p w14:paraId="692FA25F"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1600</w:t>
            </w:r>
          </w:p>
        </w:tc>
        <w:tc>
          <w:tcPr>
            <w:tcW w:w="970" w:type="pct"/>
            <w:tcBorders>
              <w:top w:val="nil"/>
              <w:left w:val="nil"/>
              <w:bottom w:val="single" w:sz="4" w:space="0" w:color="auto"/>
              <w:right w:val="single" w:sz="4" w:space="0" w:color="auto"/>
            </w:tcBorders>
            <w:shd w:val="clear" w:color="auto" w:fill="auto"/>
            <w:noWrap/>
            <w:vAlign w:val="bottom"/>
            <w:hideMark/>
          </w:tcPr>
          <w:p w14:paraId="6374F5E5"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6</w:t>
            </w:r>
          </w:p>
        </w:tc>
        <w:tc>
          <w:tcPr>
            <w:tcW w:w="690" w:type="pct"/>
            <w:tcBorders>
              <w:top w:val="nil"/>
              <w:left w:val="nil"/>
              <w:bottom w:val="single" w:sz="4" w:space="0" w:color="auto"/>
              <w:right w:val="single" w:sz="4" w:space="0" w:color="auto"/>
            </w:tcBorders>
            <w:shd w:val="clear" w:color="auto" w:fill="auto"/>
            <w:noWrap/>
            <w:vAlign w:val="bottom"/>
            <w:hideMark/>
          </w:tcPr>
          <w:p w14:paraId="190A34CD"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9600</w:t>
            </w:r>
          </w:p>
        </w:tc>
        <w:tc>
          <w:tcPr>
            <w:tcW w:w="454" w:type="pct"/>
            <w:tcBorders>
              <w:top w:val="nil"/>
              <w:left w:val="nil"/>
              <w:bottom w:val="single" w:sz="4" w:space="0" w:color="auto"/>
              <w:right w:val="single" w:sz="4" w:space="0" w:color="auto"/>
            </w:tcBorders>
            <w:shd w:val="clear" w:color="auto" w:fill="auto"/>
            <w:noWrap/>
            <w:vAlign w:val="bottom"/>
            <w:hideMark/>
          </w:tcPr>
          <w:p w14:paraId="37985173"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15540</w:t>
            </w:r>
          </w:p>
        </w:tc>
      </w:tr>
      <w:tr w:rsidR="00DF2773" w:rsidRPr="002E3C98" w14:paraId="0B535869" w14:textId="77777777" w:rsidTr="00CC3CDB">
        <w:trPr>
          <w:trHeight w:val="315"/>
        </w:trPr>
        <w:tc>
          <w:tcPr>
            <w:tcW w:w="753" w:type="pct"/>
            <w:tcBorders>
              <w:top w:val="nil"/>
              <w:left w:val="single" w:sz="4" w:space="0" w:color="auto"/>
              <w:bottom w:val="single" w:sz="4" w:space="0" w:color="auto"/>
              <w:right w:val="single" w:sz="4" w:space="0" w:color="auto"/>
            </w:tcBorders>
            <w:shd w:val="clear" w:color="auto" w:fill="auto"/>
            <w:noWrap/>
            <w:vAlign w:val="bottom"/>
            <w:hideMark/>
          </w:tcPr>
          <w:p w14:paraId="723EFF7A" w14:textId="77777777" w:rsidR="00DF2773" w:rsidRPr="002E3C98" w:rsidRDefault="00DF2773" w:rsidP="00CC3CDB">
            <w:pPr>
              <w:spacing w:after="0"/>
              <w:jc w:val="both"/>
              <w:rPr>
                <w:rFonts w:eastAsia="Times New Roman" w:cs="Times New Roman"/>
                <w:color w:val="000000"/>
                <w:szCs w:val="24"/>
                <w:u w:val="single"/>
                <w:lang w:eastAsia="en-IN"/>
              </w:rPr>
            </w:pPr>
            <w:r w:rsidRPr="002E3C98">
              <w:rPr>
                <w:rFonts w:eastAsia="Times New Roman" w:cs="Times New Roman"/>
                <w:color w:val="000000"/>
                <w:szCs w:val="24"/>
                <w:u w:val="single"/>
                <w:lang w:eastAsia="en-IN"/>
              </w:rPr>
              <w:t>Rank 2: Budget</w:t>
            </w:r>
          </w:p>
        </w:tc>
        <w:tc>
          <w:tcPr>
            <w:tcW w:w="725" w:type="pct"/>
            <w:tcBorders>
              <w:top w:val="nil"/>
              <w:left w:val="nil"/>
              <w:bottom w:val="single" w:sz="4" w:space="0" w:color="auto"/>
              <w:right w:val="single" w:sz="4" w:space="0" w:color="auto"/>
            </w:tcBorders>
            <w:shd w:val="clear" w:color="auto" w:fill="auto"/>
            <w:noWrap/>
            <w:vAlign w:val="bottom"/>
            <w:hideMark/>
          </w:tcPr>
          <w:p w14:paraId="75DBE766"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2200</w:t>
            </w:r>
          </w:p>
        </w:tc>
        <w:tc>
          <w:tcPr>
            <w:tcW w:w="1407" w:type="pct"/>
            <w:tcBorders>
              <w:top w:val="nil"/>
              <w:left w:val="nil"/>
              <w:bottom w:val="single" w:sz="4" w:space="0" w:color="auto"/>
              <w:right w:val="single" w:sz="4" w:space="0" w:color="auto"/>
            </w:tcBorders>
            <w:shd w:val="clear" w:color="auto" w:fill="auto"/>
            <w:noWrap/>
            <w:vAlign w:val="bottom"/>
            <w:hideMark/>
          </w:tcPr>
          <w:p w14:paraId="10492C78"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1200</w:t>
            </w:r>
          </w:p>
        </w:tc>
        <w:tc>
          <w:tcPr>
            <w:tcW w:w="970" w:type="pct"/>
            <w:tcBorders>
              <w:top w:val="nil"/>
              <w:left w:val="nil"/>
              <w:bottom w:val="single" w:sz="4" w:space="0" w:color="auto"/>
              <w:right w:val="single" w:sz="4" w:space="0" w:color="auto"/>
            </w:tcBorders>
            <w:shd w:val="clear" w:color="auto" w:fill="auto"/>
            <w:noWrap/>
            <w:vAlign w:val="bottom"/>
            <w:hideMark/>
          </w:tcPr>
          <w:p w14:paraId="623BA72C"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4</w:t>
            </w:r>
          </w:p>
        </w:tc>
        <w:tc>
          <w:tcPr>
            <w:tcW w:w="690" w:type="pct"/>
            <w:tcBorders>
              <w:top w:val="nil"/>
              <w:left w:val="nil"/>
              <w:bottom w:val="single" w:sz="4" w:space="0" w:color="auto"/>
              <w:right w:val="single" w:sz="4" w:space="0" w:color="auto"/>
            </w:tcBorders>
            <w:shd w:val="clear" w:color="auto" w:fill="auto"/>
            <w:noWrap/>
            <w:vAlign w:val="bottom"/>
            <w:hideMark/>
          </w:tcPr>
          <w:p w14:paraId="258929F0"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4800</w:t>
            </w:r>
          </w:p>
        </w:tc>
        <w:tc>
          <w:tcPr>
            <w:tcW w:w="454" w:type="pct"/>
            <w:tcBorders>
              <w:top w:val="nil"/>
              <w:left w:val="nil"/>
              <w:bottom w:val="single" w:sz="4" w:space="0" w:color="auto"/>
              <w:right w:val="single" w:sz="4" w:space="0" w:color="auto"/>
            </w:tcBorders>
            <w:shd w:val="clear" w:color="auto" w:fill="auto"/>
            <w:noWrap/>
            <w:vAlign w:val="bottom"/>
            <w:hideMark/>
          </w:tcPr>
          <w:p w14:paraId="1A1AA5B2"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10740</w:t>
            </w:r>
          </w:p>
        </w:tc>
      </w:tr>
      <w:tr w:rsidR="00DF2773" w:rsidRPr="002E3C98" w14:paraId="44C356C5" w14:textId="77777777" w:rsidTr="00CC3CDB">
        <w:trPr>
          <w:trHeight w:val="315"/>
        </w:trPr>
        <w:tc>
          <w:tcPr>
            <w:tcW w:w="753" w:type="pct"/>
            <w:tcBorders>
              <w:top w:val="nil"/>
              <w:left w:val="single" w:sz="4" w:space="0" w:color="auto"/>
              <w:bottom w:val="single" w:sz="4" w:space="0" w:color="auto"/>
              <w:right w:val="single" w:sz="4" w:space="0" w:color="auto"/>
            </w:tcBorders>
            <w:shd w:val="clear" w:color="auto" w:fill="auto"/>
            <w:noWrap/>
            <w:vAlign w:val="bottom"/>
            <w:hideMark/>
          </w:tcPr>
          <w:p w14:paraId="17737735" w14:textId="77777777" w:rsidR="00DF2773" w:rsidRPr="002E3C98" w:rsidRDefault="00DF2773" w:rsidP="00CC3CDB">
            <w:pPr>
              <w:spacing w:after="0"/>
              <w:jc w:val="both"/>
              <w:rPr>
                <w:rFonts w:eastAsia="Times New Roman" w:cs="Times New Roman"/>
                <w:color w:val="000000"/>
                <w:szCs w:val="24"/>
                <w:u w:val="single"/>
                <w:lang w:eastAsia="en-IN"/>
              </w:rPr>
            </w:pPr>
            <w:r w:rsidRPr="002E3C98">
              <w:rPr>
                <w:rFonts w:eastAsia="Times New Roman" w:cs="Times New Roman"/>
                <w:color w:val="000000"/>
                <w:szCs w:val="24"/>
                <w:u w:val="single"/>
                <w:lang w:eastAsia="en-IN"/>
              </w:rPr>
              <w:t>Rank 3: Premium</w:t>
            </w:r>
          </w:p>
        </w:tc>
        <w:tc>
          <w:tcPr>
            <w:tcW w:w="725" w:type="pct"/>
            <w:tcBorders>
              <w:top w:val="nil"/>
              <w:left w:val="nil"/>
              <w:bottom w:val="single" w:sz="4" w:space="0" w:color="auto"/>
              <w:right w:val="single" w:sz="4" w:space="0" w:color="auto"/>
            </w:tcBorders>
            <w:shd w:val="clear" w:color="auto" w:fill="auto"/>
            <w:noWrap/>
            <w:vAlign w:val="bottom"/>
            <w:hideMark/>
          </w:tcPr>
          <w:p w14:paraId="43B0F589"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900</w:t>
            </w:r>
          </w:p>
        </w:tc>
        <w:tc>
          <w:tcPr>
            <w:tcW w:w="1407" w:type="pct"/>
            <w:tcBorders>
              <w:top w:val="nil"/>
              <w:left w:val="nil"/>
              <w:bottom w:val="single" w:sz="4" w:space="0" w:color="auto"/>
              <w:right w:val="single" w:sz="4" w:space="0" w:color="auto"/>
            </w:tcBorders>
            <w:shd w:val="clear" w:color="auto" w:fill="auto"/>
            <w:noWrap/>
            <w:vAlign w:val="bottom"/>
            <w:hideMark/>
          </w:tcPr>
          <w:p w14:paraId="76C854F8"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895</w:t>
            </w:r>
          </w:p>
        </w:tc>
        <w:tc>
          <w:tcPr>
            <w:tcW w:w="970" w:type="pct"/>
            <w:tcBorders>
              <w:top w:val="nil"/>
              <w:left w:val="nil"/>
              <w:bottom w:val="single" w:sz="4" w:space="0" w:color="auto"/>
              <w:right w:val="single" w:sz="4" w:space="0" w:color="auto"/>
            </w:tcBorders>
            <w:shd w:val="clear" w:color="auto" w:fill="auto"/>
            <w:noWrap/>
            <w:vAlign w:val="bottom"/>
            <w:hideMark/>
          </w:tcPr>
          <w:p w14:paraId="7E70A3E1"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12</w:t>
            </w:r>
          </w:p>
        </w:tc>
        <w:tc>
          <w:tcPr>
            <w:tcW w:w="690" w:type="pct"/>
            <w:tcBorders>
              <w:top w:val="nil"/>
              <w:left w:val="nil"/>
              <w:bottom w:val="single" w:sz="4" w:space="0" w:color="auto"/>
              <w:right w:val="single" w:sz="4" w:space="0" w:color="auto"/>
            </w:tcBorders>
            <w:shd w:val="clear" w:color="auto" w:fill="auto"/>
            <w:noWrap/>
            <w:vAlign w:val="bottom"/>
            <w:hideMark/>
          </w:tcPr>
          <w:p w14:paraId="424BDD42"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10740</w:t>
            </w:r>
          </w:p>
        </w:tc>
        <w:tc>
          <w:tcPr>
            <w:tcW w:w="454" w:type="pct"/>
            <w:tcBorders>
              <w:top w:val="nil"/>
              <w:left w:val="nil"/>
              <w:bottom w:val="single" w:sz="4" w:space="0" w:color="auto"/>
              <w:right w:val="single" w:sz="4" w:space="0" w:color="auto"/>
            </w:tcBorders>
            <w:shd w:val="clear" w:color="auto" w:fill="auto"/>
            <w:noWrap/>
            <w:vAlign w:val="bottom"/>
            <w:hideMark/>
          </w:tcPr>
          <w:p w14:paraId="737403D1"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0</w:t>
            </w:r>
          </w:p>
        </w:tc>
      </w:tr>
    </w:tbl>
    <w:p w14:paraId="14E4A87F" w14:textId="77777777" w:rsidR="00DF2773" w:rsidRDefault="00DF2773" w:rsidP="00DF2773">
      <w:pPr>
        <w:jc w:val="both"/>
      </w:pPr>
    </w:p>
    <w:tbl>
      <w:tblPr>
        <w:tblW w:w="5000" w:type="pct"/>
        <w:tblLook w:val="04A0" w:firstRow="1" w:lastRow="0" w:firstColumn="1" w:lastColumn="0" w:noHBand="0" w:noVBand="1"/>
      </w:tblPr>
      <w:tblGrid>
        <w:gridCol w:w="2710"/>
        <w:gridCol w:w="922"/>
        <w:gridCol w:w="1087"/>
        <w:gridCol w:w="944"/>
        <w:gridCol w:w="1265"/>
        <w:gridCol w:w="921"/>
        <w:gridCol w:w="1167"/>
      </w:tblGrid>
      <w:tr w:rsidR="00DF2773" w:rsidRPr="002E3C98" w14:paraId="5E73ECA4" w14:textId="77777777" w:rsidTr="00CC3CDB">
        <w:trPr>
          <w:trHeight w:val="315"/>
        </w:trPr>
        <w:tc>
          <w:tcPr>
            <w:tcW w:w="140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20DD51"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Particulars</w:t>
            </w:r>
          </w:p>
        </w:tc>
        <w:tc>
          <w:tcPr>
            <w:tcW w:w="3593" w:type="pct"/>
            <w:gridSpan w:val="6"/>
            <w:tcBorders>
              <w:top w:val="single" w:sz="4" w:space="0" w:color="auto"/>
              <w:left w:val="nil"/>
              <w:bottom w:val="single" w:sz="4" w:space="0" w:color="auto"/>
              <w:right w:val="single" w:sz="4" w:space="0" w:color="auto"/>
            </w:tcBorders>
            <w:shd w:val="clear" w:color="auto" w:fill="auto"/>
            <w:noWrap/>
            <w:vAlign w:val="bottom"/>
            <w:hideMark/>
          </w:tcPr>
          <w:p w14:paraId="3ED72359"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Amount (£)</w:t>
            </w:r>
          </w:p>
        </w:tc>
      </w:tr>
      <w:tr w:rsidR="00DF2773" w:rsidRPr="002E3C98" w14:paraId="5D7E5CE8"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204A2B38"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1144" w:type="pct"/>
            <w:gridSpan w:val="2"/>
            <w:tcBorders>
              <w:top w:val="single" w:sz="4" w:space="0" w:color="auto"/>
              <w:left w:val="nil"/>
              <w:bottom w:val="single" w:sz="4" w:space="0" w:color="auto"/>
              <w:right w:val="single" w:sz="4" w:space="0" w:color="auto"/>
            </w:tcBorders>
            <w:shd w:val="clear" w:color="auto" w:fill="auto"/>
            <w:noWrap/>
            <w:vAlign w:val="bottom"/>
            <w:hideMark/>
          </w:tcPr>
          <w:p w14:paraId="5868BC70"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Budget (1200 units)</w:t>
            </w:r>
          </w:p>
        </w:tc>
        <w:tc>
          <w:tcPr>
            <w:tcW w:w="1224" w:type="pct"/>
            <w:gridSpan w:val="2"/>
            <w:tcBorders>
              <w:top w:val="single" w:sz="4" w:space="0" w:color="auto"/>
              <w:left w:val="nil"/>
              <w:bottom w:val="single" w:sz="4" w:space="0" w:color="auto"/>
              <w:right w:val="single" w:sz="4" w:space="0" w:color="auto"/>
            </w:tcBorders>
            <w:shd w:val="clear" w:color="auto" w:fill="auto"/>
            <w:noWrap/>
            <w:vAlign w:val="bottom"/>
            <w:hideMark/>
          </w:tcPr>
          <w:p w14:paraId="4511FE43"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Standard (1600 Units)</w:t>
            </w:r>
          </w:p>
        </w:tc>
        <w:tc>
          <w:tcPr>
            <w:tcW w:w="1224" w:type="pct"/>
            <w:gridSpan w:val="2"/>
            <w:tcBorders>
              <w:top w:val="single" w:sz="4" w:space="0" w:color="auto"/>
              <w:left w:val="nil"/>
              <w:bottom w:val="single" w:sz="4" w:space="0" w:color="auto"/>
              <w:right w:val="single" w:sz="4" w:space="0" w:color="auto"/>
            </w:tcBorders>
            <w:shd w:val="clear" w:color="auto" w:fill="auto"/>
            <w:noWrap/>
            <w:vAlign w:val="bottom"/>
            <w:hideMark/>
          </w:tcPr>
          <w:p w14:paraId="5E54278E"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Premium (895 units)</w:t>
            </w:r>
          </w:p>
        </w:tc>
      </w:tr>
      <w:tr w:rsidR="00DF2773" w:rsidRPr="002E3C98" w14:paraId="5C3C3348"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53BF26D1"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523" w:type="pct"/>
            <w:tcBorders>
              <w:top w:val="nil"/>
              <w:left w:val="nil"/>
              <w:bottom w:val="single" w:sz="4" w:space="0" w:color="auto"/>
              <w:right w:val="single" w:sz="4" w:space="0" w:color="auto"/>
            </w:tcBorders>
            <w:shd w:val="clear" w:color="auto" w:fill="auto"/>
            <w:noWrap/>
            <w:vAlign w:val="bottom"/>
            <w:hideMark/>
          </w:tcPr>
          <w:p w14:paraId="67410766"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Per unit</w:t>
            </w:r>
          </w:p>
        </w:tc>
        <w:tc>
          <w:tcPr>
            <w:tcW w:w="621" w:type="pct"/>
            <w:tcBorders>
              <w:top w:val="nil"/>
              <w:left w:val="nil"/>
              <w:bottom w:val="single" w:sz="4" w:space="0" w:color="auto"/>
              <w:right w:val="single" w:sz="4" w:space="0" w:color="auto"/>
            </w:tcBorders>
            <w:shd w:val="clear" w:color="auto" w:fill="auto"/>
            <w:noWrap/>
            <w:vAlign w:val="bottom"/>
            <w:hideMark/>
          </w:tcPr>
          <w:p w14:paraId="44C5CE56"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Total</w:t>
            </w:r>
          </w:p>
        </w:tc>
        <w:tc>
          <w:tcPr>
            <w:tcW w:w="523" w:type="pct"/>
            <w:tcBorders>
              <w:top w:val="nil"/>
              <w:left w:val="nil"/>
              <w:bottom w:val="single" w:sz="4" w:space="0" w:color="auto"/>
              <w:right w:val="single" w:sz="4" w:space="0" w:color="auto"/>
            </w:tcBorders>
            <w:shd w:val="clear" w:color="auto" w:fill="auto"/>
            <w:noWrap/>
            <w:vAlign w:val="bottom"/>
            <w:hideMark/>
          </w:tcPr>
          <w:p w14:paraId="7389A3DD"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Per unit</w:t>
            </w:r>
          </w:p>
        </w:tc>
        <w:tc>
          <w:tcPr>
            <w:tcW w:w="701" w:type="pct"/>
            <w:tcBorders>
              <w:top w:val="nil"/>
              <w:left w:val="nil"/>
              <w:bottom w:val="single" w:sz="4" w:space="0" w:color="auto"/>
              <w:right w:val="single" w:sz="4" w:space="0" w:color="auto"/>
            </w:tcBorders>
            <w:shd w:val="clear" w:color="auto" w:fill="auto"/>
            <w:noWrap/>
            <w:vAlign w:val="bottom"/>
            <w:hideMark/>
          </w:tcPr>
          <w:p w14:paraId="02604156"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Total</w:t>
            </w:r>
          </w:p>
        </w:tc>
        <w:tc>
          <w:tcPr>
            <w:tcW w:w="523" w:type="pct"/>
            <w:tcBorders>
              <w:top w:val="nil"/>
              <w:left w:val="nil"/>
              <w:bottom w:val="single" w:sz="4" w:space="0" w:color="auto"/>
              <w:right w:val="single" w:sz="4" w:space="0" w:color="auto"/>
            </w:tcBorders>
            <w:shd w:val="clear" w:color="auto" w:fill="auto"/>
            <w:noWrap/>
            <w:vAlign w:val="bottom"/>
            <w:hideMark/>
          </w:tcPr>
          <w:p w14:paraId="41B73105"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Per unit</w:t>
            </w:r>
          </w:p>
        </w:tc>
        <w:tc>
          <w:tcPr>
            <w:tcW w:w="701" w:type="pct"/>
            <w:tcBorders>
              <w:top w:val="nil"/>
              <w:left w:val="nil"/>
              <w:bottom w:val="single" w:sz="4" w:space="0" w:color="auto"/>
              <w:right w:val="single" w:sz="4" w:space="0" w:color="auto"/>
            </w:tcBorders>
            <w:shd w:val="clear" w:color="auto" w:fill="auto"/>
            <w:noWrap/>
            <w:vAlign w:val="bottom"/>
            <w:hideMark/>
          </w:tcPr>
          <w:p w14:paraId="2BE0702D"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Total</w:t>
            </w:r>
          </w:p>
        </w:tc>
      </w:tr>
      <w:tr w:rsidR="00DF2773" w:rsidRPr="002E3C98" w14:paraId="284E3905"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0C882F32"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Selling Price</w:t>
            </w:r>
          </w:p>
        </w:tc>
        <w:tc>
          <w:tcPr>
            <w:tcW w:w="523" w:type="pct"/>
            <w:tcBorders>
              <w:top w:val="nil"/>
              <w:left w:val="nil"/>
              <w:bottom w:val="single" w:sz="4" w:space="0" w:color="auto"/>
              <w:right w:val="single" w:sz="4" w:space="0" w:color="auto"/>
            </w:tcBorders>
            <w:shd w:val="clear" w:color="auto" w:fill="auto"/>
            <w:noWrap/>
            <w:vAlign w:val="bottom"/>
            <w:hideMark/>
          </w:tcPr>
          <w:p w14:paraId="5F874311"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60.00</w:t>
            </w:r>
          </w:p>
        </w:tc>
        <w:tc>
          <w:tcPr>
            <w:tcW w:w="621" w:type="pct"/>
            <w:tcBorders>
              <w:top w:val="nil"/>
              <w:left w:val="nil"/>
              <w:bottom w:val="single" w:sz="4" w:space="0" w:color="auto"/>
              <w:right w:val="single" w:sz="4" w:space="0" w:color="auto"/>
            </w:tcBorders>
            <w:shd w:val="clear" w:color="auto" w:fill="auto"/>
            <w:noWrap/>
            <w:vAlign w:val="bottom"/>
            <w:hideMark/>
          </w:tcPr>
          <w:p w14:paraId="6324BBF7"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72000.00</w:t>
            </w:r>
          </w:p>
        </w:tc>
        <w:tc>
          <w:tcPr>
            <w:tcW w:w="523" w:type="pct"/>
            <w:tcBorders>
              <w:top w:val="nil"/>
              <w:left w:val="nil"/>
              <w:bottom w:val="single" w:sz="4" w:space="0" w:color="auto"/>
              <w:right w:val="single" w:sz="4" w:space="0" w:color="auto"/>
            </w:tcBorders>
            <w:shd w:val="clear" w:color="auto" w:fill="auto"/>
            <w:noWrap/>
            <w:vAlign w:val="bottom"/>
            <w:hideMark/>
          </w:tcPr>
          <w:p w14:paraId="134BD5F0"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90.00</w:t>
            </w:r>
          </w:p>
        </w:tc>
        <w:tc>
          <w:tcPr>
            <w:tcW w:w="701" w:type="pct"/>
            <w:tcBorders>
              <w:top w:val="nil"/>
              <w:left w:val="nil"/>
              <w:bottom w:val="single" w:sz="4" w:space="0" w:color="auto"/>
              <w:right w:val="single" w:sz="4" w:space="0" w:color="auto"/>
            </w:tcBorders>
            <w:shd w:val="clear" w:color="auto" w:fill="auto"/>
            <w:noWrap/>
            <w:vAlign w:val="bottom"/>
            <w:hideMark/>
          </w:tcPr>
          <w:p w14:paraId="5F5B1E8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144000.00</w:t>
            </w:r>
          </w:p>
        </w:tc>
        <w:tc>
          <w:tcPr>
            <w:tcW w:w="523" w:type="pct"/>
            <w:tcBorders>
              <w:top w:val="nil"/>
              <w:left w:val="nil"/>
              <w:bottom w:val="single" w:sz="4" w:space="0" w:color="auto"/>
              <w:right w:val="single" w:sz="4" w:space="0" w:color="auto"/>
            </w:tcBorders>
            <w:shd w:val="clear" w:color="auto" w:fill="auto"/>
            <w:noWrap/>
            <w:vAlign w:val="bottom"/>
            <w:hideMark/>
          </w:tcPr>
          <w:p w14:paraId="45AFA9D7"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120.00</w:t>
            </w:r>
          </w:p>
        </w:tc>
        <w:tc>
          <w:tcPr>
            <w:tcW w:w="701" w:type="pct"/>
            <w:tcBorders>
              <w:top w:val="nil"/>
              <w:left w:val="nil"/>
              <w:bottom w:val="single" w:sz="4" w:space="0" w:color="auto"/>
              <w:right w:val="single" w:sz="4" w:space="0" w:color="auto"/>
            </w:tcBorders>
            <w:shd w:val="clear" w:color="auto" w:fill="auto"/>
            <w:noWrap/>
            <w:vAlign w:val="bottom"/>
            <w:hideMark/>
          </w:tcPr>
          <w:p w14:paraId="7F1373C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107400.00</w:t>
            </w:r>
          </w:p>
        </w:tc>
      </w:tr>
      <w:tr w:rsidR="00DF2773" w:rsidRPr="002E3C98" w14:paraId="1B158CE0"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5BEE3B79" w14:textId="77777777" w:rsidR="00DF2773" w:rsidRPr="002E3C98" w:rsidRDefault="00DF2773" w:rsidP="00CC3CDB">
            <w:pPr>
              <w:spacing w:after="0"/>
              <w:jc w:val="both"/>
              <w:rPr>
                <w:rFonts w:eastAsia="Times New Roman" w:cs="Times New Roman"/>
                <w:color w:val="000000"/>
                <w:szCs w:val="24"/>
                <w:u w:val="single"/>
                <w:lang w:eastAsia="en-IN"/>
              </w:rPr>
            </w:pPr>
            <w:r w:rsidRPr="002E3C98">
              <w:rPr>
                <w:rFonts w:eastAsia="Times New Roman" w:cs="Times New Roman"/>
                <w:color w:val="000000"/>
                <w:szCs w:val="24"/>
                <w:u w:val="single"/>
                <w:lang w:eastAsia="en-IN"/>
              </w:rPr>
              <w:t>Variable Cost:</w:t>
            </w:r>
          </w:p>
        </w:tc>
        <w:tc>
          <w:tcPr>
            <w:tcW w:w="523" w:type="pct"/>
            <w:tcBorders>
              <w:top w:val="nil"/>
              <w:left w:val="nil"/>
              <w:bottom w:val="single" w:sz="4" w:space="0" w:color="auto"/>
              <w:right w:val="single" w:sz="4" w:space="0" w:color="auto"/>
            </w:tcBorders>
            <w:shd w:val="clear" w:color="auto" w:fill="auto"/>
            <w:noWrap/>
            <w:vAlign w:val="bottom"/>
            <w:hideMark/>
          </w:tcPr>
          <w:p w14:paraId="5D6C75CF"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24F072C6"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523" w:type="pct"/>
            <w:tcBorders>
              <w:top w:val="nil"/>
              <w:left w:val="nil"/>
              <w:bottom w:val="single" w:sz="4" w:space="0" w:color="auto"/>
              <w:right w:val="single" w:sz="4" w:space="0" w:color="auto"/>
            </w:tcBorders>
            <w:shd w:val="clear" w:color="auto" w:fill="auto"/>
            <w:noWrap/>
            <w:vAlign w:val="bottom"/>
            <w:hideMark/>
          </w:tcPr>
          <w:p w14:paraId="376FD0F9"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57B0BF64"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523" w:type="pct"/>
            <w:tcBorders>
              <w:top w:val="nil"/>
              <w:left w:val="nil"/>
              <w:bottom w:val="single" w:sz="4" w:space="0" w:color="auto"/>
              <w:right w:val="single" w:sz="4" w:space="0" w:color="auto"/>
            </w:tcBorders>
            <w:shd w:val="clear" w:color="auto" w:fill="auto"/>
            <w:noWrap/>
            <w:vAlign w:val="bottom"/>
            <w:hideMark/>
          </w:tcPr>
          <w:p w14:paraId="32AB3E7D"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6E890F1C"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r>
      <w:tr w:rsidR="00DF2773" w:rsidRPr="002E3C98" w14:paraId="40881547"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24CA2FD7"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xml:space="preserve">Material </w:t>
            </w:r>
          </w:p>
        </w:tc>
        <w:tc>
          <w:tcPr>
            <w:tcW w:w="523" w:type="pct"/>
            <w:tcBorders>
              <w:top w:val="nil"/>
              <w:left w:val="nil"/>
              <w:bottom w:val="single" w:sz="4" w:space="0" w:color="auto"/>
              <w:right w:val="single" w:sz="4" w:space="0" w:color="auto"/>
            </w:tcBorders>
            <w:shd w:val="clear" w:color="auto" w:fill="auto"/>
            <w:noWrap/>
            <w:vAlign w:val="bottom"/>
            <w:hideMark/>
          </w:tcPr>
          <w:p w14:paraId="7B9A0300"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27.53</w:t>
            </w:r>
          </w:p>
        </w:tc>
        <w:tc>
          <w:tcPr>
            <w:tcW w:w="621" w:type="pct"/>
            <w:tcBorders>
              <w:top w:val="nil"/>
              <w:left w:val="nil"/>
              <w:bottom w:val="single" w:sz="4" w:space="0" w:color="auto"/>
              <w:right w:val="single" w:sz="4" w:space="0" w:color="auto"/>
            </w:tcBorders>
            <w:shd w:val="clear" w:color="auto" w:fill="auto"/>
            <w:noWrap/>
            <w:vAlign w:val="bottom"/>
            <w:hideMark/>
          </w:tcPr>
          <w:p w14:paraId="5E72042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33035.29</w:t>
            </w:r>
          </w:p>
        </w:tc>
        <w:tc>
          <w:tcPr>
            <w:tcW w:w="523" w:type="pct"/>
            <w:tcBorders>
              <w:top w:val="nil"/>
              <w:left w:val="nil"/>
              <w:bottom w:val="single" w:sz="4" w:space="0" w:color="auto"/>
              <w:right w:val="single" w:sz="4" w:space="0" w:color="auto"/>
            </w:tcBorders>
            <w:shd w:val="clear" w:color="auto" w:fill="auto"/>
            <w:noWrap/>
            <w:vAlign w:val="bottom"/>
            <w:hideMark/>
          </w:tcPr>
          <w:p w14:paraId="5716D87C"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31.13</w:t>
            </w:r>
          </w:p>
        </w:tc>
        <w:tc>
          <w:tcPr>
            <w:tcW w:w="701" w:type="pct"/>
            <w:tcBorders>
              <w:top w:val="nil"/>
              <w:left w:val="nil"/>
              <w:bottom w:val="single" w:sz="4" w:space="0" w:color="auto"/>
              <w:right w:val="single" w:sz="4" w:space="0" w:color="auto"/>
            </w:tcBorders>
            <w:shd w:val="clear" w:color="auto" w:fill="auto"/>
            <w:noWrap/>
            <w:vAlign w:val="bottom"/>
            <w:hideMark/>
          </w:tcPr>
          <w:p w14:paraId="227BF859"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49806.45</w:t>
            </w:r>
          </w:p>
        </w:tc>
        <w:tc>
          <w:tcPr>
            <w:tcW w:w="523" w:type="pct"/>
            <w:tcBorders>
              <w:top w:val="nil"/>
              <w:left w:val="nil"/>
              <w:bottom w:val="single" w:sz="4" w:space="0" w:color="auto"/>
              <w:right w:val="single" w:sz="4" w:space="0" w:color="auto"/>
            </w:tcBorders>
            <w:shd w:val="clear" w:color="auto" w:fill="auto"/>
            <w:noWrap/>
            <w:vAlign w:val="bottom"/>
            <w:hideMark/>
          </w:tcPr>
          <w:p w14:paraId="08F32602"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24.08</w:t>
            </w:r>
          </w:p>
        </w:tc>
        <w:tc>
          <w:tcPr>
            <w:tcW w:w="701" w:type="pct"/>
            <w:tcBorders>
              <w:top w:val="nil"/>
              <w:left w:val="nil"/>
              <w:bottom w:val="single" w:sz="4" w:space="0" w:color="auto"/>
              <w:right w:val="single" w:sz="4" w:space="0" w:color="auto"/>
            </w:tcBorders>
            <w:shd w:val="clear" w:color="auto" w:fill="auto"/>
            <w:noWrap/>
            <w:vAlign w:val="bottom"/>
            <w:hideMark/>
          </w:tcPr>
          <w:p w14:paraId="7305CCA0"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21550.66</w:t>
            </w:r>
          </w:p>
        </w:tc>
      </w:tr>
      <w:tr w:rsidR="00DF2773" w:rsidRPr="002E3C98" w14:paraId="5ADF4939"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3FA52813"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Labour</w:t>
            </w:r>
          </w:p>
        </w:tc>
        <w:tc>
          <w:tcPr>
            <w:tcW w:w="523" w:type="pct"/>
            <w:tcBorders>
              <w:top w:val="nil"/>
              <w:left w:val="nil"/>
              <w:bottom w:val="single" w:sz="4" w:space="0" w:color="auto"/>
              <w:right w:val="single" w:sz="4" w:space="0" w:color="auto"/>
            </w:tcBorders>
            <w:shd w:val="clear" w:color="auto" w:fill="auto"/>
            <w:noWrap/>
            <w:vAlign w:val="bottom"/>
            <w:hideMark/>
          </w:tcPr>
          <w:p w14:paraId="3DFF2E3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14.35</w:t>
            </w:r>
          </w:p>
        </w:tc>
        <w:tc>
          <w:tcPr>
            <w:tcW w:w="621" w:type="pct"/>
            <w:tcBorders>
              <w:top w:val="nil"/>
              <w:left w:val="nil"/>
              <w:bottom w:val="single" w:sz="4" w:space="0" w:color="auto"/>
              <w:right w:val="single" w:sz="4" w:space="0" w:color="auto"/>
            </w:tcBorders>
            <w:shd w:val="clear" w:color="auto" w:fill="auto"/>
            <w:noWrap/>
            <w:vAlign w:val="bottom"/>
            <w:hideMark/>
          </w:tcPr>
          <w:p w14:paraId="019D524C"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17223.53</w:t>
            </w:r>
          </w:p>
        </w:tc>
        <w:tc>
          <w:tcPr>
            <w:tcW w:w="523" w:type="pct"/>
            <w:tcBorders>
              <w:top w:val="nil"/>
              <w:left w:val="nil"/>
              <w:bottom w:val="single" w:sz="4" w:space="0" w:color="auto"/>
              <w:right w:val="single" w:sz="4" w:space="0" w:color="auto"/>
            </w:tcBorders>
            <w:shd w:val="clear" w:color="auto" w:fill="auto"/>
            <w:noWrap/>
            <w:vAlign w:val="bottom"/>
            <w:hideMark/>
          </w:tcPr>
          <w:p w14:paraId="0B6ADE51"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23.31</w:t>
            </w:r>
          </w:p>
        </w:tc>
        <w:tc>
          <w:tcPr>
            <w:tcW w:w="701" w:type="pct"/>
            <w:tcBorders>
              <w:top w:val="nil"/>
              <w:left w:val="nil"/>
              <w:bottom w:val="single" w:sz="4" w:space="0" w:color="auto"/>
              <w:right w:val="single" w:sz="4" w:space="0" w:color="auto"/>
            </w:tcBorders>
            <w:shd w:val="clear" w:color="auto" w:fill="auto"/>
            <w:noWrap/>
            <w:vAlign w:val="bottom"/>
            <w:hideMark/>
          </w:tcPr>
          <w:p w14:paraId="1DDF7F74"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37290.32</w:t>
            </w:r>
          </w:p>
        </w:tc>
        <w:tc>
          <w:tcPr>
            <w:tcW w:w="523" w:type="pct"/>
            <w:tcBorders>
              <w:top w:val="nil"/>
              <w:left w:val="nil"/>
              <w:bottom w:val="single" w:sz="4" w:space="0" w:color="auto"/>
              <w:right w:val="single" w:sz="4" w:space="0" w:color="auto"/>
            </w:tcBorders>
            <w:shd w:val="clear" w:color="auto" w:fill="auto"/>
            <w:noWrap/>
            <w:vAlign w:val="bottom"/>
            <w:hideMark/>
          </w:tcPr>
          <w:p w14:paraId="222942B2"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31.84</w:t>
            </w:r>
          </w:p>
        </w:tc>
        <w:tc>
          <w:tcPr>
            <w:tcW w:w="701" w:type="pct"/>
            <w:tcBorders>
              <w:top w:val="nil"/>
              <w:left w:val="nil"/>
              <w:bottom w:val="single" w:sz="4" w:space="0" w:color="auto"/>
              <w:right w:val="single" w:sz="4" w:space="0" w:color="auto"/>
            </w:tcBorders>
            <w:shd w:val="clear" w:color="auto" w:fill="auto"/>
            <w:noWrap/>
            <w:vAlign w:val="bottom"/>
            <w:hideMark/>
          </w:tcPr>
          <w:p w14:paraId="23F075AE"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28498.68</w:t>
            </w:r>
          </w:p>
        </w:tc>
      </w:tr>
      <w:tr w:rsidR="00DF2773" w:rsidRPr="002E3C98" w14:paraId="6623E0C9"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4308E9F5"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Overhead</w:t>
            </w:r>
          </w:p>
        </w:tc>
        <w:tc>
          <w:tcPr>
            <w:tcW w:w="523" w:type="pct"/>
            <w:tcBorders>
              <w:top w:val="nil"/>
              <w:left w:val="nil"/>
              <w:bottom w:val="single" w:sz="4" w:space="0" w:color="auto"/>
              <w:right w:val="single" w:sz="4" w:space="0" w:color="auto"/>
            </w:tcBorders>
            <w:shd w:val="clear" w:color="auto" w:fill="auto"/>
            <w:noWrap/>
            <w:vAlign w:val="bottom"/>
            <w:hideMark/>
          </w:tcPr>
          <w:p w14:paraId="480440DB"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5.96</w:t>
            </w:r>
          </w:p>
        </w:tc>
        <w:tc>
          <w:tcPr>
            <w:tcW w:w="621" w:type="pct"/>
            <w:tcBorders>
              <w:top w:val="nil"/>
              <w:left w:val="nil"/>
              <w:bottom w:val="single" w:sz="4" w:space="0" w:color="auto"/>
              <w:right w:val="single" w:sz="4" w:space="0" w:color="auto"/>
            </w:tcBorders>
            <w:shd w:val="clear" w:color="auto" w:fill="auto"/>
            <w:noWrap/>
            <w:vAlign w:val="bottom"/>
            <w:hideMark/>
          </w:tcPr>
          <w:p w14:paraId="6638FE21"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7152.00</w:t>
            </w:r>
          </w:p>
        </w:tc>
        <w:tc>
          <w:tcPr>
            <w:tcW w:w="523" w:type="pct"/>
            <w:tcBorders>
              <w:top w:val="nil"/>
              <w:left w:val="nil"/>
              <w:bottom w:val="single" w:sz="4" w:space="0" w:color="auto"/>
              <w:right w:val="single" w:sz="4" w:space="0" w:color="auto"/>
            </w:tcBorders>
            <w:shd w:val="clear" w:color="auto" w:fill="auto"/>
            <w:noWrap/>
            <w:vAlign w:val="bottom"/>
            <w:hideMark/>
          </w:tcPr>
          <w:p w14:paraId="337A1965"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5.96</w:t>
            </w:r>
          </w:p>
        </w:tc>
        <w:tc>
          <w:tcPr>
            <w:tcW w:w="701" w:type="pct"/>
            <w:tcBorders>
              <w:top w:val="nil"/>
              <w:left w:val="nil"/>
              <w:bottom w:val="single" w:sz="4" w:space="0" w:color="auto"/>
              <w:right w:val="single" w:sz="4" w:space="0" w:color="auto"/>
            </w:tcBorders>
            <w:shd w:val="clear" w:color="auto" w:fill="auto"/>
            <w:noWrap/>
            <w:vAlign w:val="bottom"/>
            <w:hideMark/>
          </w:tcPr>
          <w:p w14:paraId="6E2D16A0"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9536.00</w:t>
            </w:r>
          </w:p>
        </w:tc>
        <w:tc>
          <w:tcPr>
            <w:tcW w:w="523" w:type="pct"/>
            <w:tcBorders>
              <w:top w:val="nil"/>
              <w:left w:val="nil"/>
              <w:bottom w:val="single" w:sz="4" w:space="0" w:color="auto"/>
              <w:right w:val="single" w:sz="4" w:space="0" w:color="auto"/>
            </w:tcBorders>
            <w:shd w:val="clear" w:color="auto" w:fill="auto"/>
            <w:noWrap/>
            <w:vAlign w:val="bottom"/>
            <w:hideMark/>
          </w:tcPr>
          <w:p w14:paraId="52C9D748"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5.96</w:t>
            </w:r>
          </w:p>
        </w:tc>
        <w:tc>
          <w:tcPr>
            <w:tcW w:w="701" w:type="pct"/>
            <w:tcBorders>
              <w:top w:val="nil"/>
              <w:left w:val="nil"/>
              <w:bottom w:val="single" w:sz="4" w:space="0" w:color="auto"/>
              <w:right w:val="single" w:sz="4" w:space="0" w:color="auto"/>
            </w:tcBorders>
            <w:shd w:val="clear" w:color="auto" w:fill="auto"/>
            <w:noWrap/>
            <w:vAlign w:val="bottom"/>
            <w:hideMark/>
          </w:tcPr>
          <w:p w14:paraId="2454D95F"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5334.20</w:t>
            </w:r>
          </w:p>
        </w:tc>
      </w:tr>
      <w:tr w:rsidR="00DF2773" w:rsidRPr="002E3C98" w14:paraId="46552688"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09735F9B"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Contribution per unit (tyre)</w:t>
            </w:r>
          </w:p>
        </w:tc>
        <w:tc>
          <w:tcPr>
            <w:tcW w:w="523" w:type="pct"/>
            <w:tcBorders>
              <w:top w:val="nil"/>
              <w:left w:val="nil"/>
              <w:bottom w:val="single" w:sz="4" w:space="0" w:color="auto"/>
              <w:right w:val="single" w:sz="4" w:space="0" w:color="auto"/>
            </w:tcBorders>
            <w:shd w:val="clear" w:color="auto" w:fill="auto"/>
            <w:noWrap/>
            <w:vAlign w:val="bottom"/>
            <w:hideMark/>
          </w:tcPr>
          <w:p w14:paraId="2A2775F5"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11.68</w:t>
            </w:r>
          </w:p>
        </w:tc>
        <w:tc>
          <w:tcPr>
            <w:tcW w:w="621" w:type="pct"/>
            <w:tcBorders>
              <w:top w:val="nil"/>
              <w:left w:val="nil"/>
              <w:bottom w:val="single" w:sz="4" w:space="0" w:color="auto"/>
              <w:right w:val="single" w:sz="4" w:space="0" w:color="auto"/>
            </w:tcBorders>
            <w:shd w:val="clear" w:color="auto" w:fill="auto"/>
            <w:noWrap/>
            <w:vAlign w:val="bottom"/>
            <w:hideMark/>
          </w:tcPr>
          <w:p w14:paraId="46E4F7C5"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14013.18</w:t>
            </w:r>
          </w:p>
        </w:tc>
        <w:tc>
          <w:tcPr>
            <w:tcW w:w="523" w:type="pct"/>
            <w:tcBorders>
              <w:top w:val="nil"/>
              <w:left w:val="nil"/>
              <w:bottom w:val="single" w:sz="4" w:space="0" w:color="auto"/>
              <w:right w:val="single" w:sz="4" w:space="0" w:color="auto"/>
            </w:tcBorders>
            <w:shd w:val="clear" w:color="auto" w:fill="auto"/>
            <w:noWrap/>
            <w:vAlign w:val="bottom"/>
            <w:hideMark/>
          </w:tcPr>
          <w:p w14:paraId="59020A25"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23.95</w:t>
            </w:r>
          </w:p>
        </w:tc>
        <w:tc>
          <w:tcPr>
            <w:tcW w:w="701" w:type="pct"/>
            <w:tcBorders>
              <w:top w:val="nil"/>
              <w:left w:val="nil"/>
              <w:bottom w:val="single" w:sz="4" w:space="0" w:color="auto"/>
              <w:right w:val="single" w:sz="4" w:space="0" w:color="auto"/>
            </w:tcBorders>
            <w:shd w:val="clear" w:color="auto" w:fill="auto"/>
            <w:noWrap/>
            <w:vAlign w:val="bottom"/>
            <w:hideMark/>
          </w:tcPr>
          <w:p w14:paraId="3E4C1584"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38322.58</w:t>
            </w:r>
          </w:p>
        </w:tc>
        <w:tc>
          <w:tcPr>
            <w:tcW w:w="523" w:type="pct"/>
            <w:tcBorders>
              <w:top w:val="nil"/>
              <w:left w:val="nil"/>
              <w:bottom w:val="single" w:sz="4" w:space="0" w:color="auto"/>
              <w:right w:val="single" w:sz="4" w:space="0" w:color="auto"/>
            </w:tcBorders>
            <w:shd w:val="clear" w:color="auto" w:fill="auto"/>
            <w:noWrap/>
            <w:vAlign w:val="bottom"/>
            <w:hideMark/>
          </w:tcPr>
          <w:p w14:paraId="07E24E43"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47.50</w:t>
            </w:r>
          </w:p>
        </w:tc>
        <w:tc>
          <w:tcPr>
            <w:tcW w:w="701" w:type="pct"/>
            <w:tcBorders>
              <w:top w:val="nil"/>
              <w:left w:val="nil"/>
              <w:bottom w:val="single" w:sz="4" w:space="0" w:color="auto"/>
              <w:right w:val="single" w:sz="4" w:space="0" w:color="auto"/>
            </w:tcBorders>
            <w:shd w:val="clear" w:color="auto" w:fill="auto"/>
            <w:noWrap/>
            <w:vAlign w:val="bottom"/>
            <w:hideMark/>
          </w:tcPr>
          <w:p w14:paraId="0FE103A2"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42512.50</w:t>
            </w:r>
          </w:p>
        </w:tc>
      </w:tr>
      <w:tr w:rsidR="00DF2773" w:rsidRPr="002E3C98" w14:paraId="110F930B"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4BB41096"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Less: Fixed Cost</w:t>
            </w:r>
          </w:p>
        </w:tc>
        <w:tc>
          <w:tcPr>
            <w:tcW w:w="523" w:type="pct"/>
            <w:tcBorders>
              <w:top w:val="nil"/>
              <w:left w:val="nil"/>
              <w:bottom w:val="single" w:sz="4" w:space="0" w:color="auto"/>
              <w:right w:val="single" w:sz="4" w:space="0" w:color="auto"/>
            </w:tcBorders>
            <w:shd w:val="clear" w:color="auto" w:fill="auto"/>
            <w:noWrap/>
            <w:vAlign w:val="bottom"/>
            <w:hideMark/>
          </w:tcPr>
          <w:p w14:paraId="55ED3AE2"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08F8DBA1"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8072.34</w:t>
            </w:r>
          </w:p>
        </w:tc>
        <w:tc>
          <w:tcPr>
            <w:tcW w:w="523" w:type="pct"/>
            <w:tcBorders>
              <w:top w:val="nil"/>
              <w:left w:val="nil"/>
              <w:bottom w:val="single" w:sz="4" w:space="0" w:color="auto"/>
              <w:right w:val="single" w:sz="4" w:space="0" w:color="auto"/>
            </w:tcBorders>
            <w:shd w:val="clear" w:color="auto" w:fill="auto"/>
            <w:noWrap/>
            <w:vAlign w:val="bottom"/>
            <w:hideMark/>
          </w:tcPr>
          <w:p w14:paraId="4E0E55B4"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16FAA64C"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8072.34</w:t>
            </w:r>
          </w:p>
        </w:tc>
        <w:tc>
          <w:tcPr>
            <w:tcW w:w="523" w:type="pct"/>
            <w:tcBorders>
              <w:top w:val="nil"/>
              <w:left w:val="nil"/>
              <w:bottom w:val="single" w:sz="4" w:space="0" w:color="auto"/>
              <w:right w:val="single" w:sz="4" w:space="0" w:color="auto"/>
            </w:tcBorders>
            <w:shd w:val="clear" w:color="auto" w:fill="auto"/>
            <w:noWrap/>
            <w:vAlign w:val="bottom"/>
            <w:hideMark/>
          </w:tcPr>
          <w:p w14:paraId="28CA6529"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7797AE88" w14:textId="77777777" w:rsidR="00DF2773" w:rsidRPr="002E3C98" w:rsidRDefault="00DF2773" w:rsidP="00CC3CDB">
            <w:pPr>
              <w:spacing w:after="0"/>
              <w:jc w:val="both"/>
              <w:rPr>
                <w:rFonts w:eastAsia="Times New Roman" w:cs="Times New Roman"/>
                <w:color w:val="000000"/>
                <w:szCs w:val="24"/>
                <w:lang w:eastAsia="en-IN"/>
              </w:rPr>
            </w:pPr>
            <w:r w:rsidRPr="002E3C98">
              <w:rPr>
                <w:rFonts w:eastAsia="Times New Roman" w:cs="Times New Roman"/>
                <w:color w:val="000000"/>
                <w:szCs w:val="24"/>
                <w:lang w:eastAsia="en-IN"/>
              </w:rPr>
              <w:t>8072.34</w:t>
            </w:r>
          </w:p>
        </w:tc>
      </w:tr>
      <w:tr w:rsidR="00DF2773" w:rsidRPr="002E3C98" w14:paraId="31FD55B7"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1D88B563"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Profit</w:t>
            </w:r>
          </w:p>
        </w:tc>
        <w:tc>
          <w:tcPr>
            <w:tcW w:w="523" w:type="pct"/>
            <w:tcBorders>
              <w:top w:val="nil"/>
              <w:left w:val="nil"/>
              <w:bottom w:val="single" w:sz="4" w:space="0" w:color="auto"/>
              <w:right w:val="single" w:sz="4" w:space="0" w:color="auto"/>
            </w:tcBorders>
            <w:shd w:val="clear" w:color="auto" w:fill="auto"/>
            <w:noWrap/>
            <w:vAlign w:val="bottom"/>
            <w:hideMark/>
          </w:tcPr>
          <w:p w14:paraId="20A346C5"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32DEC910"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5940.84</w:t>
            </w:r>
          </w:p>
        </w:tc>
        <w:tc>
          <w:tcPr>
            <w:tcW w:w="523" w:type="pct"/>
            <w:tcBorders>
              <w:top w:val="nil"/>
              <w:left w:val="nil"/>
              <w:bottom w:val="single" w:sz="4" w:space="0" w:color="auto"/>
              <w:right w:val="single" w:sz="4" w:space="0" w:color="auto"/>
            </w:tcBorders>
            <w:shd w:val="clear" w:color="auto" w:fill="auto"/>
            <w:noWrap/>
            <w:vAlign w:val="bottom"/>
            <w:hideMark/>
          </w:tcPr>
          <w:p w14:paraId="27D427F5"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110D9DE0"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30250.24</w:t>
            </w:r>
          </w:p>
        </w:tc>
        <w:tc>
          <w:tcPr>
            <w:tcW w:w="523" w:type="pct"/>
            <w:tcBorders>
              <w:top w:val="nil"/>
              <w:left w:val="nil"/>
              <w:bottom w:val="single" w:sz="4" w:space="0" w:color="auto"/>
              <w:right w:val="single" w:sz="4" w:space="0" w:color="auto"/>
            </w:tcBorders>
            <w:shd w:val="clear" w:color="auto" w:fill="auto"/>
            <w:noWrap/>
            <w:vAlign w:val="bottom"/>
            <w:hideMark/>
          </w:tcPr>
          <w:p w14:paraId="526E52DF"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6D6E0D33" w14:textId="77777777" w:rsidR="00DF2773" w:rsidRPr="002E3C98" w:rsidRDefault="00DF2773" w:rsidP="00CC3CDB">
            <w:pPr>
              <w:spacing w:after="0"/>
              <w:jc w:val="both"/>
              <w:rPr>
                <w:rFonts w:eastAsia="Times New Roman" w:cs="Times New Roman"/>
                <w:b/>
                <w:bCs/>
                <w:color w:val="000000"/>
                <w:szCs w:val="24"/>
                <w:lang w:eastAsia="en-IN"/>
              </w:rPr>
            </w:pPr>
            <w:r w:rsidRPr="002E3C98">
              <w:rPr>
                <w:rFonts w:eastAsia="Times New Roman" w:cs="Times New Roman"/>
                <w:b/>
                <w:bCs/>
                <w:color w:val="000000"/>
                <w:szCs w:val="24"/>
                <w:lang w:eastAsia="en-IN"/>
              </w:rPr>
              <w:t>34440.16</w:t>
            </w:r>
          </w:p>
        </w:tc>
      </w:tr>
    </w:tbl>
    <w:p w14:paraId="0E35B81E" w14:textId="77777777" w:rsidR="00DF2773" w:rsidRDefault="00DF2773" w:rsidP="00DF2773">
      <w:pPr>
        <w:jc w:val="both"/>
      </w:pPr>
      <w:bookmarkStart w:id="2" w:name="_Toc117345878"/>
    </w:p>
    <w:p w14:paraId="1EC2A5AF" w14:textId="77777777" w:rsidR="00DF2773" w:rsidRDefault="00DF2773" w:rsidP="00DF2773">
      <w:pPr>
        <w:jc w:val="both"/>
      </w:pPr>
    </w:p>
    <w:p w14:paraId="388A0CE2" w14:textId="5EE55389" w:rsidR="00DF2773" w:rsidRPr="00E04DD7" w:rsidRDefault="00DF2773" w:rsidP="00DF2773">
      <w:pPr>
        <w:jc w:val="both"/>
        <w:rPr>
          <w:b/>
          <w:bCs/>
          <w:sz w:val="24"/>
          <w:szCs w:val="24"/>
        </w:rPr>
      </w:pPr>
      <w:r w:rsidRPr="00E04DD7">
        <w:rPr>
          <w:b/>
          <w:bCs/>
          <w:sz w:val="24"/>
          <w:szCs w:val="24"/>
        </w:rPr>
        <w:t>1.3- Production Schedule and Marginal cost statement in case the budget contract is not honoured</w:t>
      </w:r>
      <w:bookmarkEnd w:id="2"/>
      <w:r w:rsidRPr="00E04DD7">
        <w:rPr>
          <w:b/>
          <w:bCs/>
          <w:sz w:val="24"/>
          <w:szCs w:val="24"/>
        </w:rPr>
        <w:t xml:space="preserve"> </w:t>
      </w:r>
    </w:p>
    <w:tbl>
      <w:tblPr>
        <w:tblW w:w="5000" w:type="pct"/>
        <w:tblLook w:val="04A0" w:firstRow="1" w:lastRow="0" w:firstColumn="1" w:lastColumn="0" w:noHBand="0" w:noVBand="1"/>
      </w:tblPr>
      <w:tblGrid>
        <w:gridCol w:w="1381"/>
        <w:gridCol w:w="1340"/>
        <w:gridCol w:w="2343"/>
        <w:gridCol w:w="1783"/>
        <w:gridCol w:w="1311"/>
        <w:gridCol w:w="858"/>
      </w:tblGrid>
      <w:tr w:rsidR="00DF2773" w:rsidRPr="000002E5" w14:paraId="0E9CD395" w14:textId="77777777" w:rsidTr="00CC3CDB">
        <w:trPr>
          <w:trHeight w:val="315"/>
        </w:trPr>
        <w:tc>
          <w:tcPr>
            <w:tcW w:w="75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1D1823"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Particulars</w:t>
            </w:r>
          </w:p>
        </w:tc>
        <w:tc>
          <w:tcPr>
            <w:tcW w:w="725" w:type="pct"/>
            <w:tcBorders>
              <w:top w:val="single" w:sz="4" w:space="0" w:color="auto"/>
              <w:left w:val="nil"/>
              <w:bottom w:val="single" w:sz="4" w:space="0" w:color="auto"/>
              <w:right w:val="single" w:sz="4" w:space="0" w:color="auto"/>
            </w:tcBorders>
            <w:shd w:val="clear" w:color="auto" w:fill="auto"/>
            <w:noWrap/>
            <w:vAlign w:val="bottom"/>
            <w:hideMark/>
          </w:tcPr>
          <w:p w14:paraId="2E33CEFB"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Annual Demand</w:t>
            </w:r>
          </w:p>
        </w:tc>
        <w:tc>
          <w:tcPr>
            <w:tcW w:w="1407" w:type="pct"/>
            <w:tcBorders>
              <w:top w:val="single" w:sz="4" w:space="0" w:color="auto"/>
              <w:left w:val="nil"/>
              <w:bottom w:val="single" w:sz="4" w:space="0" w:color="auto"/>
              <w:right w:val="single" w:sz="4" w:space="0" w:color="auto"/>
            </w:tcBorders>
            <w:shd w:val="clear" w:color="auto" w:fill="auto"/>
            <w:noWrap/>
            <w:vAlign w:val="bottom"/>
            <w:hideMark/>
          </w:tcPr>
          <w:p w14:paraId="14984BFA"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Maximum Possible Production</w:t>
            </w:r>
          </w:p>
        </w:tc>
        <w:tc>
          <w:tcPr>
            <w:tcW w:w="970" w:type="pct"/>
            <w:tcBorders>
              <w:top w:val="single" w:sz="4" w:space="0" w:color="auto"/>
              <w:left w:val="nil"/>
              <w:bottom w:val="single" w:sz="4" w:space="0" w:color="auto"/>
              <w:right w:val="single" w:sz="4" w:space="0" w:color="auto"/>
            </w:tcBorders>
            <w:shd w:val="clear" w:color="auto" w:fill="auto"/>
            <w:noWrap/>
            <w:vAlign w:val="bottom"/>
            <w:hideMark/>
          </w:tcPr>
          <w:p w14:paraId="31A772AA"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Wire required per tyre</w:t>
            </w:r>
          </w:p>
        </w:tc>
        <w:tc>
          <w:tcPr>
            <w:tcW w:w="690" w:type="pct"/>
            <w:tcBorders>
              <w:top w:val="single" w:sz="4" w:space="0" w:color="auto"/>
              <w:left w:val="nil"/>
              <w:bottom w:val="single" w:sz="4" w:space="0" w:color="auto"/>
              <w:right w:val="single" w:sz="4" w:space="0" w:color="auto"/>
            </w:tcBorders>
            <w:shd w:val="clear" w:color="auto" w:fill="auto"/>
            <w:noWrap/>
            <w:vAlign w:val="bottom"/>
            <w:hideMark/>
          </w:tcPr>
          <w:p w14:paraId="7FE6AA1D"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Wire consumed</w:t>
            </w:r>
          </w:p>
        </w:tc>
        <w:tc>
          <w:tcPr>
            <w:tcW w:w="454" w:type="pct"/>
            <w:tcBorders>
              <w:top w:val="single" w:sz="4" w:space="0" w:color="auto"/>
              <w:left w:val="nil"/>
              <w:bottom w:val="single" w:sz="4" w:space="0" w:color="auto"/>
              <w:right w:val="single" w:sz="4" w:space="0" w:color="auto"/>
            </w:tcBorders>
            <w:shd w:val="clear" w:color="auto" w:fill="auto"/>
            <w:noWrap/>
            <w:vAlign w:val="bottom"/>
            <w:hideMark/>
          </w:tcPr>
          <w:p w14:paraId="4F1909E1"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Wire Left</w:t>
            </w:r>
          </w:p>
        </w:tc>
      </w:tr>
      <w:tr w:rsidR="00DF2773" w:rsidRPr="000002E5" w14:paraId="24D8D884" w14:textId="77777777" w:rsidTr="00CC3CDB">
        <w:trPr>
          <w:trHeight w:val="315"/>
        </w:trPr>
        <w:tc>
          <w:tcPr>
            <w:tcW w:w="753" w:type="pct"/>
            <w:tcBorders>
              <w:top w:val="nil"/>
              <w:left w:val="single" w:sz="4" w:space="0" w:color="auto"/>
              <w:bottom w:val="single" w:sz="4" w:space="0" w:color="auto"/>
              <w:right w:val="single" w:sz="4" w:space="0" w:color="auto"/>
            </w:tcBorders>
            <w:shd w:val="clear" w:color="auto" w:fill="auto"/>
            <w:noWrap/>
            <w:vAlign w:val="bottom"/>
            <w:hideMark/>
          </w:tcPr>
          <w:p w14:paraId="316DC29D"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lastRenderedPageBreak/>
              <w:t> </w:t>
            </w:r>
          </w:p>
        </w:tc>
        <w:tc>
          <w:tcPr>
            <w:tcW w:w="725" w:type="pct"/>
            <w:tcBorders>
              <w:top w:val="nil"/>
              <w:left w:val="nil"/>
              <w:bottom w:val="single" w:sz="4" w:space="0" w:color="auto"/>
              <w:right w:val="single" w:sz="4" w:space="0" w:color="auto"/>
            </w:tcBorders>
            <w:shd w:val="clear" w:color="auto" w:fill="auto"/>
            <w:noWrap/>
            <w:vAlign w:val="bottom"/>
            <w:hideMark/>
          </w:tcPr>
          <w:p w14:paraId="5ACFBF73"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1407" w:type="pct"/>
            <w:tcBorders>
              <w:top w:val="nil"/>
              <w:left w:val="nil"/>
              <w:bottom w:val="single" w:sz="4" w:space="0" w:color="auto"/>
              <w:right w:val="single" w:sz="4" w:space="0" w:color="auto"/>
            </w:tcBorders>
            <w:shd w:val="clear" w:color="auto" w:fill="auto"/>
            <w:noWrap/>
            <w:vAlign w:val="bottom"/>
            <w:hideMark/>
          </w:tcPr>
          <w:p w14:paraId="6EF08461"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970" w:type="pct"/>
            <w:tcBorders>
              <w:top w:val="nil"/>
              <w:left w:val="nil"/>
              <w:bottom w:val="single" w:sz="4" w:space="0" w:color="auto"/>
              <w:right w:val="single" w:sz="4" w:space="0" w:color="auto"/>
            </w:tcBorders>
            <w:shd w:val="clear" w:color="auto" w:fill="auto"/>
            <w:noWrap/>
            <w:vAlign w:val="bottom"/>
            <w:hideMark/>
          </w:tcPr>
          <w:p w14:paraId="1C1362C5"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690" w:type="pct"/>
            <w:tcBorders>
              <w:top w:val="nil"/>
              <w:left w:val="nil"/>
              <w:bottom w:val="single" w:sz="4" w:space="0" w:color="auto"/>
              <w:right w:val="single" w:sz="4" w:space="0" w:color="auto"/>
            </w:tcBorders>
            <w:shd w:val="clear" w:color="auto" w:fill="auto"/>
            <w:noWrap/>
            <w:vAlign w:val="bottom"/>
            <w:hideMark/>
          </w:tcPr>
          <w:p w14:paraId="2EC0D7D7"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454" w:type="pct"/>
            <w:tcBorders>
              <w:top w:val="nil"/>
              <w:left w:val="nil"/>
              <w:bottom w:val="single" w:sz="4" w:space="0" w:color="auto"/>
              <w:right w:val="single" w:sz="4" w:space="0" w:color="auto"/>
            </w:tcBorders>
            <w:shd w:val="clear" w:color="auto" w:fill="auto"/>
            <w:noWrap/>
            <w:vAlign w:val="bottom"/>
            <w:hideMark/>
          </w:tcPr>
          <w:p w14:paraId="37251664"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25140</w:t>
            </w:r>
          </w:p>
        </w:tc>
      </w:tr>
      <w:tr w:rsidR="00DF2773" w:rsidRPr="000002E5" w14:paraId="49D8A7E1" w14:textId="77777777" w:rsidTr="00CC3CDB">
        <w:trPr>
          <w:trHeight w:val="315"/>
        </w:trPr>
        <w:tc>
          <w:tcPr>
            <w:tcW w:w="753" w:type="pct"/>
            <w:tcBorders>
              <w:top w:val="nil"/>
              <w:left w:val="single" w:sz="4" w:space="0" w:color="auto"/>
              <w:bottom w:val="single" w:sz="4" w:space="0" w:color="auto"/>
              <w:right w:val="single" w:sz="4" w:space="0" w:color="auto"/>
            </w:tcBorders>
            <w:shd w:val="clear" w:color="auto" w:fill="auto"/>
            <w:noWrap/>
            <w:vAlign w:val="bottom"/>
            <w:hideMark/>
          </w:tcPr>
          <w:p w14:paraId="2DF6FFCB" w14:textId="77777777" w:rsidR="00DF2773" w:rsidRPr="000002E5" w:rsidRDefault="00DF2773" w:rsidP="00CC3CDB">
            <w:pPr>
              <w:spacing w:after="0"/>
              <w:jc w:val="both"/>
              <w:rPr>
                <w:rFonts w:eastAsia="Times New Roman" w:cs="Times New Roman"/>
                <w:color w:val="000000"/>
                <w:szCs w:val="24"/>
                <w:u w:val="single"/>
                <w:lang w:eastAsia="en-IN"/>
              </w:rPr>
            </w:pPr>
            <w:r w:rsidRPr="000002E5">
              <w:rPr>
                <w:rFonts w:eastAsia="Times New Roman" w:cs="Times New Roman"/>
                <w:color w:val="000000"/>
                <w:szCs w:val="24"/>
                <w:u w:val="single"/>
                <w:lang w:eastAsia="en-IN"/>
              </w:rPr>
              <w:t>Rank 1: Standard</w:t>
            </w:r>
          </w:p>
        </w:tc>
        <w:tc>
          <w:tcPr>
            <w:tcW w:w="725" w:type="pct"/>
            <w:tcBorders>
              <w:top w:val="nil"/>
              <w:left w:val="nil"/>
              <w:bottom w:val="single" w:sz="4" w:space="0" w:color="auto"/>
              <w:right w:val="single" w:sz="4" w:space="0" w:color="auto"/>
            </w:tcBorders>
            <w:shd w:val="clear" w:color="auto" w:fill="auto"/>
            <w:noWrap/>
            <w:vAlign w:val="bottom"/>
            <w:hideMark/>
          </w:tcPr>
          <w:p w14:paraId="77BFDF4A"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1600</w:t>
            </w:r>
          </w:p>
        </w:tc>
        <w:tc>
          <w:tcPr>
            <w:tcW w:w="1407" w:type="pct"/>
            <w:tcBorders>
              <w:top w:val="nil"/>
              <w:left w:val="nil"/>
              <w:bottom w:val="single" w:sz="4" w:space="0" w:color="auto"/>
              <w:right w:val="single" w:sz="4" w:space="0" w:color="auto"/>
            </w:tcBorders>
            <w:shd w:val="clear" w:color="auto" w:fill="auto"/>
            <w:noWrap/>
            <w:vAlign w:val="bottom"/>
            <w:hideMark/>
          </w:tcPr>
          <w:p w14:paraId="16E62434"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1600</w:t>
            </w:r>
          </w:p>
        </w:tc>
        <w:tc>
          <w:tcPr>
            <w:tcW w:w="970" w:type="pct"/>
            <w:tcBorders>
              <w:top w:val="nil"/>
              <w:left w:val="nil"/>
              <w:bottom w:val="single" w:sz="4" w:space="0" w:color="auto"/>
              <w:right w:val="single" w:sz="4" w:space="0" w:color="auto"/>
            </w:tcBorders>
            <w:shd w:val="clear" w:color="auto" w:fill="auto"/>
            <w:noWrap/>
            <w:vAlign w:val="bottom"/>
            <w:hideMark/>
          </w:tcPr>
          <w:p w14:paraId="16079E5C"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6</w:t>
            </w:r>
          </w:p>
        </w:tc>
        <w:tc>
          <w:tcPr>
            <w:tcW w:w="690" w:type="pct"/>
            <w:tcBorders>
              <w:top w:val="nil"/>
              <w:left w:val="nil"/>
              <w:bottom w:val="single" w:sz="4" w:space="0" w:color="auto"/>
              <w:right w:val="single" w:sz="4" w:space="0" w:color="auto"/>
            </w:tcBorders>
            <w:shd w:val="clear" w:color="auto" w:fill="auto"/>
            <w:noWrap/>
            <w:vAlign w:val="bottom"/>
            <w:hideMark/>
          </w:tcPr>
          <w:p w14:paraId="3D52DD21"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9600</w:t>
            </w:r>
          </w:p>
        </w:tc>
        <w:tc>
          <w:tcPr>
            <w:tcW w:w="454" w:type="pct"/>
            <w:tcBorders>
              <w:top w:val="nil"/>
              <w:left w:val="nil"/>
              <w:bottom w:val="single" w:sz="4" w:space="0" w:color="auto"/>
              <w:right w:val="single" w:sz="4" w:space="0" w:color="auto"/>
            </w:tcBorders>
            <w:shd w:val="clear" w:color="auto" w:fill="auto"/>
            <w:noWrap/>
            <w:vAlign w:val="bottom"/>
            <w:hideMark/>
          </w:tcPr>
          <w:p w14:paraId="2EFA0D30"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15540</w:t>
            </w:r>
          </w:p>
        </w:tc>
      </w:tr>
      <w:tr w:rsidR="00DF2773" w:rsidRPr="000002E5" w14:paraId="32E17E94" w14:textId="77777777" w:rsidTr="00CC3CDB">
        <w:trPr>
          <w:trHeight w:val="315"/>
        </w:trPr>
        <w:tc>
          <w:tcPr>
            <w:tcW w:w="753" w:type="pct"/>
            <w:tcBorders>
              <w:top w:val="nil"/>
              <w:left w:val="single" w:sz="4" w:space="0" w:color="auto"/>
              <w:bottom w:val="single" w:sz="4" w:space="0" w:color="auto"/>
              <w:right w:val="single" w:sz="4" w:space="0" w:color="auto"/>
            </w:tcBorders>
            <w:shd w:val="clear" w:color="auto" w:fill="auto"/>
            <w:noWrap/>
            <w:vAlign w:val="bottom"/>
            <w:hideMark/>
          </w:tcPr>
          <w:p w14:paraId="17AD3A7B" w14:textId="77777777" w:rsidR="00DF2773" w:rsidRPr="000002E5" w:rsidRDefault="00DF2773" w:rsidP="00CC3CDB">
            <w:pPr>
              <w:spacing w:after="0"/>
              <w:jc w:val="both"/>
              <w:rPr>
                <w:rFonts w:eastAsia="Times New Roman" w:cs="Times New Roman"/>
                <w:color w:val="000000"/>
                <w:szCs w:val="24"/>
                <w:u w:val="single"/>
                <w:lang w:eastAsia="en-IN"/>
              </w:rPr>
            </w:pPr>
            <w:r w:rsidRPr="000002E5">
              <w:rPr>
                <w:rFonts w:eastAsia="Times New Roman" w:cs="Times New Roman"/>
                <w:color w:val="000000"/>
                <w:szCs w:val="24"/>
                <w:u w:val="single"/>
                <w:lang w:eastAsia="en-IN"/>
              </w:rPr>
              <w:t>Rank 2: Premium</w:t>
            </w:r>
          </w:p>
        </w:tc>
        <w:tc>
          <w:tcPr>
            <w:tcW w:w="725" w:type="pct"/>
            <w:tcBorders>
              <w:top w:val="nil"/>
              <w:left w:val="nil"/>
              <w:bottom w:val="single" w:sz="4" w:space="0" w:color="auto"/>
              <w:right w:val="single" w:sz="4" w:space="0" w:color="auto"/>
            </w:tcBorders>
            <w:shd w:val="clear" w:color="auto" w:fill="auto"/>
            <w:noWrap/>
            <w:vAlign w:val="bottom"/>
            <w:hideMark/>
          </w:tcPr>
          <w:p w14:paraId="6BA94F0E"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900</w:t>
            </w:r>
          </w:p>
        </w:tc>
        <w:tc>
          <w:tcPr>
            <w:tcW w:w="1407" w:type="pct"/>
            <w:tcBorders>
              <w:top w:val="nil"/>
              <w:left w:val="nil"/>
              <w:bottom w:val="single" w:sz="4" w:space="0" w:color="auto"/>
              <w:right w:val="single" w:sz="4" w:space="0" w:color="auto"/>
            </w:tcBorders>
            <w:shd w:val="clear" w:color="auto" w:fill="auto"/>
            <w:noWrap/>
            <w:vAlign w:val="bottom"/>
            <w:hideMark/>
          </w:tcPr>
          <w:p w14:paraId="594ACC23"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900</w:t>
            </w:r>
          </w:p>
        </w:tc>
        <w:tc>
          <w:tcPr>
            <w:tcW w:w="970" w:type="pct"/>
            <w:tcBorders>
              <w:top w:val="nil"/>
              <w:left w:val="nil"/>
              <w:bottom w:val="single" w:sz="4" w:space="0" w:color="auto"/>
              <w:right w:val="single" w:sz="4" w:space="0" w:color="auto"/>
            </w:tcBorders>
            <w:shd w:val="clear" w:color="auto" w:fill="auto"/>
            <w:noWrap/>
            <w:vAlign w:val="bottom"/>
            <w:hideMark/>
          </w:tcPr>
          <w:p w14:paraId="258644E4"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12</w:t>
            </w:r>
          </w:p>
        </w:tc>
        <w:tc>
          <w:tcPr>
            <w:tcW w:w="690" w:type="pct"/>
            <w:tcBorders>
              <w:top w:val="nil"/>
              <w:left w:val="nil"/>
              <w:bottom w:val="single" w:sz="4" w:space="0" w:color="auto"/>
              <w:right w:val="single" w:sz="4" w:space="0" w:color="auto"/>
            </w:tcBorders>
            <w:shd w:val="clear" w:color="auto" w:fill="auto"/>
            <w:noWrap/>
            <w:vAlign w:val="bottom"/>
            <w:hideMark/>
          </w:tcPr>
          <w:p w14:paraId="2B0DA111"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10800</w:t>
            </w:r>
          </w:p>
        </w:tc>
        <w:tc>
          <w:tcPr>
            <w:tcW w:w="454" w:type="pct"/>
            <w:tcBorders>
              <w:top w:val="nil"/>
              <w:left w:val="nil"/>
              <w:bottom w:val="single" w:sz="4" w:space="0" w:color="auto"/>
              <w:right w:val="single" w:sz="4" w:space="0" w:color="auto"/>
            </w:tcBorders>
            <w:shd w:val="clear" w:color="auto" w:fill="auto"/>
            <w:noWrap/>
            <w:vAlign w:val="bottom"/>
            <w:hideMark/>
          </w:tcPr>
          <w:p w14:paraId="44E8D288"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4740</w:t>
            </w:r>
          </w:p>
        </w:tc>
      </w:tr>
      <w:tr w:rsidR="00DF2773" w:rsidRPr="000002E5" w14:paraId="3C9B6E6B" w14:textId="77777777" w:rsidTr="00CC3CDB">
        <w:trPr>
          <w:trHeight w:val="315"/>
        </w:trPr>
        <w:tc>
          <w:tcPr>
            <w:tcW w:w="753" w:type="pct"/>
            <w:tcBorders>
              <w:top w:val="nil"/>
              <w:left w:val="single" w:sz="4" w:space="0" w:color="auto"/>
              <w:bottom w:val="single" w:sz="4" w:space="0" w:color="auto"/>
              <w:right w:val="single" w:sz="4" w:space="0" w:color="auto"/>
            </w:tcBorders>
            <w:shd w:val="clear" w:color="auto" w:fill="auto"/>
            <w:noWrap/>
            <w:vAlign w:val="bottom"/>
            <w:hideMark/>
          </w:tcPr>
          <w:p w14:paraId="0FC1BF12" w14:textId="77777777" w:rsidR="00DF2773" w:rsidRPr="000002E5" w:rsidRDefault="00DF2773" w:rsidP="00CC3CDB">
            <w:pPr>
              <w:spacing w:after="0"/>
              <w:jc w:val="both"/>
              <w:rPr>
                <w:rFonts w:eastAsia="Times New Roman" w:cs="Times New Roman"/>
                <w:color w:val="000000"/>
                <w:szCs w:val="24"/>
                <w:u w:val="single"/>
                <w:lang w:eastAsia="en-IN"/>
              </w:rPr>
            </w:pPr>
            <w:r w:rsidRPr="000002E5">
              <w:rPr>
                <w:rFonts w:eastAsia="Times New Roman" w:cs="Times New Roman"/>
                <w:color w:val="000000"/>
                <w:szCs w:val="24"/>
                <w:u w:val="single"/>
                <w:lang w:eastAsia="en-IN"/>
              </w:rPr>
              <w:t>Rank 3: Budget</w:t>
            </w:r>
          </w:p>
        </w:tc>
        <w:tc>
          <w:tcPr>
            <w:tcW w:w="725" w:type="pct"/>
            <w:tcBorders>
              <w:top w:val="nil"/>
              <w:left w:val="nil"/>
              <w:bottom w:val="single" w:sz="4" w:space="0" w:color="auto"/>
              <w:right w:val="single" w:sz="4" w:space="0" w:color="auto"/>
            </w:tcBorders>
            <w:shd w:val="clear" w:color="auto" w:fill="auto"/>
            <w:noWrap/>
            <w:vAlign w:val="bottom"/>
            <w:hideMark/>
          </w:tcPr>
          <w:p w14:paraId="16CBDE13"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2200</w:t>
            </w:r>
          </w:p>
        </w:tc>
        <w:tc>
          <w:tcPr>
            <w:tcW w:w="1407" w:type="pct"/>
            <w:tcBorders>
              <w:top w:val="nil"/>
              <w:left w:val="nil"/>
              <w:bottom w:val="single" w:sz="4" w:space="0" w:color="auto"/>
              <w:right w:val="single" w:sz="4" w:space="0" w:color="auto"/>
            </w:tcBorders>
            <w:shd w:val="clear" w:color="auto" w:fill="auto"/>
            <w:noWrap/>
            <w:vAlign w:val="bottom"/>
            <w:hideMark/>
          </w:tcPr>
          <w:p w14:paraId="26132BC9"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1185</w:t>
            </w:r>
          </w:p>
        </w:tc>
        <w:tc>
          <w:tcPr>
            <w:tcW w:w="970" w:type="pct"/>
            <w:tcBorders>
              <w:top w:val="nil"/>
              <w:left w:val="nil"/>
              <w:bottom w:val="single" w:sz="4" w:space="0" w:color="auto"/>
              <w:right w:val="single" w:sz="4" w:space="0" w:color="auto"/>
            </w:tcBorders>
            <w:shd w:val="clear" w:color="auto" w:fill="auto"/>
            <w:noWrap/>
            <w:vAlign w:val="bottom"/>
            <w:hideMark/>
          </w:tcPr>
          <w:p w14:paraId="4883904A"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4</w:t>
            </w:r>
          </w:p>
        </w:tc>
        <w:tc>
          <w:tcPr>
            <w:tcW w:w="690" w:type="pct"/>
            <w:tcBorders>
              <w:top w:val="nil"/>
              <w:left w:val="nil"/>
              <w:bottom w:val="single" w:sz="4" w:space="0" w:color="auto"/>
              <w:right w:val="single" w:sz="4" w:space="0" w:color="auto"/>
            </w:tcBorders>
            <w:shd w:val="clear" w:color="auto" w:fill="auto"/>
            <w:noWrap/>
            <w:vAlign w:val="bottom"/>
            <w:hideMark/>
          </w:tcPr>
          <w:p w14:paraId="7A4351A7"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4740</w:t>
            </w:r>
          </w:p>
        </w:tc>
        <w:tc>
          <w:tcPr>
            <w:tcW w:w="454" w:type="pct"/>
            <w:tcBorders>
              <w:top w:val="nil"/>
              <w:left w:val="nil"/>
              <w:bottom w:val="single" w:sz="4" w:space="0" w:color="auto"/>
              <w:right w:val="single" w:sz="4" w:space="0" w:color="auto"/>
            </w:tcBorders>
            <w:shd w:val="clear" w:color="auto" w:fill="auto"/>
            <w:noWrap/>
            <w:vAlign w:val="bottom"/>
            <w:hideMark/>
          </w:tcPr>
          <w:p w14:paraId="03A06DA8"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0</w:t>
            </w:r>
          </w:p>
        </w:tc>
      </w:tr>
    </w:tbl>
    <w:p w14:paraId="31E7D50A" w14:textId="77777777" w:rsidR="00DF2773" w:rsidRDefault="00DF2773" w:rsidP="00DF2773">
      <w:pPr>
        <w:jc w:val="both"/>
      </w:pPr>
    </w:p>
    <w:p w14:paraId="25E4B621" w14:textId="77777777" w:rsidR="00DF2773" w:rsidRPr="00E04DD7" w:rsidRDefault="00DF2773" w:rsidP="00E04DD7">
      <w:pPr>
        <w:spacing w:line="360" w:lineRule="auto"/>
        <w:jc w:val="both"/>
        <w:rPr>
          <w:sz w:val="24"/>
          <w:szCs w:val="24"/>
        </w:rPr>
      </w:pPr>
      <w:r w:rsidRPr="00E04DD7">
        <w:rPr>
          <w:sz w:val="24"/>
          <w:szCs w:val="24"/>
        </w:rPr>
        <w:t xml:space="preserve">In the case the budget contract is honoured, the company would attempt to first fulfil the demand for the product standard as it has been ranked number 1 according to contribution per unit. Moreover, as per the terms of the Budget contract, 1200 units of the product budget are required to be produced (Bauer and Bauer 2018). Thus, after the fulfilment of the annual demand for standard and the budget demand, the residual material would be used towards the production of the premium product. The computation below would suggest that a maximum of 895 units of the premium product are possible in this scenario. </w:t>
      </w:r>
    </w:p>
    <w:tbl>
      <w:tblPr>
        <w:tblW w:w="5000" w:type="pct"/>
        <w:tblLook w:val="04A0" w:firstRow="1" w:lastRow="0" w:firstColumn="1" w:lastColumn="0" w:noHBand="0" w:noVBand="1"/>
      </w:tblPr>
      <w:tblGrid>
        <w:gridCol w:w="2710"/>
        <w:gridCol w:w="922"/>
        <w:gridCol w:w="1087"/>
        <w:gridCol w:w="944"/>
        <w:gridCol w:w="1265"/>
        <w:gridCol w:w="921"/>
        <w:gridCol w:w="1167"/>
      </w:tblGrid>
      <w:tr w:rsidR="00DF2773" w:rsidRPr="000002E5" w14:paraId="63C43C33" w14:textId="77777777" w:rsidTr="00CC3CDB">
        <w:trPr>
          <w:trHeight w:val="315"/>
        </w:trPr>
        <w:tc>
          <w:tcPr>
            <w:tcW w:w="140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2BCD21"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Particulars</w:t>
            </w:r>
          </w:p>
        </w:tc>
        <w:tc>
          <w:tcPr>
            <w:tcW w:w="3593" w:type="pct"/>
            <w:gridSpan w:val="6"/>
            <w:tcBorders>
              <w:top w:val="single" w:sz="4" w:space="0" w:color="auto"/>
              <w:left w:val="nil"/>
              <w:bottom w:val="single" w:sz="4" w:space="0" w:color="auto"/>
              <w:right w:val="single" w:sz="4" w:space="0" w:color="auto"/>
            </w:tcBorders>
            <w:shd w:val="clear" w:color="auto" w:fill="auto"/>
            <w:noWrap/>
            <w:vAlign w:val="bottom"/>
            <w:hideMark/>
          </w:tcPr>
          <w:p w14:paraId="75694D37"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Amount (£)</w:t>
            </w:r>
          </w:p>
        </w:tc>
      </w:tr>
      <w:tr w:rsidR="00DF2773" w:rsidRPr="000002E5" w14:paraId="201074B7"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7A466F3A"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1144" w:type="pct"/>
            <w:gridSpan w:val="2"/>
            <w:tcBorders>
              <w:top w:val="single" w:sz="4" w:space="0" w:color="auto"/>
              <w:left w:val="nil"/>
              <w:bottom w:val="single" w:sz="4" w:space="0" w:color="auto"/>
              <w:right w:val="single" w:sz="4" w:space="0" w:color="auto"/>
            </w:tcBorders>
            <w:shd w:val="clear" w:color="auto" w:fill="auto"/>
            <w:noWrap/>
            <w:vAlign w:val="bottom"/>
            <w:hideMark/>
          </w:tcPr>
          <w:p w14:paraId="7B260A30"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Budget (1185 units)</w:t>
            </w:r>
          </w:p>
        </w:tc>
        <w:tc>
          <w:tcPr>
            <w:tcW w:w="1224" w:type="pct"/>
            <w:gridSpan w:val="2"/>
            <w:tcBorders>
              <w:top w:val="single" w:sz="4" w:space="0" w:color="auto"/>
              <w:left w:val="nil"/>
              <w:bottom w:val="single" w:sz="4" w:space="0" w:color="auto"/>
              <w:right w:val="single" w:sz="4" w:space="0" w:color="auto"/>
            </w:tcBorders>
            <w:shd w:val="clear" w:color="auto" w:fill="auto"/>
            <w:noWrap/>
            <w:vAlign w:val="bottom"/>
            <w:hideMark/>
          </w:tcPr>
          <w:p w14:paraId="7D61D908"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Standard (1600 Units)</w:t>
            </w:r>
          </w:p>
        </w:tc>
        <w:tc>
          <w:tcPr>
            <w:tcW w:w="1224" w:type="pct"/>
            <w:gridSpan w:val="2"/>
            <w:tcBorders>
              <w:top w:val="single" w:sz="4" w:space="0" w:color="auto"/>
              <w:left w:val="nil"/>
              <w:bottom w:val="single" w:sz="4" w:space="0" w:color="auto"/>
              <w:right w:val="single" w:sz="4" w:space="0" w:color="auto"/>
            </w:tcBorders>
            <w:shd w:val="clear" w:color="auto" w:fill="auto"/>
            <w:noWrap/>
            <w:vAlign w:val="bottom"/>
            <w:hideMark/>
          </w:tcPr>
          <w:p w14:paraId="2DD00304"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Premium (900 units)</w:t>
            </w:r>
          </w:p>
        </w:tc>
      </w:tr>
      <w:tr w:rsidR="00DF2773" w:rsidRPr="000002E5" w14:paraId="2A3E539A"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325A562A"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523" w:type="pct"/>
            <w:tcBorders>
              <w:top w:val="nil"/>
              <w:left w:val="nil"/>
              <w:bottom w:val="single" w:sz="4" w:space="0" w:color="auto"/>
              <w:right w:val="single" w:sz="4" w:space="0" w:color="auto"/>
            </w:tcBorders>
            <w:shd w:val="clear" w:color="auto" w:fill="auto"/>
            <w:noWrap/>
            <w:vAlign w:val="bottom"/>
            <w:hideMark/>
          </w:tcPr>
          <w:p w14:paraId="4EA86040"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Per unit</w:t>
            </w:r>
          </w:p>
        </w:tc>
        <w:tc>
          <w:tcPr>
            <w:tcW w:w="621" w:type="pct"/>
            <w:tcBorders>
              <w:top w:val="nil"/>
              <w:left w:val="nil"/>
              <w:bottom w:val="single" w:sz="4" w:space="0" w:color="auto"/>
              <w:right w:val="single" w:sz="4" w:space="0" w:color="auto"/>
            </w:tcBorders>
            <w:shd w:val="clear" w:color="auto" w:fill="auto"/>
            <w:noWrap/>
            <w:vAlign w:val="bottom"/>
            <w:hideMark/>
          </w:tcPr>
          <w:p w14:paraId="2C814CAB"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Total</w:t>
            </w:r>
          </w:p>
        </w:tc>
        <w:tc>
          <w:tcPr>
            <w:tcW w:w="523" w:type="pct"/>
            <w:tcBorders>
              <w:top w:val="nil"/>
              <w:left w:val="nil"/>
              <w:bottom w:val="single" w:sz="4" w:space="0" w:color="auto"/>
              <w:right w:val="single" w:sz="4" w:space="0" w:color="auto"/>
            </w:tcBorders>
            <w:shd w:val="clear" w:color="auto" w:fill="auto"/>
            <w:noWrap/>
            <w:vAlign w:val="bottom"/>
            <w:hideMark/>
          </w:tcPr>
          <w:p w14:paraId="776718A8"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Per unit</w:t>
            </w:r>
          </w:p>
        </w:tc>
        <w:tc>
          <w:tcPr>
            <w:tcW w:w="701" w:type="pct"/>
            <w:tcBorders>
              <w:top w:val="nil"/>
              <w:left w:val="nil"/>
              <w:bottom w:val="single" w:sz="4" w:space="0" w:color="auto"/>
              <w:right w:val="single" w:sz="4" w:space="0" w:color="auto"/>
            </w:tcBorders>
            <w:shd w:val="clear" w:color="auto" w:fill="auto"/>
            <w:noWrap/>
            <w:vAlign w:val="bottom"/>
            <w:hideMark/>
          </w:tcPr>
          <w:p w14:paraId="4929CB62"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Total</w:t>
            </w:r>
          </w:p>
        </w:tc>
        <w:tc>
          <w:tcPr>
            <w:tcW w:w="523" w:type="pct"/>
            <w:tcBorders>
              <w:top w:val="nil"/>
              <w:left w:val="nil"/>
              <w:bottom w:val="single" w:sz="4" w:space="0" w:color="auto"/>
              <w:right w:val="single" w:sz="4" w:space="0" w:color="auto"/>
            </w:tcBorders>
            <w:shd w:val="clear" w:color="auto" w:fill="auto"/>
            <w:noWrap/>
            <w:vAlign w:val="bottom"/>
            <w:hideMark/>
          </w:tcPr>
          <w:p w14:paraId="636C4D3C"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Per unit</w:t>
            </w:r>
          </w:p>
        </w:tc>
        <w:tc>
          <w:tcPr>
            <w:tcW w:w="701" w:type="pct"/>
            <w:tcBorders>
              <w:top w:val="nil"/>
              <w:left w:val="nil"/>
              <w:bottom w:val="single" w:sz="4" w:space="0" w:color="auto"/>
              <w:right w:val="single" w:sz="4" w:space="0" w:color="auto"/>
            </w:tcBorders>
            <w:shd w:val="clear" w:color="auto" w:fill="auto"/>
            <w:noWrap/>
            <w:vAlign w:val="bottom"/>
            <w:hideMark/>
          </w:tcPr>
          <w:p w14:paraId="4CDBE072"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Total</w:t>
            </w:r>
          </w:p>
        </w:tc>
      </w:tr>
      <w:tr w:rsidR="00DF2773" w:rsidRPr="000002E5" w14:paraId="070AE03F"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3419FAC9"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Selling Price</w:t>
            </w:r>
          </w:p>
        </w:tc>
        <w:tc>
          <w:tcPr>
            <w:tcW w:w="523" w:type="pct"/>
            <w:tcBorders>
              <w:top w:val="nil"/>
              <w:left w:val="nil"/>
              <w:bottom w:val="single" w:sz="4" w:space="0" w:color="auto"/>
              <w:right w:val="single" w:sz="4" w:space="0" w:color="auto"/>
            </w:tcBorders>
            <w:shd w:val="clear" w:color="auto" w:fill="auto"/>
            <w:noWrap/>
            <w:vAlign w:val="bottom"/>
            <w:hideMark/>
          </w:tcPr>
          <w:p w14:paraId="63B6C191"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60.00</w:t>
            </w:r>
          </w:p>
        </w:tc>
        <w:tc>
          <w:tcPr>
            <w:tcW w:w="621" w:type="pct"/>
            <w:tcBorders>
              <w:top w:val="nil"/>
              <w:left w:val="nil"/>
              <w:bottom w:val="single" w:sz="4" w:space="0" w:color="auto"/>
              <w:right w:val="single" w:sz="4" w:space="0" w:color="auto"/>
            </w:tcBorders>
            <w:shd w:val="clear" w:color="auto" w:fill="auto"/>
            <w:noWrap/>
            <w:vAlign w:val="bottom"/>
            <w:hideMark/>
          </w:tcPr>
          <w:p w14:paraId="752CBBA1"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71100.00</w:t>
            </w:r>
          </w:p>
        </w:tc>
        <w:tc>
          <w:tcPr>
            <w:tcW w:w="523" w:type="pct"/>
            <w:tcBorders>
              <w:top w:val="nil"/>
              <w:left w:val="nil"/>
              <w:bottom w:val="single" w:sz="4" w:space="0" w:color="auto"/>
              <w:right w:val="single" w:sz="4" w:space="0" w:color="auto"/>
            </w:tcBorders>
            <w:shd w:val="clear" w:color="auto" w:fill="auto"/>
            <w:noWrap/>
            <w:vAlign w:val="bottom"/>
            <w:hideMark/>
          </w:tcPr>
          <w:p w14:paraId="5026F52A"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90.00</w:t>
            </w:r>
          </w:p>
        </w:tc>
        <w:tc>
          <w:tcPr>
            <w:tcW w:w="701" w:type="pct"/>
            <w:tcBorders>
              <w:top w:val="nil"/>
              <w:left w:val="nil"/>
              <w:bottom w:val="single" w:sz="4" w:space="0" w:color="auto"/>
              <w:right w:val="single" w:sz="4" w:space="0" w:color="auto"/>
            </w:tcBorders>
            <w:shd w:val="clear" w:color="auto" w:fill="auto"/>
            <w:noWrap/>
            <w:vAlign w:val="bottom"/>
            <w:hideMark/>
          </w:tcPr>
          <w:p w14:paraId="019838D5"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144000.00</w:t>
            </w:r>
          </w:p>
        </w:tc>
        <w:tc>
          <w:tcPr>
            <w:tcW w:w="523" w:type="pct"/>
            <w:tcBorders>
              <w:top w:val="nil"/>
              <w:left w:val="nil"/>
              <w:bottom w:val="single" w:sz="4" w:space="0" w:color="auto"/>
              <w:right w:val="single" w:sz="4" w:space="0" w:color="auto"/>
            </w:tcBorders>
            <w:shd w:val="clear" w:color="auto" w:fill="auto"/>
            <w:noWrap/>
            <w:vAlign w:val="bottom"/>
            <w:hideMark/>
          </w:tcPr>
          <w:p w14:paraId="47C8FE6C"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120.00</w:t>
            </w:r>
          </w:p>
        </w:tc>
        <w:tc>
          <w:tcPr>
            <w:tcW w:w="701" w:type="pct"/>
            <w:tcBorders>
              <w:top w:val="nil"/>
              <w:left w:val="nil"/>
              <w:bottom w:val="single" w:sz="4" w:space="0" w:color="auto"/>
              <w:right w:val="single" w:sz="4" w:space="0" w:color="auto"/>
            </w:tcBorders>
            <w:shd w:val="clear" w:color="auto" w:fill="auto"/>
            <w:noWrap/>
            <w:vAlign w:val="bottom"/>
            <w:hideMark/>
          </w:tcPr>
          <w:p w14:paraId="04D5542C"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108000.00</w:t>
            </w:r>
          </w:p>
        </w:tc>
      </w:tr>
      <w:tr w:rsidR="00DF2773" w:rsidRPr="000002E5" w14:paraId="3631E05A"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47499692" w14:textId="77777777" w:rsidR="00DF2773" w:rsidRPr="000002E5" w:rsidRDefault="00DF2773" w:rsidP="00CC3CDB">
            <w:pPr>
              <w:spacing w:after="0"/>
              <w:jc w:val="both"/>
              <w:rPr>
                <w:rFonts w:eastAsia="Times New Roman" w:cs="Times New Roman"/>
                <w:color w:val="000000"/>
                <w:szCs w:val="24"/>
                <w:u w:val="single"/>
                <w:lang w:eastAsia="en-IN"/>
              </w:rPr>
            </w:pPr>
            <w:r w:rsidRPr="000002E5">
              <w:rPr>
                <w:rFonts w:eastAsia="Times New Roman" w:cs="Times New Roman"/>
                <w:color w:val="000000"/>
                <w:szCs w:val="24"/>
                <w:u w:val="single"/>
                <w:lang w:eastAsia="en-IN"/>
              </w:rPr>
              <w:t>Variable Cost:</w:t>
            </w:r>
          </w:p>
        </w:tc>
        <w:tc>
          <w:tcPr>
            <w:tcW w:w="523" w:type="pct"/>
            <w:tcBorders>
              <w:top w:val="nil"/>
              <w:left w:val="nil"/>
              <w:bottom w:val="single" w:sz="4" w:space="0" w:color="auto"/>
              <w:right w:val="single" w:sz="4" w:space="0" w:color="auto"/>
            </w:tcBorders>
            <w:shd w:val="clear" w:color="auto" w:fill="auto"/>
            <w:noWrap/>
            <w:vAlign w:val="bottom"/>
            <w:hideMark/>
          </w:tcPr>
          <w:p w14:paraId="6D223607"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547FA653"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523" w:type="pct"/>
            <w:tcBorders>
              <w:top w:val="nil"/>
              <w:left w:val="nil"/>
              <w:bottom w:val="single" w:sz="4" w:space="0" w:color="auto"/>
              <w:right w:val="single" w:sz="4" w:space="0" w:color="auto"/>
            </w:tcBorders>
            <w:shd w:val="clear" w:color="auto" w:fill="auto"/>
            <w:noWrap/>
            <w:vAlign w:val="bottom"/>
            <w:hideMark/>
          </w:tcPr>
          <w:p w14:paraId="401C9AB0"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2467384B"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523" w:type="pct"/>
            <w:tcBorders>
              <w:top w:val="nil"/>
              <w:left w:val="nil"/>
              <w:bottom w:val="single" w:sz="4" w:space="0" w:color="auto"/>
              <w:right w:val="single" w:sz="4" w:space="0" w:color="auto"/>
            </w:tcBorders>
            <w:shd w:val="clear" w:color="auto" w:fill="auto"/>
            <w:noWrap/>
            <w:vAlign w:val="bottom"/>
            <w:hideMark/>
          </w:tcPr>
          <w:p w14:paraId="26E74D5F"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128FEADD"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r>
      <w:tr w:rsidR="00DF2773" w:rsidRPr="000002E5" w14:paraId="46CF4819"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32789BC9"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xml:space="preserve">Material </w:t>
            </w:r>
          </w:p>
        </w:tc>
        <w:tc>
          <w:tcPr>
            <w:tcW w:w="523" w:type="pct"/>
            <w:tcBorders>
              <w:top w:val="nil"/>
              <w:left w:val="nil"/>
              <w:bottom w:val="single" w:sz="4" w:space="0" w:color="auto"/>
              <w:right w:val="single" w:sz="4" w:space="0" w:color="auto"/>
            </w:tcBorders>
            <w:shd w:val="clear" w:color="auto" w:fill="auto"/>
            <w:noWrap/>
            <w:vAlign w:val="bottom"/>
            <w:hideMark/>
          </w:tcPr>
          <w:p w14:paraId="57FD459C"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27.53</w:t>
            </w:r>
          </w:p>
        </w:tc>
        <w:tc>
          <w:tcPr>
            <w:tcW w:w="621" w:type="pct"/>
            <w:tcBorders>
              <w:top w:val="nil"/>
              <w:left w:val="nil"/>
              <w:bottom w:val="single" w:sz="4" w:space="0" w:color="auto"/>
              <w:right w:val="single" w:sz="4" w:space="0" w:color="auto"/>
            </w:tcBorders>
            <w:shd w:val="clear" w:color="auto" w:fill="auto"/>
            <w:noWrap/>
            <w:vAlign w:val="bottom"/>
            <w:hideMark/>
          </w:tcPr>
          <w:p w14:paraId="2A64587A"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32622.35</w:t>
            </w:r>
          </w:p>
        </w:tc>
        <w:tc>
          <w:tcPr>
            <w:tcW w:w="523" w:type="pct"/>
            <w:tcBorders>
              <w:top w:val="nil"/>
              <w:left w:val="nil"/>
              <w:bottom w:val="single" w:sz="4" w:space="0" w:color="auto"/>
              <w:right w:val="single" w:sz="4" w:space="0" w:color="auto"/>
            </w:tcBorders>
            <w:shd w:val="clear" w:color="auto" w:fill="auto"/>
            <w:noWrap/>
            <w:vAlign w:val="bottom"/>
            <w:hideMark/>
          </w:tcPr>
          <w:p w14:paraId="66A2FBE3"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31.13</w:t>
            </w:r>
          </w:p>
        </w:tc>
        <w:tc>
          <w:tcPr>
            <w:tcW w:w="701" w:type="pct"/>
            <w:tcBorders>
              <w:top w:val="nil"/>
              <w:left w:val="nil"/>
              <w:bottom w:val="single" w:sz="4" w:space="0" w:color="auto"/>
              <w:right w:val="single" w:sz="4" w:space="0" w:color="auto"/>
            </w:tcBorders>
            <w:shd w:val="clear" w:color="auto" w:fill="auto"/>
            <w:noWrap/>
            <w:vAlign w:val="bottom"/>
            <w:hideMark/>
          </w:tcPr>
          <w:p w14:paraId="15A61CD1"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49806.45</w:t>
            </w:r>
          </w:p>
        </w:tc>
        <w:tc>
          <w:tcPr>
            <w:tcW w:w="523" w:type="pct"/>
            <w:tcBorders>
              <w:top w:val="nil"/>
              <w:left w:val="nil"/>
              <w:bottom w:val="single" w:sz="4" w:space="0" w:color="auto"/>
              <w:right w:val="single" w:sz="4" w:space="0" w:color="auto"/>
            </w:tcBorders>
            <w:shd w:val="clear" w:color="auto" w:fill="auto"/>
            <w:noWrap/>
            <w:vAlign w:val="bottom"/>
            <w:hideMark/>
          </w:tcPr>
          <w:p w14:paraId="20AC403D"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24.08</w:t>
            </w:r>
          </w:p>
        </w:tc>
        <w:tc>
          <w:tcPr>
            <w:tcW w:w="701" w:type="pct"/>
            <w:tcBorders>
              <w:top w:val="nil"/>
              <w:left w:val="nil"/>
              <w:bottom w:val="single" w:sz="4" w:space="0" w:color="auto"/>
              <w:right w:val="single" w:sz="4" w:space="0" w:color="auto"/>
            </w:tcBorders>
            <w:shd w:val="clear" w:color="auto" w:fill="auto"/>
            <w:noWrap/>
            <w:vAlign w:val="bottom"/>
            <w:hideMark/>
          </w:tcPr>
          <w:p w14:paraId="0B29347D"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21671.05</w:t>
            </w:r>
          </w:p>
        </w:tc>
      </w:tr>
      <w:tr w:rsidR="00DF2773" w:rsidRPr="000002E5" w14:paraId="7E0A0A2A"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190DB2C3"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Labour</w:t>
            </w:r>
          </w:p>
        </w:tc>
        <w:tc>
          <w:tcPr>
            <w:tcW w:w="523" w:type="pct"/>
            <w:tcBorders>
              <w:top w:val="nil"/>
              <w:left w:val="nil"/>
              <w:bottom w:val="single" w:sz="4" w:space="0" w:color="auto"/>
              <w:right w:val="single" w:sz="4" w:space="0" w:color="auto"/>
            </w:tcBorders>
            <w:shd w:val="clear" w:color="auto" w:fill="auto"/>
            <w:noWrap/>
            <w:vAlign w:val="bottom"/>
            <w:hideMark/>
          </w:tcPr>
          <w:p w14:paraId="3D8FA7D9"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14.35</w:t>
            </w:r>
          </w:p>
        </w:tc>
        <w:tc>
          <w:tcPr>
            <w:tcW w:w="621" w:type="pct"/>
            <w:tcBorders>
              <w:top w:val="nil"/>
              <w:left w:val="nil"/>
              <w:bottom w:val="single" w:sz="4" w:space="0" w:color="auto"/>
              <w:right w:val="single" w:sz="4" w:space="0" w:color="auto"/>
            </w:tcBorders>
            <w:shd w:val="clear" w:color="auto" w:fill="auto"/>
            <w:noWrap/>
            <w:vAlign w:val="bottom"/>
            <w:hideMark/>
          </w:tcPr>
          <w:p w14:paraId="4B2714D6"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17008.24</w:t>
            </w:r>
          </w:p>
        </w:tc>
        <w:tc>
          <w:tcPr>
            <w:tcW w:w="523" w:type="pct"/>
            <w:tcBorders>
              <w:top w:val="nil"/>
              <w:left w:val="nil"/>
              <w:bottom w:val="single" w:sz="4" w:space="0" w:color="auto"/>
              <w:right w:val="single" w:sz="4" w:space="0" w:color="auto"/>
            </w:tcBorders>
            <w:shd w:val="clear" w:color="auto" w:fill="auto"/>
            <w:noWrap/>
            <w:vAlign w:val="bottom"/>
            <w:hideMark/>
          </w:tcPr>
          <w:p w14:paraId="355729E3"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23.31</w:t>
            </w:r>
          </w:p>
        </w:tc>
        <w:tc>
          <w:tcPr>
            <w:tcW w:w="701" w:type="pct"/>
            <w:tcBorders>
              <w:top w:val="nil"/>
              <w:left w:val="nil"/>
              <w:bottom w:val="single" w:sz="4" w:space="0" w:color="auto"/>
              <w:right w:val="single" w:sz="4" w:space="0" w:color="auto"/>
            </w:tcBorders>
            <w:shd w:val="clear" w:color="auto" w:fill="auto"/>
            <w:noWrap/>
            <w:vAlign w:val="bottom"/>
            <w:hideMark/>
          </w:tcPr>
          <w:p w14:paraId="6BEEC2A1"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37290.32</w:t>
            </w:r>
          </w:p>
        </w:tc>
        <w:tc>
          <w:tcPr>
            <w:tcW w:w="523" w:type="pct"/>
            <w:tcBorders>
              <w:top w:val="nil"/>
              <w:left w:val="nil"/>
              <w:bottom w:val="single" w:sz="4" w:space="0" w:color="auto"/>
              <w:right w:val="single" w:sz="4" w:space="0" w:color="auto"/>
            </w:tcBorders>
            <w:shd w:val="clear" w:color="auto" w:fill="auto"/>
            <w:noWrap/>
            <w:vAlign w:val="bottom"/>
            <w:hideMark/>
          </w:tcPr>
          <w:p w14:paraId="41AD7A2C"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31.84</w:t>
            </w:r>
          </w:p>
        </w:tc>
        <w:tc>
          <w:tcPr>
            <w:tcW w:w="701" w:type="pct"/>
            <w:tcBorders>
              <w:top w:val="nil"/>
              <w:left w:val="nil"/>
              <w:bottom w:val="single" w:sz="4" w:space="0" w:color="auto"/>
              <w:right w:val="single" w:sz="4" w:space="0" w:color="auto"/>
            </w:tcBorders>
            <w:shd w:val="clear" w:color="auto" w:fill="auto"/>
            <w:noWrap/>
            <w:vAlign w:val="bottom"/>
            <w:hideMark/>
          </w:tcPr>
          <w:p w14:paraId="3734C22D"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28657.89</w:t>
            </w:r>
          </w:p>
        </w:tc>
      </w:tr>
      <w:tr w:rsidR="00DF2773" w:rsidRPr="000002E5" w14:paraId="20A9688D"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6234FAF2"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Overhead</w:t>
            </w:r>
          </w:p>
        </w:tc>
        <w:tc>
          <w:tcPr>
            <w:tcW w:w="523" w:type="pct"/>
            <w:tcBorders>
              <w:top w:val="nil"/>
              <w:left w:val="nil"/>
              <w:bottom w:val="single" w:sz="4" w:space="0" w:color="auto"/>
              <w:right w:val="single" w:sz="4" w:space="0" w:color="auto"/>
            </w:tcBorders>
            <w:shd w:val="clear" w:color="auto" w:fill="auto"/>
            <w:noWrap/>
            <w:vAlign w:val="bottom"/>
            <w:hideMark/>
          </w:tcPr>
          <w:p w14:paraId="258C0256"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5.96</w:t>
            </w:r>
          </w:p>
        </w:tc>
        <w:tc>
          <w:tcPr>
            <w:tcW w:w="621" w:type="pct"/>
            <w:tcBorders>
              <w:top w:val="nil"/>
              <w:left w:val="nil"/>
              <w:bottom w:val="single" w:sz="4" w:space="0" w:color="auto"/>
              <w:right w:val="single" w:sz="4" w:space="0" w:color="auto"/>
            </w:tcBorders>
            <w:shd w:val="clear" w:color="auto" w:fill="auto"/>
            <w:noWrap/>
            <w:vAlign w:val="bottom"/>
            <w:hideMark/>
          </w:tcPr>
          <w:p w14:paraId="074270B7"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7062.60</w:t>
            </w:r>
          </w:p>
        </w:tc>
        <w:tc>
          <w:tcPr>
            <w:tcW w:w="523" w:type="pct"/>
            <w:tcBorders>
              <w:top w:val="nil"/>
              <w:left w:val="nil"/>
              <w:bottom w:val="single" w:sz="4" w:space="0" w:color="auto"/>
              <w:right w:val="single" w:sz="4" w:space="0" w:color="auto"/>
            </w:tcBorders>
            <w:shd w:val="clear" w:color="auto" w:fill="auto"/>
            <w:noWrap/>
            <w:vAlign w:val="bottom"/>
            <w:hideMark/>
          </w:tcPr>
          <w:p w14:paraId="1AEADD4C"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5.96</w:t>
            </w:r>
          </w:p>
        </w:tc>
        <w:tc>
          <w:tcPr>
            <w:tcW w:w="701" w:type="pct"/>
            <w:tcBorders>
              <w:top w:val="nil"/>
              <w:left w:val="nil"/>
              <w:bottom w:val="single" w:sz="4" w:space="0" w:color="auto"/>
              <w:right w:val="single" w:sz="4" w:space="0" w:color="auto"/>
            </w:tcBorders>
            <w:shd w:val="clear" w:color="auto" w:fill="auto"/>
            <w:noWrap/>
            <w:vAlign w:val="bottom"/>
            <w:hideMark/>
          </w:tcPr>
          <w:p w14:paraId="3F3864A8"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9536.00</w:t>
            </w:r>
          </w:p>
        </w:tc>
        <w:tc>
          <w:tcPr>
            <w:tcW w:w="523" w:type="pct"/>
            <w:tcBorders>
              <w:top w:val="nil"/>
              <w:left w:val="nil"/>
              <w:bottom w:val="single" w:sz="4" w:space="0" w:color="auto"/>
              <w:right w:val="single" w:sz="4" w:space="0" w:color="auto"/>
            </w:tcBorders>
            <w:shd w:val="clear" w:color="auto" w:fill="auto"/>
            <w:noWrap/>
            <w:vAlign w:val="bottom"/>
            <w:hideMark/>
          </w:tcPr>
          <w:p w14:paraId="717A55C6"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5.96</w:t>
            </w:r>
          </w:p>
        </w:tc>
        <w:tc>
          <w:tcPr>
            <w:tcW w:w="701" w:type="pct"/>
            <w:tcBorders>
              <w:top w:val="nil"/>
              <w:left w:val="nil"/>
              <w:bottom w:val="single" w:sz="4" w:space="0" w:color="auto"/>
              <w:right w:val="single" w:sz="4" w:space="0" w:color="auto"/>
            </w:tcBorders>
            <w:shd w:val="clear" w:color="auto" w:fill="auto"/>
            <w:noWrap/>
            <w:vAlign w:val="bottom"/>
            <w:hideMark/>
          </w:tcPr>
          <w:p w14:paraId="7D397779"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5364.00</w:t>
            </w:r>
          </w:p>
        </w:tc>
      </w:tr>
      <w:tr w:rsidR="00DF2773" w:rsidRPr="000002E5" w14:paraId="69E87B4A"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1E1CABFC"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Contribution per unit (tyre)</w:t>
            </w:r>
          </w:p>
        </w:tc>
        <w:tc>
          <w:tcPr>
            <w:tcW w:w="523" w:type="pct"/>
            <w:tcBorders>
              <w:top w:val="nil"/>
              <w:left w:val="nil"/>
              <w:bottom w:val="single" w:sz="4" w:space="0" w:color="auto"/>
              <w:right w:val="single" w:sz="4" w:space="0" w:color="auto"/>
            </w:tcBorders>
            <w:shd w:val="clear" w:color="auto" w:fill="auto"/>
            <w:noWrap/>
            <w:vAlign w:val="bottom"/>
            <w:hideMark/>
          </w:tcPr>
          <w:p w14:paraId="4CFEB651"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11.68</w:t>
            </w:r>
          </w:p>
        </w:tc>
        <w:tc>
          <w:tcPr>
            <w:tcW w:w="621" w:type="pct"/>
            <w:tcBorders>
              <w:top w:val="nil"/>
              <w:left w:val="nil"/>
              <w:bottom w:val="single" w:sz="4" w:space="0" w:color="auto"/>
              <w:right w:val="single" w:sz="4" w:space="0" w:color="auto"/>
            </w:tcBorders>
            <w:shd w:val="clear" w:color="auto" w:fill="auto"/>
            <w:noWrap/>
            <w:vAlign w:val="bottom"/>
            <w:hideMark/>
          </w:tcPr>
          <w:p w14:paraId="62A51E1C"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13838.01</w:t>
            </w:r>
          </w:p>
        </w:tc>
        <w:tc>
          <w:tcPr>
            <w:tcW w:w="523" w:type="pct"/>
            <w:tcBorders>
              <w:top w:val="nil"/>
              <w:left w:val="nil"/>
              <w:bottom w:val="single" w:sz="4" w:space="0" w:color="auto"/>
              <w:right w:val="single" w:sz="4" w:space="0" w:color="auto"/>
            </w:tcBorders>
            <w:shd w:val="clear" w:color="auto" w:fill="auto"/>
            <w:noWrap/>
            <w:vAlign w:val="bottom"/>
            <w:hideMark/>
          </w:tcPr>
          <w:p w14:paraId="73810C75"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23.95</w:t>
            </w:r>
          </w:p>
        </w:tc>
        <w:tc>
          <w:tcPr>
            <w:tcW w:w="701" w:type="pct"/>
            <w:tcBorders>
              <w:top w:val="nil"/>
              <w:left w:val="nil"/>
              <w:bottom w:val="single" w:sz="4" w:space="0" w:color="auto"/>
              <w:right w:val="single" w:sz="4" w:space="0" w:color="auto"/>
            </w:tcBorders>
            <w:shd w:val="clear" w:color="auto" w:fill="auto"/>
            <w:noWrap/>
            <w:vAlign w:val="bottom"/>
            <w:hideMark/>
          </w:tcPr>
          <w:p w14:paraId="38C7E11C"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38322.58</w:t>
            </w:r>
          </w:p>
        </w:tc>
        <w:tc>
          <w:tcPr>
            <w:tcW w:w="523" w:type="pct"/>
            <w:tcBorders>
              <w:top w:val="nil"/>
              <w:left w:val="nil"/>
              <w:bottom w:val="single" w:sz="4" w:space="0" w:color="auto"/>
              <w:right w:val="single" w:sz="4" w:space="0" w:color="auto"/>
            </w:tcBorders>
            <w:shd w:val="clear" w:color="auto" w:fill="auto"/>
            <w:noWrap/>
            <w:vAlign w:val="bottom"/>
            <w:hideMark/>
          </w:tcPr>
          <w:p w14:paraId="6713CBB5"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47.50</w:t>
            </w:r>
          </w:p>
        </w:tc>
        <w:tc>
          <w:tcPr>
            <w:tcW w:w="701" w:type="pct"/>
            <w:tcBorders>
              <w:top w:val="nil"/>
              <w:left w:val="nil"/>
              <w:bottom w:val="single" w:sz="4" w:space="0" w:color="auto"/>
              <w:right w:val="single" w:sz="4" w:space="0" w:color="auto"/>
            </w:tcBorders>
            <w:shd w:val="clear" w:color="auto" w:fill="auto"/>
            <w:noWrap/>
            <w:vAlign w:val="bottom"/>
            <w:hideMark/>
          </w:tcPr>
          <w:p w14:paraId="7D7AC51A"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42750.00</w:t>
            </w:r>
          </w:p>
        </w:tc>
      </w:tr>
      <w:tr w:rsidR="00DF2773" w:rsidRPr="000002E5" w14:paraId="26E810F9"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16CEC809"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Less: Fixed Cost</w:t>
            </w:r>
          </w:p>
        </w:tc>
        <w:tc>
          <w:tcPr>
            <w:tcW w:w="523" w:type="pct"/>
            <w:tcBorders>
              <w:top w:val="nil"/>
              <w:left w:val="nil"/>
              <w:bottom w:val="single" w:sz="4" w:space="0" w:color="auto"/>
              <w:right w:val="single" w:sz="4" w:space="0" w:color="auto"/>
            </w:tcBorders>
            <w:shd w:val="clear" w:color="auto" w:fill="auto"/>
            <w:noWrap/>
            <w:vAlign w:val="bottom"/>
            <w:hideMark/>
          </w:tcPr>
          <w:p w14:paraId="15DCC84E"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51FD134E"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8072.34</w:t>
            </w:r>
          </w:p>
        </w:tc>
        <w:tc>
          <w:tcPr>
            <w:tcW w:w="523" w:type="pct"/>
            <w:tcBorders>
              <w:top w:val="nil"/>
              <w:left w:val="nil"/>
              <w:bottom w:val="single" w:sz="4" w:space="0" w:color="auto"/>
              <w:right w:val="single" w:sz="4" w:space="0" w:color="auto"/>
            </w:tcBorders>
            <w:shd w:val="clear" w:color="auto" w:fill="auto"/>
            <w:noWrap/>
            <w:vAlign w:val="bottom"/>
            <w:hideMark/>
          </w:tcPr>
          <w:p w14:paraId="74DA6F4D"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7AECC040"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8072.34</w:t>
            </w:r>
          </w:p>
        </w:tc>
        <w:tc>
          <w:tcPr>
            <w:tcW w:w="523" w:type="pct"/>
            <w:tcBorders>
              <w:top w:val="nil"/>
              <w:left w:val="nil"/>
              <w:bottom w:val="single" w:sz="4" w:space="0" w:color="auto"/>
              <w:right w:val="single" w:sz="4" w:space="0" w:color="auto"/>
            </w:tcBorders>
            <w:shd w:val="clear" w:color="auto" w:fill="auto"/>
            <w:noWrap/>
            <w:vAlign w:val="bottom"/>
            <w:hideMark/>
          </w:tcPr>
          <w:p w14:paraId="67984B03"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5882A45B" w14:textId="77777777" w:rsidR="00DF2773" w:rsidRPr="000002E5" w:rsidRDefault="00DF2773" w:rsidP="00CC3CDB">
            <w:pPr>
              <w:spacing w:after="0"/>
              <w:jc w:val="both"/>
              <w:rPr>
                <w:rFonts w:eastAsia="Times New Roman" w:cs="Times New Roman"/>
                <w:color w:val="000000"/>
                <w:szCs w:val="24"/>
                <w:lang w:eastAsia="en-IN"/>
              </w:rPr>
            </w:pPr>
            <w:r w:rsidRPr="000002E5">
              <w:rPr>
                <w:rFonts w:eastAsia="Times New Roman" w:cs="Times New Roman"/>
                <w:color w:val="000000"/>
                <w:szCs w:val="24"/>
                <w:lang w:eastAsia="en-IN"/>
              </w:rPr>
              <w:t>8072.34</w:t>
            </w:r>
          </w:p>
        </w:tc>
      </w:tr>
      <w:tr w:rsidR="00DF2773" w:rsidRPr="000002E5" w14:paraId="06981A9E" w14:textId="77777777" w:rsidTr="00CC3CDB">
        <w:trPr>
          <w:trHeight w:val="315"/>
        </w:trPr>
        <w:tc>
          <w:tcPr>
            <w:tcW w:w="1407" w:type="pct"/>
            <w:tcBorders>
              <w:top w:val="nil"/>
              <w:left w:val="single" w:sz="4" w:space="0" w:color="auto"/>
              <w:bottom w:val="single" w:sz="4" w:space="0" w:color="auto"/>
              <w:right w:val="single" w:sz="4" w:space="0" w:color="auto"/>
            </w:tcBorders>
            <w:shd w:val="clear" w:color="auto" w:fill="auto"/>
            <w:noWrap/>
            <w:vAlign w:val="bottom"/>
            <w:hideMark/>
          </w:tcPr>
          <w:p w14:paraId="2FDFF919"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Profit</w:t>
            </w:r>
          </w:p>
        </w:tc>
        <w:tc>
          <w:tcPr>
            <w:tcW w:w="523" w:type="pct"/>
            <w:tcBorders>
              <w:top w:val="nil"/>
              <w:left w:val="nil"/>
              <w:bottom w:val="single" w:sz="4" w:space="0" w:color="auto"/>
              <w:right w:val="single" w:sz="4" w:space="0" w:color="auto"/>
            </w:tcBorders>
            <w:shd w:val="clear" w:color="auto" w:fill="auto"/>
            <w:noWrap/>
            <w:vAlign w:val="bottom"/>
            <w:hideMark/>
          </w:tcPr>
          <w:p w14:paraId="3E64095A"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 </w:t>
            </w:r>
          </w:p>
        </w:tc>
        <w:tc>
          <w:tcPr>
            <w:tcW w:w="621" w:type="pct"/>
            <w:tcBorders>
              <w:top w:val="nil"/>
              <w:left w:val="nil"/>
              <w:bottom w:val="single" w:sz="4" w:space="0" w:color="auto"/>
              <w:right w:val="single" w:sz="4" w:space="0" w:color="auto"/>
            </w:tcBorders>
            <w:shd w:val="clear" w:color="auto" w:fill="auto"/>
            <w:noWrap/>
            <w:vAlign w:val="bottom"/>
            <w:hideMark/>
          </w:tcPr>
          <w:p w14:paraId="1EC7904C"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5765.67</w:t>
            </w:r>
          </w:p>
        </w:tc>
        <w:tc>
          <w:tcPr>
            <w:tcW w:w="523" w:type="pct"/>
            <w:tcBorders>
              <w:top w:val="nil"/>
              <w:left w:val="nil"/>
              <w:bottom w:val="single" w:sz="4" w:space="0" w:color="auto"/>
              <w:right w:val="single" w:sz="4" w:space="0" w:color="auto"/>
            </w:tcBorders>
            <w:shd w:val="clear" w:color="auto" w:fill="auto"/>
            <w:noWrap/>
            <w:vAlign w:val="bottom"/>
            <w:hideMark/>
          </w:tcPr>
          <w:p w14:paraId="68F77BD7"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7956C4D6"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30250.24</w:t>
            </w:r>
          </w:p>
        </w:tc>
        <w:tc>
          <w:tcPr>
            <w:tcW w:w="523" w:type="pct"/>
            <w:tcBorders>
              <w:top w:val="nil"/>
              <w:left w:val="nil"/>
              <w:bottom w:val="single" w:sz="4" w:space="0" w:color="auto"/>
              <w:right w:val="single" w:sz="4" w:space="0" w:color="auto"/>
            </w:tcBorders>
            <w:shd w:val="clear" w:color="auto" w:fill="auto"/>
            <w:noWrap/>
            <w:vAlign w:val="bottom"/>
            <w:hideMark/>
          </w:tcPr>
          <w:p w14:paraId="10CA4EDD"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 </w:t>
            </w:r>
          </w:p>
        </w:tc>
        <w:tc>
          <w:tcPr>
            <w:tcW w:w="701" w:type="pct"/>
            <w:tcBorders>
              <w:top w:val="nil"/>
              <w:left w:val="nil"/>
              <w:bottom w:val="single" w:sz="4" w:space="0" w:color="auto"/>
              <w:right w:val="single" w:sz="4" w:space="0" w:color="auto"/>
            </w:tcBorders>
            <w:shd w:val="clear" w:color="auto" w:fill="auto"/>
            <w:noWrap/>
            <w:vAlign w:val="bottom"/>
            <w:hideMark/>
          </w:tcPr>
          <w:p w14:paraId="3C403759" w14:textId="77777777" w:rsidR="00DF2773" w:rsidRPr="000002E5" w:rsidRDefault="00DF2773" w:rsidP="00CC3CDB">
            <w:pPr>
              <w:spacing w:after="0"/>
              <w:jc w:val="both"/>
              <w:rPr>
                <w:rFonts w:eastAsia="Times New Roman" w:cs="Times New Roman"/>
                <w:b/>
                <w:bCs/>
                <w:color w:val="000000"/>
                <w:szCs w:val="24"/>
                <w:lang w:eastAsia="en-IN"/>
              </w:rPr>
            </w:pPr>
            <w:r w:rsidRPr="000002E5">
              <w:rPr>
                <w:rFonts w:eastAsia="Times New Roman" w:cs="Times New Roman"/>
                <w:b/>
                <w:bCs/>
                <w:color w:val="000000"/>
                <w:szCs w:val="24"/>
                <w:lang w:eastAsia="en-IN"/>
              </w:rPr>
              <w:t>34677.66</w:t>
            </w:r>
          </w:p>
        </w:tc>
      </w:tr>
    </w:tbl>
    <w:p w14:paraId="1441C53D" w14:textId="77777777" w:rsidR="00DF2773" w:rsidRDefault="00DF2773" w:rsidP="00DF2773">
      <w:pPr>
        <w:jc w:val="both"/>
      </w:pPr>
    </w:p>
    <w:p w14:paraId="6E9BCBA6" w14:textId="473EF94D" w:rsidR="00E04DD7" w:rsidRPr="00E04DD7" w:rsidRDefault="00DF2773" w:rsidP="00E04DD7">
      <w:pPr>
        <w:pStyle w:val="Heading1"/>
        <w:spacing w:line="360" w:lineRule="auto"/>
        <w:jc w:val="both"/>
        <w:rPr>
          <w:rFonts w:asciiTheme="minorHAnsi" w:hAnsiTheme="minorHAnsi" w:cstheme="minorHAnsi"/>
          <w:b/>
          <w:bCs/>
          <w:color w:val="auto"/>
          <w:sz w:val="24"/>
          <w:szCs w:val="24"/>
        </w:rPr>
      </w:pPr>
      <w:bookmarkStart w:id="3" w:name="_Toc117345879"/>
      <w:r w:rsidRPr="00E04DD7">
        <w:rPr>
          <w:rFonts w:asciiTheme="minorHAnsi" w:hAnsiTheme="minorHAnsi" w:cstheme="minorHAnsi"/>
          <w:b/>
          <w:bCs/>
          <w:color w:val="auto"/>
          <w:sz w:val="24"/>
          <w:szCs w:val="24"/>
        </w:rPr>
        <w:t>1.4 Advice to STG management</w:t>
      </w:r>
      <w:bookmarkEnd w:id="3"/>
    </w:p>
    <w:p w14:paraId="254336A6" w14:textId="75F81178" w:rsidR="00DF2773" w:rsidRPr="00E04DD7" w:rsidRDefault="00DF2773" w:rsidP="00E04DD7">
      <w:pPr>
        <w:spacing w:line="360" w:lineRule="auto"/>
        <w:jc w:val="both"/>
        <w:rPr>
          <w:rFonts w:cstheme="minorHAnsi"/>
          <w:sz w:val="24"/>
          <w:szCs w:val="24"/>
        </w:rPr>
      </w:pPr>
      <w:r w:rsidRPr="00E04DD7">
        <w:rPr>
          <w:rFonts w:cstheme="minorHAnsi"/>
          <w:sz w:val="24"/>
          <w:szCs w:val="24"/>
        </w:rPr>
        <w:t xml:space="preserve">The observation of the results of the two-product mix developed in each of the </w:t>
      </w:r>
      <w:r w:rsidRPr="00E04DD7">
        <w:rPr>
          <w:rFonts w:cstheme="minorHAnsi"/>
          <w:sz w:val="24"/>
          <w:szCs w:val="24"/>
        </w:rPr>
        <w:t>cases</w:t>
      </w:r>
      <w:r w:rsidRPr="00E04DD7">
        <w:rPr>
          <w:rFonts w:cstheme="minorHAnsi"/>
          <w:sz w:val="24"/>
          <w:szCs w:val="24"/>
        </w:rPr>
        <w:t xml:space="preserve"> associated with the budget contract helps in developing </w:t>
      </w:r>
      <w:r w:rsidRPr="00E04DD7">
        <w:rPr>
          <w:rFonts w:cstheme="minorHAnsi"/>
          <w:sz w:val="24"/>
          <w:szCs w:val="24"/>
        </w:rPr>
        <w:t xml:space="preserve">a </w:t>
      </w:r>
      <w:r w:rsidRPr="00E04DD7">
        <w:rPr>
          <w:rFonts w:cstheme="minorHAnsi"/>
          <w:sz w:val="24"/>
          <w:szCs w:val="24"/>
        </w:rPr>
        <w:t xml:space="preserve">suitable recommendation </w:t>
      </w:r>
      <w:r w:rsidRPr="00E04DD7">
        <w:rPr>
          <w:rFonts w:cstheme="minorHAnsi"/>
          <w:sz w:val="24"/>
          <w:szCs w:val="24"/>
        </w:rPr>
        <w:t>for</w:t>
      </w:r>
      <w:r w:rsidRPr="00E04DD7">
        <w:rPr>
          <w:rFonts w:cstheme="minorHAnsi"/>
          <w:sz w:val="24"/>
          <w:szCs w:val="24"/>
        </w:rPr>
        <w:t xml:space="preserve"> the management of STG company (</w:t>
      </w:r>
      <w:proofErr w:type="spellStart"/>
      <w:r w:rsidRPr="00E04DD7">
        <w:rPr>
          <w:rFonts w:cstheme="minorHAnsi"/>
          <w:sz w:val="24"/>
          <w:szCs w:val="24"/>
        </w:rPr>
        <w:t>Chytry</w:t>
      </w:r>
      <w:proofErr w:type="spellEnd"/>
      <w:r w:rsidRPr="00E04DD7">
        <w:rPr>
          <w:rFonts w:cstheme="minorHAnsi"/>
          <w:sz w:val="24"/>
          <w:szCs w:val="24"/>
        </w:rPr>
        <w:t xml:space="preserve"> et al. 2022). </w:t>
      </w:r>
      <w:r w:rsidRPr="00E04DD7">
        <w:rPr>
          <w:rFonts w:cstheme="minorHAnsi"/>
          <w:sz w:val="24"/>
          <w:szCs w:val="24"/>
        </w:rPr>
        <w:t>Honouring</w:t>
      </w:r>
      <w:r w:rsidRPr="00E04DD7">
        <w:rPr>
          <w:rFonts w:cstheme="minorHAnsi"/>
          <w:sz w:val="24"/>
          <w:szCs w:val="24"/>
        </w:rPr>
        <w:t xml:space="preserve"> the budget contract would result in low profits </w:t>
      </w:r>
      <w:r w:rsidRPr="00E04DD7">
        <w:rPr>
          <w:rFonts w:cstheme="minorHAnsi"/>
          <w:sz w:val="24"/>
          <w:szCs w:val="24"/>
        </w:rPr>
        <w:t>for</w:t>
      </w:r>
      <w:r w:rsidRPr="00E04DD7">
        <w:rPr>
          <w:rFonts w:cstheme="minorHAnsi"/>
          <w:sz w:val="24"/>
          <w:szCs w:val="24"/>
        </w:rPr>
        <w:t xml:space="preserve"> the company. It is because the extra production of units of Standard tyre in line with the contract would involve opportunity cost associated with the production of </w:t>
      </w:r>
      <w:r w:rsidRPr="00E04DD7">
        <w:rPr>
          <w:rFonts w:cstheme="minorHAnsi"/>
          <w:sz w:val="24"/>
          <w:szCs w:val="24"/>
        </w:rPr>
        <w:t xml:space="preserve">the </w:t>
      </w:r>
      <w:r w:rsidRPr="00E04DD7">
        <w:rPr>
          <w:rFonts w:cstheme="minorHAnsi"/>
          <w:sz w:val="24"/>
          <w:szCs w:val="24"/>
        </w:rPr>
        <w:t xml:space="preserve">Premium product </w:t>
      </w:r>
      <w:r w:rsidRPr="00E04DD7">
        <w:rPr>
          <w:rFonts w:cstheme="minorHAnsi"/>
          <w:sz w:val="24"/>
          <w:szCs w:val="24"/>
        </w:rPr>
        <w:t>which</w:t>
      </w:r>
      <w:r w:rsidRPr="00E04DD7">
        <w:rPr>
          <w:rFonts w:cstheme="minorHAnsi"/>
          <w:sz w:val="24"/>
          <w:szCs w:val="24"/>
        </w:rPr>
        <w:t xml:space="preserve"> is one of the most profitable products for the company and is ranked 2</w:t>
      </w:r>
      <w:r w:rsidRPr="00E04DD7">
        <w:rPr>
          <w:rFonts w:cstheme="minorHAnsi"/>
          <w:sz w:val="24"/>
          <w:szCs w:val="24"/>
          <w:vertAlign w:val="superscript"/>
        </w:rPr>
        <w:t>nd</w:t>
      </w:r>
      <w:r w:rsidRPr="00E04DD7">
        <w:rPr>
          <w:rFonts w:cstheme="minorHAnsi"/>
          <w:sz w:val="24"/>
          <w:szCs w:val="24"/>
        </w:rPr>
        <w:t xml:space="preserve"> in the profitability mix for the enterprise. </w:t>
      </w:r>
    </w:p>
    <w:p w14:paraId="1E945513" w14:textId="0D10A39A" w:rsidR="00DF2773" w:rsidRPr="00E04DD7" w:rsidRDefault="00DF2773" w:rsidP="00E04DD7">
      <w:pPr>
        <w:spacing w:line="360" w:lineRule="auto"/>
        <w:jc w:val="both"/>
        <w:rPr>
          <w:rFonts w:cstheme="minorHAnsi"/>
          <w:sz w:val="24"/>
          <w:szCs w:val="24"/>
        </w:rPr>
      </w:pPr>
      <w:r w:rsidRPr="00E04DD7">
        <w:rPr>
          <w:rFonts w:cstheme="minorHAnsi"/>
          <w:sz w:val="24"/>
          <w:szCs w:val="24"/>
        </w:rPr>
        <w:lastRenderedPageBreak/>
        <w:t xml:space="preserve">In case the contract is honoured, there would be </w:t>
      </w:r>
      <w:r w:rsidRPr="00E04DD7">
        <w:rPr>
          <w:rFonts w:cstheme="minorHAnsi"/>
          <w:sz w:val="24"/>
          <w:szCs w:val="24"/>
        </w:rPr>
        <w:t xml:space="preserve">the </w:t>
      </w:r>
      <w:r w:rsidRPr="00E04DD7">
        <w:rPr>
          <w:rFonts w:cstheme="minorHAnsi"/>
          <w:sz w:val="24"/>
          <w:szCs w:val="24"/>
        </w:rPr>
        <w:t>production of additional 15 units (1200- 1185) in comparison to the scenario where the contract is not honoured (</w:t>
      </w:r>
      <w:proofErr w:type="spellStart"/>
      <w:r w:rsidRPr="00E04DD7">
        <w:rPr>
          <w:rFonts w:cstheme="minorHAnsi"/>
          <w:sz w:val="24"/>
          <w:szCs w:val="24"/>
        </w:rPr>
        <w:t>Hagiu</w:t>
      </w:r>
      <w:proofErr w:type="spellEnd"/>
      <w:r w:rsidRPr="00E04DD7">
        <w:rPr>
          <w:rFonts w:cstheme="minorHAnsi"/>
          <w:sz w:val="24"/>
          <w:szCs w:val="24"/>
        </w:rPr>
        <w:t xml:space="preserve"> and Wright 2020). Thus, the additional contribution gained would be = £ 3.04 × 15 units = £ 45.6.</w:t>
      </w:r>
    </w:p>
    <w:p w14:paraId="3B907A6B" w14:textId="18F22D73" w:rsidR="00DF2773" w:rsidRPr="00E04DD7" w:rsidRDefault="00DF2773" w:rsidP="00E04DD7">
      <w:pPr>
        <w:spacing w:line="360" w:lineRule="auto"/>
        <w:jc w:val="both"/>
        <w:rPr>
          <w:rFonts w:cstheme="minorHAnsi"/>
          <w:sz w:val="24"/>
          <w:szCs w:val="24"/>
        </w:rPr>
      </w:pPr>
      <w:r w:rsidRPr="00E04DD7">
        <w:rPr>
          <w:rFonts w:cstheme="minorHAnsi"/>
          <w:sz w:val="24"/>
          <w:szCs w:val="24"/>
        </w:rPr>
        <w:t>At the same time, the less production of the premium product in the case the contract is honoured would be 900- 895 = 5 units. The net contribution lost in this regard would be £ 4.84 × 5 = £ 24.2. Thus, the net effect</w:t>
      </w:r>
      <w:r w:rsidRPr="00E04DD7">
        <w:rPr>
          <w:rFonts w:cstheme="minorHAnsi"/>
          <w:sz w:val="24"/>
          <w:szCs w:val="24"/>
        </w:rPr>
        <w:t>, if the contract is accepted,</w:t>
      </w:r>
      <w:r w:rsidRPr="00E04DD7">
        <w:rPr>
          <w:rFonts w:cstheme="minorHAnsi"/>
          <w:sz w:val="24"/>
          <w:szCs w:val="24"/>
        </w:rPr>
        <w:t xml:space="preserve"> would be an additional gain of </w:t>
      </w:r>
      <w:r w:rsidRPr="00E04DD7">
        <w:rPr>
          <w:rFonts w:cstheme="minorHAnsi"/>
          <w:sz w:val="24"/>
          <w:szCs w:val="24"/>
        </w:rPr>
        <w:t xml:space="preserve">the </w:t>
      </w:r>
      <w:r w:rsidRPr="00E04DD7">
        <w:rPr>
          <w:rFonts w:cstheme="minorHAnsi"/>
          <w:sz w:val="24"/>
          <w:szCs w:val="24"/>
        </w:rPr>
        <w:t xml:space="preserve">contribution of £ (45.6 – 24.2) = £ 21.4. </w:t>
      </w:r>
    </w:p>
    <w:p w14:paraId="1E38E407" w14:textId="750FF668" w:rsidR="00E04DD7" w:rsidRPr="00E04DD7" w:rsidRDefault="00DF2773" w:rsidP="00E04DD7">
      <w:pPr>
        <w:spacing w:line="360" w:lineRule="auto"/>
        <w:jc w:val="both"/>
        <w:rPr>
          <w:rFonts w:cstheme="minorHAnsi"/>
          <w:sz w:val="24"/>
          <w:szCs w:val="24"/>
        </w:rPr>
      </w:pPr>
      <w:r w:rsidRPr="00E04DD7">
        <w:rPr>
          <w:rFonts w:cstheme="minorHAnsi"/>
          <w:sz w:val="24"/>
          <w:szCs w:val="24"/>
        </w:rPr>
        <w:t xml:space="preserve">Thus, the evaluation of the net impact on the contribution of the two products above shows that the company </w:t>
      </w:r>
      <w:r w:rsidR="00C676F8" w:rsidRPr="00E04DD7">
        <w:rPr>
          <w:rFonts w:cstheme="minorHAnsi"/>
          <w:sz w:val="24"/>
          <w:szCs w:val="24"/>
        </w:rPr>
        <w:t>will</w:t>
      </w:r>
      <w:r w:rsidRPr="00E04DD7">
        <w:rPr>
          <w:rFonts w:cstheme="minorHAnsi"/>
          <w:sz w:val="24"/>
          <w:szCs w:val="24"/>
        </w:rPr>
        <w:t xml:space="preserve"> gain additional contribution if it decides to accept the contract and produce 1200 units of standard product (</w:t>
      </w:r>
      <w:proofErr w:type="spellStart"/>
      <w:r w:rsidRPr="00E04DD7">
        <w:rPr>
          <w:rFonts w:cstheme="minorHAnsi"/>
          <w:sz w:val="24"/>
          <w:szCs w:val="24"/>
        </w:rPr>
        <w:t>Kafle</w:t>
      </w:r>
      <w:proofErr w:type="spellEnd"/>
      <w:r w:rsidRPr="00E04DD7">
        <w:rPr>
          <w:rFonts w:cstheme="minorHAnsi"/>
          <w:sz w:val="24"/>
          <w:szCs w:val="24"/>
        </w:rPr>
        <w:t xml:space="preserve"> 2018). Thus, it can be said that the said product should be accepted. </w:t>
      </w:r>
    </w:p>
    <w:p w14:paraId="5031B9B1" w14:textId="425050CF" w:rsidR="00DF2773" w:rsidRPr="00E04DD7" w:rsidRDefault="00E04DD7" w:rsidP="00E04DD7">
      <w:pPr>
        <w:spacing w:line="360" w:lineRule="auto"/>
        <w:jc w:val="both"/>
        <w:rPr>
          <w:rFonts w:cstheme="minorHAnsi"/>
          <w:b/>
          <w:bCs/>
          <w:sz w:val="24"/>
          <w:szCs w:val="24"/>
        </w:rPr>
      </w:pPr>
      <w:r>
        <w:rPr>
          <w:rFonts w:cstheme="minorHAnsi"/>
          <w:b/>
          <w:bCs/>
          <w:sz w:val="24"/>
          <w:szCs w:val="24"/>
        </w:rPr>
        <w:t xml:space="preserve">1.5.1 </w:t>
      </w:r>
      <w:r w:rsidR="00DF2773" w:rsidRPr="00E04DD7">
        <w:rPr>
          <w:rFonts w:cstheme="minorHAnsi"/>
          <w:b/>
          <w:bCs/>
          <w:sz w:val="24"/>
          <w:szCs w:val="24"/>
        </w:rPr>
        <w:t>Limiting factor and its relevance to STG</w:t>
      </w:r>
    </w:p>
    <w:p w14:paraId="1EAD8A94" w14:textId="3BD4A104" w:rsidR="00DF2773" w:rsidRPr="00E04DD7" w:rsidRDefault="00DF2773" w:rsidP="00E04DD7">
      <w:pPr>
        <w:spacing w:line="360" w:lineRule="auto"/>
        <w:jc w:val="both"/>
        <w:rPr>
          <w:rFonts w:cstheme="minorHAnsi"/>
          <w:sz w:val="24"/>
          <w:szCs w:val="24"/>
        </w:rPr>
      </w:pPr>
      <w:r w:rsidRPr="00E04DD7">
        <w:rPr>
          <w:rFonts w:cstheme="minorHAnsi"/>
          <w:sz w:val="24"/>
          <w:szCs w:val="24"/>
        </w:rPr>
        <w:t xml:space="preserve">The limiting factor </w:t>
      </w:r>
      <w:r w:rsidRPr="00E04DD7">
        <w:rPr>
          <w:rFonts w:cstheme="minorHAnsi"/>
          <w:sz w:val="24"/>
          <w:szCs w:val="24"/>
        </w:rPr>
        <w:t>has</w:t>
      </w:r>
      <w:r w:rsidRPr="00E04DD7">
        <w:rPr>
          <w:rFonts w:cstheme="minorHAnsi"/>
          <w:sz w:val="24"/>
          <w:szCs w:val="24"/>
        </w:rPr>
        <w:t xml:space="preserve"> constraints on it and is available but in scarce supply. If the stock of this material is over, the production cannot be carried forward. There can also be multiple limiting factors for a company, which might limit its production efforts. The limiting factors include-</w:t>
      </w:r>
    </w:p>
    <w:p w14:paraId="02AA09FD" w14:textId="77777777" w:rsidR="00DF2773" w:rsidRPr="00E04DD7" w:rsidRDefault="00DF2773" w:rsidP="00E04DD7">
      <w:pPr>
        <w:numPr>
          <w:ilvl w:val="0"/>
          <w:numId w:val="1"/>
        </w:numPr>
        <w:spacing w:line="360" w:lineRule="auto"/>
        <w:jc w:val="both"/>
        <w:rPr>
          <w:rFonts w:cstheme="minorHAnsi"/>
          <w:sz w:val="24"/>
          <w:szCs w:val="24"/>
        </w:rPr>
      </w:pPr>
      <w:r w:rsidRPr="00E04DD7">
        <w:rPr>
          <w:rFonts w:cstheme="minorHAnsi"/>
          <w:b/>
          <w:bCs/>
          <w:sz w:val="24"/>
          <w:szCs w:val="24"/>
        </w:rPr>
        <w:t>Labour</w:t>
      </w:r>
      <w:r w:rsidRPr="00E04DD7">
        <w:rPr>
          <w:rFonts w:cstheme="minorHAnsi"/>
          <w:sz w:val="24"/>
          <w:szCs w:val="24"/>
        </w:rPr>
        <w:t>- The supply of the labour force is limited in terms of the number of manpower available or their total working hours</w:t>
      </w:r>
    </w:p>
    <w:p w14:paraId="504DE78E" w14:textId="77777777" w:rsidR="00DF2773" w:rsidRPr="00E04DD7" w:rsidRDefault="00DF2773" w:rsidP="00E04DD7">
      <w:pPr>
        <w:numPr>
          <w:ilvl w:val="0"/>
          <w:numId w:val="1"/>
        </w:numPr>
        <w:spacing w:line="360" w:lineRule="auto"/>
        <w:jc w:val="both"/>
        <w:rPr>
          <w:rFonts w:cstheme="minorHAnsi"/>
          <w:sz w:val="24"/>
          <w:szCs w:val="24"/>
        </w:rPr>
      </w:pPr>
      <w:r w:rsidRPr="00E04DD7">
        <w:rPr>
          <w:rFonts w:cstheme="minorHAnsi"/>
          <w:b/>
          <w:bCs/>
          <w:sz w:val="24"/>
          <w:szCs w:val="24"/>
        </w:rPr>
        <w:t>Materials</w:t>
      </w:r>
      <w:r w:rsidRPr="00E04DD7">
        <w:rPr>
          <w:rFonts w:cstheme="minorHAnsi"/>
          <w:sz w:val="24"/>
          <w:szCs w:val="24"/>
        </w:rPr>
        <w:t>- There can be different production activities in which the material is required. The goods must be produced in adequate quantity (</w:t>
      </w:r>
      <w:proofErr w:type="spellStart"/>
      <w:r w:rsidRPr="00E04DD7">
        <w:rPr>
          <w:rFonts w:cstheme="minorHAnsi"/>
          <w:sz w:val="24"/>
          <w:szCs w:val="24"/>
        </w:rPr>
        <w:t>Kafle</w:t>
      </w:r>
      <w:proofErr w:type="spellEnd"/>
      <w:r w:rsidRPr="00E04DD7">
        <w:rPr>
          <w:rFonts w:cstheme="minorHAnsi"/>
          <w:sz w:val="24"/>
          <w:szCs w:val="24"/>
        </w:rPr>
        <w:t xml:space="preserve"> 2018). It should not be either too low or too high for any product line.</w:t>
      </w:r>
    </w:p>
    <w:p w14:paraId="57B918B7" w14:textId="003B71AD" w:rsidR="00DF2773" w:rsidRPr="00E04DD7" w:rsidRDefault="00DF2773" w:rsidP="00E04DD7">
      <w:pPr>
        <w:numPr>
          <w:ilvl w:val="0"/>
          <w:numId w:val="1"/>
        </w:numPr>
        <w:spacing w:line="360" w:lineRule="auto"/>
        <w:jc w:val="both"/>
        <w:rPr>
          <w:rFonts w:cstheme="minorHAnsi"/>
          <w:sz w:val="24"/>
          <w:szCs w:val="24"/>
        </w:rPr>
      </w:pPr>
      <w:r w:rsidRPr="00E04DD7">
        <w:rPr>
          <w:rFonts w:cstheme="minorHAnsi"/>
          <w:b/>
          <w:bCs/>
          <w:sz w:val="24"/>
          <w:szCs w:val="24"/>
        </w:rPr>
        <w:t>Manufacturing capacity-</w:t>
      </w:r>
      <w:r w:rsidRPr="00E04DD7">
        <w:rPr>
          <w:rFonts w:cstheme="minorHAnsi"/>
          <w:sz w:val="24"/>
          <w:szCs w:val="24"/>
        </w:rPr>
        <w:t xml:space="preserve"> There can be </w:t>
      </w:r>
      <w:r w:rsidRPr="00E04DD7">
        <w:rPr>
          <w:rFonts w:cstheme="minorHAnsi"/>
          <w:sz w:val="24"/>
          <w:szCs w:val="24"/>
        </w:rPr>
        <w:t xml:space="preserve">a </w:t>
      </w:r>
      <w:r w:rsidRPr="00E04DD7">
        <w:rPr>
          <w:rFonts w:cstheme="minorHAnsi"/>
          <w:sz w:val="24"/>
          <w:szCs w:val="24"/>
        </w:rPr>
        <w:t>limited number of machines or machine working hours, for which these can be used for production.</w:t>
      </w:r>
    </w:p>
    <w:p w14:paraId="26FDB260" w14:textId="4A393D4E" w:rsidR="00912E44" w:rsidRPr="00E04DD7" w:rsidRDefault="00DF2773" w:rsidP="00E04DD7">
      <w:pPr>
        <w:spacing w:line="360" w:lineRule="auto"/>
        <w:jc w:val="both"/>
        <w:rPr>
          <w:rFonts w:cstheme="minorHAnsi"/>
          <w:sz w:val="24"/>
          <w:szCs w:val="24"/>
        </w:rPr>
      </w:pPr>
      <w:r w:rsidRPr="00E04DD7">
        <w:rPr>
          <w:rFonts w:cstheme="minorHAnsi"/>
          <w:sz w:val="24"/>
          <w:szCs w:val="24"/>
        </w:rPr>
        <w:t>The goal of the business is to select an optimum production mix (</w:t>
      </w:r>
      <w:proofErr w:type="spellStart"/>
      <w:r w:rsidRPr="00E04DD7">
        <w:rPr>
          <w:rFonts w:cstheme="minorHAnsi"/>
          <w:sz w:val="24"/>
          <w:szCs w:val="24"/>
        </w:rPr>
        <w:t>Kafle</w:t>
      </w:r>
      <w:proofErr w:type="spellEnd"/>
      <w:r w:rsidRPr="00E04DD7">
        <w:rPr>
          <w:rFonts w:cstheme="minorHAnsi"/>
          <w:sz w:val="24"/>
          <w:szCs w:val="24"/>
        </w:rPr>
        <w:t xml:space="preserve"> 2018). It must produce the minimum number of required goods for the market but focus on those goods that maximise its profits. The business must focus on producing those products which have </w:t>
      </w:r>
      <w:r w:rsidRPr="00E04DD7">
        <w:rPr>
          <w:rFonts w:cstheme="minorHAnsi"/>
          <w:sz w:val="24"/>
          <w:szCs w:val="24"/>
        </w:rPr>
        <w:t xml:space="preserve">a </w:t>
      </w:r>
      <w:r w:rsidRPr="00E04DD7">
        <w:rPr>
          <w:rFonts w:cstheme="minorHAnsi"/>
          <w:sz w:val="24"/>
          <w:szCs w:val="24"/>
        </w:rPr>
        <w:t>high contribution margin per unit.</w:t>
      </w:r>
    </w:p>
    <w:p w14:paraId="53AAFF6A" w14:textId="2C227AF5" w:rsidR="00DF2773" w:rsidRPr="00E04DD7" w:rsidRDefault="00E04DD7" w:rsidP="00E04DD7">
      <w:pPr>
        <w:spacing w:line="360" w:lineRule="auto"/>
        <w:jc w:val="both"/>
        <w:rPr>
          <w:sz w:val="24"/>
          <w:szCs w:val="24"/>
        </w:rPr>
      </w:pPr>
      <w:r>
        <w:rPr>
          <w:b/>
          <w:bCs/>
          <w:sz w:val="24"/>
          <w:szCs w:val="24"/>
        </w:rPr>
        <w:t xml:space="preserve"> 1.5.2 </w:t>
      </w:r>
      <w:r w:rsidR="00DF2773" w:rsidRPr="00E04DD7">
        <w:rPr>
          <w:b/>
          <w:bCs/>
          <w:sz w:val="24"/>
          <w:szCs w:val="24"/>
        </w:rPr>
        <w:t>Assumptions for CVP analysis</w:t>
      </w:r>
    </w:p>
    <w:p w14:paraId="62157573" w14:textId="1FF25935" w:rsidR="00DF2773" w:rsidRPr="00912E44" w:rsidRDefault="00DF2773" w:rsidP="00E04DD7">
      <w:pPr>
        <w:spacing w:line="360" w:lineRule="auto"/>
        <w:jc w:val="both"/>
        <w:rPr>
          <w:sz w:val="24"/>
          <w:szCs w:val="24"/>
        </w:rPr>
      </w:pPr>
      <w:r w:rsidRPr="00912E44">
        <w:rPr>
          <w:sz w:val="24"/>
          <w:szCs w:val="24"/>
        </w:rPr>
        <w:lastRenderedPageBreak/>
        <w:t xml:space="preserve">The CVP analysis is used to draw the relationship between costs incurred </w:t>
      </w:r>
      <w:r w:rsidRPr="00912E44">
        <w:rPr>
          <w:sz w:val="24"/>
          <w:szCs w:val="24"/>
        </w:rPr>
        <w:t>in</w:t>
      </w:r>
      <w:r w:rsidRPr="00912E44">
        <w:rPr>
          <w:sz w:val="24"/>
          <w:szCs w:val="24"/>
        </w:rPr>
        <w:t xml:space="preserve"> production, </w:t>
      </w:r>
      <w:r w:rsidRPr="00912E44">
        <w:rPr>
          <w:sz w:val="24"/>
          <w:szCs w:val="24"/>
        </w:rPr>
        <w:t xml:space="preserve">the </w:t>
      </w:r>
      <w:r w:rsidRPr="00912E44">
        <w:rPr>
          <w:sz w:val="24"/>
          <w:szCs w:val="24"/>
        </w:rPr>
        <w:t xml:space="preserve">volume of the whole output and </w:t>
      </w:r>
      <w:r w:rsidRPr="00912E44">
        <w:rPr>
          <w:sz w:val="24"/>
          <w:szCs w:val="24"/>
        </w:rPr>
        <w:t xml:space="preserve">the </w:t>
      </w:r>
      <w:r w:rsidRPr="00912E44">
        <w:rPr>
          <w:sz w:val="24"/>
          <w:szCs w:val="24"/>
        </w:rPr>
        <w:t xml:space="preserve">profit that can be attained after selling these products (Liu et al. 2019). The technique is applied after </w:t>
      </w:r>
      <w:r w:rsidR="00C676F8" w:rsidRPr="00912E44">
        <w:rPr>
          <w:sz w:val="24"/>
          <w:szCs w:val="24"/>
        </w:rPr>
        <w:t>considering</w:t>
      </w:r>
      <w:r w:rsidRPr="00912E44">
        <w:rPr>
          <w:sz w:val="24"/>
          <w:szCs w:val="24"/>
        </w:rPr>
        <w:t xml:space="preserve"> </w:t>
      </w:r>
      <w:r w:rsidRPr="00912E44">
        <w:rPr>
          <w:sz w:val="24"/>
          <w:szCs w:val="24"/>
        </w:rPr>
        <w:t>several</w:t>
      </w:r>
      <w:r w:rsidRPr="00912E44">
        <w:rPr>
          <w:sz w:val="24"/>
          <w:szCs w:val="24"/>
        </w:rPr>
        <w:t xml:space="preserve"> considerations which are-</w:t>
      </w:r>
    </w:p>
    <w:p w14:paraId="6C47A4DA" w14:textId="77777777" w:rsidR="00DF2773" w:rsidRPr="00912E44" w:rsidRDefault="00DF2773" w:rsidP="00E04DD7">
      <w:pPr>
        <w:numPr>
          <w:ilvl w:val="0"/>
          <w:numId w:val="2"/>
        </w:numPr>
        <w:spacing w:line="360" w:lineRule="auto"/>
        <w:jc w:val="both"/>
        <w:rPr>
          <w:sz w:val="24"/>
          <w:szCs w:val="24"/>
        </w:rPr>
      </w:pPr>
      <w:r w:rsidRPr="00912E44">
        <w:rPr>
          <w:sz w:val="24"/>
          <w:szCs w:val="24"/>
        </w:rPr>
        <w:t>The costs must be fixed at the given level of production. When the production alters by some margin the fixed costs should stay the same.</w:t>
      </w:r>
    </w:p>
    <w:p w14:paraId="138C2480" w14:textId="77777777" w:rsidR="00DF2773" w:rsidRPr="00912E44" w:rsidRDefault="00DF2773" w:rsidP="00E04DD7">
      <w:pPr>
        <w:numPr>
          <w:ilvl w:val="0"/>
          <w:numId w:val="2"/>
        </w:numPr>
        <w:spacing w:line="360" w:lineRule="auto"/>
        <w:jc w:val="both"/>
        <w:rPr>
          <w:sz w:val="24"/>
          <w:szCs w:val="24"/>
        </w:rPr>
      </w:pPr>
      <w:r w:rsidRPr="00912E44">
        <w:rPr>
          <w:sz w:val="24"/>
          <w:szCs w:val="24"/>
        </w:rPr>
        <w:t>The variable cost per unit also remains constant</w:t>
      </w:r>
    </w:p>
    <w:p w14:paraId="02610C29" w14:textId="3B9FD325" w:rsidR="00DF2773" w:rsidRPr="00912E44" w:rsidRDefault="00DF2773" w:rsidP="00E04DD7">
      <w:pPr>
        <w:numPr>
          <w:ilvl w:val="0"/>
          <w:numId w:val="2"/>
        </w:numPr>
        <w:spacing w:line="360" w:lineRule="auto"/>
        <w:jc w:val="both"/>
        <w:rPr>
          <w:sz w:val="24"/>
          <w:szCs w:val="24"/>
        </w:rPr>
      </w:pPr>
      <w:r w:rsidRPr="00912E44">
        <w:rPr>
          <w:sz w:val="24"/>
          <w:szCs w:val="24"/>
        </w:rPr>
        <w:t>The costs must be split between fixed and the variable costs</w:t>
      </w:r>
    </w:p>
    <w:p w14:paraId="601C2336" w14:textId="77777777" w:rsidR="00DF2773" w:rsidRPr="00912E44" w:rsidRDefault="00DF2773" w:rsidP="00E04DD7">
      <w:pPr>
        <w:numPr>
          <w:ilvl w:val="0"/>
          <w:numId w:val="2"/>
        </w:numPr>
        <w:spacing w:line="360" w:lineRule="auto"/>
        <w:jc w:val="both"/>
        <w:rPr>
          <w:sz w:val="24"/>
          <w:szCs w:val="24"/>
        </w:rPr>
      </w:pPr>
      <w:r w:rsidRPr="00912E44">
        <w:rPr>
          <w:sz w:val="24"/>
          <w:szCs w:val="24"/>
        </w:rPr>
        <w:t>The change in the total amount of expenses would be caused by the changes in activity levels.</w:t>
      </w:r>
    </w:p>
    <w:p w14:paraId="327FAFCD" w14:textId="7F9D8E72" w:rsidR="00DF2773" w:rsidRPr="00912E44" w:rsidRDefault="00DF2773" w:rsidP="00E04DD7">
      <w:pPr>
        <w:numPr>
          <w:ilvl w:val="0"/>
          <w:numId w:val="2"/>
        </w:numPr>
        <w:spacing w:line="360" w:lineRule="auto"/>
        <w:jc w:val="both"/>
        <w:rPr>
          <w:sz w:val="24"/>
          <w:szCs w:val="24"/>
        </w:rPr>
      </w:pPr>
      <w:r w:rsidRPr="00912E44">
        <w:rPr>
          <w:sz w:val="24"/>
          <w:szCs w:val="24"/>
        </w:rPr>
        <w:t xml:space="preserve">The semi-variable costs are to be segregated </w:t>
      </w:r>
      <w:r w:rsidRPr="00912E44">
        <w:rPr>
          <w:sz w:val="24"/>
          <w:szCs w:val="24"/>
        </w:rPr>
        <w:t>based on</w:t>
      </w:r>
      <w:r w:rsidRPr="00912E44">
        <w:rPr>
          <w:sz w:val="24"/>
          <w:szCs w:val="24"/>
        </w:rPr>
        <w:t xml:space="preserve"> </w:t>
      </w:r>
      <w:r w:rsidR="00E04DD7">
        <w:rPr>
          <w:sz w:val="24"/>
          <w:szCs w:val="24"/>
        </w:rPr>
        <w:t xml:space="preserve">the </w:t>
      </w:r>
      <w:r w:rsidRPr="00912E44">
        <w:rPr>
          <w:sz w:val="24"/>
          <w:szCs w:val="24"/>
        </w:rPr>
        <w:t>high-low method or the scatter plot</w:t>
      </w:r>
    </w:p>
    <w:p w14:paraId="67882C81" w14:textId="77777777" w:rsidR="00DF2773" w:rsidRPr="00912E44" w:rsidRDefault="00DF2773" w:rsidP="00E04DD7">
      <w:pPr>
        <w:spacing w:line="360" w:lineRule="auto"/>
        <w:jc w:val="both"/>
        <w:rPr>
          <w:rFonts w:cstheme="minorHAnsi"/>
          <w:sz w:val="24"/>
          <w:szCs w:val="24"/>
        </w:rPr>
      </w:pPr>
      <w:r w:rsidRPr="00912E44">
        <w:rPr>
          <w:rFonts w:cstheme="minorHAnsi"/>
          <w:b/>
          <w:bCs/>
          <w:sz w:val="24"/>
          <w:szCs w:val="24"/>
        </w:rPr>
        <w:t>Limitations of the CVP analysis</w:t>
      </w:r>
    </w:p>
    <w:p w14:paraId="6E203351" w14:textId="0E443C9E" w:rsidR="00DF2773" w:rsidRPr="00E04DD7" w:rsidRDefault="00DF2773" w:rsidP="00E04DD7">
      <w:pPr>
        <w:spacing w:line="360" w:lineRule="auto"/>
        <w:jc w:val="both"/>
        <w:rPr>
          <w:sz w:val="24"/>
          <w:szCs w:val="24"/>
        </w:rPr>
      </w:pPr>
      <w:r w:rsidRPr="00E04DD7">
        <w:rPr>
          <w:sz w:val="24"/>
          <w:szCs w:val="24"/>
        </w:rPr>
        <w:t xml:space="preserve">The method of CVP is advantageous in many ways. It helps the business to identify </w:t>
      </w:r>
      <w:r w:rsidRPr="00E04DD7">
        <w:rPr>
          <w:sz w:val="24"/>
          <w:szCs w:val="24"/>
        </w:rPr>
        <w:t>the most profitable products</w:t>
      </w:r>
      <w:r w:rsidRPr="00E04DD7">
        <w:rPr>
          <w:sz w:val="24"/>
          <w:szCs w:val="24"/>
        </w:rPr>
        <w:t xml:space="preserve"> (Liu et al. 2019). The business can use its resources in </w:t>
      </w:r>
      <w:r w:rsidRPr="00E04DD7">
        <w:rPr>
          <w:sz w:val="24"/>
          <w:szCs w:val="24"/>
        </w:rPr>
        <w:t xml:space="preserve">the </w:t>
      </w:r>
      <w:r w:rsidRPr="00E04DD7">
        <w:rPr>
          <w:sz w:val="24"/>
          <w:szCs w:val="24"/>
        </w:rPr>
        <w:t xml:space="preserve">production of those products which provide it with </w:t>
      </w:r>
      <w:r w:rsidRPr="00E04DD7">
        <w:rPr>
          <w:sz w:val="24"/>
          <w:szCs w:val="24"/>
        </w:rPr>
        <w:t xml:space="preserve">the </w:t>
      </w:r>
      <w:r w:rsidRPr="00E04DD7">
        <w:rPr>
          <w:sz w:val="24"/>
          <w:szCs w:val="24"/>
        </w:rPr>
        <w:t xml:space="preserve">highest profitability. However, the method suffers from </w:t>
      </w:r>
      <w:r w:rsidRPr="00E04DD7">
        <w:rPr>
          <w:sz w:val="24"/>
          <w:szCs w:val="24"/>
        </w:rPr>
        <w:t>several</w:t>
      </w:r>
      <w:r w:rsidRPr="00E04DD7">
        <w:rPr>
          <w:sz w:val="24"/>
          <w:szCs w:val="24"/>
        </w:rPr>
        <w:t xml:space="preserve"> limitations such as-</w:t>
      </w:r>
    </w:p>
    <w:p w14:paraId="645D9E30" w14:textId="77777777" w:rsidR="00DF2773" w:rsidRPr="00E04DD7" w:rsidRDefault="00DF2773" w:rsidP="00E04DD7">
      <w:pPr>
        <w:numPr>
          <w:ilvl w:val="0"/>
          <w:numId w:val="3"/>
        </w:numPr>
        <w:spacing w:line="360" w:lineRule="auto"/>
        <w:jc w:val="both"/>
        <w:rPr>
          <w:sz w:val="24"/>
          <w:szCs w:val="24"/>
        </w:rPr>
      </w:pPr>
      <w:r w:rsidRPr="00E04DD7">
        <w:rPr>
          <w:sz w:val="24"/>
          <w:szCs w:val="24"/>
        </w:rPr>
        <w:t>The fixed costs of the business are not necessarily fixed. It can change with the fluctuations in the level of activity.</w:t>
      </w:r>
    </w:p>
    <w:p w14:paraId="768A89B3" w14:textId="1C625519" w:rsidR="00DF2773" w:rsidRPr="00E04DD7" w:rsidRDefault="00DF2773" w:rsidP="00E04DD7">
      <w:pPr>
        <w:numPr>
          <w:ilvl w:val="0"/>
          <w:numId w:val="3"/>
        </w:numPr>
        <w:spacing w:line="360" w:lineRule="auto"/>
        <w:jc w:val="both"/>
        <w:rPr>
          <w:sz w:val="24"/>
          <w:szCs w:val="24"/>
        </w:rPr>
      </w:pPr>
      <w:r w:rsidRPr="00E04DD7">
        <w:rPr>
          <w:sz w:val="24"/>
          <w:szCs w:val="24"/>
        </w:rPr>
        <w:t xml:space="preserve">The selling prices are not determined by the firms in markets with perfect competition. It changes </w:t>
      </w:r>
      <w:r w:rsidRPr="00E04DD7">
        <w:rPr>
          <w:sz w:val="24"/>
          <w:szCs w:val="24"/>
        </w:rPr>
        <w:t>based on</w:t>
      </w:r>
      <w:r w:rsidRPr="00E04DD7">
        <w:rPr>
          <w:sz w:val="24"/>
          <w:szCs w:val="24"/>
        </w:rPr>
        <w:t xml:space="preserve"> the pricing strategies of the competitors and the prices are largely determined by market forces.</w:t>
      </w:r>
    </w:p>
    <w:p w14:paraId="3BD1984E" w14:textId="77777777" w:rsidR="00DF2773" w:rsidRPr="00E04DD7" w:rsidRDefault="00DF2773" w:rsidP="00E04DD7">
      <w:pPr>
        <w:numPr>
          <w:ilvl w:val="0"/>
          <w:numId w:val="3"/>
        </w:numPr>
        <w:spacing w:line="360" w:lineRule="auto"/>
        <w:jc w:val="both"/>
        <w:rPr>
          <w:sz w:val="24"/>
          <w:szCs w:val="24"/>
        </w:rPr>
      </w:pPr>
      <w:r w:rsidRPr="00E04DD7">
        <w:rPr>
          <w:sz w:val="24"/>
          <w:szCs w:val="24"/>
        </w:rPr>
        <w:t>This method cannot be implemented in the long run as the underlying assumptions do not stay valid for a long period</w:t>
      </w:r>
    </w:p>
    <w:p w14:paraId="72CCC0F9" w14:textId="77777777" w:rsidR="00DF2773" w:rsidRPr="00E04DD7" w:rsidRDefault="00DF2773" w:rsidP="00E04DD7">
      <w:pPr>
        <w:numPr>
          <w:ilvl w:val="0"/>
          <w:numId w:val="3"/>
        </w:numPr>
        <w:spacing w:line="360" w:lineRule="auto"/>
        <w:jc w:val="both"/>
        <w:rPr>
          <w:sz w:val="24"/>
          <w:szCs w:val="24"/>
        </w:rPr>
      </w:pPr>
      <w:r w:rsidRPr="00E04DD7">
        <w:rPr>
          <w:sz w:val="24"/>
          <w:szCs w:val="24"/>
        </w:rPr>
        <w:t>For a firm such as STD, the product lines are larger, and this method might not be appropriate if the fixed costs are to be apportioned across various products.</w:t>
      </w:r>
    </w:p>
    <w:p w14:paraId="34140C17" w14:textId="77777777" w:rsidR="00DF2773" w:rsidRDefault="00DF2773" w:rsidP="00E04DD7">
      <w:pPr>
        <w:spacing w:line="360" w:lineRule="auto"/>
        <w:jc w:val="both"/>
      </w:pPr>
    </w:p>
    <w:p w14:paraId="00209D1C" w14:textId="77777777" w:rsidR="00DF2773" w:rsidRDefault="00DF2773" w:rsidP="00E04DD7">
      <w:pPr>
        <w:spacing w:line="360" w:lineRule="auto"/>
        <w:jc w:val="both"/>
      </w:pPr>
      <w:r>
        <w:br w:type="page"/>
      </w:r>
    </w:p>
    <w:p w14:paraId="310C6453" w14:textId="33CD53B8" w:rsidR="00E04DD7" w:rsidRPr="00E04DD7" w:rsidRDefault="00DF2773" w:rsidP="00E04DD7">
      <w:pPr>
        <w:pStyle w:val="Heading1"/>
        <w:spacing w:line="360" w:lineRule="auto"/>
        <w:jc w:val="both"/>
        <w:rPr>
          <w:rFonts w:asciiTheme="minorHAnsi" w:hAnsiTheme="minorHAnsi" w:cstheme="minorHAnsi"/>
          <w:b/>
          <w:bCs/>
          <w:color w:val="auto"/>
        </w:rPr>
      </w:pPr>
      <w:bookmarkStart w:id="4" w:name="_Toc117345881"/>
      <w:r w:rsidRPr="00912E44">
        <w:rPr>
          <w:rFonts w:asciiTheme="minorHAnsi" w:hAnsiTheme="minorHAnsi" w:cstheme="minorHAnsi"/>
          <w:b/>
          <w:bCs/>
          <w:color w:val="auto"/>
        </w:rPr>
        <w:lastRenderedPageBreak/>
        <w:t>Conclusion</w:t>
      </w:r>
      <w:bookmarkEnd w:id="4"/>
    </w:p>
    <w:p w14:paraId="423E4E51" w14:textId="77777777" w:rsidR="00DF2773" w:rsidRPr="00912E44" w:rsidRDefault="00DF2773" w:rsidP="00E04DD7">
      <w:pPr>
        <w:spacing w:line="360" w:lineRule="auto"/>
        <w:jc w:val="both"/>
        <w:rPr>
          <w:sz w:val="24"/>
          <w:szCs w:val="24"/>
        </w:rPr>
      </w:pPr>
      <w:r w:rsidRPr="00912E44">
        <w:rPr>
          <w:sz w:val="24"/>
          <w:szCs w:val="24"/>
        </w:rPr>
        <w:t xml:space="preserve">The report carried out the application of various management accounting concepts and conventions for decision-making purposes in business enterprises. This included the segregation of semi-variable overhead in the business of STG company along with the development of the most profitable product mix according to the ranking of each product for contribution per wire of each product. It was found that if the company decides to produce according to the budget contract it would have additional contribution and thus, the decision as to the production of the units as per the contract was suggested. </w:t>
      </w:r>
    </w:p>
    <w:p w14:paraId="6B4F4507" w14:textId="77777777" w:rsidR="00DF2773" w:rsidRPr="00912E44" w:rsidRDefault="00DF2773" w:rsidP="00E04DD7">
      <w:pPr>
        <w:spacing w:line="360" w:lineRule="auto"/>
        <w:jc w:val="both"/>
        <w:rPr>
          <w:sz w:val="24"/>
          <w:szCs w:val="24"/>
        </w:rPr>
      </w:pPr>
      <w:r w:rsidRPr="00912E44">
        <w:rPr>
          <w:sz w:val="24"/>
          <w:szCs w:val="24"/>
        </w:rPr>
        <w:br w:type="page"/>
      </w:r>
    </w:p>
    <w:p w14:paraId="7D923604" w14:textId="77777777" w:rsidR="00DF2773" w:rsidRDefault="00DF2773" w:rsidP="00DF2773"/>
    <w:sectPr w:rsidR="00DF27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90978" w14:textId="77777777" w:rsidR="00DF2773" w:rsidRDefault="00DF2773" w:rsidP="00DF2773">
      <w:pPr>
        <w:spacing w:after="0" w:line="240" w:lineRule="auto"/>
      </w:pPr>
      <w:r>
        <w:separator/>
      </w:r>
    </w:p>
  </w:endnote>
  <w:endnote w:type="continuationSeparator" w:id="0">
    <w:p w14:paraId="5E2D6C86" w14:textId="77777777" w:rsidR="00DF2773" w:rsidRDefault="00DF2773" w:rsidP="00DF2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BE43C" w14:textId="77777777" w:rsidR="00DF2773" w:rsidRDefault="00DF2773" w:rsidP="00DF2773">
      <w:pPr>
        <w:spacing w:after="0" w:line="240" w:lineRule="auto"/>
      </w:pPr>
      <w:r>
        <w:separator/>
      </w:r>
    </w:p>
  </w:footnote>
  <w:footnote w:type="continuationSeparator" w:id="0">
    <w:p w14:paraId="1C7961E8" w14:textId="77777777" w:rsidR="00DF2773" w:rsidRDefault="00DF2773" w:rsidP="00DF27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71B0F"/>
    <w:multiLevelType w:val="multilevel"/>
    <w:tmpl w:val="7F74E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4A0834"/>
    <w:multiLevelType w:val="multilevel"/>
    <w:tmpl w:val="CE9CB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3C46952"/>
    <w:multiLevelType w:val="multilevel"/>
    <w:tmpl w:val="6A607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8251151">
    <w:abstractNumId w:val="0"/>
  </w:num>
  <w:num w:numId="2" w16cid:durableId="1177429431">
    <w:abstractNumId w:val="2"/>
  </w:num>
  <w:num w:numId="3" w16cid:durableId="3903455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773"/>
    <w:rsid w:val="006026C6"/>
    <w:rsid w:val="0081731B"/>
    <w:rsid w:val="00912E44"/>
    <w:rsid w:val="00C468F1"/>
    <w:rsid w:val="00C676F8"/>
    <w:rsid w:val="00DF2773"/>
    <w:rsid w:val="00E04DD7"/>
    <w:rsid w:val="00FC6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46475"/>
  <w15:chartTrackingRefBased/>
  <w15:docId w15:val="{BE4FB894-5113-4C14-80CE-FDA50009E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7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7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2773"/>
    <w:pPr>
      <w:outlineLvl w:val="9"/>
    </w:pPr>
    <w:rPr>
      <w:lang w:val="en-US"/>
    </w:rPr>
  </w:style>
  <w:style w:type="paragraph" w:styleId="TOC1">
    <w:name w:val="toc 1"/>
    <w:basedOn w:val="Normal"/>
    <w:next w:val="Normal"/>
    <w:autoRedefine/>
    <w:uiPriority w:val="39"/>
    <w:unhideWhenUsed/>
    <w:rsid w:val="00DF2773"/>
    <w:pPr>
      <w:spacing w:after="100" w:line="360" w:lineRule="auto"/>
    </w:pPr>
    <w:rPr>
      <w:rFonts w:ascii="Times New Roman" w:hAnsi="Times New Roman"/>
      <w:sz w:val="24"/>
      <w:lang w:val="en-IN"/>
    </w:rPr>
  </w:style>
  <w:style w:type="character" w:styleId="Hyperlink">
    <w:name w:val="Hyperlink"/>
    <w:basedOn w:val="DefaultParagraphFont"/>
    <w:uiPriority w:val="99"/>
    <w:unhideWhenUsed/>
    <w:rsid w:val="00DF2773"/>
    <w:rPr>
      <w:color w:val="0563C1" w:themeColor="hyperlink"/>
      <w:u w:val="single"/>
    </w:rPr>
  </w:style>
  <w:style w:type="paragraph" w:styleId="Header">
    <w:name w:val="header"/>
    <w:basedOn w:val="Normal"/>
    <w:link w:val="HeaderChar"/>
    <w:uiPriority w:val="99"/>
    <w:unhideWhenUsed/>
    <w:rsid w:val="00DF2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773"/>
  </w:style>
  <w:style w:type="paragraph" w:styleId="Footer">
    <w:name w:val="footer"/>
    <w:basedOn w:val="Normal"/>
    <w:link w:val="FooterChar"/>
    <w:uiPriority w:val="99"/>
    <w:unhideWhenUsed/>
    <w:rsid w:val="00DF2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7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10</Pages>
  <Words>1650</Words>
  <Characters>9408</Characters>
  <Application>Microsoft Office Word</Application>
  <DocSecurity>0</DocSecurity>
  <Lines>78</Lines>
  <Paragraphs>22</Paragraphs>
  <ScaleCrop>false</ScaleCrop>
  <Company>LKQ Euro Car Parts</Company>
  <LinksUpToDate>false</LinksUpToDate>
  <CharactersWithSpaces>11036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Voinea</dc:creator>
  <cp:keywords/>
  <dc:description/>
  <cp:lastModifiedBy>Vasilica Voinea</cp:lastModifiedBy>
  <cp:revision>6</cp:revision>
  <dcterms:created xsi:type="dcterms:W3CDTF">2022-10-22T15:52:00Z</dcterms:created>
  <dcterms:modified xsi:type="dcterms:W3CDTF">2022-10-22T16:30:00Z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216da292-feba-431c-9eb2-78fa5ee4b537</vt:lpwstr>
  </property>
</Properties>
</file>