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656E" w:rsidRDefault="00A021FD" w:rsidP="00AB6E65">
      <w:pPr>
        <w:spacing w:line="360" w:lineRule="auto"/>
        <w:contextualSpacing/>
        <w:jc w:val="center"/>
      </w:pPr>
      <w:r>
        <w:t xml:space="preserve"> </w:t>
      </w:r>
      <w:r w:rsidR="0090656E">
        <w:t>Romans Through History and Culture</w:t>
      </w:r>
    </w:p>
    <w:p w:rsidR="0090656E" w:rsidRDefault="0090656E" w:rsidP="00AB6E65">
      <w:pPr>
        <w:spacing w:line="360" w:lineRule="auto"/>
        <w:contextualSpacing/>
      </w:pPr>
    </w:p>
    <w:p w:rsidR="0090656E" w:rsidRDefault="0090656E" w:rsidP="00AB6E65">
      <w:pPr>
        <w:spacing w:line="360" w:lineRule="auto"/>
        <w:contextualSpacing/>
      </w:pPr>
    </w:p>
    <w:p w:rsidR="0090656E" w:rsidRPr="0090656E" w:rsidRDefault="0090656E" w:rsidP="00AB6E65">
      <w:pPr>
        <w:spacing w:line="360" w:lineRule="auto"/>
        <w:contextualSpacing/>
        <w:jc w:val="center"/>
        <w:rPr>
          <w:b/>
        </w:rPr>
      </w:pPr>
      <w:r w:rsidRPr="0090656E">
        <w:rPr>
          <w:b/>
        </w:rPr>
        <w:t>The New Perspective and Beyond</w:t>
      </w:r>
    </w:p>
    <w:p w:rsidR="0090656E" w:rsidRDefault="0090656E" w:rsidP="00AB6E65">
      <w:pPr>
        <w:spacing w:line="360" w:lineRule="auto"/>
        <w:contextualSpacing/>
      </w:pPr>
    </w:p>
    <w:p w:rsidR="005E5C55" w:rsidRDefault="005E5C55" w:rsidP="00AB6E65">
      <w:pPr>
        <w:spacing w:line="360" w:lineRule="auto"/>
        <w:contextualSpacing/>
      </w:pPr>
    </w:p>
    <w:p w:rsidR="0090656E" w:rsidRDefault="006174DC" w:rsidP="00AB6E65">
      <w:pPr>
        <w:spacing w:line="360" w:lineRule="auto"/>
        <w:contextualSpacing/>
      </w:pPr>
      <w:r>
        <w:t xml:space="preserve">1. </w:t>
      </w:r>
      <w:r w:rsidR="009D0A2D">
        <w:t>Introduction</w:t>
      </w:r>
    </w:p>
    <w:p w:rsidR="0090656E" w:rsidRDefault="0090656E" w:rsidP="00AB6E65">
      <w:pPr>
        <w:spacing w:line="360" w:lineRule="auto"/>
        <w:contextualSpacing/>
      </w:pPr>
    </w:p>
    <w:p w:rsidR="00EB3363" w:rsidRDefault="000F50B7" w:rsidP="00AB6E65">
      <w:pPr>
        <w:spacing w:line="360" w:lineRule="auto"/>
        <w:contextualSpacing/>
      </w:pPr>
      <w:r>
        <w:t>The emergence of</w:t>
      </w:r>
      <w:r w:rsidR="008B7E70">
        <w:t xml:space="preserve"> </w:t>
      </w:r>
      <w:r w:rsidR="009B654C">
        <w:t>the</w:t>
      </w:r>
      <w:r>
        <w:t xml:space="preserve"> ‘New Perspective</w:t>
      </w:r>
      <w:r w:rsidR="009B654C">
        <w:t xml:space="preserve"> on Paul</w:t>
      </w:r>
      <w:r w:rsidR="008B7E70">
        <w:t>’, labelled after</w:t>
      </w:r>
      <w:r w:rsidR="009B654C">
        <w:t xml:space="preserve"> Dunn’s lecture of the same title</w:t>
      </w:r>
      <w:r w:rsidR="009B654C">
        <w:rPr>
          <w:rStyle w:val="Funotenzeichen"/>
        </w:rPr>
        <w:footnoteReference w:id="1"/>
      </w:r>
      <w:r w:rsidR="009B654C">
        <w:t xml:space="preserve"> has </w:t>
      </w:r>
      <w:r>
        <w:t xml:space="preserve">obviously had a significant impact on the interpretation </w:t>
      </w:r>
      <w:r w:rsidR="009B654C">
        <w:t xml:space="preserve">of Romans although </w:t>
      </w:r>
      <w:r>
        <w:t>this strand of research</w:t>
      </w:r>
      <w:r w:rsidR="00CD39E6">
        <w:t xml:space="preserve"> had </w:t>
      </w:r>
      <w:r>
        <w:t xml:space="preserve">initially not developed with a specific focus on this </w:t>
      </w:r>
      <w:r w:rsidR="00FC22B7">
        <w:t xml:space="preserve">particular </w:t>
      </w:r>
      <w:r>
        <w:t xml:space="preserve">letter. Dunn’s lecture formulated in more general terms the insight </w:t>
      </w:r>
      <w:r w:rsidR="001064B7">
        <w:t>with which</w:t>
      </w:r>
      <w:r w:rsidR="002C2D60">
        <w:t xml:space="preserve"> Sanders in </w:t>
      </w:r>
      <w:r w:rsidR="002C2D60">
        <w:rPr>
          <w:i/>
        </w:rPr>
        <w:t>Paul and Palestinian Judaism</w:t>
      </w:r>
      <w:r w:rsidR="002C2D60" w:rsidRPr="00CD39E6">
        <w:rPr>
          <w:rStyle w:val="Funotenzeichen"/>
        </w:rPr>
        <w:footnoteReference w:id="2"/>
      </w:r>
      <w:r w:rsidR="002C2D60">
        <w:t xml:space="preserve"> had freed Pauline interpretation from a distorted image of Judaism</w:t>
      </w:r>
      <w:r w:rsidR="00EB3363">
        <w:t>, thus opening</w:t>
      </w:r>
      <w:r w:rsidR="002C2D60">
        <w:t xml:space="preserve"> up pathways for new interpretations, or as he called it, a new perspective on Paul.  Although the names of Sanders and Dunn are frequently referred </w:t>
      </w:r>
      <w:r w:rsidR="00EB3363">
        <w:t xml:space="preserve">to </w:t>
      </w:r>
      <w:r w:rsidR="002C2D60">
        <w:t>in one breath as the key advocates of the New Perspective, it should be noted that their views on Paul di</w:t>
      </w:r>
      <w:r w:rsidR="00EB3363">
        <w:t>ffer substantially</w:t>
      </w:r>
      <w:r w:rsidR="002C2D60">
        <w:t xml:space="preserve">. Moreover, although it was their respective </w:t>
      </w:r>
      <w:proofErr w:type="gramStart"/>
      <w:r w:rsidR="002C2D60">
        <w:t xml:space="preserve">work </w:t>
      </w:r>
      <w:r w:rsidR="00CD39E6">
        <w:t xml:space="preserve"> </w:t>
      </w:r>
      <w:r w:rsidR="002C2D60">
        <w:t>which</w:t>
      </w:r>
      <w:proofErr w:type="gramEnd"/>
      <w:r w:rsidR="002C2D60">
        <w:t xml:space="preserve"> gained wide rec</w:t>
      </w:r>
      <w:r w:rsidR="00EB3363">
        <w:t>ognition in the scholarly guild</w:t>
      </w:r>
      <w:r w:rsidR="002C2D60">
        <w:t>, they were by no means the f</w:t>
      </w:r>
      <w:r w:rsidR="00EB3363">
        <w:t>irst to propose</w:t>
      </w:r>
      <w:r w:rsidR="002C2D60">
        <w:t xml:space="preserve"> alternatives to the dominating, mainly Lutheran</w:t>
      </w:r>
      <w:r w:rsidR="00EB3363">
        <w:t>,</w:t>
      </w:r>
      <w:r w:rsidR="002C2D60">
        <w:t xml:space="preserve"> strand of Pauline</w:t>
      </w:r>
      <w:r w:rsidR="00DA60C5">
        <w:t xml:space="preserve"> </w:t>
      </w:r>
      <w:r w:rsidR="002C2D60">
        <w:t>interpretation.</w:t>
      </w:r>
    </w:p>
    <w:p w:rsidR="00EB3363" w:rsidRDefault="00EB3363" w:rsidP="00AB6E65">
      <w:pPr>
        <w:spacing w:line="360" w:lineRule="auto"/>
        <w:contextualSpacing/>
      </w:pPr>
    </w:p>
    <w:p w:rsidR="00AB6E65" w:rsidRDefault="002C2D60" w:rsidP="00AB6E65">
      <w:pPr>
        <w:spacing w:line="360" w:lineRule="auto"/>
        <w:contextualSpacing/>
      </w:pPr>
      <w:r>
        <w:t xml:space="preserve"> As the volumes of this series </w:t>
      </w:r>
      <w:r w:rsidR="00AF0F96">
        <w:t xml:space="preserve">clearly </w:t>
      </w:r>
      <w:r w:rsidR="00DA60C5">
        <w:t>demonstrate</w:t>
      </w:r>
      <w:r w:rsidR="00EB3363">
        <w:t>,</w:t>
      </w:r>
      <w:r w:rsidR="00CD39E6">
        <w:t xml:space="preserve"> </w:t>
      </w:r>
      <w:r w:rsidR="00EB3363">
        <w:t>diversity of perspectives in r</w:t>
      </w:r>
      <w:r>
        <w:t>eading Romans has a long tra</w:t>
      </w:r>
      <w:r w:rsidR="00EB3363">
        <w:t xml:space="preserve">jectory in the history </w:t>
      </w:r>
      <w:proofErr w:type="gramStart"/>
      <w:r w:rsidR="00EB3363">
        <w:t xml:space="preserve">of </w:t>
      </w:r>
      <w:r w:rsidR="005B2ED0">
        <w:t xml:space="preserve"> interpretation</w:t>
      </w:r>
      <w:proofErr w:type="gramEnd"/>
      <w:r w:rsidR="005B2ED0">
        <w:t>. Neither the early church fathers nor the Reformers of the 16</w:t>
      </w:r>
      <w:r w:rsidR="005B2ED0" w:rsidRPr="005B2ED0">
        <w:rPr>
          <w:vertAlign w:val="superscript"/>
        </w:rPr>
        <w:t>th</w:t>
      </w:r>
      <w:r w:rsidR="005B2ED0">
        <w:t xml:space="preserve"> century read Romans in a uniform way, but </w:t>
      </w:r>
      <w:r w:rsidR="00EB3363">
        <w:t xml:space="preserve">by </w:t>
      </w:r>
      <w:r w:rsidR="005B2ED0">
        <w:t>reading with different presuppositions and from within and into diverse context</w:t>
      </w:r>
      <w:r w:rsidR="00EB3363">
        <w:t>s</w:t>
      </w:r>
      <w:r w:rsidR="005B2ED0">
        <w:t xml:space="preserve"> </w:t>
      </w:r>
      <w:r w:rsidR="00EB3363">
        <w:t xml:space="preserve">they </w:t>
      </w:r>
      <w:r w:rsidR="005B2ED0">
        <w:t>arrived at d</w:t>
      </w:r>
      <w:r w:rsidR="00AF0F96">
        <w:t>ifferent interpretation</w:t>
      </w:r>
      <w:r w:rsidR="00672B84">
        <w:t xml:space="preserve">s of the letter. </w:t>
      </w:r>
      <w:r w:rsidR="005B2ED0">
        <w:rPr>
          <w:rStyle w:val="Funotenzeichen"/>
        </w:rPr>
        <w:footnoteReference w:id="3"/>
      </w:r>
      <w:r w:rsidR="00672B84">
        <w:t xml:space="preserve"> In </w:t>
      </w:r>
      <w:proofErr w:type="gramStart"/>
      <w:r w:rsidR="00672B84">
        <w:t>their</w:t>
      </w:r>
      <w:proofErr w:type="gramEnd"/>
      <w:r w:rsidR="00672B84">
        <w:t xml:space="preserve"> search for theological answers to contemporary questions they saw in Paul, and in Romans in particular, a key authority. Whether this was so because many saw in Romans something like an outline of Paul’s theology similar to later systematic theologies</w:t>
      </w:r>
      <w:r w:rsidR="00672B84">
        <w:rPr>
          <w:rStyle w:val="Funotenzeichen"/>
        </w:rPr>
        <w:footnoteReference w:id="4"/>
      </w:r>
      <w:r w:rsidR="00672B84">
        <w:t>, or whether</w:t>
      </w:r>
      <w:r>
        <w:t xml:space="preserve"> </w:t>
      </w:r>
      <w:r w:rsidR="00EB3363">
        <w:t>it had</w:t>
      </w:r>
      <w:r w:rsidR="00672B84">
        <w:t xml:space="preserve"> to do with what many contemporary scholars see as an example of Paul’s contextual theologizing</w:t>
      </w:r>
      <w:r w:rsidR="00434859">
        <w:rPr>
          <w:rStyle w:val="Funotenzeichen"/>
        </w:rPr>
        <w:footnoteReference w:id="5"/>
      </w:r>
      <w:r w:rsidR="00672B84">
        <w:t xml:space="preserve"> </w:t>
      </w:r>
      <w:r w:rsidR="00434859">
        <w:t>remains a contested issue. Either way, in order to be relevant for churches and society the factor of contextuality plays a significant role.</w:t>
      </w:r>
      <w:r w:rsidR="00DB6903">
        <w:t xml:space="preserve"> Luther’s quest for theological answers to social and theological issues prevalent in 16</w:t>
      </w:r>
      <w:r w:rsidR="00DB6903" w:rsidRPr="00DB6903">
        <w:rPr>
          <w:vertAlign w:val="superscript"/>
        </w:rPr>
        <w:t>th</w:t>
      </w:r>
      <w:r w:rsidR="00DB6903">
        <w:t xml:space="preserve"> century Northern and Western Europe </w:t>
      </w:r>
      <w:r w:rsidR="00FC22B7">
        <w:t xml:space="preserve">were developed </w:t>
      </w:r>
      <w:r w:rsidR="00DB6903">
        <w:t xml:space="preserve">in conversation with Romans </w:t>
      </w:r>
      <w:r w:rsidR="00FC22B7">
        <w:t xml:space="preserve">and </w:t>
      </w:r>
      <w:r w:rsidR="00DB6903">
        <w:t>should not be considered a flawed or illegitimate reading. Luther did not ask historical questions, thus his use of the text of Romans</w:t>
      </w:r>
      <w:r w:rsidR="008B7E70">
        <w:t xml:space="preserve"> should be seen as the springboard for the formulation of his Protestant theology, rather historical exegesis and</w:t>
      </w:r>
      <w:r w:rsidR="00DB6903">
        <w:t xml:space="preserve"> interpretation as </w:t>
      </w:r>
      <w:r w:rsidR="008B7E70">
        <w:t>understood in contemporary.</w:t>
      </w:r>
      <w:r w:rsidR="00150C4C">
        <w:rPr>
          <w:rStyle w:val="Funotenzeichen"/>
        </w:rPr>
        <w:footnoteReference w:id="6"/>
      </w:r>
      <w:r w:rsidR="00150C4C">
        <w:t xml:space="preserve"> However, if Luther’s interpretation is not appreciated for what it</w:t>
      </w:r>
      <w:r w:rsidR="00FC22B7">
        <w:t xml:space="preserve"> is </w:t>
      </w:r>
      <w:r w:rsidR="00150C4C">
        <w:t>and</w:t>
      </w:r>
      <w:r w:rsidR="00FC22B7">
        <w:t>,</w:t>
      </w:r>
      <w:r w:rsidR="00150C4C">
        <w:t xml:space="preserve"> in different contexts and with different hermeneutical presuppositions</w:t>
      </w:r>
      <w:r w:rsidR="00FC22B7">
        <w:t>,</w:t>
      </w:r>
      <w:r w:rsidR="00150C4C">
        <w:t xml:space="preserve"> his readings are reitera</w:t>
      </w:r>
      <w:r w:rsidR="00FC22B7">
        <w:t>ted without critical reflection</w:t>
      </w:r>
      <w:r w:rsidR="00150C4C">
        <w:t xml:space="preserve"> then critical questions need to be asked. </w:t>
      </w:r>
      <w:r w:rsidR="00434859">
        <w:t xml:space="preserve">As </w:t>
      </w:r>
      <w:r w:rsidR="00972E17">
        <w:t>is being emphasized in the contributio</w:t>
      </w:r>
      <w:r w:rsidR="00EB3363">
        <w:t>ns to this volume in particular</w:t>
      </w:r>
      <w:r w:rsidR="00AF0F96">
        <w:t>,</w:t>
      </w:r>
      <w:r w:rsidR="00972E17">
        <w:t xml:space="preserve"> </w:t>
      </w:r>
      <w:r w:rsidR="00434859">
        <w:t>scholars</w:t>
      </w:r>
      <w:r w:rsidR="00EB3363">
        <w:t>,</w:t>
      </w:r>
      <w:r w:rsidR="00434859">
        <w:t xml:space="preserve"> </w:t>
      </w:r>
      <w:r w:rsidR="00EB3363">
        <w:t xml:space="preserve">already </w:t>
      </w:r>
      <w:r w:rsidR="00434859">
        <w:t>prior to the New Perspective</w:t>
      </w:r>
      <w:r w:rsidR="00EB3363">
        <w:t>,</w:t>
      </w:r>
      <w:r w:rsidR="00434859">
        <w:t xml:space="preserve"> have</w:t>
      </w:r>
      <w:r w:rsidR="00EB3363">
        <w:t xml:space="preserve"> argued that Paul’s own context</w:t>
      </w:r>
      <w:r w:rsidR="00434859">
        <w:t xml:space="preserve"> in as much as it can be (re-) constructed, should play a significant part in the interpretation of his letters. </w:t>
      </w:r>
      <w:r w:rsidR="00972E17">
        <w:t xml:space="preserve">Prior to Sanders, </w:t>
      </w:r>
      <w:proofErr w:type="spellStart"/>
      <w:r w:rsidR="00434859">
        <w:t>Krister</w:t>
      </w:r>
      <w:proofErr w:type="spellEnd"/>
      <w:r w:rsidR="00434859">
        <w:t xml:space="preserve"> </w:t>
      </w:r>
      <w:proofErr w:type="spellStart"/>
      <w:r w:rsidR="00A340DC">
        <w:t>Stend</w:t>
      </w:r>
      <w:r w:rsidR="0020263A">
        <w:t>a</w:t>
      </w:r>
      <w:r w:rsidR="00A340DC">
        <w:t>h</w:t>
      </w:r>
      <w:r w:rsidR="0020263A">
        <w:t>l</w:t>
      </w:r>
      <w:r w:rsidR="00972E17">
        <w:t>’s</w:t>
      </w:r>
      <w:proofErr w:type="spellEnd"/>
      <w:r w:rsidR="008B7E70">
        <w:t xml:space="preserve"> famous lecture</w:t>
      </w:r>
      <w:r w:rsidR="00972E17">
        <w:t xml:space="preserve"> point</w:t>
      </w:r>
      <w:r w:rsidR="00EB3363">
        <w:t>ed</w:t>
      </w:r>
      <w:r w:rsidR="00972E17">
        <w:t xml:space="preserve"> to the specific hermeneutical presuppositions and contextuality of Augustine’s and </w:t>
      </w:r>
      <w:r w:rsidR="0020263A">
        <w:t>Luther</w:t>
      </w:r>
      <w:r w:rsidR="00972E17">
        <w:t>’s</w:t>
      </w:r>
      <w:r w:rsidR="0020263A">
        <w:t xml:space="preserve"> interpretation</w:t>
      </w:r>
      <w:r w:rsidR="00EB3363">
        <w:t>, an</w:t>
      </w:r>
      <w:r w:rsidR="00972E17">
        <w:t xml:space="preserve"> emphasis which was seen as a ch</w:t>
      </w:r>
      <w:r w:rsidR="00AF0F96">
        <w:t xml:space="preserve">allenge to the core of </w:t>
      </w:r>
      <w:proofErr w:type="gramStart"/>
      <w:r w:rsidR="00AF0F96">
        <w:t xml:space="preserve">Lutheran </w:t>
      </w:r>
      <w:r w:rsidR="00972E17">
        <w:t xml:space="preserve"> theology</w:t>
      </w:r>
      <w:proofErr w:type="gramEnd"/>
      <w:r w:rsidR="00972E17">
        <w:t>.</w:t>
      </w:r>
      <w:r w:rsidR="00972E17">
        <w:rPr>
          <w:rStyle w:val="Funotenzeichen"/>
        </w:rPr>
        <w:footnoteReference w:id="7"/>
      </w:r>
      <w:r w:rsidR="0020263A">
        <w:t xml:space="preserve"> </w:t>
      </w:r>
      <w:r w:rsidR="00FC22B7">
        <w:t xml:space="preserve"> Although </w:t>
      </w:r>
      <w:proofErr w:type="spellStart"/>
      <w:r w:rsidR="00FC22B7">
        <w:t>Stend</w:t>
      </w:r>
      <w:r w:rsidR="00972E17">
        <w:t>a</w:t>
      </w:r>
      <w:r w:rsidR="00FC22B7">
        <w:t>h</w:t>
      </w:r>
      <w:r w:rsidR="00972E17">
        <w:t>l</w:t>
      </w:r>
      <w:proofErr w:type="spellEnd"/>
      <w:r w:rsidR="00214535">
        <w:t xml:space="preserve"> was not the first to advocate an alternative to t</w:t>
      </w:r>
      <w:r w:rsidR="00972E17">
        <w:t xml:space="preserve">he dominating image of Paul, but is </w:t>
      </w:r>
      <w:proofErr w:type="gramStart"/>
      <w:r w:rsidR="00EB3363">
        <w:t>himself</w:t>
      </w:r>
      <w:proofErr w:type="gramEnd"/>
      <w:r w:rsidR="00EB3363">
        <w:t xml:space="preserve"> </w:t>
      </w:r>
      <w:r w:rsidR="00972E17">
        <w:t xml:space="preserve">rooted in the Scandinavian school, his contribution led to wider discussions than </w:t>
      </w:r>
      <w:r w:rsidR="00214535">
        <w:t>the studi</w:t>
      </w:r>
      <w:r w:rsidR="00A340DC">
        <w:t xml:space="preserve">es of scholars like i.e. G.F. </w:t>
      </w:r>
      <w:r w:rsidR="00214535">
        <w:t xml:space="preserve">Moore and </w:t>
      </w:r>
      <w:proofErr w:type="spellStart"/>
      <w:r w:rsidR="00214535">
        <w:t>W.D.Davies</w:t>
      </w:r>
      <w:proofErr w:type="spellEnd"/>
      <w:r w:rsidR="00214535">
        <w:t xml:space="preserve"> had done previously. </w:t>
      </w:r>
      <w:r w:rsidR="00214535">
        <w:rPr>
          <w:rStyle w:val="Funotenzeichen"/>
        </w:rPr>
        <w:footnoteReference w:id="8"/>
      </w:r>
      <w:r w:rsidR="00214535">
        <w:t xml:space="preserve"> </w:t>
      </w:r>
      <w:r w:rsidR="00972E17">
        <w:t xml:space="preserve"> </w:t>
      </w:r>
    </w:p>
    <w:p w:rsidR="0020263A" w:rsidRDefault="0020263A" w:rsidP="00AB6E65">
      <w:pPr>
        <w:spacing w:line="360" w:lineRule="auto"/>
        <w:contextualSpacing/>
      </w:pPr>
    </w:p>
    <w:p w:rsidR="0020263A" w:rsidRPr="00FC22B7" w:rsidRDefault="00327D3A" w:rsidP="00AB6E65">
      <w:pPr>
        <w:spacing w:line="360" w:lineRule="auto"/>
        <w:contextualSpacing/>
      </w:pPr>
      <w:r>
        <w:t xml:space="preserve">However, the </w:t>
      </w:r>
      <w:proofErr w:type="gramStart"/>
      <w:r>
        <w:t>debate which has dominated Pauline studies now for more than 30 years</w:t>
      </w:r>
      <w:proofErr w:type="gramEnd"/>
      <w:r>
        <w:t xml:space="preserve"> has been initiated by the publications of </w:t>
      </w:r>
      <w:proofErr w:type="spellStart"/>
      <w:r>
        <w:t>E.P.Sanders</w:t>
      </w:r>
      <w:proofErr w:type="spellEnd"/>
      <w:r>
        <w:t xml:space="preserve"> </w:t>
      </w:r>
      <w:r>
        <w:rPr>
          <w:i/>
        </w:rPr>
        <w:t>Paul and Palestinian Judaism</w:t>
      </w:r>
      <w:r>
        <w:t xml:space="preserve"> and </w:t>
      </w:r>
      <w:proofErr w:type="spellStart"/>
      <w:r>
        <w:t>J.D.G.Dunn’s</w:t>
      </w:r>
      <w:proofErr w:type="spellEnd"/>
      <w:r>
        <w:t xml:space="preserve"> ‘The New Perspective on Paul’. The</w:t>
      </w:r>
      <w:r w:rsidR="00150C4C">
        <w:t xml:space="preserve"> scholarly conversations initiated or influenced</w:t>
      </w:r>
      <w:r>
        <w:t xml:space="preserve"> by these public</w:t>
      </w:r>
      <w:r w:rsidR="00EB3363">
        <w:t>ations were and are i</w:t>
      </w:r>
      <w:r w:rsidR="00FC22B7">
        <w:t>nnumerable. T</w:t>
      </w:r>
      <w:r>
        <w:t xml:space="preserve">hus I will focus on a few key aspects here, firstly on what is subsumed under the label of the New Perspective, followed by an analysis of some of </w:t>
      </w:r>
      <w:r w:rsidR="00EB3363">
        <w:t>t</w:t>
      </w:r>
      <w:r>
        <w:t>he approaches which can be subsumed under the label ‘Beyond the New Perspective’, that is</w:t>
      </w:r>
      <w:r w:rsidR="00EB3363">
        <w:t xml:space="preserve">, </w:t>
      </w:r>
      <w:r>
        <w:t>approaches which maintain that New Perspective scholars l</w:t>
      </w:r>
      <w:r w:rsidR="00EB3363">
        <w:t>ike</w:t>
      </w:r>
      <w:r w:rsidR="00A8250C">
        <w:t xml:space="preserve"> </w:t>
      </w:r>
      <w:r w:rsidR="001057C1">
        <w:t>Dunn and Wright do not really develop the potential of the new approach. I thus do not</w:t>
      </w:r>
      <w:r>
        <w:t xml:space="preserve"> provide a comprehensive analytical overview of a</w:t>
      </w:r>
      <w:r w:rsidR="001057C1">
        <w:t>ll aspects of this convers</w:t>
      </w:r>
      <w:r w:rsidR="00EB3363">
        <w:t>ation.  I</w:t>
      </w:r>
      <w:r w:rsidR="001057C1">
        <w:t>n particular I will not deal with reactions to the New Perspective which challenge it at a fundamental level, maintaining interpretations based on more traditi</w:t>
      </w:r>
      <w:r w:rsidR="00A8250C">
        <w:t>onal theological readings of Paul’s</w:t>
      </w:r>
      <w:r w:rsidR="001057C1">
        <w:t xml:space="preserve"> letters. </w:t>
      </w:r>
      <w:r w:rsidR="000A0C2D">
        <w:rPr>
          <w:rStyle w:val="Funotenzeichen"/>
        </w:rPr>
        <w:footnoteReference w:id="9"/>
      </w:r>
    </w:p>
    <w:p w:rsidR="009D0A2D" w:rsidRDefault="009D0A2D" w:rsidP="00AB6E65">
      <w:pPr>
        <w:spacing w:line="360" w:lineRule="auto"/>
        <w:contextualSpacing/>
      </w:pPr>
    </w:p>
    <w:p w:rsidR="009D0A2D" w:rsidRDefault="006174DC" w:rsidP="00AB6E65">
      <w:pPr>
        <w:spacing w:line="360" w:lineRule="auto"/>
        <w:contextualSpacing/>
      </w:pPr>
      <w:r>
        <w:t xml:space="preserve">2. </w:t>
      </w:r>
      <w:r w:rsidR="009D0A2D">
        <w:t>Sanders’s Image of Judaism and Paul</w:t>
      </w:r>
    </w:p>
    <w:p w:rsidR="0020263A" w:rsidRDefault="0020263A" w:rsidP="00AB6E65">
      <w:pPr>
        <w:spacing w:line="360" w:lineRule="auto"/>
        <w:contextualSpacing/>
      </w:pPr>
    </w:p>
    <w:p w:rsidR="00A340DC" w:rsidRDefault="001057C1" w:rsidP="00AB6E65">
      <w:pPr>
        <w:spacing w:line="360" w:lineRule="auto"/>
        <w:contextualSpacing/>
      </w:pPr>
      <w:r>
        <w:t xml:space="preserve">The key publication which is considered to have initiated the New Perspective, </w:t>
      </w:r>
      <w:r w:rsidR="002F25E3">
        <w:t xml:space="preserve">and which subsequently influenced most interpretations of Romans, </w:t>
      </w:r>
      <w:r>
        <w:t>seemed to arrive in the arena of scholarly debates from th</w:t>
      </w:r>
      <w:r w:rsidR="002F25E3">
        <w:t>e margins to</w:t>
      </w:r>
      <w:r w:rsidR="00ED0117">
        <w:t xml:space="preserve"> say the least. It could be claimed</w:t>
      </w:r>
      <w:r w:rsidR="002F25E3">
        <w:t xml:space="preserve"> that </w:t>
      </w:r>
      <w:r w:rsidR="003F021F">
        <w:t>almost twenty</w:t>
      </w:r>
      <w:r w:rsidR="002F25E3">
        <w:t xml:space="preserve"> years after </w:t>
      </w:r>
      <w:proofErr w:type="spellStart"/>
      <w:r w:rsidR="002F25E3">
        <w:t>Stendahl</w:t>
      </w:r>
      <w:proofErr w:type="spellEnd"/>
      <w:r w:rsidR="00ED0117">
        <w:t xml:space="preserve">, </w:t>
      </w:r>
      <w:r w:rsidR="00FC22B7">
        <w:t>S</w:t>
      </w:r>
      <w:r>
        <w:t xml:space="preserve">anders </w:t>
      </w:r>
      <w:r w:rsidR="002F25E3">
        <w:t xml:space="preserve">set out to provide evidence for </w:t>
      </w:r>
      <w:r w:rsidR="003F021F">
        <w:t>the</w:t>
      </w:r>
      <w:r w:rsidR="002F25E3" w:rsidRPr="00A0322B">
        <w:t xml:space="preserve"> </w:t>
      </w:r>
      <w:r w:rsidR="002F25E3">
        <w:t xml:space="preserve">insight that the contextual presuppositions for the traditional interpretation of Paul </w:t>
      </w:r>
      <w:r w:rsidR="00A340DC">
        <w:t>were those of the Reformation debates of the16</w:t>
      </w:r>
      <w:r w:rsidR="00A340DC" w:rsidRPr="00A340DC">
        <w:rPr>
          <w:vertAlign w:val="superscript"/>
        </w:rPr>
        <w:t>th</w:t>
      </w:r>
      <w:r w:rsidR="00A340DC">
        <w:t xml:space="preserve"> century. He demonstrated, convincingly in my view, that the image of </w:t>
      </w:r>
      <w:proofErr w:type="gramStart"/>
      <w:r w:rsidR="00A340DC">
        <w:t>Judaism which</w:t>
      </w:r>
      <w:proofErr w:type="gramEnd"/>
      <w:r w:rsidR="00A340DC">
        <w:t xml:space="preserve"> was prevalent in Pauline interpretation</w:t>
      </w:r>
      <w:r w:rsidR="00ED0117">
        <w:t xml:space="preserve">, was decisively influenced by </w:t>
      </w:r>
      <w:r w:rsidR="00A340DC">
        <w:t>Ferdinand Weber’s 19</w:t>
      </w:r>
      <w:r w:rsidR="00A340DC" w:rsidRPr="00A340DC">
        <w:rPr>
          <w:vertAlign w:val="superscript"/>
        </w:rPr>
        <w:t>th</w:t>
      </w:r>
      <w:r w:rsidR="00A340DC">
        <w:t xml:space="preserve"> century depiction of Judaism as a legalistic religion of works righteousness</w:t>
      </w:r>
      <w:r w:rsidR="005612FC">
        <w:t>. Weber maintained that the Jews had forfeited their relationship with God in what he called the second fall, the golden calf incident upon which the covenant with them had been annulled. Although scholars did not follow Weber in this theory of a ‘second’ fall, the image of Judaism as legalistic was established to stay and was never critically challenged by mainstr</w:t>
      </w:r>
      <w:r w:rsidR="00ED0117">
        <w:t xml:space="preserve">eam </w:t>
      </w:r>
      <w:r w:rsidR="003F021F">
        <w:t xml:space="preserve">New Testament </w:t>
      </w:r>
      <w:r w:rsidR="00ED0117">
        <w:t xml:space="preserve">scholarship. Sanders </w:t>
      </w:r>
      <w:r w:rsidR="003F021F">
        <w:t>intended to</w:t>
      </w:r>
      <w:r w:rsidR="005612FC">
        <w:t xml:space="preserve"> provide a historically more accurate image of first century Judaism, thus doing more justice to Judaism as a religion. </w:t>
      </w:r>
      <w:r w:rsidR="00447BED">
        <w:t xml:space="preserve">There is no need to repeat the details of the </w:t>
      </w:r>
      <w:r w:rsidR="00ED0117">
        <w:t>characteristics of his analysis;</w:t>
      </w:r>
      <w:r w:rsidR="00447BED">
        <w:t xml:space="preserve"> it is sufficient to note that he found in Judaism a religion rooted in the grace of God, </w:t>
      </w:r>
      <w:r w:rsidR="00ED0117">
        <w:t xml:space="preserve">in which Jews are </w:t>
      </w:r>
      <w:r w:rsidR="00447BED">
        <w:t xml:space="preserve">called to respond to this grace in keeping the covenant established by God with them. He summarized his findings under the famous term ‘covenantal </w:t>
      </w:r>
      <w:proofErr w:type="spellStart"/>
      <w:r w:rsidR="00447BED">
        <w:t>nomism</w:t>
      </w:r>
      <w:proofErr w:type="spellEnd"/>
      <w:r w:rsidR="00447BED">
        <w:t xml:space="preserve">’.  A key methodological aspect in Sanders’ approach is that he analysed Judaism as an entity in itself rather than in direct interaction with the Pauline </w:t>
      </w:r>
      <w:r w:rsidR="00ED0117">
        <w:t xml:space="preserve">texts thus preventing Judaism </w:t>
      </w:r>
      <w:r w:rsidR="003F021F">
        <w:t xml:space="preserve">from </w:t>
      </w:r>
      <w:proofErr w:type="gramStart"/>
      <w:r w:rsidR="00447BED">
        <w:t>be</w:t>
      </w:r>
      <w:r w:rsidR="00ED0117">
        <w:t xml:space="preserve">ing </w:t>
      </w:r>
      <w:r w:rsidR="00447BED">
        <w:t xml:space="preserve"> </w:t>
      </w:r>
      <w:proofErr w:type="spellStart"/>
      <w:r w:rsidR="00A36700">
        <w:t>instrumentalized</w:t>
      </w:r>
      <w:proofErr w:type="spellEnd"/>
      <w:proofErr w:type="gramEnd"/>
      <w:r w:rsidR="00A36700">
        <w:t xml:space="preserve"> in the service of Pauline interpretation.</w:t>
      </w:r>
      <w:r w:rsidR="00A36700">
        <w:rPr>
          <w:rStyle w:val="Funotenzeichen"/>
        </w:rPr>
        <w:footnoteReference w:id="10"/>
      </w:r>
      <w:r w:rsidR="00447BED">
        <w:t xml:space="preserve"> </w:t>
      </w:r>
    </w:p>
    <w:p w:rsidR="00DD50C7" w:rsidRDefault="00DD50C7" w:rsidP="00AB6E65">
      <w:pPr>
        <w:spacing w:line="360" w:lineRule="auto"/>
        <w:contextualSpacing/>
      </w:pPr>
    </w:p>
    <w:p w:rsidR="00ED0117" w:rsidRDefault="00A36700" w:rsidP="00AB6E65">
      <w:pPr>
        <w:spacing w:line="360" w:lineRule="auto"/>
        <w:contextualSpacing/>
      </w:pPr>
      <w:r>
        <w:t>In his comparison of first century Judaism wi</w:t>
      </w:r>
      <w:r w:rsidR="007C01D8">
        <w:t>th Paul he ca</w:t>
      </w:r>
      <w:r w:rsidR="00DD50C7">
        <w:t xml:space="preserve">me to the conclusion that Paul’s arguments showed no traces of covenantal </w:t>
      </w:r>
      <w:proofErr w:type="spellStart"/>
      <w:r w:rsidR="00DD50C7">
        <w:t>nomism</w:t>
      </w:r>
      <w:proofErr w:type="spellEnd"/>
      <w:r w:rsidR="00DD50C7">
        <w:t xml:space="preserve"> but were embedded in his understanding of the life in Christ as ‘participation in Christ’.  Although many reactions to Sanders’ interpretation of Paul </w:t>
      </w:r>
      <w:r w:rsidR="00ED0117">
        <w:t xml:space="preserve">such as, for example that of </w:t>
      </w:r>
      <w:proofErr w:type="spellStart"/>
      <w:r w:rsidR="00ED0117">
        <w:t>Morna</w:t>
      </w:r>
      <w:proofErr w:type="spellEnd"/>
      <w:r w:rsidR="00ED0117">
        <w:t xml:space="preserve"> Hooker,</w:t>
      </w:r>
      <w:r w:rsidR="00FC22B7">
        <w:rPr>
          <w:rStyle w:val="Funotenzeichen"/>
        </w:rPr>
        <w:footnoteReference w:id="11"/>
      </w:r>
      <w:r w:rsidR="00D53B4E">
        <w:t xml:space="preserve"> </w:t>
      </w:r>
      <w:r w:rsidR="00DD50C7">
        <w:t xml:space="preserve">indicated some surprise at this non-Jewish Paul who stood in such stark contrast to the characteristics of first </w:t>
      </w:r>
      <w:r w:rsidR="00ED0117">
        <w:t xml:space="preserve">century Judaism, </w:t>
      </w:r>
      <w:r w:rsidR="00DD50C7">
        <w:t xml:space="preserve">it is less surprising when we consider the hermeneutical presuppositions and methodological choices which guided Sanders </w:t>
      </w:r>
      <w:r w:rsidR="00ED0117">
        <w:t xml:space="preserve">in his research </w:t>
      </w:r>
      <w:r w:rsidR="00DD50C7">
        <w:t>at t</w:t>
      </w:r>
      <w:r w:rsidR="00F9431F">
        <w:t>he time.</w:t>
      </w:r>
    </w:p>
    <w:p w:rsidR="00ED0117" w:rsidRDefault="00ED0117" w:rsidP="00AB6E65">
      <w:pPr>
        <w:spacing w:line="360" w:lineRule="auto"/>
        <w:contextualSpacing/>
      </w:pPr>
    </w:p>
    <w:p w:rsidR="00FA6FDD" w:rsidRDefault="00F9431F" w:rsidP="00AB6E65">
      <w:pPr>
        <w:spacing w:line="360" w:lineRule="auto"/>
        <w:contextualSpacing/>
      </w:pPr>
      <w:r>
        <w:t xml:space="preserve"> Rather than comparing elements of one religious system with another he applied insights from c</w:t>
      </w:r>
      <w:r w:rsidR="00AB6E65">
        <w:t xml:space="preserve">omparative religious studies </w:t>
      </w:r>
      <w:r>
        <w:t>and emphasized that appropriate insights into one religion compared with another could only be gained by comparing the entire system – thus his approach could be la</w:t>
      </w:r>
      <w:r w:rsidR="007C01D8">
        <w:t>belled a systemic approach. This approach</w:t>
      </w:r>
      <w:r>
        <w:t xml:space="preserve"> led</w:t>
      </w:r>
      <w:r w:rsidR="007C01D8">
        <w:t xml:space="preserve"> Sanders</w:t>
      </w:r>
      <w:r>
        <w:t xml:space="preserve"> to a clear re-assessment of the image of first century Judaism and the demonstration that most aspects of the image of Judaism prevalent in the academ</w:t>
      </w:r>
      <w:r w:rsidR="00FC22B7">
        <w:t>ic discipline of New Testament S</w:t>
      </w:r>
      <w:r>
        <w:t xml:space="preserve">tudies applied a grossly distorted image of it to the New Testament texts. </w:t>
      </w:r>
      <w:r w:rsidR="00861E96">
        <w:t xml:space="preserve">He does not claim to present a detailed analysis of Judaism in all its diversity at the time of Paul, but rather he set out to identify an element or </w:t>
      </w:r>
      <w:proofErr w:type="gramStart"/>
      <w:r w:rsidR="00861E96">
        <w:t>structure which</w:t>
      </w:r>
      <w:proofErr w:type="gramEnd"/>
      <w:r w:rsidR="00861E96">
        <w:t xml:space="preserve"> was shared between the diverse life realities of first century Jews. He was interested in the question whether there was a shared perception of what was required to live a Jewish life. </w:t>
      </w:r>
      <w:r w:rsidR="00861E96">
        <w:rPr>
          <w:rStyle w:val="Funotenzeichen"/>
        </w:rPr>
        <w:footnoteReference w:id="12"/>
      </w:r>
      <w:r w:rsidR="00861E96">
        <w:t xml:space="preserve"> </w:t>
      </w:r>
    </w:p>
    <w:p w:rsidR="00FA6FDD" w:rsidRDefault="00FA6FDD" w:rsidP="00AB6E65">
      <w:pPr>
        <w:spacing w:line="360" w:lineRule="auto"/>
        <w:contextualSpacing/>
      </w:pPr>
    </w:p>
    <w:p w:rsidR="00E64FD3" w:rsidRDefault="00F9431F" w:rsidP="00AB6E65">
      <w:pPr>
        <w:spacing w:line="360" w:lineRule="auto"/>
        <w:contextualSpacing/>
      </w:pPr>
      <w:r>
        <w:t xml:space="preserve">Whether Sanders’ analysis </w:t>
      </w:r>
      <w:r w:rsidR="00214535">
        <w:t xml:space="preserve">of Judaism </w:t>
      </w:r>
      <w:r>
        <w:t>is always correct in its details may be and is debated but I cannot see a way back to a perc</w:t>
      </w:r>
      <w:r w:rsidR="007C01D8">
        <w:t xml:space="preserve">eption of Judaism pre-Sanders. </w:t>
      </w:r>
      <w:r w:rsidR="00214535">
        <w:t xml:space="preserve">Taking into account </w:t>
      </w:r>
      <w:r>
        <w:t>Sanders presuppositions, that is, the fact that he perceived Paul’s theologizing to be a complete religious system in the sense of the concept of re</w:t>
      </w:r>
      <w:r w:rsidR="00214535">
        <w:t>ligion</w:t>
      </w:r>
      <w:r w:rsidR="00214535">
        <w:rPr>
          <w:rStyle w:val="Funotenzeichen"/>
        </w:rPr>
        <w:footnoteReference w:id="13"/>
      </w:r>
      <w:r w:rsidR="00214535">
        <w:t xml:space="preserve"> prevalent at the time, it is not surprising that</w:t>
      </w:r>
      <w:r>
        <w:t xml:space="preserve"> </w:t>
      </w:r>
      <w:r w:rsidR="00FA6FDD">
        <w:t>he ended up by</w:t>
      </w:r>
      <w:r>
        <w:t xml:space="preserve"> comparing two different systems. This was his presupposition – thus his image of Paul almost logica</w:t>
      </w:r>
      <w:r w:rsidR="00214535">
        <w:t>lly had to be different from his</w:t>
      </w:r>
      <w:r>
        <w:t xml:space="preserve"> image of </w:t>
      </w:r>
      <w:r w:rsidR="00214535">
        <w:t>first century Judaism</w:t>
      </w:r>
      <w:r>
        <w:t>. He had alre</w:t>
      </w:r>
      <w:r w:rsidR="00E64FD3">
        <w:t>ady decided to compare</w:t>
      </w:r>
      <w:r>
        <w:t xml:space="preserve"> Judaism</w:t>
      </w:r>
      <w:r w:rsidR="00214E99">
        <w:t xml:space="preserve">, that is, </w:t>
      </w:r>
      <w:r w:rsidR="00FC22B7">
        <w:t xml:space="preserve">what he found to be the </w:t>
      </w:r>
      <w:r w:rsidR="00861E96">
        <w:t xml:space="preserve">shared aspect within first century Judaism, </w:t>
      </w:r>
      <w:r w:rsidR="00214E99">
        <w:t>characterized b</w:t>
      </w:r>
      <w:r w:rsidR="00E64FD3">
        <w:t xml:space="preserve">y </w:t>
      </w:r>
      <w:r w:rsidR="00861E96">
        <w:t xml:space="preserve">him as </w:t>
      </w:r>
      <w:r w:rsidR="00E64FD3">
        <w:t xml:space="preserve">‘covenantal </w:t>
      </w:r>
      <w:proofErr w:type="spellStart"/>
      <w:r w:rsidR="00E64FD3">
        <w:t>nomism</w:t>
      </w:r>
      <w:proofErr w:type="spellEnd"/>
      <w:r w:rsidR="00E64FD3">
        <w:t xml:space="preserve">’ </w:t>
      </w:r>
      <w:r w:rsidR="003909CB">
        <w:t>(</w:t>
      </w:r>
      <w:r w:rsidR="00E64FD3">
        <w:t>rather than</w:t>
      </w:r>
      <w:r w:rsidR="00214E99">
        <w:t xml:space="preserve"> </w:t>
      </w:r>
      <w:r w:rsidR="003909CB">
        <w:t xml:space="preserve">as </w:t>
      </w:r>
      <w:r w:rsidR="00214E99">
        <w:t>legalism or works-righteousness</w:t>
      </w:r>
      <w:r w:rsidR="003909CB">
        <w:t>)</w:t>
      </w:r>
      <w:r w:rsidR="00214E99">
        <w:t>,</w:t>
      </w:r>
      <w:r w:rsidR="007C01D8">
        <w:t xml:space="preserve"> with ‘</w:t>
      </w:r>
      <w:proofErr w:type="spellStart"/>
      <w:r w:rsidR="007C01D8">
        <w:t>Paulinism</w:t>
      </w:r>
      <w:proofErr w:type="spellEnd"/>
      <w:r w:rsidR="007C01D8">
        <w:t>’ which Sanders cons</w:t>
      </w:r>
      <w:r w:rsidR="003909CB">
        <w:t>idered to exemplify</w:t>
      </w:r>
      <w:r w:rsidR="007C01D8">
        <w:t xml:space="preserve"> all the necessary elements of a religious system</w:t>
      </w:r>
      <w:r w:rsidR="00214E99">
        <w:t xml:space="preserve">.  </w:t>
      </w:r>
      <w:r w:rsidR="006219D9">
        <w:t xml:space="preserve">And although in his view Paul saw nothing wrong with this Judaism, his conviction separated him entirely from it, in that </w:t>
      </w:r>
      <w:r w:rsidR="003F021F">
        <w:t>‘</w:t>
      </w:r>
      <w:r w:rsidR="006219D9">
        <w:t>being in Christ</w:t>
      </w:r>
      <w:r w:rsidR="003F021F">
        <w:t>’</w:t>
      </w:r>
      <w:r w:rsidR="006219D9">
        <w:t xml:space="preserve"> was something entirely different from </w:t>
      </w:r>
      <w:r w:rsidR="003F021F">
        <w:t>‘</w:t>
      </w:r>
      <w:proofErr w:type="spellStart"/>
      <w:r w:rsidR="006219D9">
        <w:t>convenantal</w:t>
      </w:r>
      <w:proofErr w:type="spellEnd"/>
      <w:r w:rsidR="006219D9">
        <w:t xml:space="preserve"> </w:t>
      </w:r>
      <w:proofErr w:type="spellStart"/>
      <w:r w:rsidR="006219D9">
        <w:t>nomism</w:t>
      </w:r>
      <w:proofErr w:type="spellEnd"/>
      <w:r w:rsidR="003F021F">
        <w:t>’</w:t>
      </w:r>
      <w:r w:rsidR="006219D9">
        <w:t>. Sanders</w:t>
      </w:r>
      <w:r w:rsidR="003F021F">
        <w:t xml:space="preserve"> in a sense</w:t>
      </w:r>
      <w:r w:rsidR="006219D9">
        <w:t xml:space="preserve"> had overcome the problem of using Judaism as the negative foil for Christian self-understanding, but there </w:t>
      </w:r>
      <w:r w:rsidR="003909CB">
        <w:t>nevertheless remained a</w:t>
      </w:r>
      <w:r w:rsidR="00214E99">
        <w:t xml:space="preserve"> dichotomy </w:t>
      </w:r>
      <w:r w:rsidR="006219D9">
        <w:t>in his perception: he replaced the dichotomy of</w:t>
      </w:r>
      <w:r w:rsidR="00214E99">
        <w:t xml:space="preserve"> </w:t>
      </w:r>
      <w:r w:rsidR="006219D9">
        <w:t>‘</w:t>
      </w:r>
      <w:r w:rsidR="00214E99">
        <w:t>works of the law over against grace</w:t>
      </w:r>
      <w:r w:rsidR="006219D9">
        <w:t>’</w:t>
      </w:r>
      <w:r w:rsidR="00214E99">
        <w:t xml:space="preserve"> of traditional Protestan</w:t>
      </w:r>
      <w:r w:rsidR="006219D9">
        <w:t>t perspectives with that</w:t>
      </w:r>
      <w:r w:rsidR="00214E99">
        <w:t xml:space="preserve"> of ‘covenant’ over against ‘participation in Christ’.</w:t>
      </w:r>
      <w:r w:rsidR="00214E99">
        <w:rPr>
          <w:rStyle w:val="Funotenzeichen"/>
        </w:rPr>
        <w:footnoteReference w:id="14"/>
      </w:r>
      <w:r w:rsidR="00214E99">
        <w:t xml:space="preserve"> Although his analysis of first century Judaism did initiate a paradigm shift in New Testament scholarship concerning the pe</w:t>
      </w:r>
      <w:r w:rsidR="00E32AA9">
        <w:t xml:space="preserve">rception of Judaism </w:t>
      </w:r>
      <w:r w:rsidR="00214E99">
        <w:t>to which all subsequent Pau</w:t>
      </w:r>
      <w:r w:rsidR="00E32AA9">
        <w:t>line interpretation responded one way or another, Sanders’ own interpretation of Paul remained within the traditional paradigm</w:t>
      </w:r>
      <w:r w:rsidR="00FC22B7">
        <w:t xml:space="preserve">, although emphasizing </w:t>
      </w:r>
      <w:r w:rsidR="00E32AA9">
        <w:t xml:space="preserve">with Schweitzer, participation in Christ rather than justification by faith as </w:t>
      </w:r>
      <w:r w:rsidR="00861E96">
        <w:t xml:space="preserve">the </w:t>
      </w:r>
      <w:r w:rsidR="00E32AA9">
        <w:t>core to Paul’s theology.</w:t>
      </w:r>
      <w:r w:rsidR="00E32AA9">
        <w:rPr>
          <w:rStyle w:val="Funotenzeichen"/>
        </w:rPr>
        <w:footnoteReference w:id="15"/>
      </w:r>
      <w:r w:rsidR="004F258E">
        <w:t xml:space="preserve"> </w:t>
      </w:r>
    </w:p>
    <w:p w:rsidR="00E64FD3" w:rsidRDefault="00E64FD3" w:rsidP="00AB6E65">
      <w:pPr>
        <w:spacing w:line="360" w:lineRule="auto"/>
        <w:contextualSpacing/>
      </w:pPr>
    </w:p>
    <w:p w:rsidR="00F9431F" w:rsidRDefault="00FC22B7" w:rsidP="00AB6E65">
      <w:pPr>
        <w:spacing w:line="360" w:lineRule="auto"/>
        <w:contextualSpacing/>
      </w:pPr>
      <w:r>
        <w:t>Sanders’ contribution to revising</w:t>
      </w:r>
      <w:r w:rsidR="004F258E">
        <w:t xml:space="preserve"> the image of Judaism in N</w:t>
      </w:r>
      <w:r>
        <w:t xml:space="preserve">ew </w:t>
      </w:r>
      <w:r w:rsidR="004F258E">
        <w:t>T</w:t>
      </w:r>
      <w:r>
        <w:t>estament</w:t>
      </w:r>
      <w:r w:rsidR="004F258E">
        <w:t xml:space="preserve"> scholarship was and is invaluable even if it may no</w:t>
      </w:r>
      <w:r w:rsidR="003909CB">
        <w:t>t be accurate in all its detail. Indeed, r</w:t>
      </w:r>
      <w:r w:rsidR="004F258E">
        <w:t xml:space="preserve">esearch into first century Judaism certainly has not come to </w:t>
      </w:r>
      <w:r w:rsidR="003909CB">
        <w:t xml:space="preserve">a </w:t>
      </w:r>
      <w:r w:rsidR="004F258E">
        <w:t>halt since the p</w:t>
      </w:r>
      <w:r w:rsidR="007C01D8">
        <w:t xml:space="preserve">ublication of </w:t>
      </w:r>
      <w:r w:rsidR="007C01D8">
        <w:rPr>
          <w:i/>
        </w:rPr>
        <w:t>Paul and Palestinian Judaism,</w:t>
      </w:r>
      <w:r w:rsidR="003909CB">
        <w:t xml:space="preserve"> but Sanders’ interpretation of Paul demonstrated</w:t>
      </w:r>
      <w:r w:rsidR="004F258E">
        <w:t xml:space="preserve"> the weaknesses of a comparative approach to two religious systems. The system he identified </w:t>
      </w:r>
      <w:r w:rsidR="007C01D8">
        <w:t xml:space="preserve">in Paul </w:t>
      </w:r>
      <w:r w:rsidR="004F258E">
        <w:t xml:space="preserve">had surprisingly </w:t>
      </w:r>
      <w:r w:rsidR="007C01D8">
        <w:t xml:space="preserve">(or not so surprisingly) </w:t>
      </w:r>
      <w:r w:rsidR="004F258E">
        <w:t xml:space="preserve">close similarities with the Paul of </w:t>
      </w:r>
      <w:proofErr w:type="spellStart"/>
      <w:r w:rsidR="004F258E">
        <w:t>Paulinism</w:t>
      </w:r>
      <w:proofErr w:type="spellEnd"/>
      <w:r w:rsidR="004F258E">
        <w:t xml:space="preserve">, that is, Paul as interpreted by traditional Protestant (mainly </w:t>
      </w:r>
      <w:r w:rsidR="007C01D8">
        <w:t>Lutheran) interpretation. He thus compared</w:t>
      </w:r>
      <w:r w:rsidR="004F258E">
        <w:t xml:space="preserve"> </w:t>
      </w:r>
      <w:r w:rsidR="007C01D8">
        <w:t>not so much</w:t>
      </w:r>
      <w:r w:rsidR="004F258E">
        <w:t xml:space="preserve"> first century Judaism </w:t>
      </w:r>
      <w:r w:rsidR="007C01D8">
        <w:t>with Paul, but rather first century Judaism with</w:t>
      </w:r>
      <w:r w:rsidR="004F258E">
        <w:t xml:space="preserve"> </w:t>
      </w:r>
      <w:proofErr w:type="spellStart"/>
      <w:r w:rsidR="004F258E">
        <w:t>Paulinism</w:t>
      </w:r>
      <w:proofErr w:type="spellEnd"/>
      <w:r w:rsidR="004F258E">
        <w:t xml:space="preserve">, which presupposed that Paul had overcome and left behind Judaism to establish a new religion. </w:t>
      </w:r>
      <w:r w:rsidR="00AA3FB3">
        <w:t xml:space="preserve">The reasons for this </w:t>
      </w:r>
      <w:r>
        <w:t>relinquishing of Judaism</w:t>
      </w:r>
      <w:r w:rsidR="00DA60C5">
        <w:t xml:space="preserve"> </w:t>
      </w:r>
      <w:r w:rsidR="00AA3FB3">
        <w:t>seemed slightly obscure, since there could be no real explanation w</w:t>
      </w:r>
      <w:r w:rsidR="003909CB">
        <w:t xml:space="preserve">hy someone would want to leave </w:t>
      </w:r>
      <w:r w:rsidR="00AA3FB3">
        <w:t xml:space="preserve">a perfectly adequate religion of grace for something else – called in Christ. </w:t>
      </w:r>
      <w:r w:rsidR="002D0A22">
        <w:t>Thus</w:t>
      </w:r>
      <w:r w:rsidR="00861E96">
        <w:t xml:space="preserve"> Sanders’ interpretation of Paul</w:t>
      </w:r>
      <w:r w:rsidR="003909CB">
        <w:t xml:space="preserve"> was </w:t>
      </w:r>
      <w:r w:rsidR="002D0A22">
        <w:t xml:space="preserve">not actually </w:t>
      </w:r>
      <w:r w:rsidR="003909CB">
        <w:t>designed to contribute</w:t>
      </w:r>
      <w:r w:rsidR="002D0A22">
        <w:t xml:space="preserve"> to a ‘</w:t>
      </w:r>
      <w:r w:rsidR="00861E96">
        <w:t>New Perspective on Paul’,</w:t>
      </w:r>
      <w:r w:rsidR="002D0A22">
        <w:t xml:space="preserve"> his </w:t>
      </w:r>
      <w:r w:rsidR="00861E96">
        <w:t xml:space="preserve">real </w:t>
      </w:r>
      <w:r w:rsidR="007C6F4D">
        <w:t>contribution is to a</w:t>
      </w:r>
      <w:r w:rsidR="003909CB">
        <w:t xml:space="preserve"> </w:t>
      </w:r>
      <w:r w:rsidR="002D0A22">
        <w:t xml:space="preserve">‘New Perspective on first century Judaism’. The impact of </w:t>
      </w:r>
      <w:r w:rsidR="002D0A22" w:rsidRPr="00861E96">
        <w:rPr>
          <w:u w:val="single"/>
        </w:rPr>
        <w:t>this</w:t>
      </w:r>
      <w:r w:rsidR="002D0A22">
        <w:t xml:space="preserve"> New Perspective on Pau</w:t>
      </w:r>
      <w:r w:rsidR="00861E96">
        <w:t>line interpretation, however, was</w:t>
      </w:r>
      <w:r w:rsidR="002D0A22">
        <w:t xml:space="preserve"> mould breaking. </w:t>
      </w:r>
    </w:p>
    <w:p w:rsidR="00214535" w:rsidRDefault="00214535" w:rsidP="00AB6E65">
      <w:pPr>
        <w:spacing w:line="360" w:lineRule="auto"/>
        <w:contextualSpacing/>
      </w:pPr>
    </w:p>
    <w:p w:rsidR="009D0A2D" w:rsidRDefault="006174DC" w:rsidP="00AB6E65">
      <w:pPr>
        <w:spacing w:line="360" w:lineRule="auto"/>
        <w:contextualSpacing/>
      </w:pPr>
      <w:r>
        <w:t xml:space="preserve">3. </w:t>
      </w:r>
      <w:r w:rsidR="009D0A2D">
        <w:t xml:space="preserve">The New Perspective </w:t>
      </w:r>
      <w:r w:rsidR="00E64FD3">
        <w:t xml:space="preserve"> </w:t>
      </w:r>
    </w:p>
    <w:p w:rsidR="00CD21F4" w:rsidRDefault="00CD21F4" w:rsidP="00AB6E65">
      <w:pPr>
        <w:spacing w:line="360" w:lineRule="auto"/>
        <w:contextualSpacing/>
      </w:pPr>
    </w:p>
    <w:p w:rsidR="00CD21F4" w:rsidRDefault="00CD21F4" w:rsidP="00AB6E65">
      <w:pPr>
        <w:spacing w:line="360" w:lineRule="auto"/>
        <w:contextualSpacing/>
      </w:pPr>
      <w:r>
        <w:t>In his recognition of the significance of Sanders’ work on Judaism</w:t>
      </w:r>
      <w:r w:rsidR="003909CB">
        <w:t xml:space="preserve">, </w:t>
      </w:r>
      <w:proofErr w:type="spellStart"/>
      <w:r w:rsidR="003909CB">
        <w:t>J.D.G.Dunn</w:t>
      </w:r>
      <w:proofErr w:type="spellEnd"/>
      <w:r w:rsidR="003909CB">
        <w:t xml:space="preserve"> simultaneously</w:t>
      </w:r>
      <w:r>
        <w:t xml:space="preserve"> identified precisely this problem in Sand</w:t>
      </w:r>
      <w:r w:rsidR="004C7D8A">
        <w:t>ers’ interpretation of Paul maintaining</w:t>
      </w:r>
      <w:r>
        <w:t xml:space="preserve"> that Sanders had missed the chance to draw the consequences from his mould breaking work. Sanders’ Paul is seen as ‘…an idiosyncratic Paul who in arbitrary and irrational manner turns his face against the glory and the greatness of Judaism’s covenant theology and abandons Judaism simply because it is not Christianity.’</w:t>
      </w:r>
      <w:r>
        <w:rPr>
          <w:rStyle w:val="Funotenzeichen"/>
        </w:rPr>
        <w:footnoteReference w:id="16"/>
      </w:r>
      <w:r w:rsidR="0090656E">
        <w:t xml:space="preserve"> </w:t>
      </w:r>
      <w:r>
        <w:t xml:space="preserve"> </w:t>
      </w:r>
    </w:p>
    <w:p w:rsidR="008916D4" w:rsidRDefault="00CD21F4" w:rsidP="00452774">
      <w:pPr>
        <w:spacing w:line="360" w:lineRule="auto"/>
        <w:contextualSpacing/>
      </w:pPr>
      <w:r>
        <w:t>Dunn sees Paul not in opposition to Judaism</w:t>
      </w:r>
      <w:r w:rsidR="00B91156">
        <w:t xml:space="preserve"> characterized as covenantal </w:t>
      </w:r>
      <w:proofErr w:type="spellStart"/>
      <w:r w:rsidR="00B91156">
        <w:t>nomism</w:t>
      </w:r>
      <w:proofErr w:type="spellEnd"/>
      <w:r w:rsidR="00B91156">
        <w:t xml:space="preserve">, but as embedded within in. He maintains that the issue Paul is concerned about has to do with the right understanding of the Law, not the Law </w:t>
      </w:r>
      <w:r w:rsidR="00B91156" w:rsidRPr="00FB5A76">
        <w:rPr>
          <w:i/>
        </w:rPr>
        <w:t>per se.</w:t>
      </w:r>
      <w:r w:rsidR="00B91156">
        <w:t xml:space="preserve"> </w:t>
      </w:r>
      <w:r w:rsidR="00452774">
        <w:t xml:space="preserve">He argues that the concept of justification by faith is thoroughly Jewish, and that Paul thus shares the conviction that </w:t>
      </w:r>
      <w:proofErr w:type="spellStart"/>
      <w:r w:rsidR="007C6F4D">
        <w:rPr>
          <w:rFonts w:ascii="SPIonic" w:hAnsi="SPIonic"/>
        </w:rPr>
        <w:t>dikaisou</w:t>
      </w:r>
      <w:proofErr w:type="spellEnd"/>
      <w:r w:rsidR="007C6F4D">
        <w:rPr>
          <w:rFonts w:ascii="SPIonic" w:hAnsi="SPIonic"/>
        </w:rPr>
        <w:t>=</w:t>
      </w:r>
      <w:proofErr w:type="spellStart"/>
      <w:r w:rsidR="007C6F4D">
        <w:rPr>
          <w:rFonts w:ascii="SPIonic" w:hAnsi="SPIonic"/>
        </w:rPr>
        <w:t>sq</w:t>
      </w:r>
      <w:r w:rsidR="00452774" w:rsidRPr="007C6F4D">
        <w:rPr>
          <w:rFonts w:ascii="SPIonic" w:hAnsi="SPIonic"/>
        </w:rPr>
        <w:t>ai</w:t>
      </w:r>
      <w:proofErr w:type="spellEnd"/>
      <w:r w:rsidR="00452774">
        <w:t xml:space="preserve"> and </w:t>
      </w:r>
      <w:proofErr w:type="spellStart"/>
      <w:r w:rsidR="00452774" w:rsidRPr="007C6F4D">
        <w:rPr>
          <w:rFonts w:ascii="SPIonic" w:hAnsi="SPIonic"/>
        </w:rPr>
        <w:t>dikaiosun</w:t>
      </w:r>
      <w:r w:rsidR="007C6F4D">
        <w:rPr>
          <w:rFonts w:ascii="SPIonic" w:hAnsi="SPIonic"/>
        </w:rPr>
        <w:t>h</w:t>
      </w:r>
      <w:proofErr w:type="spellEnd"/>
      <w:proofErr w:type="gramStart"/>
      <w:r w:rsidR="007C6F4D">
        <w:rPr>
          <w:rFonts w:ascii="SPIonic" w:hAnsi="SPIonic" w:cs="Times New Roman"/>
        </w:rPr>
        <w:t>/</w:t>
      </w:r>
      <w:r w:rsidR="00452774">
        <w:t xml:space="preserve">  are</w:t>
      </w:r>
      <w:proofErr w:type="gramEnd"/>
      <w:r w:rsidR="00452774">
        <w:t xml:space="preserve"> part of covenantal language and theology, ‘</w:t>
      </w:r>
      <w:proofErr w:type="spellStart"/>
      <w:r w:rsidR="00452774" w:rsidRPr="007C6F4D">
        <w:rPr>
          <w:rFonts w:ascii="SPIonic" w:hAnsi="SPIonic"/>
        </w:rPr>
        <w:t>dikaosun</w:t>
      </w:r>
      <w:r w:rsidR="007C6F4D">
        <w:rPr>
          <w:rFonts w:ascii="SPIonic" w:hAnsi="SPIonic"/>
        </w:rPr>
        <w:t>h/</w:t>
      </w:r>
      <w:r w:rsidR="00452774">
        <w:t>/</w:t>
      </w:r>
      <w:r w:rsidR="007C6F4D">
        <w:rPr>
          <w:rFonts w:ascii="SPIonic" w:hAnsi="SPIonic"/>
        </w:rPr>
        <w:t>dikaiou</w:t>
      </w:r>
      <w:proofErr w:type="spellEnd"/>
      <w:r w:rsidR="007C6F4D">
        <w:rPr>
          <w:rFonts w:ascii="SPIonic" w:hAnsi="SPIonic"/>
        </w:rPr>
        <w:t>=</w:t>
      </w:r>
      <w:proofErr w:type="spellStart"/>
      <w:r w:rsidR="007C6F4D">
        <w:rPr>
          <w:rFonts w:ascii="SPIonic" w:hAnsi="SPIonic"/>
        </w:rPr>
        <w:t>sq</w:t>
      </w:r>
      <w:r w:rsidR="00452774" w:rsidRPr="007C6F4D">
        <w:rPr>
          <w:rFonts w:ascii="SPIonic" w:hAnsi="SPIonic"/>
        </w:rPr>
        <w:t>ai</w:t>
      </w:r>
      <w:proofErr w:type="spellEnd"/>
      <w:r w:rsidR="00452774" w:rsidRPr="007C6F4D">
        <w:rPr>
          <w:rFonts w:ascii="SPIonic" w:hAnsi="SPIonic"/>
        </w:rPr>
        <w:t xml:space="preserve"> </w:t>
      </w:r>
      <w:r w:rsidR="00452774">
        <w:t>thus means ‘God’s acknowledgement that someone is in the covenant.’</w:t>
      </w:r>
      <w:r w:rsidR="00452774">
        <w:rPr>
          <w:rStyle w:val="Funotenzeichen"/>
        </w:rPr>
        <w:footnoteReference w:id="17"/>
      </w:r>
      <w:r w:rsidR="00452774">
        <w:t xml:space="preserve"> Justification is what happens after covenant and election, it is God’s gracious activity to save his people. This perception is shared between Paul and his Jewish contemporaries. The problem for Paul is thus not Judaism </w:t>
      </w:r>
      <w:r w:rsidR="00452774" w:rsidRPr="004C7D8A">
        <w:rPr>
          <w:i/>
        </w:rPr>
        <w:t>per se</w:t>
      </w:r>
      <w:r w:rsidR="00452774">
        <w:t xml:space="preserve"> but what Dunn maintains to be a misunderstanding of Judaism, and of the Law in particular. Dunn’s interpretation is based on his reading of Gal 2.16 where he identifies the ‘real’ problem Paul has with Judaism: ‘works of law’ are identified as those commandments which mark Jewish identity over against other people. Circumci</w:t>
      </w:r>
      <w:r w:rsidR="00597CAC">
        <w:t>sion, food laws and observing S</w:t>
      </w:r>
      <w:r w:rsidR="00452774">
        <w:t>abbat</w:t>
      </w:r>
      <w:r w:rsidR="00597CAC">
        <w:t>h</w:t>
      </w:r>
      <w:r w:rsidR="00452774">
        <w:t xml:space="preserve"> are the identity markers of Jews as Jews, and are thus seen as establishing an ethnocentric, </w:t>
      </w:r>
      <w:proofErr w:type="gramStart"/>
      <w:r w:rsidR="00452774">
        <w:t>nationalistic ,</w:t>
      </w:r>
      <w:proofErr w:type="gramEnd"/>
      <w:r w:rsidR="00452774">
        <w:t xml:space="preserve"> even zealous misunderstanding of the law and the covenant.</w:t>
      </w:r>
      <w:r w:rsidR="007C6F4D">
        <w:rPr>
          <w:rStyle w:val="Funotenzeichen"/>
        </w:rPr>
        <w:footnoteReference w:id="18"/>
      </w:r>
      <w:r w:rsidR="00452774">
        <w:t xml:space="preserve"> To maintain these identity markers at the time of the fulfilment of the promises through the coming of Christ is not merely superfluous but is an act against the </w:t>
      </w:r>
      <w:proofErr w:type="gramStart"/>
      <w:r w:rsidR="00452774">
        <w:t>eschatologic</w:t>
      </w:r>
      <w:r w:rsidR="00D353DB">
        <w:t>al</w:t>
      </w:r>
      <w:proofErr w:type="gramEnd"/>
      <w:r w:rsidR="00D353DB">
        <w:t xml:space="preserve"> goal of the covenant </w:t>
      </w:r>
      <w:r w:rsidR="00452774">
        <w:t>w</w:t>
      </w:r>
      <w:r w:rsidR="00D353DB">
        <w:t>hich</w:t>
      </w:r>
      <w:r w:rsidR="00452774">
        <w:t xml:space="preserve"> was intended to extend the blessings to the non-Jewish nations. Thus Dunn argues for the continuity of the covenant now in Christ; through Christ the covenant is widened to include gentiles, thus Jewish identity markers are</w:t>
      </w:r>
      <w:r w:rsidR="00D353DB">
        <w:t xml:space="preserve"> rendered obsolete</w:t>
      </w:r>
      <w:r w:rsidR="00452774">
        <w:t xml:space="preserve">, now that all </w:t>
      </w:r>
      <w:r w:rsidR="00D353DB">
        <w:t xml:space="preserve">who are called </w:t>
      </w:r>
      <w:r w:rsidR="00452774">
        <w:t xml:space="preserve">are included </w:t>
      </w:r>
      <w:r w:rsidR="00D353DB">
        <w:t>in the covenant through Christ. To continue to adhere to</w:t>
      </w:r>
      <w:r w:rsidR="00452774">
        <w:t xml:space="preserve"> these identity markers means to continue to insist on a privileged position as God’s chosen people with </w:t>
      </w:r>
      <w:proofErr w:type="gramStart"/>
      <w:r w:rsidR="00452774">
        <w:t>a zeal</w:t>
      </w:r>
      <w:proofErr w:type="gramEnd"/>
      <w:r w:rsidR="00452774">
        <w:t xml:space="preserve"> to maintain its own separate identity. Dunn considers this zeal for its </w:t>
      </w:r>
      <w:r w:rsidR="00D353DB">
        <w:t xml:space="preserve">own distinct identity to be the </w:t>
      </w:r>
      <w:r w:rsidR="00B77A53">
        <w:t>characteristic of Second Temple Judaism</w:t>
      </w:r>
      <w:r w:rsidR="00D353DB">
        <w:t>.</w:t>
      </w:r>
      <w:r w:rsidR="00B77A53">
        <w:rPr>
          <w:rStyle w:val="Funotenzeichen"/>
        </w:rPr>
        <w:footnoteReference w:id="19"/>
      </w:r>
      <w:r w:rsidR="00D353DB">
        <w:t xml:space="preserve"> </w:t>
      </w:r>
    </w:p>
    <w:p w:rsidR="00452774" w:rsidRDefault="00D353DB" w:rsidP="00452774">
      <w:pPr>
        <w:spacing w:line="360" w:lineRule="auto"/>
        <w:contextualSpacing/>
      </w:pPr>
      <w:r>
        <w:t xml:space="preserve">Having identified </w:t>
      </w:r>
      <w:r w:rsidR="00452774">
        <w:t xml:space="preserve">the main problem </w:t>
      </w:r>
      <w:r>
        <w:t xml:space="preserve">that </w:t>
      </w:r>
      <w:r w:rsidR="00452774">
        <w:t xml:space="preserve">Paul has with Judaism in Galatians, that is, its ethnocentric, nationalistic </w:t>
      </w:r>
      <w:r w:rsidR="004C7D8A">
        <w:t>zeal, Romans is interpreted from the stance of</w:t>
      </w:r>
      <w:r w:rsidR="00452774">
        <w:t xml:space="preserve"> this hermeneutical presupposition. Passa</w:t>
      </w:r>
      <w:r w:rsidR="004C7D8A">
        <w:t>ges like Rom 3.27-31 or 9.30-10</w:t>
      </w:r>
      <w:r w:rsidR="00452774">
        <w:t xml:space="preserve">.4 are clearly seen as evidence that Paul perceived the particularistic perception of the law by non-Christ following </w:t>
      </w:r>
      <w:proofErr w:type="gramStart"/>
      <w:r w:rsidR="00452774">
        <w:t>Jews ,</w:t>
      </w:r>
      <w:proofErr w:type="gramEnd"/>
      <w:r w:rsidR="00452774">
        <w:t xml:space="preserve"> </w:t>
      </w:r>
      <w:proofErr w:type="spellStart"/>
      <w:r w:rsidR="004C7D8A">
        <w:t>ie</w:t>
      </w:r>
      <w:proofErr w:type="spellEnd"/>
      <w:r w:rsidR="004C7D8A">
        <w:t xml:space="preserve"> </w:t>
      </w:r>
      <w:r w:rsidR="00452774">
        <w:t>their understanding of it as a boundary drawing identity marker, as the indication that the law thereby becomes an instrument for sin because trust is set on the flesh.</w:t>
      </w:r>
      <w:r w:rsidR="00B77A53">
        <w:rPr>
          <w:rStyle w:val="Funotenzeichen"/>
        </w:rPr>
        <w:t xml:space="preserve"> </w:t>
      </w:r>
      <w:r w:rsidR="00452774">
        <w:t xml:space="preserve"> </w:t>
      </w:r>
      <w:r w:rsidR="00686C70">
        <w:t xml:space="preserve">Paul is seen as focussing in 3.27-31 on boasting and works of the law </w:t>
      </w:r>
      <w:r w:rsidR="00B77A53">
        <w:t xml:space="preserve">thereby </w:t>
      </w:r>
      <w:r w:rsidR="00686C70">
        <w:t>indicating that both encourage the conclusion that God is the God of the Jews only.</w:t>
      </w:r>
      <w:r w:rsidR="00686C70">
        <w:rPr>
          <w:rStyle w:val="Funotenzeichen"/>
        </w:rPr>
        <w:footnoteReference w:id="20"/>
      </w:r>
      <w:r w:rsidR="00686C70">
        <w:t xml:space="preserve"> </w:t>
      </w:r>
      <w:r w:rsidR="00452774">
        <w:t>Although Dunn acknowledges that in Rom 9.7-13 the Israel of the old covenant or historic Israel as he calls it, is characterised as called by God, that is, through promise and election, Israel actually is seen as a religious rather than an ethnic entity designating all who respond to God’s call. Historic Is</w:t>
      </w:r>
      <w:r w:rsidR="00686C70">
        <w:t>rael had stumbled  (Rom 9.32)</w:t>
      </w:r>
      <w:r w:rsidR="00452774">
        <w:t>, in not responding to God’s call in Christ and thus cannot be the Israel of God’s calling anymore.</w:t>
      </w:r>
      <w:r w:rsidR="00452774">
        <w:rPr>
          <w:rStyle w:val="Funotenzeichen"/>
        </w:rPr>
        <w:footnoteReference w:id="21"/>
      </w:r>
      <w:r w:rsidR="00452774">
        <w:t xml:space="preserve"> In </w:t>
      </w:r>
      <w:proofErr w:type="gramStart"/>
      <w:r w:rsidR="00452774">
        <w:t>its</w:t>
      </w:r>
      <w:proofErr w:type="gramEnd"/>
      <w:r w:rsidR="00452774">
        <w:t xml:space="preserve"> clinging to its ethnocentric identity markers ‘the “Jew”  (is) still boasting in privileged status before God’. </w:t>
      </w:r>
      <w:r w:rsidR="00452774">
        <w:rPr>
          <w:rStyle w:val="Funotenzeichen"/>
        </w:rPr>
        <w:footnoteReference w:id="22"/>
      </w:r>
      <w:r w:rsidR="00452774">
        <w:t xml:space="preserve"> </w:t>
      </w:r>
      <w:proofErr w:type="gramStart"/>
      <w:r w:rsidR="00686C70">
        <w:t>In Rom 10.4.</w:t>
      </w:r>
      <w:proofErr w:type="gramEnd"/>
      <w:r w:rsidR="00686C70">
        <w:t xml:space="preserve"> Paul sees Christ as the end of the </w:t>
      </w:r>
      <w:proofErr w:type="gramStart"/>
      <w:r w:rsidR="00686C70">
        <w:t>law, that</w:t>
      </w:r>
      <w:proofErr w:type="gramEnd"/>
      <w:r w:rsidR="00686C70">
        <w:t xml:space="preserve"> is the law in its Israel-defining, Judaism defending boundary role. True</w:t>
      </w:r>
      <w:r w:rsidR="00452774">
        <w:t xml:space="preserve"> Israel, now claimed to be a </w:t>
      </w:r>
      <w:r w:rsidR="000C2536">
        <w:t xml:space="preserve">purely </w:t>
      </w:r>
      <w:r w:rsidR="00452774">
        <w:t>religious entity</w:t>
      </w:r>
      <w:r w:rsidR="00A035D0">
        <w:t>,</w:t>
      </w:r>
      <w:r w:rsidR="00B77A53">
        <w:rPr>
          <w:rStyle w:val="Funotenzeichen"/>
        </w:rPr>
        <w:t xml:space="preserve"> </w:t>
      </w:r>
      <w:r w:rsidR="00B77A53">
        <w:t xml:space="preserve"> </w:t>
      </w:r>
      <w:r w:rsidR="004C7D8A">
        <w:t xml:space="preserve">consists of </w:t>
      </w:r>
      <w:r w:rsidR="00452774">
        <w:t xml:space="preserve">those </w:t>
      </w:r>
      <w:r w:rsidR="004C7D8A">
        <w:t xml:space="preserve">thus </w:t>
      </w:r>
      <w:r w:rsidR="00452774">
        <w:t>who responded to the call in Christ, from the Jews and the gentile nations. The continuity of the call, the covenant, the promises and the law is now maintained in the church, whilst</w:t>
      </w:r>
      <w:r>
        <w:t>,</w:t>
      </w:r>
      <w:r w:rsidR="00452774">
        <w:t xml:space="preserve"> at least until the fulfilment of time, the Jews who are not convinced by Paul’s gospel have lost their calling. Although Dunn notes that historic Israel is ‘no</w:t>
      </w:r>
      <w:r w:rsidR="004C7D8A">
        <w:t>t</w:t>
      </w:r>
      <w:r w:rsidR="00452774">
        <w:t xml:space="preserve"> yet as such the Israel of God’s call’, and this problem will be solved at the </w:t>
      </w:r>
      <w:proofErr w:type="spellStart"/>
      <w:r w:rsidR="00452774">
        <w:t>eschaton</w:t>
      </w:r>
      <w:proofErr w:type="spellEnd"/>
      <w:r w:rsidR="00452774">
        <w:t>, such a sta</w:t>
      </w:r>
      <w:r>
        <w:t>tement seems rat</w:t>
      </w:r>
      <w:r w:rsidR="00922513">
        <w:t xml:space="preserve">her problematic. </w:t>
      </w:r>
    </w:p>
    <w:p w:rsidR="00696F64" w:rsidRDefault="00452774" w:rsidP="00AB6E65">
      <w:pPr>
        <w:spacing w:line="360" w:lineRule="auto"/>
        <w:contextualSpacing/>
      </w:pPr>
      <w:r>
        <w:t xml:space="preserve">Dunn </w:t>
      </w:r>
      <w:r w:rsidR="008916D4">
        <w:t>intends to interpret Romans</w:t>
      </w:r>
      <w:r w:rsidR="00CD21F4">
        <w:t xml:space="preserve"> in the context of the new options avai</w:t>
      </w:r>
      <w:r w:rsidR="00FB5A76">
        <w:t xml:space="preserve">lable through Sanders’ work on </w:t>
      </w:r>
      <w:r w:rsidR="00CD21F4">
        <w:t xml:space="preserve">Judaism. </w:t>
      </w:r>
      <w:r w:rsidR="00FB5A76">
        <w:t xml:space="preserve">A </w:t>
      </w:r>
      <w:r w:rsidR="0090656E">
        <w:t xml:space="preserve">methodological problem was identified and addressed by Dunn in that he recognized that Paul has to be located within the Judaism </w:t>
      </w:r>
      <w:r w:rsidR="00FB5A76">
        <w:t xml:space="preserve">of his day, </w:t>
      </w:r>
      <w:r w:rsidR="00CD21F4">
        <w:t xml:space="preserve">but </w:t>
      </w:r>
      <w:r w:rsidR="00FB5A76">
        <w:t xml:space="preserve">he </w:t>
      </w:r>
      <w:r w:rsidR="00CD21F4">
        <w:t xml:space="preserve">ended in </w:t>
      </w:r>
      <w:r w:rsidR="00CD21F4" w:rsidRPr="000C2536">
        <w:t xml:space="preserve">creating a new </w:t>
      </w:r>
      <w:proofErr w:type="gramStart"/>
      <w:r w:rsidR="00CD21F4" w:rsidRPr="000C2536">
        <w:t>pr</w:t>
      </w:r>
      <w:r w:rsidRPr="000C2536">
        <w:t>oblem  or</w:t>
      </w:r>
      <w:proofErr w:type="gramEnd"/>
      <w:r w:rsidRPr="000C2536">
        <w:t xml:space="preserve"> rather, he </w:t>
      </w:r>
      <w:r w:rsidR="0090656E" w:rsidRPr="000C2536">
        <w:t>reiterated actually a structurally old problem</w:t>
      </w:r>
      <w:r w:rsidR="0090656E">
        <w:t xml:space="preserve"> in creating an image of Ju</w:t>
      </w:r>
      <w:r w:rsidR="00B77A53">
        <w:t>daism as zealous, ethno-centric,</w:t>
      </w:r>
      <w:r w:rsidR="0090656E">
        <w:t xml:space="preserve"> works-righteousness</w:t>
      </w:r>
      <w:r w:rsidR="00B77A53">
        <w:t xml:space="preserve"> oriented</w:t>
      </w:r>
      <w:r w:rsidR="0090656E">
        <w:t xml:space="preserve">. </w:t>
      </w:r>
      <w:r w:rsidR="00922513">
        <w:t xml:space="preserve"> In his attempt to interpret Romans as a document of covenantal theologizing, </w:t>
      </w:r>
      <w:r w:rsidR="004C7D8A">
        <w:t xml:space="preserve">he sees </w:t>
      </w:r>
      <w:r w:rsidR="00922513">
        <w:t xml:space="preserve">the Jews as those responsible for misunderstanding or even hindering God’s original intention with the establishing of the covenant. </w:t>
      </w:r>
      <w:r w:rsidR="00597CAC">
        <w:t xml:space="preserve">He maintains that ‘Paul’s reaction to his native Judaism was not one of wholesale denunciation but was targeted against the misconception of the role of works in the process of salvation, the covenantal </w:t>
      </w:r>
      <w:proofErr w:type="spellStart"/>
      <w:r w:rsidR="00597CAC">
        <w:t>nomism</w:t>
      </w:r>
      <w:proofErr w:type="spellEnd"/>
      <w:r w:rsidR="00597CAC">
        <w:t xml:space="preserve"> which effectively excluded Gentiles from the process.’ </w:t>
      </w:r>
      <w:r w:rsidR="00597CAC">
        <w:rPr>
          <w:rStyle w:val="Funotenzeichen"/>
        </w:rPr>
        <w:footnoteReference w:id="23"/>
      </w:r>
      <w:r w:rsidR="00B5791A">
        <w:t xml:space="preserve"> </w:t>
      </w:r>
      <w:r w:rsidR="00922513">
        <w:t>Although Dunn in his interpretation of Rom 3.22-23 attributes the diminished distinctio</w:t>
      </w:r>
      <w:r w:rsidR="004C7D8A">
        <w:t>n between Jews and gentiles to</w:t>
      </w:r>
      <w:r w:rsidR="00922513">
        <w:t xml:space="preserve"> the power of sin in the world, he does not </w:t>
      </w:r>
      <w:r w:rsidR="004C7D8A">
        <w:t>continue</w:t>
      </w:r>
      <w:r w:rsidR="00922513">
        <w:t xml:space="preserve"> this line of thought but </w:t>
      </w:r>
      <w:r w:rsidR="00893F6D">
        <w:t xml:space="preserve">rather attributes to the Jews </w:t>
      </w:r>
      <w:r w:rsidR="00922513">
        <w:t xml:space="preserve">the power to interfere or sabotage God’s plans. If Israel is as powerful as this, it is a short step to claim that it has lost its status as God’s people. </w:t>
      </w:r>
      <w:r w:rsidR="00295318">
        <w:t>Dunn claims the ‘glory and greatness of Judaism’s covenant theology’</w:t>
      </w:r>
      <w:r w:rsidR="00295318">
        <w:rPr>
          <w:rStyle w:val="Funotenzeichen"/>
        </w:rPr>
        <w:footnoteReference w:id="24"/>
      </w:r>
      <w:r w:rsidR="008916D4">
        <w:t xml:space="preserve"> for the church i</w:t>
      </w:r>
      <w:r w:rsidR="00295318">
        <w:t xml:space="preserve">s the entity in which </w:t>
      </w:r>
      <w:proofErr w:type="spellStart"/>
      <w:r w:rsidR="00295318">
        <w:t>particularism</w:t>
      </w:r>
      <w:proofErr w:type="spellEnd"/>
      <w:r w:rsidR="00295318">
        <w:t xml:space="preserve"> is overcome</w:t>
      </w:r>
      <w:r w:rsidR="00922513">
        <w:t xml:space="preserve"> </w:t>
      </w:r>
      <w:r w:rsidR="00295318">
        <w:t xml:space="preserve">and ‘Israel’ is universalized, a fusion of Jews and non-Jews where Jewish identity is rendered obsolete. </w:t>
      </w:r>
      <w:r w:rsidR="00295318">
        <w:rPr>
          <w:rStyle w:val="Funotenzeichen"/>
        </w:rPr>
        <w:footnoteReference w:id="25"/>
      </w:r>
      <w:r w:rsidR="00295318">
        <w:t xml:space="preserve"> </w:t>
      </w:r>
    </w:p>
    <w:p w:rsidR="008916D4" w:rsidRPr="008916D4" w:rsidRDefault="008916D4" w:rsidP="00AB6E65">
      <w:pPr>
        <w:spacing w:line="360" w:lineRule="auto"/>
        <w:contextualSpacing/>
      </w:pPr>
      <w:r>
        <w:t xml:space="preserve">Although Dunn acknowledges that Romans should be read as addressed to a particular community, in his </w:t>
      </w:r>
      <w:r>
        <w:rPr>
          <w:i/>
        </w:rPr>
        <w:t>Theology of Paul,</w:t>
      </w:r>
      <w:r>
        <w:t xml:space="preserve"> he uses Romans as the template thereby arriving at a reading of the letter as general theology rather than as part of a conversation addressing a particular context. </w:t>
      </w:r>
      <w:r w:rsidR="00696F64">
        <w:t xml:space="preserve">The addressees are Jews and gentiles in the Roman churches, which provides sufficient reason to read the letter as actually addressing issues not confined the Roman context, but concerning the nature of the gospel </w:t>
      </w:r>
      <w:r w:rsidR="00696F64">
        <w:rPr>
          <w:i/>
        </w:rPr>
        <w:t xml:space="preserve">per se. </w:t>
      </w:r>
      <w:r w:rsidR="002E4BB4">
        <w:t xml:space="preserve">The key problem </w:t>
      </w:r>
      <w:r w:rsidR="004C7D8A">
        <w:t xml:space="preserve">that </w:t>
      </w:r>
      <w:r w:rsidR="002E4BB4">
        <w:t xml:space="preserve">Paul is seen as addressing is Jewish boasting, against which the freedom of the gospel needs to be defended. Thus passages like </w:t>
      </w:r>
      <w:proofErr w:type="gramStart"/>
      <w:r w:rsidR="002E4BB4">
        <w:t>Rom  3.1</w:t>
      </w:r>
      <w:proofErr w:type="gramEnd"/>
      <w:r w:rsidR="002E4BB4">
        <w:t xml:space="preserve">-20 are interpreted as polemic against a wrong Jewish self-perception, Paul </w:t>
      </w:r>
      <w:r w:rsidR="00696F64">
        <w:t xml:space="preserve">thus </w:t>
      </w:r>
      <w:r w:rsidR="002E4BB4">
        <w:t>arguing against Jewish opponents, as in Galatians.</w:t>
      </w:r>
      <w:r w:rsidR="00D40C29">
        <w:rPr>
          <w:rStyle w:val="Funotenzeichen"/>
        </w:rPr>
        <w:footnoteReference w:id="26"/>
      </w:r>
      <w:r w:rsidR="002E4BB4">
        <w:t xml:space="preserve">  This key motivation is seen throughout Romans</w:t>
      </w:r>
      <w:r w:rsidR="004C7D8A">
        <w:t>,</w:t>
      </w:r>
      <w:r w:rsidR="002E4BB4">
        <w:t xml:space="preserve"> and since Romans is interpreted as the template for Paul’s theology</w:t>
      </w:r>
      <w:r w:rsidR="004C7D8A">
        <w:t>,</w:t>
      </w:r>
      <w:r w:rsidR="002E4BB4">
        <w:t xml:space="preserve"> opposition to </w:t>
      </w:r>
      <w:r w:rsidR="00597CAC">
        <w:t xml:space="preserve">(a misconceived) </w:t>
      </w:r>
      <w:r w:rsidR="002E4BB4">
        <w:t xml:space="preserve">Judaism remains </w:t>
      </w:r>
      <w:r w:rsidR="00D40C29">
        <w:t xml:space="preserve">a </w:t>
      </w:r>
      <w:r w:rsidR="002E4BB4">
        <w:t>core part of the self-understa</w:t>
      </w:r>
      <w:r w:rsidR="00597CAC">
        <w:t>nding of the Paul’s communities</w:t>
      </w:r>
      <w:r w:rsidR="002E4BB4">
        <w:t xml:space="preserve">. </w:t>
      </w:r>
    </w:p>
    <w:p w:rsidR="003F167E" w:rsidRDefault="00620D4F" w:rsidP="00AB6E65">
      <w:pPr>
        <w:spacing w:line="360" w:lineRule="auto"/>
        <w:contextualSpacing/>
      </w:pPr>
      <w:r>
        <w:t>Dunn is the most prominent and influential among the prot</w:t>
      </w:r>
      <w:r w:rsidR="002E4BB4">
        <w:t xml:space="preserve">agonists of the New Perspective. Others only differ in degrees from this interpretation of Romans. </w:t>
      </w:r>
      <w:r w:rsidR="00B5791A">
        <w:t xml:space="preserve">Dunn emphasizes that the breaking down of barriers between Jews and gentiles was a make or break issue for Paul, in Christ the hostility had come to an end </w:t>
      </w:r>
      <w:r w:rsidR="001431B0">
        <w:t xml:space="preserve">and God’s purpose of old to include Gentiles in his people had been revealed in the gospel. </w:t>
      </w:r>
      <w:r w:rsidR="001431B0">
        <w:rPr>
          <w:rStyle w:val="Funotenzeichen"/>
        </w:rPr>
        <w:footnoteReference w:id="27"/>
      </w:r>
      <w:r w:rsidR="00B5791A">
        <w:t xml:space="preserve"> </w:t>
      </w:r>
      <w:r w:rsidR="001431B0">
        <w:t xml:space="preserve"> The key problem threatening this was the Jewish ethnocentric attitude to Gentiles based on the law. </w:t>
      </w:r>
      <w:r w:rsidR="001431B0">
        <w:rPr>
          <w:rStyle w:val="Funotenzeichen"/>
        </w:rPr>
        <w:footnoteReference w:id="28"/>
      </w:r>
      <w:r w:rsidR="001431B0">
        <w:t xml:space="preserve"> </w:t>
      </w:r>
      <w:r w:rsidR="002E4BB4">
        <w:t xml:space="preserve">Thus </w:t>
      </w:r>
      <w:r>
        <w:t xml:space="preserve">despite intentions to the contrary, </w:t>
      </w:r>
      <w:r w:rsidR="00295318">
        <w:t>Judaism</w:t>
      </w:r>
      <w:r w:rsidR="000706AF">
        <w:t xml:space="preserve">, at least as misunderstood in the Second Temple period, </w:t>
      </w:r>
      <w:r w:rsidR="004C7D8A">
        <w:t xml:space="preserve">yet once again </w:t>
      </w:r>
      <w:r w:rsidR="00295318">
        <w:t>is seen as the ‘classic example of how sin abuses the law</w:t>
      </w:r>
      <w:r>
        <w:t xml:space="preserve"> and uses the weakness of the flesh to tie humankind into the nexus of sin and death.’</w:t>
      </w:r>
      <w:r>
        <w:rPr>
          <w:rStyle w:val="Funotenzeichen"/>
        </w:rPr>
        <w:footnoteReference w:id="29"/>
      </w:r>
      <w:r w:rsidR="00295318">
        <w:t xml:space="preserve"> </w:t>
      </w:r>
      <w:r w:rsidR="006F2B86">
        <w:t xml:space="preserve">Although the notion of Jewish legalism has disappeared in </w:t>
      </w:r>
      <w:r w:rsidR="002E4BB4">
        <w:t>Dunn’s</w:t>
      </w:r>
      <w:r w:rsidR="000706AF">
        <w:t xml:space="preserve"> reading of Romans the latter </w:t>
      </w:r>
      <w:r w:rsidR="006F2B86">
        <w:t xml:space="preserve">is now </w:t>
      </w:r>
      <w:r>
        <w:t xml:space="preserve">shaped by the presuppositions of Jewish ethnocentrism over against Pauline universalism. </w:t>
      </w:r>
      <w:r w:rsidR="000706AF">
        <w:t>Structurally, t</w:t>
      </w:r>
      <w:r>
        <w:t>he</w:t>
      </w:r>
      <w:r w:rsidR="00893F6D">
        <w:t xml:space="preserve"> law-</w:t>
      </w:r>
      <w:r>
        <w:t xml:space="preserve">gospel dichotomy of the traditional perspective is replaced by </w:t>
      </w:r>
      <w:r w:rsidR="00893F6D">
        <w:t xml:space="preserve">a variation of the </w:t>
      </w:r>
      <w:proofErr w:type="spellStart"/>
      <w:r w:rsidR="00893F6D">
        <w:t>particularism</w:t>
      </w:r>
      <w:proofErr w:type="spellEnd"/>
      <w:r w:rsidR="00893F6D">
        <w:t xml:space="preserve"> – universalism dichotomy – claimed already by </w:t>
      </w:r>
      <w:proofErr w:type="spellStart"/>
      <w:r w:rsidR="00893F6D">
        <w:t>F.C.Baur</w:t>
      </w:r>
      <w:proofErr w:type="spellEnd"/>
      <w:r w:rsidR="00893F6D">
        <w:t>.</w:t>
      </w:r>
      <w:r w:rsidR="00696F64">
        <w:rPr>
          <w:rStyle w:val="Funotenzeichen"/>
        </w:rPr>
        <w:footnoteReference w:id="30"/>
      </w:r>
      <w:r w:rsidR="00893F6D">
        <w:t xml:space="preserve"> Thus </w:t>
      </w:r>
      <w:r w:rsidR="0054697A">
        <w:t xml:space="preserve">the question has to be asked whether </w:t>
      </w:r>
      <w:r w:rsidR="00893F6D">
        <w:t xml:space="preserve">the New Perspective </w:t>
      </w:r>
      <w:r w:rsidR="0054697A">
        <w:t>is actually new or rather a variation of the ‘old’ perspective which repeats what Sanders had tried to overcome – a negative stereotyping of Judaism through a replacement theology.</w:t>
      </w:r>
      <w:r w:rsidR="00893F6D">
        <w:t xml:space="preserve"> </w:t>
      </w:r>
    </w:p>
    <w:p w:rsidR="009D0A2D" w:rsidRDefault="009D0A2D" w:rsidP="00AB6E65">
      <w:pPr>
        <w:spacing w:line="360" w:lineRule="auto"/>
        <w:contextualSpacing/>
      </w:pPr>
    </w:p>
    <w:p w:rsidR="009D0A2D" w:rsidRDefault="006174DC" w:rsidP="00AB6E65">
      <w:pPr>
        <w:spacing w:line="360" w:lineRule="auto"/>
        <w:contextualSpacing/>
      </w:pPr>
      <w:r>
        <w:t xml:space="preserve">4. </w:t>
      </w:r>
      <w:r w:rsidR="009D0A2D">
        <w:t>Beyond the New Perspective</w:t>
      </w:r>
    </w:p>
    <w:p w:rsidR="003331C4" w:rsidRDefault="003331C4" w:rsidP="00AB6E65">
      <w:pPr>
        <w:spacing w:line="360" w:lineRule="auto"/>
        <w:contextualSpacing/>
      </w:pPr>
    </w:p>
    <w:p w:rsidR="00154CC7" w:rsidRDefault="003331C4" w:rsidP="00AB6E65">
      <w:pPr>
        <w:spacing w:line="360" w:lineRule="auto"/>
        <w:contextualSpacing/>
      </w:pPr>
      <w:r>
        <w:t xml:space="preserve">This is the </w:t>
      </w:r>
      <w:proofErr w:type="gramStart"/>
      <w:r>
        <w:t>question which</w:t>
      </w:r>
      <w:proofErr w:type="gramEnd"/>
      <w:r>
        <w:t xml:space="preserve"> </w:t>
      </w:r>
      <w:r w:rsidR="00897F44">
        <w:t>h</w:t>
      </w:r>
      <w:r>
        <w:t>as driven a number of approaches ‘after’ Sanders and Dunn</w:t>
      </w:r>
      <w:r w:rsidR="00EC7169">
        <w:t>. I will focus on</w:t>
      </w:r>
      <w:r w:rsidR="006F2B86">
        <w:t xml:space="preserve"> scholars</w:t>
      </w:r>
      <w:r w:rsidR="00897F44">
        <w:t xml:space="preserve"> who</w:t>
      </w:r>
      <w:r w:rsidR="00D40C29">
        <w:t xml:space="preserve"> claim that neither Sanders nor </w:t>
      </w:r>
      <w:r w:rsidR="00AF0F96">
        <w:t>the New Perspective</w:t>
      </w:r>
      <w:r w:rsidR="00897F44">
        <w:t xml:space="preserve"> have actually arrived at interpretations of Paul, and </w:t>
      </w:r>
      <w:r w:rsidR="00D40C29">
        <w:t>Romans in particular which take</w:t>
      </w:r>
      <w:r w:rsidR="00897F44">
        <w:t xml:space="preserve"> the changed image of fi</w:t>
      </w:r>
      <w:r w:rsidR="00AF0F96">
        <w:t>rst century Judaism</w:t>
      </w:r>
      <w:r w:rsidR="00897F44">
        <w:t xml:space="preserve"> </w:t>
      </w:r>
      <w:r w:rsidR="00AF0F96">
        <w:t xml:space="preserve">sufficiently </w:t>
      </w:r>
      <w:r w:rsidR="00897F44">
        <w:t>into account.</w:t>
      </w:r>
      <w:r w:rsidR="00D40C29">
        <w:t xml:space="preserve"> </w:t>
      </w:r>
      <w:r w:rsidR="00D40C29">
        <w:rPr>
          <w:rStyle w:val="Funotenzeichen"/>
        </w:rPr>
        <w:footnoteReference w:id="31"/>
      </w:r>
      <w:r w:rsidR="00897F44">
        <w:t xml:space="preserve">  </w:t>
      </w:r>
      <w:r w:rsidR="006F2B86">
        <w:t>They move ‘Beyond the New Perspective’ and there is one key presuppo</w:t>
      </w:r>
      <w:r w:rsidR="00C31DCB">
        <w:t>sition which they share</w:t>
      </w:r>
      <w:r w:rsidR="006F2B86">
        <w:t>: The</w:t>
      </w:r>
      <w:r w:rsidR="00AF0F96">
        <w:t>y</w:t>
      </w:r>
      <w:r w:rsidR="006F2B86">
        <w:t xml:space="preserve"> see Paul as embedded in Judaism before a</w:t>
      </w:r>
      <w:r w:rsidR="00C31DCB">
        <w:t xml:space="preserve">nd after his call, and they see </w:t>
      </w:r>
      <w:r w:rsidR="006F2B86">
        <w:t>no incompat</w:t>
      </w:r>
      <w:r w:rsidR="00B9352B">
        <w:t xml:space="preserve">ibility for Jews between being </w:t>
      </w:r>
      <w:r w:rsidR="00BD48CF">
        <w:t>Christ-follower</w:t>
      </w:r>
      <w:r w:rsidR="00B9352B">
        <w:t>s</w:t>
      </w:r>
      <w:r w:rsidR="00BD48CF">
        <w:t xml:space="preserve"> and observing the Torah, although the implications and the significance of this, both socially and theologically, is a matter of debate.</w:t>
      </w:r>
      <w:r w:rsidR="00B9352B">
        <w:rPr>
          <w:rStyle w:val="Funotenzeichen"/>
        </w:rPr>
        <w:footnoteReference w:id="32"/>
      </w:r>
    </w:p>
    <w:p w:rsidR="00B458B2" w:rsidRDefault="00154CC7" w:rsidP="00AB6E65">
      <w:pPr>
        <w:spacing w:line="360" w:lineRule="auto"/>
        <w:contextualSpacing/>
      </w:pPr>
      <w:r>
        <w:t xml:space="preserve">There are </w:t>
      </w:r>
      <w:r w:rsidR="004C7D8A">
        <w:t xml:space="preserve">a </w:t>
      </w:r>
      <w:r>
        <w:t xml:space="preserve">number of scholars who prior or parallel to the publications of Sanders and Dunn have developed approaches to </w:t>
      </w:r>
      <w:proofErr w:type="gramStart"/>
      <w:r>
        <w:t xml:space="preserve">Romans which </w:t>
      </w:r>
      <w:r w:rsidR="00E03E91">
        <w:t xml:space="preserve">distinguished them from the traditional </w:t>
      </w:r>
      <w:r w:rsidR="00696F64">
        <w:t>Lutheran</w:t>
      </w:r>
      <w:proofErr w:type="gramEnd"/>
      <w:r w:rsidR="00696F64">
        <w:t xml:space="preserve"> and </w:t>
      </w:r>
      <w:r w:rsidR="00C31DCB">
        <w:t xml:space="preserve">existentialist </w:t>
      </w:r>
      <w:r w:rsidR="00E03E91">
        <w:t xml:space="preserve">interpretation of Paul. </w:t>
      </w:r>
      <w:r w:rsidR="00C31DCB">
        <w:t xml:space="preserve">As mentioned above, members of the ‘Scandinavian School’ </w:t>
      </w:r>
      <w:r w:rsidR="00E56E74" w:rsidRPr="00E56E74">
        <w:t>reac</w:t>
      </w:r>
      <w:r w:rsidR="00C31DCB" w:rsidRPr="00E56E74">
        <w:t>ted</w:t>
      </w:r>
      <w:r w:rsidR="00C31DCB">
        <w:t xml:space="preserve"> against </w:t>
      </w:r>
      <w:r w:rsidR="00745C76">
        <w:t>existentialist</w:t>
      </w:r>
      <w:r w:rsidR="001E2080">
        <w:t xml:space="preserve"> </w:t>
      </w:r>
      <w:proofErr w:type="gramStart"/>
      <w:r w:rsidR="001E2080">
        <w:t>interpretations which</w:t>
      </w:r>
      <w:proofErr w:type="gramEnd"/>
      <w:r w:rsidR="001E2080">
        <w:t xml:space="preserve"> they considered to be too individualistic, neglecting the community and mission related aspect of Romans.</w:t>
      </w:r>
      <w:r w:rsidR="001E2080">
        <w:rPr>
          <w:rStyle w:val="Funotenzeichen"/>
        </w:rPr>
        <w:footnoteReference w:id="33"/>
      </w:r>
      <w:r w:rsidR="00C31DCB">
        <w:t xml:space="preserve"> </w:t>
      </w:r>
      <w:r w:rsidR="00745C76">
        <w:t>The letter was seen as addressing issues concerning the mission of Paul to the gentiles, ‘a missionary’s contribution to a discussion’.</w:t>
      </w:r>
      <w:r w:rsidR="00745C76">
        <w:rPr>
          <w:rStyle w:val="Funotenzeichen"/>
        </w:rPr>
        <w:footnoteReference w:id="34"/>
      </w:r>
      <w:r w:rsidR="00745C76">
        <w:t xml:space="preserve"> In this framework, Romans 9-11 was moved centre stage and particular attention paid to the group</w:t>
      </w:r>
      <w:r w:rsidR="00B458B2">
        <w:t xml:space="preserve"> dimension and the category of </w:t>
      </w:r>
      <w:r w:rsidR="00745C76">
        <w:t xml:space="preserve">God’s people in the letter. </w:t>
      </w:r>
      <w:r w:rsidR="00745C76">
        <w:rPr>
          <w:rStyle w:val="Funotenzeichen"/>
        </w:rPr>
        <w:footnoteReference w:id="35"/>
      </w:r>
      <w:r w:rsidR="00B458B2">
        <w:t xml:space="preserve"> I noted already </w:t>
      </w:r>
      <w:proofErr w:type="spellStart"/>
      <w:r w:rsidR="00B458B2">
        <w:t>Stendahl’s</w:t>
      </w:r>
      <w:proofErr w:type="spellEnd"/>
      <w:r w:rsidR="00B458B2">
        <w:t xml:space="preserve"> </w:t>
      </w:r>
      <w:proofErr w:type="gramStart"/>
      <w:r w:rsidR="00B458B2">
        <w:t>contribution which</w:t>
      </w:r>
      <w:proofErr w:type="gramEnd"/>
      <w:r w:rsidR="00B458B2">
        <w:t xml:space="preserve"> is embedded in this tradition. As discussed in detail in chapter …</w:t>
      </w:r>
      <w:r w:rsidR="00E56E74">
        <w:t xml:space="preserve"> </w:t>
      </w:r>
      <w:r w:rsidR="00B458B2">
        <w:t xml:space="preserve">in this volume, Albert Schweitzer is another scholar who should be mentioned in this context with his emphasis on the importance of Jewish </w:t>
      </w:r>
      <w:proofErr w:type="spellStart"/>
      <w:r w:rsidR="00B458B2">
        <w:t>Apocalypticism</w:t>
      </w:r>
      <w:proofErr w:type="spellEnd"/>
      <w:r w:rsidR="00B458B2">
        <w:t xml:space="preserve"> for Pauline interpretation.</w:t>
      </w:r>
    </w:p>
    <w:p w:rsidR="00E03E91" w:rsidRDefault="00B458B2" w:rsidP="00AB6E65">
      <w:pPr>
        <w:spacing w:line="360" w:lineRule="auto"/>
        <w:contextualSpacing/>
      </w:pPr>
      <w:r>
        <w:t xml:space="preserve">Following the trajectory of such early alternative approaches scholars such as </w:t>
      </w:r>
      <w:r w:rsidR="00BD48CF">
        <w:t xml:space="preserve">Stanley </w:t>
      </w:r>
      <w:proofErr w:type="spellStart"/>
      <w:r w:rsidR="00BD48CF">
        <w:t>Stowers</w:t>
      </w:r>
      <w:proofErr w:type="spellEnd"/>
      <w:r w:rsidR="00BD48CF">
        <w:t xml:space="preserve">, </w:t>
      </w:r>
      <w:r w:rsidR="00E03E91">
        <w:t>William S. Campbell</w:t>
      </w:r>
      <w:r w:rsidR="00BD48CF">
        <w:t xml:space="preserve">, </w:t>
      </w:r>
      <w:r w:rsidR="00B43520">
        <w:t xml:space="preserve">and </w:t>
      </w:r>
      <w:r>
        <w:t xml:space="preserve">Peter </w:t>
      </w:r>
      <w:proofErr w:type="spellStart"/>
      <w:r>
        <w:t>Tomson</w:t>
      </w:r>
      <w:proofErr w:type="spellEnd"/>
      <w:r w:rsidR="000C2536">
        <w:rPr>
          <w:rStyle w:val="Funotenzeichen"/>
        </w:rPr>
        <w:footnoteReference w:id="36"/>
      </w:r>
      <w:r>
        <w:t xml:space="preserve"> </w:t>
      </w:r>
      <w:r w:rsidR="00E03E91">
        <w:t>have pr</w:t>
      </w:r>
      <w:r>
        <w:t>oposed interpretations of Paul</w:t>
      </w:r>
      <w:r w:rsidR="00E03E91">
        <w:t xml:space="preserve"> which try to avoid the negative stereotyping of Judaism, </w:t>
      </w:r>
      <w:r w:rsidR="00E56E74">
        <w:t xml:space="preserve">and </w:t>
      </w:r>
      <w:r w:rsidR="00E03E91">
        <w:t>do not adhere to a two covenant theory</w:t>
      </w:r>
      <w:r w:rsidR="00430B02">
        <w:rPr>
          <w:rStyle w:val="Funotenzeichen"/>
        </w:rPr>
        <w:footnoteReference w:id="37"/>
      </w:r>
      <w:r w:rsidR="00E03E91">
        <w:t xml:space="preserve">, but also </w:t>
      </w:r>
      <w:r w:rsidR="00B43520">
        <w:t xml:space="preserve">have </w:t>
      </w:r>
      <w:r w:rsidR="00E03E91">
        <w:t xml:space="preserve">developed nuances in their interpretations which </w:t>
      </w:r>
      <w:proofErr w:type="gramStart"/>
      <w:r w:rsidR="00E03E91">
        <w:t>distinguish</w:t>
      </w:r>
      <w:r w:rsidR="00EC7169">
        <w:t xml:space="preserve"> </w:t>
      </w:r>
      <w:r w:rsidR="00E03E91">
        <w:t xml:space="preserve"> them</w:t>
      </w:r>
      <w:proofErr w:type="gramEnd"/>
      <w:r w:rsidR="00E03E91">
        <w:t xml:space="preserve"> to some degree from </w:t>
      </w:r>
      <w:r w:rsidR="006F2B86">
        <w:t>a number of scholars who are beginning to be</w:t>
      </w:r>
      <w:r w:rsidR="00E03E91">
        <w:t xml:space="preserve"> labelled ‘Radical New Perspective’. </w:t>
      </w:r>
      <w:r>
        <w:t xml:space="preserve">Since </w:t>
      </w:r>
      <w:proofErr w:type="spellStart"/>
      <w:r>
        <w:t>Stowers</w:t>
      </w:r>
      <w:proofErr w:type="spellEnd"/>
      <w:r>
        <w:t xml:space="preserve"> and Campbell have </w:t>
      </w:r>
      <w:r w:rsidR="00B9352B">
        <w:t xml:space="preserve">focussed </w:t>
      </w:r>
      <w:r>
        <w:t xml:space="preserve">most prominently </w:t>
      </w:r>
      <w:r w:rsidR="00B9352B">
        <w:t xml:space="preserve">although in different </w:t>
      </w:r>
      <w:proofErr w:type="gramStart"/>
      <w:r w:rsidR="00B9352B">
        <w:t xml:space="preserve">ways </w:t>
      </w:r>
      <w:r>
        <w:t xml:space="preserve"> their</w:t>
      </w:r>
      <w:proofErr w:type="gramEnd"/>
      <w:r>
        <w:t xml:space="preserve"> work on Romans I will briefly discuss their work here.</w:t>
      </w:r>
      <w:r>
        <w:rPr>
          <w:rStyle w:val="Funotenzeichen"/>
        </w:rPr>
        <w:footnoteReference w:id="38"/>
      </w:r>
    </w:p>
    <w:p w:rsidR="00E32AA9" w:rsidRDefault="00CF4280" w:rsidP="00AB6E65">
      <w:pPr>
        <w:spacing w:line="360" w:lineRule="auto"/>
        <w:contextualSpacing/>
      </w:pPr>
      <w:r>
        <w:t xml:space="preserve">With others who have moved beyond the New Perspective </w:t>
      </w:r>
      <w:proofErr w:type="spellStart"/>
      <w:r>
        <w:t>Stowers</w:t>
      </w:r>
      <w:proofErr w:type="spellEnd"/>
      <w:r>
        <w:rPr>
          <w:rStyle w:val="Funotenzeichen"/>
        </w:rPr>
        <w:footnoteReference w:id="39"/>
      </w:r>
      <w:r>
        <w:t xml:space="preserve"> </w:t>
      </w:r>
      <w:r w:rsidR="00616321">
        <w:t xml:space="preserve"> (</w:t>
      </w:r>
      <w:r>
        <w:t>and Campbell</w:t>
      </w:r>
      <w:r w:rsidR="00616321">
        <w:t>)</w:t>
      </w:r>
      <w:r>
        <w:t xml:space="preserve"> h</w:t>
      </w:r>
      <w:r w:rsidR="00616321">
        <w:t>ave drawn attention to the</w:t>
      </w:r>
      <w:r>
        <w:t xml:space="preserve"> key difference </w:t>
      </w:r>
      <w:r w:rsidR="00616321">
        <w:t xml:space="preserve">the envisaged addressees make for interpreting Romans. </w:t>
      </w:r>
      <w:proofErr w:type="spellStart"/>
      <w:r w:rsidR="00616321">
        <w:t>Stowers</w:t>
      </w:r>
      <w:proofErr w:type="spellEnd"/>
      <w:r w:rsidR="00616321">
        <w:t xml:space="preserve"> develops his argument from the pre</w:t>
      </w:r>
      <w:r w:rsidR="00DA1835">
        <w:t xml:space="preserve">supposition that </w:t>
      </w:r>
      <w:proofErr w:type="gramStart"/>
      <w:r w:rsidR="00DA1835">
        <w:t xml:space="preserve">the </w:t>
      </w:r>
      <w:r w:rsidR="00616321">
        <w:t xml:space="preserve"> addresse</w:t>
      </w:r>
      <w:r w:rsidR="00DA1835">
        <w:t>e</w:t>
      </w:r>
      <w:r w:rsidR="00616321">
        <w:t>s</w:t>
      </w:r>
      <w:proofErr w:type="gramEnd"/>
      <w:r w:rsidR="00616321">
        <w:t xml:space="preserve"> </w:t>
      </w:r>
      <w:r w:rsidR="00AD4CF5">
        <w:t>in the text of</w:t>
      </w:r>
      <w:r w:rsidR="00DA1835">
        <w:t xml:space="preserve"> the letter</w:t>
      </w:r>
      <w:r w:rsidR="00AD4CF5">
        <w:rPr>
          <w:rStyle w:val="Funotenzeichen"/>
        </w:rPr>
        <w:footnoteReference w:id="40"/>
      </w:r>
      <w:r w:rsidR="00DA1835">
        <w:t xml:space="preserve"> are gentile Christ</w:t>
      </w:r>
      <w:r w:rsidR="00E56E74">
        <w:t>-</w:t>
      </w:r>
      <w:r w:rsidR="00DA1835">
        <w:t>followers</w:t>
      </w:r>
      <w:r w:rsidR="00616321">
        <w:t xml:space="preserve">, and thus the issues, problems and controversies </w:t>
      </w:r>
      <w:r w:rsidR="00DA1835">
        <w:t>discussed concern</w:t>
      </w:r>
      <w:r w:rsidR="00DA3D07">
        <w:t xml:space="preserve"> gentiles in Christ rather than Jews. </w:t>
      </w:r>
      <w:r w:rsidR="00DA1835">
        <w:t>‘Romans tries to clarify for gentile followers of Christ their relation to the law, Jews, and Judaism and the current place of both Jews and gentiles in God’s plan through Jesus Christ.’</w:t>
      </w:r>
      <w:r w:rsidR="00DA1835">
        <w:rPr>
          <w:rStyle w:val="Funotenzeichen"/>
        </w:rPr>
        <w:footnoteReference w:id="41"/>
      </w:r>
      <w:r w:rsidR="00DA1835">
        <w:t xml:space="preserve"> </w:t>
      </w:r>
      <w:r w:rsidR="00AD4CF5">
        <w:t xml:space="preserve">Paul is clearly seen as the apostle who </w:t>
      </w:r>
      <w:r w:rsidR="00EC7169">
        <w:t>h</w:t>
      </w:r>
      <w:r w:rsidR="00AD4CF5">
        <w:t xml:space="preserve">as a special commission to the gentiles, </w:t>
      </w:r>
      <w:r w:rsidR="00E56E74">
        <w:t xml:space="preserve">and </w:t>
      </w:r>
      <w:r w:rsidR="00AD4CF5">
        <w:t>who emphasizes this special ro</w:t>
      </w:r>
      <w:r w:rsidR="00E56E74">
        <w:t>le in the opening of the letter. C</w:t>
      </w:r>
      <w:r w:rsidR="00DD5FFE">
        <w:t>ontrary to traditional and New Perspective reading</w:t>
      </w:r>
      <w:r w:rsidR="00E56E74">
        <w:t>s no indication can be found for</w:t>
      </w:r>
      <w:r w:rsidR="00AD4CF5">
        <w:t xml:space="preserve"> Jewish addressees.</w:t>
      </w:r>
      <w:r w:rsidR="00B033AE">
        <w:t xml:space="preserve"> </w:t>
      </w:r>
      <w:r w:rsidR="00DD5FFE">
        <w:t xml:space="preserve">This does not mean that </w:t>
      </w:r>
      <w:proofErr w:type="spellStart"/>
      <w:r w:rsidR="00DD5FFE">
        <w:t>Stowers</w:t>
      </w:r>
      <w:proofErr w:type="spellEnd"/>
      <w:r w:rsidR="00DD5FFE">
        <w:t xml:space="preserve"> advocates that there were no Jewish Christ-followers in Rome. </w:t>
      </w:r>
      <w:r w:rsidR="00A22C91">
        <w:t xml:space="preserve">But they are not the addressees nor </w:t>
      </w:r>
      <w:proofErr w:type="gramStart"/>
      <w:r w:rsidR="00A22C91">
        <w:t>is</w:t>
      </w:r>
      <w:proofErr w:type="gramEnd"/>
      <w:r w:rsidR="00A22C91">
        <w:t xml:space="preserve"> Judaism </w:t>
      </w:r>
      <w:r w:rsidR="00B01491">
        <w:t xml:space="preserve">in itself </w:t>
      </w:r>
      <w:r w:rsidR="00A22C91">
        <w:t xml:space="preserve">a problem. Only if it is already presupposed that ‘Jewish arrogance would have been obvious in the first century’ </w:t>
      </w:r>
      <w:r w:rsidR="00A22C91">
        <w:rPr>
          <w:rStyle w:val="Funotenzeichen"/>
        </w:rPr>
        <w:footnoteReference w:id="42"/>
      </w:r>
      <w:r w:rsidR="00A22C91">
        <w:t xml:space="preserve"> and that there was a typical Jewish presumption of Jewish moral superio</w:t>
      </w:r>
      <w:r w:rsidR="00E56E74">
        <w:t xml:space="preserve">rity over against gentiles could </w:t>
      </w:r>
      <w:r w:rsidR="00A22C91">
        <w:t>Jewish opponents be the target of Paul’s arguments in Romans.</w:t>
      </w:r>
      <w:r w:rsidR="00EC7169">
        <w:rPr>
          <w:rStyle w:val="Funotenzeichen"/>
        </w:rPr>
        <w:footnoteReference w:id="43"/>
      </w:r>
      <w:r w:rsidR="00A22C91">
        <w:t xml:space="preserve"> </w:t>
      </w:r>
      <w:r w:rsidR="0088660A">
        <w:t>But t</w:t>
      </w:r>
      <w:r w:rsidR="00B033AE">
        <w:t>h</w:t>
      </w:r>
      <w:r w:rsidR="0088660A">
        <w:t>e key problem Paul addresses</w:t>
      </w:r>
      <w:r w:rsidR="00B033AE">
        <w:t xml:space="preserve"> according to </w:t>
      </w:r>
      <w:proofErr w:type="spellStart"/>
      <w:r w:rsidR="00B033AE">
        <w:t>Stowers</w:t>
      </w:r>
      <w:proofErr w:type="spellEnd"/>
      <w:r w:rsidR="00B033AE">
        <w:t xml:space="preserve"> is </w:t>
      </w:r>
      <w:r w:rsidR="0088660A">
        <w:t>not Jewish arrogance or boasting on the part of a supposed powerful Christ-following Jewish minority</w:t>
      </w:r>
      <w:r w:rsidR="00A22C91">
        <w:t>, but rather</w:t>
      </w:r>
      <w:r w:rsidR="00E56E74">
        <w:t xml:space="preserve"> how gentile un</w:t>
      </w:r>
      <w:r w:rsidR="00105AC1">
        <w:t xml:space="preserve">righteousness evident in their </w:t>
      </w:r>
      <w:r w:rsidR="00B033AE">
        <w:t>loss of self-mastery</w:t>
      </w:r>
      <w:r w:rsidR="00324671">
        <w:t xml:space="preserve"> can be overcome</w:t>
      </w:r>
      <w:r w:rsidR="00B033AE">
        <w:t xml:space="preserve">. </w:t>
      </w:r>
      <w:r w:rsidR="00E56E74">
        <w:t>Although the Torah had</w:t>
      </w:r>
      <w:r w:rsidR="00105AC1">
        <w:t xml:space="preserve"> been regarded as a way to attain the </w:t>
      </w:r>
      <w:proofErr w:type="spellStart"/>
      <w:r w:rsidR="00105AC1">
        <w:t>Graeco</w:t>
      </w:r>
      <w:proofErr w:type="spellEnd"/>
      <w:r w:rsidR="00105AC1">
        <w:t xml:space="preserve">-Roman ideal of self-mastery by some Jewish writers of the period, and this may have rendered Judaism attractive for some gentiles, </w:t>
      </w:r>
      <w:r w:rsidR="00EC7169">
        <w:t xml:space="preserve">it is Paul’s view that </w:t>
      </w:r>
      <w:r w:rsidR="00105AC1">
        <w:t>w</w:t>
      </w:r>
      <w:r w:rsidR="00324671">
        <w:t xml:space="preserve">ith the coming of Christ this </w:t>
      </w:r>
      <w:r w:rsidR="00B033AE">
        <w:t>cannot be achieved by gentiles through adherence to the Tor</w:t>
      </w:r>
      <w:r w:rsidR="00E56E74">
        <w:t>ah</w:t>
      </w:r>
      <w:r w:rsidR="004E7185">
        <w:t xml:space="preserve"> since the Torah is intended for Jews. Paul’s arguments in the imaginary dialogue with a Jewish teacher in Rom 2.17-29, rather than addressing Jews and Jewish adherence to the law, are intended to indicate to the gentile </w:t>
      </w:r>
      <w:r w:rsidR="00105AC1">
        <w:t xml:space="preserve">audience </w:t>
      </w:r>
      <w:r w:rsidR="004E7185">
        <w:t xml:space="preserve">that they cannot and should </w:t>
      </w:r>
      <w:r w:rsidR="00105AC1">
        <w:t xml:space="preserve">not </w:t>
      </w:r>
      <w:r w:rsidR="004E7185">
        <w:t xml:space="preserve">seek to acquire righteousness before the God of Israel through adherence to the law. Throughout the letter thus Paul, in </w:t>
      </w:r>
      <w:proofErr w:type="spellStart"/>
      <w:r w:rsidR="004E7185">
        <w:t>Stowers’s</w:t>
      </w:r>
      <w:proofErr w:type="spellEnd"/>
      <w:r w:rsidR="004E7185">
        <w:t xml:space="preserve"> reading, demonstrates that now through Christ </w:t>
      </w:r>
      <w:proofErr w:type="gramStart"/>
      <w:r w:rsidR="004E7185">
        <w:t>‘gentiles ….have</w:t>
      </w:r>
      <w:proofErr w:type="gramEnd"/>
      <w:r w:rsidR="004E7185">
        <w:t xml:space="preserve"> </w:t>
      </w:r>
      <w:proofErr w:type="spellStart"/>
      <w:r w:rsidR="004E7185">
        <w:t>sonship</w:t>
      </w:r>
      <w:proofErr w:type="spellEnd"/>
      <w:r w:rsidR="004E7185">
        <w:t xml:space="preserve"> (8.15-23,29), as Israel has always had (9.4). The reader</w:t>
      </w:r>
      <w:r w:rsidR="004C55F0">
        <w:t>s gain a kinship with God modell</w:t>
      </w:r>
      <w:r w:rsidR="004E7185">
        <w:t>ed</w:t>
      </w:r>
      <w:r w:rsidR="004C55F0">
        <w:t xml:space="preserve"> after Christ’s </w:t>
      </w:r>
      <w:proofErr w:type="spellStart"/>
      <w:r w:rsidR="004C55F0">
        <w:t>sonship</w:t>
      </w:r>
      <w:proofErr w:type="spellEnd"/>
      <w:r w:rsidR="004C55F0">
        <w:t xml:space="preserve"> </w:t>
      </w:r>
      <w:r w:rsidR="00105AC1">
        <w:t xml:space="preserve"> (8.29) and that includes empowerment by the Spirit now (8.4-8, 12-17, 26-27) and a perfected body in the future (8.9-11,23).’</w:t>
      </w:r>
      <w:r w:rsidR="00DD5FFE">
        <w:rPr>
          <w:rStyle w:val="Funotenzeichen"/>
        </w:rPr>
        <w:footnoteReference w:id="44"/>
      </w:r>
      <w:r w:rsidR="004E7185">
        <w:t xml:space="preserve"> </w:t>
      </w:r>
      <w:r w:rsidR="00105AC1">
        <w:t xml:space="preserve">The main problem of Jews who do not share Paul’s view is that they cannot see the way for gentiles to attain righteousness apart from the law available to them in Christ. </w:t>
      </w:r>
      <w:r w:rsidR="00324671">
        <w:t>This focus on gentile a</w:t>
      </w:r>
      <w:r w:rsidR="00E56E74">
        <w:t>ddressees does not constitute a</w:t>
      </w:r>
      <w:r w:rsidR="00324671">
        <w:t xml:space="preserve"> denigration of Judaism, but a clarification for gentiles about their role and way of life in relation </w:t>
      </w:r>
      <w:r w:rsidR="00E56E74">
        <w:t xml:space="preserve">to </w:t>
      </w:r>
      <w:r w:rsidR="00324671">
        <w:t xml:space="preserve">the God of Israel and thus </w:t>
      </w:r>
      <w:r w:rsidR="00EC7169">
        <w:t xml:space="preserve">also </w:t>
      </w:r>
      <w:r w:rsidR="00B01491">
        <w:t xml:space="preserve">in relation </w:t>
      </w:r>
      <w:r w:rsidR="00E56E74">
        <w:t>to</w:t>
      </w:r>
      <w:r w:rsidR="00324671">
        <w:t xml:space="preserve"> Jews. Judaism is a theme – in that Paul provides gentiles w</w:t>
      </w:r>
      <w:r w:rsidR="00EC7169">
        <w:t xml:space="preserve">ith some explanations for the </w:t>
      </w:r>
      <w:r w:rsidR="00324671">
        <w:t xml:space="preserve">temporary rejection of the gospel </w:t>
      </w:r>
      <w:r w:rsidR="00EC7169">
        <w:t xml:space="preserve">by some Jews </w:t>
      </w:r>
      <w:r w:rsidR="00324671">
        <w:t>as part of God’s plan in that this leaves time and space for the mission to the gentiles. The gentiles have to understand this mystery and cannot in any way boast or claim to have replaced Israel as the people of God.</w:t>
      </w:r>
      <w:r w:rsidR="00324671">
        <w:rPr>
          <w:rStyle w:val="Funotenzeichen"/>
        </w:rPr>
        <w:footnoteReference w:id="45"/>
      </w:r>
    </w:p>
    <w:p w:rsidR="007E31E8" w:rsidRDefault="007E31E8" w:rsidP="00324671">
      <w:pPr>
        <w:spacing w:line="360" w:lineRule="auto"/>
        <w:contextualSpacing/>
      </w:pPr>
    </w:p>
    <w:p w:rsidR="00D10948" w:rsidRDefault="007E31E8" w:rsidP="00324671">
      <w:pPr>
        <w:spacing w:line="360" w:lineRule="auto"/>
        <w:contextualSpacing/>
      </w:pPr>
      <w:proofErr w:type="gramStart"/>
      <w:r>
        <w:t xml:space="preserve">Some of </w:t>
      </w:r>
      <w:proofErr w:type="spellStart"/>
      <w:r>
        <w:t>Stowers</w:t>
      </w:r>
      <w:proofErr w:type="spellEnd"/>
      <w:r>
        <w:t xml:space="preserve"> emphases had previously been advocated by William </w:t>
      </w:r>
      <w:proofErr w:type="spellStart"/>
      <w:r>
        <w:t>S.Campbell</w:t>
      </w:r>
      <w:proofErr w:type="spellEnd"/>
      <w:proofErr w:type="gramEnd"/>
      <w:r>
        <w:t xml:space="preserve"> in lectures and articles which predated the emergence of the New Perspective. Influenced by the Scandinavian school he had recognized the significance of Romans 9-11 in a context when dominating Lutheran and existentialist interpretation had declared these chapters marginal. </w:t>
      </w:r>
      <w:r w:rsidR="00A131DA">
        <w:t>In a paper presented in 1973 he drew attention to ‘The Place of Romans 9-11 within the Structure and Thought of the Letter’.</w:t>
      </w:r>
      <w:r w:rsidR="00A131DA">
        <w:rPr>
          <w:rStyle w:val="Funotenzeichen"/>
        </w:rPr>
        <w:footnoteReference w:id="46"/>
      </w:r>
      <w:r w:rsidR="00DE38C3">
        <w:t xml:space="preserve">  </w:t>
      </w:r>
      <w:r w:rsidR="00A131DA">
        <w:t>Campbell finds the hermeneuti</w:t>
      </w:r>
      <w:r w:rsidR="00467DC2">
        <w:t xml:space="preserve">cal key for his reading of the </w:t>
      </w:r>
      <w:r w:rsidR="00A131DA">
        <w:t>letter in these chapters, in their emphasis on the faithf</w:t>
      </w:r>
      <w:r w:rsidR="00467DC2">
        <w:t xml:space="preserve">ulness of God and his calling of </w:t>
      </w:r>
      <w:proofErr w:type="gramStart"/>
      <w:r w:rsidR="00467DC2">
        <w:t xml:space="preserve">Israel </w:t>
      </w:r>
      <w:r w:rsidR="00DE38C3">
        <w:t xml:space="preserve"> </w:t>
      </w:r>
      <w:r w:rsidR="00A131DA">
        <w:t>which</w:t>
      </w:r>
      <w:proofErr w:type="gramEnd"/>
      <w:r w:rsidR="00A131DA">
        <w:t xml:space="preserve"> is irrevocable.</w:t>
      </w:r>
      <w:r w:rsidR="00DE38C3">
        <w:rPr>
          <w:rStyle w:val="Funotenzeichen"/>
        </w:rPr>
        <w:footnoteReference w:id="47"/>
      </w:r>
      <w:r w:rsidR="00DE38C3">
        <w:t xml:space="preserve"> </w:t>
      </w:r>
      <w:r w:rsidR="00E2344A">
        <w:t>The Christ</w:t>
      </w:r>
      <w:r w:rsidR="00DE38C3">
        <w:t>-</w:t>
      </w:r>
      <w:r w:rsidR="00E2344A">
        <w:t xml:space="preserve">event does not change that, but confirms the covenant promises to Israel. This includes a spreading of the blessings to the gentile nations, and the gentile Christ-following groups are seen as the fruit and evidence of the beginning of the age to come. Since Paul introduces himself as apostle to the gentiles in the opening of the letter and explicitly </w:t>
      </w:r>
      <w:r w:rsidR="007263A3">
        <w:t xml:space="preserve">only </w:t>
      </w:r>
      <w:r w:rsidR="00E2344A">
        <w:t xml:space="preserve">addresses gentiles in the letter, there is no reason for Campbell to doubt that these were the main </w:t>
      </w:r>
      <w:r w:rsidR="007263A3">
        <w:t xml:space="preserve">addressees. Nevertheless, </w:t>
      </w:r>
      <w:r w:rsidR="00E2344A">
        <w:t>chapters 14-15 indicate that these gentile Christ-followers lived in a context of Jewish communities, Christ-following or not. Thus Romans is seen as a conversation with gentiles in a context where Jews are present and issues concerning Judaism and its role in the current context need to be clarified. There is no indication that these Christ-following groups had separated from Judaism or as Campbell formulated at</w:t>
      </w:r>
      <w:r w:rsidR="00362A2B">
        <w:t xml:space="preserve"> the time</w:t>
      </w:r>
      <w:r w:rsidR="00E2344A">
        <w:t>, from the</w:t>
      </w:r>
      <w:r w:rsidR="00362A2B">
        <w:t xml:space="preserve"> </w:t>
      </w:r>
      <w:r w:rsidR="00E2344A">
        <w:t xml:space="preserve">synagogue. </w:t>
      </w:r>
      <w:r w:rsidR="00E2344A">
        <w:rPr>
          <w:rStyle w:val="Funotenzeichen"/>
        </w:rPr>
        <w:footnoteReference w:id="48"/>
      </w:r>
      <w:r w:rsidR="00362A2B">
        <w:t xml:space="preserve"> Also, t</w:t>
      </w:r>
      <w:r w:rsidR="00DE38C3">
        <w:t>he problem is</w:t>
      </w:r>
      <w:r w:rsidR="00E2344A">
        <w:t xml:space="preserve"> not Jewish opponents</w:t>
      </w:r>
      <w:r w:rsidR="00F7696B">
        <w:rPr>
          <w:rStyle w:val="Funotenzeichen"/>
        </w:rPr>
        <w:footnoteReference w:id="49"/>
      </w:r>
      <w:r w:rsidR="00E2344A">
        <w:t xml:space="preserve"> who try to impose Jewish practice on these gentiles, rather the opposite, these gentiles are seen as in danger of becoming arrogant over against their Jewish brothers and sisters. </w:t>
      </w:r>
      <w:r w:rsidR="00362A2B">
        <w:rPr>
          <w:rStyle w:val="Funotenzeichen"/>
        </w:rPr>
        <w:footnoteReference w:id="50"/>
      </w:r>
      <w:r w:rsidR="00362A2B">
        <w:t xml:space="preserve"> Although Campbell sees Paul at times as being engaged in a critical dialogue with fellow Jews,</w:t>
      </w:r>
      <w:r w:rsidR="00362A2B">
        <w:rPr>
          <w:rStyle w:val="Funotenzeichen"/>
        </w:rPr>
        <w:footnoteReference w:id="51"/>
      </w:r>
      <w:r w:rsidR="00362A2B">
        <w:t xml:space="preserve"> this is seen as an intra-Jewish affair, and nowhere does Campbell resort to negative stereotyping of Second Temple Judaism in contrast to Paul’s gospel. Since there is no Jewish arrogance or boasting found in R</w:t>
      </w:r>
      <w:r w:rsidR="00F7696B">
        <w:t xml:space="preserve">omans, but rather the opposite, </w:t>
      </w:r>
      <w:r w:rsidR="00362A2B">
        <w:t>there is also no problem with Jewish identity in Christ.</w:t>
      </w:r>
      <w:r w:rsidR="00EC7169">
        <w:rPr>
          <w:rStyle w:val="Funotenzeichen"/>
        </w:rPr>
        <w:footnoteReference w:id="52"/>
      </w:r>
      <w:r w:rsidR="00362A2B">
        <w:t xml:space="preserve"> </w:t>
      </w:r>
      <w:r w:rsidR="00F7696B">
        <w:t xml:space="preserve"> Rather it is gentile arrogance and perceived superiority, possibly nurtured by anti-Jewish </w:t>
      </w:r>
      <w:proofErr w:type="spellStart"/>
      <w:r w:rsidR="00F7696B">
        <w:t>Graeco</w:t>
      </w:r>
      <w:proofErr w:type="spellEnd"/>
      <w:r w:rsidR="00F7696B">
        <w:t>-Roman stereotyping prevalent in the Roman context generally which constituted a threat to the peace and unity of the communities in Rome as ‘the references to boasting over the discarded branches’ implies.</w:t>
      </w:r>
      <w:r w:rsidR="00F7696B">
        <w:rPr>
          <w:rStyle w:val="Funotenzeichen"/>
        </w:rPr>
        <w:footnoteReference w:id="53"/>
      </w:r>
      <w:r w:rsidR="00F7696B">
        <w:t xml:space="preserve"> </w:t>
      </w:r>
      <w:r w:rsidR="00362A2B">
        <w:t>Adherence to the Torah for Jews and being in Christ are acknowledged, even necessary</w:t>
      </w:r>
      <w:r w:rsidR="00DE38C3">
        <w:t>,</w:t>
      </w:r>
      <w:r w:rsidR="00362A2B">
        <w:t xml:space="preserve"> according t</w:t>
      </w:r>
      <w:r w:rsidR="00EC7169">
        <w:t xml:space="preserve">o Campbell’s reading of Romans. But such acknowledgment also applies to </w:t>
      </w:r>
      <w:r w:rsidR="00B1379D">
        <w:t>gentile identity</w:t>
      </w:r>
      <w:r w:rsidR="00362A2B">
        <w:t xml:space="preserve"> in Christ</w:t>
      </w:r>
      <w:r w:rsidR="00687971">
        <w:t xml:space="preserve">, which explains </w:t>
      </w:r>
      <w:proofErr w:type="gramStart"/>
      <w:r w:rsidR="00687971">
        <w:t xml:space="preserve">Paul’s </w:t>
      </w:r>
      <w:r w:rsidR="00B01491">
        <w:t xml:space="preserve"> strong</w:t>
      </w:r>
      <w:proofErr w:type="gramEnd"/>
      <w:r w:rsidR="00B01491">
        <w:t xml:space="preserve"> </w:t>
      </w:r>
      <w:r w:rsidR="00687971">
        <w:t>stance against their conversion to Judaism. Gentile identity in Christ</w:t>
      </w:r>
      <w:r w:rsidR="00B1379D">
        <w:t xml:space="preserve"> also</w:t>
      </w:r>
      <w:r w:rsidR="00362A2B">
        <w:t xml:space="preserve"> needs to be preserved in its distinctiveness</w:t>
      </w:r>
      <w:r w:rsidR="00EC5028">
        <w:t xml:space="preserve">. This is not only a concession for the time being, but a core dimension of the gospel, in that Jews and gentiles as Jews and gentiles together, but in their difference, glorify the God of Israel now that Christ has come. </w:t>
      </w:r>
      <w:r w:rsidR="00635E14">
        <w:t>Paul is seen in Romans 9-11 as trying to find an answer to the question he had posed in chapter 3 (‘Does their faithlessness nullify the faithfulness of God?</w:t>
      </w:r>
      <w:r w:rsidR="00687971">
        <w:t xml:space="preserve"> Rom</w:t>
      </w:r>
      <w:r w:rsidR="00635E14">
        <w:t xml:space="preserve"> 3.3), </w:t>
      </w:r>
      <w:r w:rsidR="00687971">
        <w:t xml:space="preserve">that is, </w:t>
      </w:r>
      <w:r w:rsidR="00635E14">
        <w:t>the non-response of fellow Jews to the gospel. In distinction from New Perspective scholars, Campbell does not see Paul arguing for a transfer of the identity of Israel to those called fro</w:t>
      </w:r>
      <w:r w:rsidR="00687971">
        <w:t>m the Jews and the gentiles</w:t>
      </w:r>
      <w:r w:rsidR="00635E14">
        <w:t>, understood as the church. There is no separation of what is labelled the religious dimension from the social or ethnic dimension, thus Israel cannot become a purely ‘religious’ entity,</w:t>
      </w:r>
      <w:r w:rsidR="00006560">
        <w:t xml:space="preserve"> not even in the form of a remnant,</w:t>
      </w:r>
      <w:r w:rsidR="00635E14">
        <w:t xml:space="preserve"> a fusion of Jews and gentiles in Christ with neither one nor another ethnic identity. The identity of Israel is non-transferrable</w:t>
      </w:r>
      <w:r w:rsidR="00006560">
        <w:t>, in as much as God’s faithfulness is related to Israel if it is faithfulness at all.</w:t>
      </w:r>
      <w:r w:rsidR="00B1379D">
        <w:rPr>
          <w:rStyle w:val="Funotenzeichen"/>
        </w:rPr>
        <w:footnoteReference w:id="54"/>
      </w:r>
      <w:r w:rsidR="00B1379D">
        <w:t xml:space="preserve"> </w:t>
      </w:r>
      <w:r w:rsidR="007263A3">
        <w:t xml:space="preserve">He maintains that ‘…the ‘church’ in Paul’s perspective is inseparably related to </w:t>
      </w:r>
      <w:proofErr w:type="gramStart"/>
      <w:r w:rsidR="007263A3">
        <w:t>Israel……..but</w:t>
      </w:r>
      <w:proofErr w:type="gramEnd"/>
      <w:r w:rsidR="007263A3">
        <w:t xml:space="preserve"> however related to Israel, the church is not Israel; Israel’s identity is unique and cannot be taken over by gentile Christ-followers…’ </w:t>
      </w:r>
      <w:r w:rsidR="007263A3">
        <w:rPr>
          <w:rStyle w:val="Funotenzeichen"/>
        </w:rPr>
        <w:footnoteReference w:id="55"/>
      </w:r>
      <w:r w:rsidR="007263A3">
        <w:t xml:space="preserve"> He continues ‘Israel remains a given in Paul’s theologizing</w:t>
      </w:r>
      <w:r w:rsidR="00B01491">
        <w:t>.</w:t>
      </w:r>
      <w:r w:rsidR="007263A3">
        <w:t>’</w:t>
      </w:r>
      <w:r w:rsidR="00B01491">
        <w:rPr>
          <w:rStyle w:val="Funotenzeichen"/>
        </w:rPr>
        <w:footnoteReference w:id="56"/>
      </w:r>
      <w:r w:rsidR="007263A3">
        <w:t xml:space="preserve"> </w:t>
      </w:r>
      <w:r w:rsidR="00006560">
        <w:t xml:space="preserve">The remnant for Paul is a Jewish remnant, a saving remnant rather than a saved remnant, to which gentile Christ-followers are associated to form a unity with them in Christ, a unity </w:t>
      </w:r>
      <w:proofErr w:type="gramStart"/>
      <w:r w:rsidR="00006560">
        <w:t>which</w:t>
      </w:r>
      <w:proofErr w:type="gramEnd"/>
      <w:r w:rsidR="00006560">
        <w:t xml:space="preserve"> presupposes difference. Although they are and remain different in Christ, their unity implies transformation. Thus Campbell maintains that although Paul addresses gentiles in Romans, and admonishes them to ‘conform to Christ’, this does not mean that the coming of Christ has only implications for gentiles. </w:t>
      </w:r>
      <w:r w:rsidR="00D10948">
        <w:t>Both, Jews and gentiles are affected by the</w:t>
      </w:r>
      <w:r w:rsidR="00006560">
        <w:t xml:space="preserve"> coming of Christ</w:t>
      </w:r>
      <w:r w:rsidR="00B01491">
        <w:t xml:space="preserve">. </w:t>
      </w:r>
      <w:r w:rsidR="00006560">
        <w:t xml:space="preserve"> </w:t>
      </w:r>
      <w:r w:rsidR="00D10948">
        <w:t>And although the gospel Paul proclaims is a Jewish gospel, and gent</w:t>
      </w:r>
      <w:r w:rsidR="00AC2017">
        <w:t>iles remain gentiles in Christ, ‘Israel is not left untouched by the Christ-event’, rather it is for the time being divided into the remnant, that is, those who recognize Jesus as Messiah, and the ‘rest’ who are not convinced. The history between the ‘remnant’ and the ‘rest’ remains shared, at least in the earliest centuries</w:t>
      </w:r>
      <w:r w:rsidR="00CB513A">
        <w:t xml:space="preserve">, whilst the ‘remnant’ at the same </w:t>
      </w:r>
      <w:proofErr w:type="gramStart"/>
      <w:r w:rsidR="00CB513A">
        <w:t>time share</w:t>
      </w:r>
      <w:proofErr w:type="gramEnd"/>
      <w:r w:rsidR="00CB513A">
        <w:t xml:space="preserve"> with gentile Christ-followers ‘the concern that ‘all Israel’ will be saved.’</w:t>
      </w:r>
      <w:r w:rsidR="00CB513A">
        <w:rPr>
          <w:rStyle w:val="Funotenzeichen"/>
        </w:rPr>
        <w:footnoteReference w:id="57"/>
      </w:r>
      <w:r w:rsidR="00CB513A">
        <w:t xml:space="preserve"> Campbell is careful to note that the process of transformation has to be seen in relation to eschatological hope and </w:t>
      </w:r>
      <w:proofErr w:type="gramStart"/>
      <w:r w:rsidR="00CB513A">
        <w:t>expectation which</w:t>
      </w:r>
      <w:proofErr w:type="gramEnd"/>
      <w:r w:rsidR="00CB513A">
        <w:t xml:space="preserve"> is not realized as yet. The promises are confirmed,</w:t>
      </w:r>
      <w:r w:rsidR="00E92BE8">
        <w:t xml:space="preserve"> the blessings shared, but </w:t>
      </w:r>
      <w:r w:rsidR="00CB513A">
        <w:t xml:space="preserve">the Christ-event is not a </w:t>
      </w:r>
      <w:r w:rsidR="00DE38C3">
        <w:t>closure, nor</w:t>
      </w:r>
      <w:r w:rsidR="00CB513A">
        <w:t xml:space="preserve"> the </w:t>
      </w:r>
      <w:proofErr w:type="spellStart"/>
      <w:r w:rsidR="00CB513A">
        <w:t>eschaton</w:t>
      </w:r>
      <w:proofErr w:type="spellEnd"/>
      <w:r w:rsidR="00B01491">
        <w:t>,</w:t>
      </w:r>
      <w:r w:rsidR="00CB513A">
        <w:t xml:space="preserve"> but </w:t>
      </w:r>
      <w:r w:rsidR="00E92BE8">
        <w:t>open to God’s future</w:t>
      </w:r>
      <w:r w:rsidR="00CB513A">
        <w:t>.</w:t>
      </w:r>
    </w:p>
    <w:p w:rsidR="00D10948" w:rsidRDefault="00D10948" w:rsidP="00324671">
      <w:pPr>
        <w:spacing w:line="360" w:lineRule="auto"/>
        <w:contextualSpacing/>
      </w:pPr>
    </w:p>
    <w:p w:rsidR="00616321" w:rsidRDefault="00006560" w:rsidP="00324671">
      <w:pPr>
        <w:spacing w:line="360" w:lineRule="auto"/>
        <w:contextualSpacing/>
      </w:pPr>
      <w:r>
        <w:t>It has been argued over against Campbell’s approach that it reduces the gospel to issues of e</w:t>
      </w:r>
      <w:r w:rsidR="00EA7DEF">
        <w:t>thnicity and social interaction, mainly driven by a post-</w:t>
      </w:r>
      <w:proofErr w:type="spellStart"/>
      <w:r w:rsidR="00EA7DEF">
        <w:t>Shoah</w:t>
      </w:r>
      <w:proofErr w:type="spellEnd"/>
      <w:r w:rsidR="00EA7DEF">
        <w:t xml:space="preserve"> concern of guilt over against the Jews.</w:t>
      </w:r>
      <w:r>
        <w:t xml:space="preserve"> </w:t>
      </w:r>
      <w:r w:rsidR="00EA7DEF">
        <w:t>The post-</w:t>
      </w:r>
      <w:proofErr w:type="spellStart"/>
      <w:r w:rsidR="00EA7DEF">
        <w:t>Shoah</w:t>
      </w:r>
      <w:proofErr w:type="spellEnd"/>
      <w:r w:rsidR="00EA7DEF">
        <w:t xml:space="preserve"> perspective is certainly an important aspect of New Perspective as well as Beyond the New Perspective scholars, however, Campbell embarked on his analysis of Romans inspired by issues raised by the Scandinavian school, </w:t>
      </w:r>
      <w:proofErr w:type="spellStart"/>
      <w:r w:rsidR="00EA7DEF">
        <w:t>Munck</w:t>
      </w:r>
      <w:proofErr w:type="spellEnd"/>
      <w:r w:rsidR="00EA7DEF">
        <w:t xml:space="preserve"> in particular and the questions raised in the debates between </w:t>
      </w:r>
      <w:proofErr w:type="gramStart"/>
      <w:r w:rsidR="00EA7DEF">
        <w:t>existentialist  and</w:t>
      </w:r>
      <w:proofErr w:type="gramEnd"/>
      <w:r w:rsidR="00EA7DEF">
        <w:t xml:space="preserve"> ‘</w:t>
      </w:r>
      <w:proofErr w:type="spellStart"/>
      <w:r w:rsidR="00EA7DEF">
        <w:t>Heilsgeschichtliche</w:t>
      </w:r>
      <w:proofErr w:type="spellEnd"/>
      <w:r w:rsidR="00EA7DEF">
        <w:t xml:space="preserve">’ approaches. Unconvinced by the individualization of existentialist theology, and the discontinuity between Judaism and Christianity advocated by it, he emphasized the community/group aspect of the Christ-movement and the element of continuity between Israel and the church in the vein of </w:t>
      </w:r>
      <w:r w:rsidR="00591B18">
        <w:t xml:space="preserve">the </w:t>
      </w:r>
      <w:proofErr w:type="spellStart"/>
      <w:r w:rsidR="00591B18">
        <w:t>heilsgeschichtliche</w:t>
      </w:r>
      <w:proofErr w:type="spellEnd"/>
      <w:r w:rsidR="00591B18">
        <w:t xml:space="preserve"> </w:t>
      </w:r>
      <w:proofErr w:type="spellStart"/>
      <w:r w:rsidR="00591B18">
        <w:t>Schule</w:t>
      </w:r>
      <w:proofErr w:type="spellEnd"/>
      <w:r w:rsidR="00591B18">
        <w:t xml:space="preserve">, without falling into the trap of the dangers of a </w:t>
      </w:r>
      <w:proofErr w:type="spellStart"/>
      <w:r w:rsidR="00591B18">
        <w:t>Geschichtstheologie</w:t>
      </w:r>
      <w:proofErr w:type="spellEnd"/>
      <w:r w:rsidR="00591B18">
        <w:t>.</w:t>
      </w:r>
      <w:r w:rsidR="00591B18">
        <w:rPr>
          <w:rStyle w:val="Funotenzeichen"/>
        </w:rPr>
        <w:footnoteReference w:id="58"/>
      </w:r>
      <w:r w:rsidR="00EA7DEF">
        <w:t xml:space="preserve">  </w:t>
      </w:r>
      <w:r w:rsidR="00591B18">
        <w:t xml:space="preserve">Thus the relationship between Jews and gentiles in Romans is emphasized by Campbell </w:t>
      </w:r>
      <w:r>
        <w:t>in the context of Paul’s theologizing concerning the faithfulness of God</w:t>
      </w:r>
      <w:r w:rsidR="00CE7BC1">
        <w:t xml:space="preserve"> at the heart of which are God’s faithfulness to his call of, and promi</w:t>
      </w:r>
      <w:r w:rsidR="00591B18">
        <w:t>ses to Israel. The focus</w:t>
      </w:r>
      <w:r w:rsidR="00CE7BC1">
        <w:t xml:space="preserve"> on diversity in Christ and mutuality over against boasting emerge from this o</w:t>
      </w:r>
      <w:r w:rsidR="00E92BE8">
        <w:t>verarching theological concern, presenting a reading of Romans in which social and ethnic aspe</w:t>
      </w:r>
      <w:r w:rsidR="00B01491">
        <w:t>cts are seen as inseparably intertwined with</w:t>
      </w:r>
      <w:r w:rsidR="00E92BE8">
        <w:t xml:space="preserve"> Paul’s theologizing. </w:t>
      </w:r>
      <w:proofErr w:type="gramStart"/>
      <w:r w:rsidR="00E92BE8">
        <w:t>Romans is</w:t>
      </w:r>
      <w:proofErr w:type="gramEnd"/>
      <w:r w:rsidR="00E92BE8">
        <w:t xml:space="preserve"> seen as a theological letter, but not at the exclusion or denigration of the specific context and actual rea</w:t>
      </w:r>
      <w:r w:rsidR="00591B18">
        <w:t xml:space="preserve">l life issues in Rome, </w:t>
      </w:r>
      <w:r w:rsidR="00E92BE8">
        <w:t xml:space="preserve">amongst Jews and gentiles. Paul’s theologizing in Romans is seen as contextual and concrete not abstract. God’s agency is seen as moving real people and </w:t>
      </w:r>
      <w:r w:rsidR="00B01491">
        <w:t xml:space="preserve">it is </w:t>
      </w:r>
      <w:r w:rsidR="00E92BE8">
        <w:t>in their concrete living together</w:t>
      </w:r>
      <w:r w:rsidR="00B01491">
        <w:t xml:space="preserve"> that</w:t>
      </w:r>
      <w:r w:rsidR="00E92BE8">
        <w:t xml:space="preserve"> the truth of the gospel is actualized. An actualization to which the respect for diversity is inherent as it reflects faithfulness to the God of Israel who is confessed as the One who created the world in its diversity. </w:t>
      </w:r>
    </w:p>
    <w:p w:rsidR="00362A2B" w:rsidRDefault="00D10948" w:rsidP="007E31E8">
      <w:pPr>
        <w:spacing w:line="360" w:lineRule="auto"/>
      </w:pPr>
      <w:r>
        <w:t xml:space="preserve"> </w:t>
      </w:r>
    </w:p>
    <w:p w:rsidR="00953B3E" w:rsidRDefault="00D10948" w:rsidP="007E31E8">
      <w:pPr>
        <w:spacing w:line="360" w:lineRule="auto"/>
      </w:pPr>
      <w:r>
        <w:t xml:space="preserve">From a different angle, Neil </w:t>
      </w:r>
      <w:r w:rsidR="00362A2B">
        <w:t>Elliott</w:t>
      </w:r>
      <w:r>
        <w:t xml:space="preserve"> has identified gaps in the New Perspective in his emphasis on the significance of the </w:t>
      </w:r>
      <w:proofErr w:type="gramStart"/>
      <w:r>
        <w:t>political,</w:t>
      </w:r>
      <w:r w:rsidR="00B01491">
        <w:t xml:space="preserve"> </w:t>
      </w:r>
      <w:r>
        <w:t>that</w:t>
      </w:r>
      <w:proofErr w:type="gramEnd"/>
      <w:r>
        <w:t xml:space="preserve"> is, imperial context of Romans. A letter addressed to groups at the centre of the imperial power cannot but have implicit and explicit political overtones. Rather than addressing issues of Jewish boasting or arrogance, it actually engages with the far bigger issue of the </w:t>
      </w:r>
      <w:proofErr w:type="gramStart"/>
      <w:r>
        <w:t>all pervasive</w:t>
      </w:r>
      <w:proofErr w:type="gramEnd"/>
      <w:r>
        <w:t xml:space="preserve"> presence of imp</w:t>
      </w:r>
      <w:r w:rsidR="00565B9F">
        <w:t xml:space="preserve">erial ideology and domination. Romans contrasts not Jewish works righteousness or ethnocentrism but loyalty to the Roman Empire with loyalty to the God of Israel and his Messiah, crucified at a Roman cross but vindicated by God. Although the letter does not offer an open critique of imperial propaganda, Elliott follows Jacob </w:t>
      </w:r>
      <w:proofErr w:type="spellStart"/>
      <w:r w:rsidR="00565B9F">
        <w:t>Taubes</w:t>
      </w:r>
      <w:proofErr w:type="spellEnd"/>
      <w:r w:rsidR="00565B9F">
        <w:t xml:space="preserve"> in his characterization of Rom1.3-4 as a ‘</w:t>
      </w:r>
      <w:r w:rsidR="00565B9F">
        <w:rPr>
          <w:i/>
        </w:rPr>
        <w:t>political</w:t>
      </w:r>
      <w:r w:rsidR="00565B9F">
        <w:t xml:space="preserve"> declaration of war on the Caesar’.</w:t>
      </w:r>
      <w:r w:rsidR="00565B9F">
        <w:rPr>
          <w:rStyle w:val="Funotenzeichen"/>
        </w:rPr>
        <w:footnoteReference w:id="59"/>
      </w:r>
      <w:r w:rsidR="001F1806">
        <w:t xml:space="preserve"> The contrast is between the justice of God and the inj</w:t>
      </w:r>
      <w:r w:rsidR="00C04BAD">
        <w:t>ustice of Roman imperial order, rather than the gospel and Judaism or Judaism misunderstood in an ethnocentric, nationalistic zeal.</w:t>
      </w:r>
      <w:r w:rsidR="00C04BAD">
        <w:rPr>
          <w:rStyle w:val="Funotenzeichen"/>
        </w:rPr>
        <w:footnoteReference w:id="60"/>
      </w:r>
      <w:r w:rsidR="00C04BAD">
        <w:t xml:space="preserve"> </w:t>
      </w:r>
      <w:r w:rsidR="001F1806">
        <w:t xml:space="preserve">He maintains that ‘The rhetoric of Romans shows that Paul participated in a cultural transcript, drawing on the repertoires of Judean scripture and apocalyptic writings, that was inescapably in conflict with the empire’s </w:t>
      </w:r>
      <w:proofErr w:type="spellStart"/>
      <w:r w:rsidR="001F1806">
        <w:t>absolutizing</w:t>
      </w:r>
      <w:proofErr w:type="spellEnd"/>
      <w:r w:rsidR="001F1806">
        <w:t xml:space="preserve"> claims to allegiance.’</w:t>
      </w:r>
      <w:r w:rsidR="001F1806">
        <w:rPr>
          <w:rStyle w:val="Funotenzeichen"/>
        </w:rPr>
        <w:footnoteReference w:id="61"/>
      </w:r>
      <w:r w:rsidR="00A038D0">
        <w:t xml:space="preserve"> Elliott considers the reasons for Romans as situated within the context of the Christ-following groups</w:t>
      </w:r>
      <w:r w:rsidR="00C04BAD">
        <w:t xml:space="preserve"> in Rome</w:t>
      </w:r>
      <w:r w:rsidR="00A038D0">
        <w:t>,</w:t>
      </w:r>
      <w:r w:rsidR="00C04BAD">
        <w:rPr>
          <w:rStyle w:val="Funotenzeichen"/>
        </w:rPr>
        <w:footnoteReference w:id="62"/>
      </w:r>
      <w:r w:rsidR="00A038D0">
        <w:t xml:space="preserve"> more specifically in tensions between different ethnic groups. </w:t>
      </w:r>
      <w:r w:rsidR="00F960A1">
        <w:t>But t</w:t>
      </w:r>
      <w:r w:rsidR="00A038D0">
        <w:t xml:space="preserve">hese tensions, rather than being merely ethnic, should be seen in the context of the broader ideology </w:t>
      </w:r>
      <w:r w:rsidR="00DE38C3">
        <w:t xml:space="preserve">and culture of the empire. Thus </w:t>
      </w:r>
      <w:r w:rsidR="00E45CC0">
        <w:t xml:space="preserve">Elliott reads the letter ‘not as a Christian critique of Judaism, or a </w:t>
      </w:r>
      <w:r w:rsidR="00C04BAD">
        <w:t>defence</w:t>
      </w:r>
      <w:r w:rsidR="00E45CC0">
        <w:t xml:space="preserve"> of Gentile Christianity, but as a Judean critique of an incipient non-Judean Christianity in which the pressures of imperial ideology were a decisive factor.’</w:t>
      </w:r>
      <w:r w:rsidR="00E45CC0">
        <w:rPr>
          <w:rStyle w:val="Funotenzeichen"/>
        </w:rPr>
        <w:footnoteReference w:id="63"/>
      </w:r>
      <w:r w:rsidR="00E45CC0">
        <w:t xml:space="preserve"> Similar</w:t>
      </w:r>
      <w:r w:rsidR="00DE38C3">
        <w:t>ly</w:t>
      </w:r>
      <w:r w:rsidR="00E45CC0">
        <w:t xml:space="preserve"> to Campbell</w:t>
      </w:r>
      <w:r w:rsidR="00DE38C3">
        <w:t xml:space="preserve">, </w:t>
      </w:r>
      <w:r w:rsidR="00E45CC0">
        <w:t xml:space="preserve">Elliott considers a gentile misunderstanding of Paul’s mission to the gentiles to be not only one aspect </w:t>
      </w:r>
      <w:proofErr w:type="gramStart"/>
      <w:r w:rsidR="00E45CC0">
        <w:t>but</w:t>
      </w:r>
      <w:proofErr w:type="gramEnd"/>
      <w:r w:rsidR="00E45CC0">
        <w:t xml:space="preserve"> actually the primary reason for the letter.</w:t>
      </w:r>
      <w:r w:rsidR="00C04BAD">
        <w:rPr>
          <w:rStyle w:val="Funotenzeichen"/>
        </w:rPr>
        <w:footnoteReference w:id="64"/>
      </w:r>
      <w:r w:rsidR="00E45CC0">
        <w:t xml:space="preserve"> This misunderstanding is not some specifically Christian theological misconception, Elliott emphasizes but in confronting the boasting and supremacy claims over Israel, the wider cultural, </w:t>
      </w:r>
      <w:proofErr w:type="spellStart"/>
      <w:r w:rsidR="00E45CC0">
        <w:t>ie</w:t>
      </w:r>
      <w:proofErr w:type="spellEnd"/>
      <w:r w:rsidR="00E45CC0">
        <w:t>, imperial environment</w:t>
      </w:r>
      <w:r w:rsidR="003714CE">
        <w:t>,</w:t>
      </w:r>
      <w:r w:rsidR="00E45CC0">
        <w:t xml:space="preserve"> in which such boasting was nurtured, was confronted. </w:t>
      </w:r>
      <w:r w:rsidR="00840CF5">
        <w:t>The Non-Judeans among the addressees had confused ‘their status in Christ with the status that imperial ideology promised them as participants in the civilization of wealth.’</w:t>
      </w:r>
      <w:r w:rsidR="00840CF5">
        <w:rPr>
          <w:rStyle w:val="Funotenzeichen"/>
        </w:rPr>
        <w:footnoteReference w:id="65"/>
      </w:r>
      <w:r w:rsidR="00953B3E">
        <w:t xml:space="preserve"> </w:t>
      </w:r>
      <w:r w:rsidR="00E45CC0">
        <w:t xml:space="preserve">There is no </w:t>
      </w:r>
      <w:proofErr w:type="spellStart"/>
      <w:r w:rsidR="00E45CC0">
        <w:t>legitimation</w:t>
      </w:r>
      <w:proofErr w:type="spellEnd"/>
      <w:r w:rsidR="00E45CC0">
        <w:t xml:space="preserve"> of a ‘gentile church’ against</w:t>
      </w:r>
      <w:r w:rsidR="003714CE">
        <w:t xml:space="preserve"> a supposed</w:t>
      </w:r>
      <w:r w:rsidR="00E45CC0">
        <w:t xml:space="preserve"> Jewish opposition in </w:t>
      </w:r>
      <w:r w:rsidR="00953B3E">
        <w:t xml:space="preserve">Romans. Rather Paul seeks to reorient disoriented non-Judean perceptions ‘around a more authentically Judean scriptural </w:t>
      </w:r>
      <w:proofErr w:type="gramStart"/>
      <w:r w:rsidR="00953B3E">
        <w:t>perspective……a</w:t>
      </w:r>
      <w:proofErr w:type="gramEnd"/>
      <w:r w:rsidR="00953B3E">
        <w:t xml:space="preserve"> more communitarian perspective ….’</w:t>
      </w:r>
      <w:r w:rsidR="00953B3E">
        <w:rPr>
          <w:rStyle w:val="Funotenzeichen"/>
        </w:rPr>
        <w:footnoteReference w:id="66"/>
      </w:r>
      <w:r w:rsidR="00953B3E">
        <w:t xml:space="preserve"> In Elliott’s approach ethnicity is a factor Paul addresses in Romans, but it is neither the theological contrast between particularistic, ethnocentric Judaism and universalistic gospel, nor is it a </w:t>
      </w:r>
      <w:proofErr w:type="gramStart"/>
      <w:r w:rsidR="00953B3E">
        <w:t>factor which</w:t>
      </w:r>
      <w:proofErr w:type="gramEnd"/>
      <w:r w:rsidR="00953B3E">
        <w:t xml:space="preserve"> has only a religious-ethnic dimension. The religious-ethnic dimension must be seen in its political context. Thus rather than being merely an issue of worshipping gods or God, of national pride or zeal, </w:t>
      </w:r>
      <w:r w:rsidR="00BA350E">
        <w:t xml:space="preserve">the problem </w:t>
      </w:r>
      <w:r w:rsidR="00953B3E">
        <w:t xml:space="preserve">at the heart of the ethnic tensions, that is, </w:t>
      </w:r>
      <w:r w:rsidR="00BA350E">
        <w:t>of gentile arrogance, is</w:t>
      </w:r>
      <w:r w:rsidR="00953B3E">
        <w:t xml:space="preserve"> the imperial</w:t>
      </w:r>
      <w:r w:rsidR="003714CE">
        <w:t>,</w:t>
      </w:r>
      <w:r w:rsidR="00953B3E">
        <w:t xml:space="preserve"> dignity defying arrogance promoted by Roma</w:t>
      </w:r>
      <w:r w:rsidR="00591B18">
        <w:t>n imperial ideology and executed</w:t>
      </w:r>
      <w:r w:rsidR="00953B3E">
        <w:t xml:space="preserve"> by Roman military power. </w:t>
      </w:r>
      <w:r w:rsidR="00BA350E">
        <w:t>That Paul is embedded entirely in Judaism, and argues from within a Jewish perception of the world is the clear presupposition of Elliott’s reading of Romans. From within this world Paul is seen as engaging with Roman imperial ideology in challenging implicitly rather than explicitly the absolute power clai</w:t>
      </w:r>
      <w:r w:rsidR="005B76CE">
        <w:t>ms of the empire,</w:t>
      </w:r>
      <w:r w:rsidR="00DE38C3">
        <w:rPr>
          <w:rStyle w:val="Funotenzeichen"/>
        </w:rPr>
        <w:footnoteReference w:id="67"/>
      </w:r>
      <w:r w:rsidR="005B76CE">
        <w:t xml:space="preserve"> especially where this ideology and </w:t>
      </w:r>
      <w:proofErr w:type="gramStart"/>
      <w:r w:rsidR="005B76CE">
        <w:t>practice  threatens</w:t>
      </w:r>
      <w:proofErr w:type="gramEnd"/>
      <w:r w:rsidR="005B76CE">
        <w:t xml:space="preserve"> to infiltrate the Christ-movement and pervert the life the communities of Jews and gentiles.   </w:t>
      </w:r>
    </w:p>
    <w:p w:rsidR="00953B3E" w:rsidRDefault="00953B3E" w:rsidP="007E31E8">
      <w:pPr>
        <w:spacing w:line="360" w:lineRule="auto"/>
      </w:pPr>
    </w:p>
    <w:p w:rsidR="003F167E" w:rsidRDefault="00CE7BC1" w:rsidP="00CE1040">
      <w:pPr>
        <w:spacing w:line="360" w:lineRule="auto"/>
      </w:pPr>
      <w:r>
        <w:t xml:space="preserve">Mark </w:t>
      </w:r>
      <w:proofErr w:type="spellStart"/>
      <w:r>
        <w:t>Nanos</w:t>
      </w:r>
      <w:proofErr w:type="spellEnd"/>
      <w:r>
        <w:t xml:space="preserve"> in his </w:t>
      </w:r>
      <w:r>
        <w:rPr>
          <w:i/>
        </w:rPr>
        <w:t>Mystery of Romans</w:t>
      </w:r>
      <w:r>
        <w:t xml:space="preserve"> and subsequent articles</w:t>
      </w:r>
      <w:r w:rsidR="006A329D">
        <w:rPr>
          <w:rStyle w:val="Funotenzeichen"/>
        </w:rPr>
        <w:footnoteReference w:id="68"/>
      </w:r>
      <w:r>
        <w:t xml:space="preserve"> has consistently argued for a reading of the letter from within a Jewish context.</w:t>
      </w:r>
      <w:r w:rsidR="00B9352B">
        <w:rPr>
          <w:rStyle w:val="Funotenzeichen"/>
        </w:rPr>
        <w:t xml:space="preserve"> </w:t>
      </w:r>
      <w:r>
        <w:t xml:space="preserve">Paul is seen as arguing entirely from within his Jewish </w:t>
      </w:r>
      <w:r w:rsidR="003714CE">
        <w:t xml:space="preserve">social and </w:t>
      </w:r>
      <w:r>
        <w:t xml:space="preserve">symbolic universe, addressing a gentile audience. </w:t>
      </w:r>
      <w:r w:rsidR="00B9352B">
        <w:rPr>
          <w:rStyle w:val="Funotenzeichen"/>
        </w:rPr>
        <w:footnoteReference w:id="69"/>
      </w:r>
      <w:r w:rsidR="00B9352B">
        <w:t xml:space="preserve"> </w:t>
      </w:r>
      <w:proofErr w:type="spellStart"/>
      <w:r w:rsidR="005B76CE">
        <w:t>Nanos</w:t>
      </w:r>
      <w:proofErr w:type="spellEnd"/>
      <w:r w:rsidR="005B76CE">
        <w:t xml:space="preserve"> </w:t>
      </w:r>
      <w:r w:rsidR="00B9352B">
        <w:t xml:space="preserve">analyses the Pauline letters </w:t>
      </w:r>
      <w:r w:rsidR="005B76CE">
        <w:t>throughout his work consistently from this hermeneutical presupposition and presents well-substantiated exegetica</w:t>
      </w:r>
      <w:r w:rsidR="00DE38C3">
        <w:t xml:space="preserve">l arguments in support of it. </w:t>
      </w:r>
      <w:r w:rsidR="003714CE">
        <w:t xml:space="preserve"> In Rome g</w:t>
      </w:r>
      <w:r>
        <w:t>entiles in Ch</w:t>
      </w:r>
      <w:r w:rsidR="00DE38C3">
        <w:t>rist are seen as being closely affiliated</w:t>
      </w:r>
      <w:r>
        <w:t xml:space="preserve"> within synagogue communities.</w:t>
      </w:r>
      <w:r w:rsidR="00B9352B">
        <w:rPr>
          <w:rStyle w:val="Funotenzeichen"/>
        </w:rPr>
        <w:footnoteReference w:id="70"/>
      </w:r>
      <w:r>
        <w:t xml:space="preserve"> One of </w:t>
      </w:r>
      <w:proofErr w:type="spellStart"/>
      <w:r>
        <w:t>Nanos’s</w:t>
      </w:r>
      <w:proofErr w:type="spellEnd"/>
      <w:r>
        <w:t xml:space="preserve"> arguments for such an entirely</w:t>
      </w:r>
      <w:r w:rsidR="005563FA">
        <w:t xml:space="preserve"> Jewish context is</w:t>
      </w:r>
      <w:r>
        <w:t xml:space="preserve"> quite pragmatic </w:t>
      </w:r>
      <w:r w:rsidR="005563FA">
        <w:t>when he draws attention to the fact that only in such a context could these gentiles have learnt about the Jewish scriptures which was a vital part of learning to be a gentile in Christ.</w:t>
      </w:r>
      <w:r w:rsidR="00015EC3">
        <w:t xml:space="preserve"> Moreover, in a political climate where possibly only associ</w:t>
      </w:r>
      <w:r w:rsidR="007168D3">
        <w:t xml:space="preserve">ations with ancient foundations and </w:t>
      </w:r>
      <w:r w:rsidR="00015EC3">
        <w:t xml:space="preserve">traditions could assemble securely ‘how would </w:t>
      </w:r>
      <w:proofErr w:type="gramStart"/>
      <w:r w:rsidR="00015EC3">
        <w:t>Christians ,</w:t>
      </w:r>
      <w:proofErr w:type="gramEnd"/>
      <w:r w:rsidR="00015EC3">
        <w:t xml:space="preserve"> outside association with the synagogues, obtain the right to congregate for fellowship and worship …?’</w:t>
      </w:r>
      <w:r w:rsidR="00015EC3">
        <w:rPr>
          <w:rStyle w:val="Funotenzeichen"/>
        </w:rPr>
        <w:footnoteReference w:id="71"/>
      </w:r>
      <w:r w:rsidR="005563FA">
        <w:t xml:space="preserve"> Paul thus is working within a Jewish context, himself being a Torah observant Jew. </w:t>
      </w:r>
      <w:r w:rsidR="00015EC3">
        <w:t xml:space="preserve">Paul’s own adherence to the Torah </w:t>
      </w:r>
      <w:r w:rsidR="005B76CE">
        <w:t xml:space="preserve">is one of the key components shared between scholars of the </w:t>
      </w:r>
      <w:r w:rsidR="007168D3">
        <w:t>‘</w:t>
      </w:r>
      <w:r w:rsidR="005B76CE">
        <w:t>Radical New Perspective</w:t>
      </w:r>
      <w:r w:rsidR="007168D3">
        <w:t>’</w:t>
      </w:r>
      <w:r w:rsidR="005B76CE">
        <w:t xml:space="preserve">, but not of all </w:t>
      </w:r>
      <w:r w:rsidR="00BC026B">
        <w:t xml:space="preserve">those </w:t>
      </w:r>
      <w:r w:rsidR="005B76CE">
        <w:t xml:space="preserve">who moved </w:t>
      </w:r>
      <w:r w:rsidR="007168D3">
        <w:t>‘</w:t>
      </w:r>
      <w:r w:rsidR="005B76CE">
        <w:t>Beyond the New Perspective</w:t>
      </w:r>
      <w:r w:rsidR="007168D3">
        <w:t>’</w:t>
      </w:r>
      <w:r w:rsidR="005B76CE">
        <w:t xml:space="preserve">. </w:t>
      </w:r>
      <w:proofErr w:type="spellStart"/>
      <w:r w:rsidR="005B76CE">
        <w:t>Stowers</w:t>
      </w:r>
      <w:proofErr w:type="spellEnd"/>
      <w:r w:rsidR="005B76CE">
        <w:t xml:space="preserve"> for instance thinks Paul would have compromised on adherence to the Torah for the sake of community with gentiles.</w:t>
      </w:r>
      <w:r w:rsidR="00015EC3">
        <w:rPr>
          <w:rStyle w:val="Funotenzeichen"/>
        </w:rPr>
        <w:footnoteReference w:id="72"/>
      </w:r>
      <w:r w:rsidR="005B76CE">
        <w:t xml:space="preserve"> </w:t>
      </w:r>
      <w:proofErr w:type="spellStart"/>
      <w:r w:rsidR="007A6199">
        <w:t>Nanos</w:t>
      </w:r>
      <w:proofErr w:type="spellEnd"/>
      <w:r w:rsidR="007A6199">
        <w:t xml:space="preserve"> shares with</w:t>
      </w:r>
      <w:r w:rsidR="005563FA">
        <w:t xml:space="preserve"> </w:t>
      </w:r>
      <w:proofErr w:type="spellStart"/>
      <w:r w:rsidR="005563FA">
        <w:t>Stowers</w:t>
      </w:r>
      <w:proofErr w:type="spellEnd"/>
      <w:r w:rsidR="005563FA">
        <w:t xml:space="preserve">, Campbell and Elliott, </w:t>
      </w:r>
      <w:r w:rsidR="007A6199">
        <w:t xml:space="preserve">the view that in Romans the problem Paul addresses is </w:t>
      </w:r>
      <w:r w:rsidR="005563FA">
        <w:t xml:space="preserve">gentile arrogance and boasting over against Jews. </w:t>
      </w:r>
      <w:proofErr w:type="spellStart"/>
      <w:r w:rsidR="005563FA">
        <w:t>Nanos</w:t>
      </w:r>
      <w:proofErr w:type="spellEnd"/>
      <w:r w:rsidR="005563FA">
        <w:t xml:space="preserve"> sees Paul refuting exclusivist claims on the part of gentile Christ-followers who had dissociated themselves from the Jewish </w:t>
      </w:r>
      <w:r w:rsidR="00E20E10">
        <w:t>roots of</w:t>
      </w:r>
      <w:r w:rsidR="00015EC3">
        <w:t xml:space="preserve"> the gospel.  A situation is envisaged where non-Jewish Christ-followers are beginning to be </w:t>
      </w:r>
      <w:r w:rsidR="00E20E10">
        <w:t>in the majority</w:t>
      </w:r>
      <w:r w:rsidR="00015EC3">
        <w:t xml:space="preserve"> in these synagogue sub-groups in </w:t>
      </w:r>
      <w:proofErr w:type="gramStart"/>
      <w:r w:rsidR="00015EC3">
        <w:t xml:space="preserve">Rome </w:t>
      </w:r>
      <w:r w:rsidR="001A1596">
        <w:t>,</w:t>
      </w:r>
      <w:proofErr w:type="gramEnd"/>
      <w:r w:rsidR="001A1596">
        <w:t xml:space="preserve"> and thus might challenge the necessity to adhere to ‘the </w:t>
      </w:r>
      <w:proofErr w:type="spellStart"/>
      <w:r w:rsidR="001A1596">
        <w:t>halakhot</w:t>
      </w:r>
      <w:proofErr w:type="spellEnd"/>
      <w:r w:rsidR="001A1596">
        <w:t xml:space="preserve"> which applied to Christian gentiles as “righteous gentiles” when in the midst of Jews’</w:t>
      </w:r>
      <w:r w:rsidR="001A1596">
        <w:rPr>
          <w:rStyle w:val="Funotenzeichen"/>
        </w:rPr>
        <w:footnoteReference w:id="73"/>
      </w:r>
      <w:r w:rsidR="00BC026B">
        <w:t>.  This would actually have contributed to forcing</w:t>
      </w:r>
      <w:r w:rsidR="001A1596">
        <w:t xml:space="preserve"> Jews to accommodate</w:t>
      </w:r>
      <w:r w:rsidR="00E20E10">
        <w:t xml:space="preserve"> to a gentile life style. Such attitudes may have been nurtured by general anti-Jewish stereotyping in the surr</w:t>
      </w:r>
      <w:r w:rsidR="007168D3">
        <w:t>ounding society. I</w:t>
      </w:r>
      <w:r w:rsidR="00E20E10">
        <w:t xml:space="preserve">n conjunction with an assessment of the non-response of many Jews to the gospel </w:t>
      </w:r>
      <w:r w:rsidR="007168D3">
        <w:t xml:space="preserve">this </w:t>
      </w:r>
      <w:r w:rsidR="00E20E10">
        <w:t>may have lead to a kind of early gentile triumphalism, assuming that God had rejected the Jewish people.  Paul counters such a development in admonishing these gentiles</w:t>
      </w:r>
      <w:r w:rsidR="00BC026B">
        <w:t xml:space="preserve"> concerning </w:t>
      </w:r>
      <w:r w:rsidR="00E20E10">
        <w:t xml:space="preserve">their indebtedness to the Jews, and in reminding them </w:t>
      </w:r>
      <w:r w:rsidR="001A1596">
        <w:t xml:space="preserve">boldly </w:t>
      </w:r>
      <w:r w:rsidR="00E20E10">
        <w:t>that they are dependant on the J</w:t>
      </w:r>
      <w:r w:rsidR="007A6199">
        <w:t xml:space="preserve">ews. </w:t>
      </w:r>
      <w:r w:rsidR="001A1596">
        <w:t xml:space="preserve"> </w:t>
      </w:r>
      <w:r w:rsidR="00954E49">
        <w:t>The branches grafted into the olive tree are not grafted ‘in their place’ but ‘in amongst them</w:t>
      </w:r>
      <w:r w:rsidR="00F36A63">
        <w:t>’; and</w:t>
      </w:r>
      <w:r w:rsidR="00E00DCB">
        <w:t xml:space="preserve"> those Jews who </w:t>
      </w:r>
      <w:r w:rsidR="00954E49">
        <w:t>are not convinced by Paul’s gospel rather than</w:t>
      </w:r>
      <w:r w:rsidR="00BC026B">
        <w:t xml:space="preserve"> being branches broken off</w:t>
      </w:r>
      <w:proofErr w:type="gramStart"/>
      <w:r w:rsidR="00BC026B">
        <w:t xml:space="preserve">, </w:t>
      </w:r>
      <w:r w:rsidR="00954E49">
        <w:t xml:space="preserve"> are</w:t>
      </w:r>
      <w:proofErr w:type="gramEnd"/>
      <w:r w:rsidR="00BC026B">
        <w:t xml:space="preserve"> simply</w:t>
      </w:r>
      <w:r w:rsidR="00954E49">
        <w:t xml:space="preserve"> branches broken.</w:t>
      </w:r>
      <w:r w:rsidR="00E00DCB">
        <w:t xml:space="preserve"> </w:t>
      </w:r>
      <w:r w:rsidR="00F36A63">
        <w:rPr>
          <w:rStyle w:val="Funotenzeichen"/>
        </w:rPr>
        <w:footnoteReference w:id="74"/>
      </w:r>
      <w:r w:rsidR="00F36A63">
        <w:t xml:space="preserve"> </w:t>
      </w:r>
      <w:proofErr w:type="spellStart"/>
      <w:r w:rsidR="00E00DCB">
        <w:t>Nanos</w:t>
      </w:r>
      <w:proofErr w:type="spellEnd"/>
      <w:r w:rsidR="00E00DCB">
        <w:t xml:space="preserve"> interprets the olive tree metaphor consistent with the image of the stumbling (not falling) of some of the Jews/Israelites, in that he refutes any notion that this might imply that they might be ‘cut off or fallen and supplanted with non-Israelites, or that carnal Israel is replaced with spiritual Israel (i.e., the church)…’</w:t>
      </w:r>
      <w:r w:rsidR="00E00DCB">
        <w:rPr>
          <w:rStyle w:val="Funotenzeichen"/>
        </w:rPr>
        <w:footnoteReference w:id="75"/>
      </w:r>
      <w:proofErr w:type="gramStart"/>
      <w:r w:rsidR="00E00DCB">
        <w:t xml:space="preserve"> </w:t>
      </w:r>
      <w:r w:rsidR="001A1596">
        <w:t xml:space="preserve"> </w:t>
      </w:r>
      <w:r w:rsidR="00E00DCB">
        <w:t>Neither</w:t>
      </w:r>
      <w:proofErr w:type="gramEnd"/>
      <w:r w:rsidR="00E00DCB">
        <w:t xml:space="preserve"> </w:t>
      </w:r>
      <w:r w:rsidR="001A1596">
        <w:t xml:space="preserve">is the </w:t>
      </w:r>
      <w:r w:rsidR="007168D3">
        <w:t>church</w:t>
      </w:r>
      <w:r w:rsidR="00B14720">
        <w:t xml:space="preserve"> replacing Israel, nor are the gentile Christ-followers entering the covenant or becoming part of Israel. </w:t>
      </w:r>
      <w:r w:rsidR="00F36A63">
        <w:t xml:space="preserve">In Christ there is a special place now for these non-Jews in God’s plan, but it is as co-heirs with Israel. </w:t>
      </w:r>
      <w:r w:rsidR="00B14720">
        <w:t xml:space="preserve">Similar to Campbell </w:t>
      </w:r>
      <w:proofErr w:type="spellStart"/>
      <w:r w:rsidR="00B14720">
        <w:t>Nanos</w:t>
      </w:r>
      <w:proofErr w:type="spellEnd"/>
      <w:r w:rsidR="00B14720">
        <w:t xml:space="preserve"> emphasises the maintained difference of Jews and gentiles in Christ.</w:t>
      </w:r>
      <w:r w:rsidR="00F36A63">
        <w:t xml:space="preserve"> </w:t>
      </w:r>
      <w:r w:rsidR="001A13D2">
        <w:t>Paul characterizes the gospel consistently as ‘to the Jew first, but also to the Greek’, thus ‘the point is not to eliminate or deny ethnic identity, but to keep its relative valuation in proper perspective.’</w:t>
      </w:r>
      <w:r w:rsidR="001A13D2">
        <w:rPr>
          <w:rStyle w:val="Funotenzeichen"/>
        </w:rPr>
        <w:footnoteReference w:id="76"/>
      </w:r>
      <w:r w:rsidR="00B14720">
        <w:t xml:space="preserve">  </w:t>
      </w:r>
      <w:r w:rsidR="00954E49">
        <w:t xml:space="preserve"> </w:t>
      </w:r>
      <w:r w:rsidR="00261C3C">
        <w:t xml:space="preserve">This mutual dependence must translate into gentile accommodation to Jewish practice for unity to be possible. And although Paul strongly emphasizes that gentiles are not to convert to Judaism in their turning to Christ, they nevertheless are becoming closely related to a thoroughly Jewish message and social world. </w:t>
      </w:r>
      <w:proofErr w:type="spellStart"/>
      <w:r w:rsidR="00261C3C">
        <w:t>Nanos</w:t>
      </w:r>
      <w:proofErr w:type="spellEnd"/>
      <w:r w:rsidR="00261C3C">
        <w:t xml:space="preserve"> sees the Oneness of God, expressed in the </w:t>
      </w:r>
      <w:proofErr w:type="spellStart"/>
      <w:r w:rsidR="00261C3C">
        <w:t>Shema</w:t>
      </w:r>
      <w:proofErr w:type="spellEnd"/>
      <w:r w:rsidR="00261C3C">
        <w:t xml:space="preserve">, as the core of Paul’s emphasis on diversity in Christ. In and through Christ these gentiles as gentiles now can come near the God of Israel, who is not </w:t>
      </w:r>
      <w:r w:rsidR="007168D3">
        <w:t xml:space="preserve">the </w:t>
      </w:r>
      <w:r w:rsidR="00261C3C">
        <w:t xml:space="preserve">God of the Jews only but of </w:t>
      </w:r>
      <w:r w:rsidR="007168D3">
        <w:t xml:space="preserve">the whole of </w:t>
      </w:r>
      <w:r w:rsidR="00261C3C">
        <w:t xml:space="preserve">creation. </w:t>
      </w:r>
      <w:r w:rsidR="001A13D2">
        <w:t xml:space="preserve">Paul’s purpose of Romans, according to </w:t>
      </w:r>
      <w:proofErr w:type="spellStart"/>
      <w:r w:rsidR="001A13D2">
        <w:t>Nanos</w:t>
      </w:r>
      <w:proofErr w:type="spellEnd"/>
      <w:r w:rsidR="001A13D2">
        <w:t xml:space="preserve"> is to clarify for the gentile Christ-followers th</w:t>
      </w:r>
      <w:r w:rsidR="00F6464E">
        <w:t>ere that the non-response to the gospel of many Jews is not what it seems to be, but part of God’s plan. In his task to proclaim the word of God to the gentile nations now that the age to come was beginning to arrive, he is anxious lest these gentiles through their arrogance and ‘super-mindedness’</w:t>
      </w:r>
      <w:r w:rsidR="007168D3">
        <w:rPr>
          <w:rStyle w:val="Funotenzeichen"/>
        </w:rPr>
        <w:footnoteReference w:id="77"/>
      </w:r>
      <w:r w:rsidR="00F6464E">
        <w:t xml:space="preserve"> might cause those Israelites who have ‘stumbled’ to fall. Thus Paul admonishes them that ‘they are to live righteously, which includes the demonstration of </w:t>
      </w:r>
      <w:r w:rsidR="007168D3">
        <w:t xml:space="preserve">respect for </w:t>
      </w:r>
      <w:r w:rsidR="00F6464E">
        <w:t xml:space="preserve">Israelite covenant norms’. </w:t>
      </w:r>
      <w:r w:rsidR="00F6464E">
        <w:rPr>
          <w:rStyle w:val="Funotenzeichen"/>
        </w:rPr>
        <w:footnoteReference w:id="78"/>
      </w:r>
      <w:r w:rsidR="007168D3">
        <w:t xml:space="preserve"> </w:t>
      </w:r>
      <w:r w:rsidR="00F6464E">
        <w:t xml:space="preserve">Paul hopes that when his fellow Jews will see the success of Paul’s mission, </w:t>
      </w:r>
      <w:r w:rsidR="007168D3">
        <w:t xml:space="preserve">that is, </w:t>
      </w:r>
      <w:r w:rsidR="00F6464E">
        <w:t>the incoming of the gentiles, they eventually will join him in the proclamation of the good news of the arrival of the world to come and thus will be restored to their task of proclaiming God’s word to the nations.</w:t>
      </w:r>
    </w:p>
    <w:p w:rsidR="009D0A2D" w:rsidRDefault="009D0A2D" w:rsidP="00AB6E65">
      <w:pPr>
        <w:spacing w:line="360" w:lineRule="auto"/>
        <w:contextualSpacing/>
      </w:pPr>
    </w:p>
    <w:p w:rsidR="009D0A2D" w:rsidRDefault="006174DC" w:rsidP="00AB6E65">
      <w:pPr>
        <w:spacing w:line="360" w:lineRule="auto"/>
        <w:contextualSpacing/>
      </w:pPr>
      <w:r>
        <w:t xml:space="preserve">5. </w:t>
      </w:r>
      <w:r w:rsidR="009D0A2D">
        <w:t>Hermeneutical Presuppositions and Diversity</w:t>
      </w:r>
    </w:p>
    <w:p w:rsidR="00D77F7F" w:rsidRDefault="001D4C1C" w:rsidP="00AB6E65">
      <w:pPr>
        <w:spacing w:line="360" w:lineRule="auto"/>
        <w:contextualSpacing/>
      </w:pPr>
      <w:r>
        <w:t xml:space="preserve"> </w:t>
      </w:r>
    </w:p>
    <w:p w:rsidR="00917799" w:rsidRDefault="00A97935" w:rsidP="00AB6E65">
      <w:pPr>
        <w:spacing w:line="360" w:lineRule="auto"/>
        <w:contextualSpacing/>
      </w:pPr>
      <w:r>
        <w:t xml:space="preserve">The approaches analysed in this article are taken as representative of certain trends in current Pauline studies in the context of the emergence of the New Perspective and </w:t>
      </w:r>
      <w:proofErr w:type="gramStart"/>
      <w:r>
        <w:t>Beyond</w:t>
      </w:r>
      <w:proofErr w:type="gramEnd"/>
      <w:r>
        <w:t xml:space="preserve">. It is obvious that each of these is shaped by their specific hermeneutical </w:t>
      </w:r>
      <w:proofErr w:type="gramStart"/>
      <w:r>
        <w:t>presuppositions which</w:t>
      </w:r>
      <w:proofErr w:type="gramEnd"/>
      <w:r>
        <w:t xml:space="preserve"> frame their respective exegesis and interpretation of Romans. </w:t>
      </w:r>
      <w:r w:rsidR="00BA2F15">
        <w:t>They are part of specific contexts, academic and otherwise, they are part o</w:t>
      </w:r>
      <w:r w:rsidR="00BC026B">
        <w:t>f specific conversations inside</w:t>
      </w:r>
      <w:r w:rsidR="00BA2F15">
        <w:t xml:space="preserve"> and outside academia. </w:t>
      </w:r>
    </w:p>
    <w:p w:rsidR="00F942C3" w:rsidRDefault="00BA2F15" w:rsidP="00AB6E65">
      <w:pPr>
        <w:spacing w:line="360" w:lineRule="auto"/>
        <w:contextualSpacing/>
      </w:pPr>
      <w:r>
        <w:t>Thus Sanders can be seen as presenting his mould breaking revised image of first century Judaism in the aftermath of the maj</w:t>
      </w:r>
      <w:r w:rsidR="00BC026B">
        <w:t>or paradigm shifts in the 1970’s. He applied</w:t>
      </w:r>
      <w:r>
        <w:t xml:space="preserve"> a comparison of religion approach in the context of the realities of </w:t>
      </w:r>
      <w:r w:rsidR="00BC026B">
        <w:t>multi-faith societies and</w:t>
      </w:r>
      <w:r>
        <w:t xml:space="preserve"> in the context of the growing recognition that Christian anti-Judaism had had a </w:t>
      </w:r>
      <w:r w:rsidR="00BC026B">
        <w:t>detrimental influence on the r</w:t>
      </w:r>
      <w:r>
        <w:t>ise of anti-Semitism in 19</w:t>
      </w:r>
      <w:r w:rsidRPr="00BA2F15">
        <w:rPr>
          <w:vertAlign w:val="superscript"/>
        </w:rPr>
        <w:t>th</w:t>
      </w:r>
      <w:r>
        <w:t xml:space="preserve"> century Europe with i</w:t>
      </w:r>
      <w:r w:rsidR="00BC026B">
        <w:t>t</w:t>
      </w:r>
      <w:r>
        <w:t xml:space="preserve">s catastrophic outcome in the </w:t>
      </w:r>
      <w:proofErr w:type="spellStart"/>
      <w:r>
        <w:t>Shoah</w:t>
      </w:r>
      <w:proofErr w:type="spellEnd"/>
      <w:r>
        <w:t xml:space="preserve">. As seen above, comparing Judaism with </w:t>
      </w:r>
      <w:proofErr w:type="spellStart"/>
      <w:r>
        <w:t>Paulinism</w:t>
      </w:r>
      <w:proofErr w:type="spellEnd"/>
      <w:r>
        <w:t xml:space="preserve"> could not lead Sanders to a revised interpretation of Romans. Sanders rather than re-interpreting the Pauline letter compared a traditional reading of Paul, that is, </w:t>
      </w:r>
      <w:proofErr w:type="spellStart"/>
      <w:r>
        <w:t>Paulinism</w:t>
      </w:r>
      <w:proofErr w:type="spellEnd"/>
      <w:r>
        <w:t xml:space="preserve">, with the revised image of Judaism. He thus re-established the notion of discontinuity between Judaism and Paul, </w:t>
      </w:r>
      <w:r w:rsidR="007168D3">
        <w:t xml:space="preserve">that is, </w:t>
      </w:r>
      <w:r>
        <w:t xml:space="preserve">subsequent Christianity in emphasizing the fundamental difference of the two ‘religions’. </w:t>
      </w:r>
    </w:p>
    <w:p w:rsidR="00F942C3" w:rsidRDefault="00F942C3" w:rsidP="00AB6E65">
      <w:pPr>
        <w:spacing w:line="360" w:lineRule="auto"/>
        <w:contextualSpacing/>
      </w:pPr>
      <w:r>
        <w:t>Dunn, concerned with aspects of theological continuity, and traditional doctrinal stances of justification by faith, and the salvation of the individual, recognised the potential of applying Sanders’ revised image of Judaism to the interpretation of Romans. He re-locates Paul within a specific kind of Judaism, distancing him from what he considers to be a distortion of Judaism, in its zealous insistence on a distinct ethnic identity. Dunn thus emphasizes continuity and discontinuity at the same time, and in his attempt to reclaim Paul as Jewish, he also re-introduced claims of the traditional perspective on Paul</w:t>
      </w:r>
      <w:r w:rsidR="00917799">
        <w:t>, in maintaining that true Judaism is actually realized in the church. This is most explicitly formulated in N.T Wright’s numerous writings where Israel and the Jews are conflated entirely into the church and continuity between Israel and the church is maintained at the expense of the existence of non-Christian Jews.</w:t>
      </w:r>
      <w:r w:rsidR="007168D3">
        <w:rPr>
          <w:rStyle w:val="Funotenzeichen"/>
        </w:rPr>
        <w:footnoteReference w:id="79"/>
      </w:r>
      <w:r w:rsidR="00917799">
        <w:t xml:space="preserve"> The heritage of Israel is claimed fully by the church. </w:t>
      </w:r>
      <w:r w:rsidR="00B622E2">
        <w:t>There is no room for Jewish identity, the people Israel, except as the church</w:t>
      </w:r>
      <w:r w:rsidR="00BC026B">
        <w:t xml:space="preserve">, </w:t>
      </w:r>
      <w:r w:rsidR="00B622E2">
        <w:t xml:space="preserve">void of any Jewish identity markers, but rather fully gentile. </w:t>
      </w:r>
      <w:r w:rsidR="00917799">
        <w:t>Thus the New Perspective, in its most prominent voices, Dunn and Wright, actually re-introduces the negative stereotyping of  (part of) Judaism Sanders had tried to overcome, into Pauline interpretation, and re-formulates a re-placement theology in an attempt to safeguard what are considered to be key Christian theological truths.</w:t>
      </w:r>
      <w:r>
        <w:t xml:space="preserve"> </w:t>
      </w:r>
    </w:p>
    <w:p w:rsidR="0025410F" w:rsidRDefault="00BA2F15" w:rsidP="00AB6E65">
      <w:pPr>
        <w:spacing w:line="360" w:lineRule="auto"/>
        <w:contextualSpacing/>
      </w:pPr>
      <w:r>
        <w:t xml:space="preserve">The Scandinavian school on the other hand was in the first instance concerned </w:t>
      </w:r>
      <w:proofErr w:type="gramStart"/>
      <w:r>
        <w:t>with  a</w:t>
      </w:r>
      <w:proofErr w:type="gramEnd"/>
      <w:r>
        <w:t xml:space="preserve"> challenge to the individualism of the dominating  </w:t>
      </w:r>
      <w:proofErr w:type="spellStart"/>
      <w:r>
        <w:t>existentalist</w:t>
      </w:r>
      <w:proofErr w:type="spellEnd"/>
      <w:r>
        <w:t xml:space="preserve"> </w:t>
      </w:r>
      <w:proofErr w:type="spellStart"/>
      <w:r>
        <w:t>Bultmann</w:t>
      </w:r>
      <w:proofErr w:type="spellEnd"/>
      <w:r>
        <w:t xml:space="preserve"> school, which was seen as emphasizing the salvation of the individual at the expense of the community aspect of the gospel. The emphasis on the centrality of Romans 9-11 and the continuity of the </w:t>
      </w:r>
      <w:r w:rsidR="007168D3">
        <w:t>‘</w:t>
      </w:r>
      <w:r w:rsidR="00F942C3">
        <w:t>Old Testament</w:t>
      </w:r>
      <w:r w:rsidR="007168D3">
        <w:t>’</w:t>
      </w:r>
      <w:r w:rsidR="00F942C3">
        <w:t xml:space="preserve"> and the </w:t>
      </w:r>
      <w:r w:rsidR="007168D3">
        <w:t>‘</w:t>
      </w:r>
      <w:r w:rsidR="00F942C3">
        <w:t>New</w:t>
      </w:r>
      <w:r w:rsidR="007168D3">
        <w:t>’</w:t>
      </w:r>
      <w:r w:rsidR="00F942C3">
        <w:t xml:space="preserve"> must be seen in this context. Romans 9-11 was seen as the clear indication that what is at stake in Romans is not the salvation of the individual but the interaction of groups, and God’s activity in history. Paul is seen as an activist rather than a theologian in the first instance. This is the starting point </w:t>
      </w:r>
      <w:proofErr w:type="gramStart"/>
      <w:r w:rsidR="00F942C3">
        <w:t xml:space="preserve">of  </w:t>
      </w:r>
      <w:proofErr w:type="spellStart"/>
      <w:r w:rsidR="00F942C3">
        <w:t>Stendahl’s</w:t>
      </w:r>
      <w:proofErr w:type="spellEnd"/>
      <w:proofErr w:type="gramEnd"/>
      <w:r w:rsidR="00F942C3">
        <w:t xml:space="preserve">, and also Campbell’s re-reading of Romans. It is the presupposition of </w:t>
      </w:r>
      <w:r w:rsidR="00BC026B">
        <w:t xml:space="preserve">the </w:t>
      </w:r>
      <w:r w:rsidR="00F942C3">
        <w:t>continuity of God’s activity on behalf of his people and of his creation. The theological concern l</w:t>
      </w:r>
      <w:r w:rsidR="00BC026B">
        <w:t xml:space="preserve">eads them to the recognition </w:t>
      </w:r>
      <w:r w:rsidR="00F942C3">
        <w:t xml:space="preserve">that </w:t>
      </w:r>
      <w:r w:rsidR="00C175AB">
        <w:t xml:space="preserve">an emphasis on God’s faithfulness and </w:t>
      </w:r>
      <w:r w:rsidR="00BC026B">
        <w:t xml:space="preserve">on </w:t>
      </w:r>
      <w:r w:rsidR="00F942C3">
        <w:t>anti-Jewish interpretation of Romans is</w:t>
      </w:r>
      <w:r w:rsidR="00964C76">
        <w:t xml:space="preserve"> untenable. </w:t>
      </w:r>
      <w:r w:rsidR="00C175AB">
        <w:t xml:space="preserve">The theological concern for </w:t>
      </w:r>
      <w:r w:rsidR="00B622E2">
        <w:t xml:space="preserve">the </w:t>
      </w:r>
      <w:r w:rsidR="00C175AB">
        <w:t xml:space="preserve">continuity of God’s activity in the world is paired with the recognition that this can only be maintained in respectful recognition of those ‘to whom belong the </w:t>
      </w:r>
      <w:proofErr w:type="spellStart"/>
      <w:r w:rsidR="00B622E2">
        <w:t>sonship</w:t>
      </w:r>
      <w:proofErr w:type="spellEnd"/>
      <w:r w:rsidR="00B622E2">
        <w:t xml:space="preserve">, the glory, the covenants, the giving of the law, the worship and the promises’, who are and remain different. </w:t>
      </w:r>
      <w:r w:rsidR="00313303">
        <w:t xml:space="preserve"> Thus diversity within the Christ-movement, the recognition and respect for Jewish and gentile identity in Christ is seen as a core aspect of what Paul advocates in Romans, not only for social reasons. Whether or not Jews are part of the Christ-movement their identity has to be respected. This is the key factor in approaches of scholars who now are beginning to be grouped as the ‘Radical New Perspective’. A key hermeneutical pres</w:t>
      </w:r>
      <w:r w:rsidR="00BC026B">
        <w:t xml:space="preserve">upposition is their concern about </w:t>
      </w:r>
      <w:r w:rsidR="00313303">
        <w:t>Christian anti-Judaism. Setting out to explore whether Paul can be attributed with interpretations which suggest that he developed his theology in antithe</w:t>
      </w:r>
      <w:r w:rsidR="00BC026B">
        <w:t>si</w:t>
      </w:r>
      <w:r w:rsidR="00313303">
        <w:t>s to Judaism</w:t>
      </w:r>
      <w:r w:rsidR="00BC026B">
        <w:t>,</w:t>
      </w:r>
      <w:r w:rsidR="00313303">
        <w:t xml:space="preserve"> their interpretations seek to demonstrate that this is not so. Paul’s </w:t>
      </w:r>
      <w:proofErr w:type="spellStart"/>
      <w:r w:rsidR="00313303">
        <w:t>embededness</w:t>
      </w:r>
      <w:proofErr w:type="spellEnd"/>
      <w:r w:rsidR="00313303">
        <w:t xml:space="preserve"> and theologizing from within Judaism is thus taken for granted, and continuity with the ancestral traditions is seen as being at the heart of Paul’s theologizing. </w:t>
      </w:r>
      <w:proofErr w:type="gramStart"/>
      <w:r w:rsidR="00313303">
        <w:t xml:space="preserve">Paul’s </w:t>
      </w:r>
      <w:proofErr w:type="spellStart"/>
      <w:r w:rsidR="00313303">
        <w:t>Jewishness</w:t>
      </w:r>
      <w:proofErr w:type="spellEnd"/>
      <w:r w:rsidR="00313303">
        <w:t xml:space="preserve"> is taken seriously by some</w:t>
      </w:r>
      <w:proofErr w:type="gramEnd"/>
      <w:r w:rsidR="00313303">
        <w:t xml:space="preserve"> to the extent that one could get the impression that in ‘</w:t>
      </w:r>
      <w:proofErr w:type="spellStart"/>
      <w:r w:rsidR="00313303">
        <w:t>Judaizing</w:t>
      </w:r>
      <w:proofErr w:type="spellEnd"/>
      <w:r w:rsidR="00313303">
        <w:t xml:space="preserve"> the nations’, gentile identity in Christ almost becomes irrelevant and disappears.</w:t>
      </w:r>
      <w:r w:rsidR="00313303">
        <w:rPr>
          <w:rStyle w:val="Funotenzeichen"/>
        </w:rPr>
        <w:footnoteReference w:id="80"/>
      </w:r>
      <w:r w:rsidR="00313303">
        <w:t xml:space="preserve">  </w:t>
      </w:r>
      <w:r w:rsidR="00B622E2">
        <w:t>A key a</w:t>
      </w:r>
      <w:r w:rsidR="00BC026B">
        <w:t xml:space="preserve">spect, shared in the </w:t>
      </w:r>
      <w:r w:rsidR="00B34170">
        <w:t>reading of Romans</w:t>
      </w:r>
      <w:r w:rsidR="00BC026B">
        <w:t xml:space="preserve"> </w:t>
      </w:r>
      <w:r w:rsidR="00B34170">
        <w:t>f</w:t>
      </w:r>
      <w:r w:rsidR="00BC026B">
        <w:t xml:space="preserve">rom the stance </w:t>
      </w:r>
      <w:r w:rsidR="00B34170">
        <w:t>‘</w:t>
      </w:r>
      <w:r w:rsidR="00B622E2">
        <w:t>Beyond the New Perspective</w:t>
      </w:r>
      <w:r w:rsidR="00B34170">
        <w:t>’</w:t>
      </w:r>
      <w:r w:rsidR="00B622E2">
        <w:t xml:space="preserve"> in addition to the points already mentioned, is the </w:t>
      </w:r>
      <w:proofErr w:type="gramStart"/>
      <w:r w:rsidR="00B622E2">
        <w:t>attention which</w:t>
      </w:r>
      <w:proofErr w:type="gramEnd"/>
      <w:r w:rsidR="00B622E2">
        <w:t xml:space="preserve"> is paid to the actual or implied addressees of the letter. Those scholars who critically distance themselves from the New Perspective and claim that it did not fulfil the potential that had been opened up with Sanders, and thus moved ‘Beyond the New Perspective’ emphasize that reading the letter as addressed to gentiles and specific issues of concern in the Roman communities leads to a significant shift in the understanding of the letter. Rather than addressing in a general and thus unclear, unspecific way ‘all humankind’, Paul’s writing should be seen as particular, speaking in a concrete way to particular people rather than making generalized theological statements.  </w:t>
      </w:r>
    </w:p>
    <w:p w:rsidR="00887283" w:rsidRDefault="00887283" w:rsidP="00AB6E65">
      <w:pPr>
        <w:spacing w:line="360" w:lineRule="auto"/>
        <w:contextualSpacing/>
      </w:pPr>
    </w:p>
    <w:p w:rsidR="002A3936" w:rsidRDefault="002A3936" w:rsidP="00AB6E65">
      <w:pPr>
        <w:spacing w:line="360" w:lineRule="auto"/>
        <w:contextualSpacing/>
      </w:pPr>
    </w:p>
    <w:p w:rsidR="002A3936" w:rsidRDefault="002A3936" w:rsidP="00AB6E65">
      <w:pPr>
        <w:spacing w:line="360" w:lineRule="auto"/>
        <w:contextualSpacing/>
      </w:pPr>
    </w:p>
    <w:p w:rsidR="002A3936" w:rsidRDefault="002A3936" w:rsidP="00AB6E65">
      <w:pPr>
        <w:spacing w:line="360" w:lineRule="auto"/>
        <w:contextualSpacing/>
      </w:pPr>
    </w:p>
    <w:p w:rsidR="006174DC" w:rsidRDefault="006174DC" w:rsidP="00AB6E65">
      <w:pPr>
        <w:spacing w:line="360" w:lineRule="auto"/>
        <w:contextualSpacing/>
      </w:pPr>
      <w:r>
        <w:t>6. Conclusions</w:t>
      </w:r>
    </w:p>
    <w:p w:rsidR="00887283" w:rsidRDefault="00887283" w:rsidP="00AB6E65">
      <w:pPr>
        <w:spacing w:line="360" w:lineRule="auto"/>
        <w:contextualSpacing/>
      </w:pPr>
    </w:p>
    <w:p w:rsidR="00887283" w:rsidRDefault="00887283" w:rsidP="00AB6E65">
      <w:pPr>
        <w:spacing w:line="360" w:lineRule="auto"/>
        <w:contextualSpacing/>
      </w:pPr>
      <w:r>
        <w:t xml:space="preserve">Interpretations of Romans by </w:t>
      </w:r>
      <w:r w:rsidR="00B833E8">
        <w:t xml:space="preserve">in </w:t>
      </w:r>
      <w:r>
        <w:t xml:space="preserve">New Perspectives </w:t>
      </w:r>
      <w:r w:rsidR="00B833E8">
        <w:t xml:space="preserve">categories </w:t>
      </w:r>
      <w:r>
        <w:t xml:space="preserve">and </w:t>
      </w:r>
      <w:proofErr w:type="gramStart"/>
      <w:r>
        <w:t>Beyond</w:t>
      </w:r>
      <w:proofErr w:type="gramEnd"/>
      <w:r>
        <w:t xml:space="preserve"> are diverse and as we have seen framed by diverse hermeneutical presuppositions. It is thus impossible to summarize them </w:t>
      </w:r>
      <w:proofErr w:type="gramStart"/>
      <w:r>
        <w:t>under</w:t>
      </w:r>
      <w:proofErr w:type="gramEnd"/>
      <w:r>
        <w:t xml:space="preserve"> one or even two headings, be this New Perspective, Radical New Perspective, </w:t>
      </w:r>
      <w:r w:rsidR="00A97935">
        <w:t xml:space="preserve">or </w:t>
      </w:r>
      <w:r>
        <w:t>Beyo</w:t>
      </w:r>
      <w:r w:rsidR="00A97935">
        <w:t>nd the New Perspective.</w:t>
      </w:r>
      <w:r>
        <w:t xml:space="preserve"> </w:t>
      </w:r>
      <w:r w:rsidR="004F258E">
        <w:t>Even the scholars often subsumed under the N</w:t>
      </w:r>
      <w:r w:rsidR="00A97935">
        <w:t xml:space="preserve">ew </w:t>
      </w:r>
      <w:r w:rsidR="004F258E">
        <w:t>P</w:t>
      </w:r>
      <w:r w:rsidR="00A97935">
        <w:t>erspective,</w:t>
      </w:r>
      <w:r w:rsidR="004F258E">
        <w:t xml:space="preserve"> and mentioned </w:t>
      </w:r>
      <w:r w:rsidR="006174DC">
        <w:t xml:space="preserve">together as if they were one and the same, </w:t>
      </w:r>
      <w:r>
        <w:t>Sanders and Dunn</w:t>
      </w:r>
      <w:r w:rsidR="006174DC">
        <w:t>,</w:t>
      </w:r>
      <w:r>
        <w:t xml:space="preserve"> do not share in their interpretation of Romans although they share some of the presuppositions concerning the image of first century Juda</w:t>
      </w:r>
      <w:r w:rsidR="0025410F">
        <w:t xml:space="preserve">ism. </w:t>
      </w:r>
    </w:p>
    <w:p w:rsidR="00887283" w:rsidRDefault="00887283" w:rsidP="00AB6E65">
      <w:pPr>
        <w:spacing w:line="360" w:lineRule="auto"/>
        <w:contextualSpacing/>
      </w:pPr>
    </w:p>
    <w:p w:rsidR="00547D1E" w:rsidRDefault="00887283" w:rsidP="00AB6E65">
      <w:pPr>
        <w:spacing w:line="360" w:lineRule="auto"/>
        <w:contextualSpacing/>
      </w:pPr>
      <w:r>
        <w:t>However, there seems to be one aspect these diverse perspectives and interpretations share: Israel/Judaism is centre</w:t>
      </w:r>
      <w:r w:rsidR="002A3936">
        <w:t xml:space="preserve"> stage in </w:t>
      </w:r>
      <w:proofErr w:type="gramStart"/>
      <w:r w:rsidR="002A3936">
        <w:t>one way</w:t>
      </w:r>
      <w:proofErr w:type="gramEnd"/>
      <w:r w:rsidR="002A3936">
        <w:t xml:space="preserve"> or another. It is thus</w:t>
      </w:r>
      <w:r>
        <w:t xml:space="preserve"> not just the preference of the group of scholars who initiated the project Romans Through History </w:t>
      </w:r>
      <w:proofErr w:type="gramStart"/>
      <w:r>
        <w:t>and  Cultures</w:t>
      </w:r>
      <w:proofErr w:type="gramEnd"/>
      <w:r>
        <w:t xml:space="preserve"> which led to the publication of the first volume under the title </w:t>
      </w:r>
      <w:r>
        <w:rPr>
          <w:i/>
        </w:rPr>
        <w:t>Reading Israel in Romans.</w:t>
      </w:r>
      <w:r>
        <w:t xml:space="preserve"> The question of </w:t>
      </w:r>
      <w:r w:rsidR="005612FC">
        <w:t>Israel is the question</w:t>
      </w:r>
      <w:r>
        <w:t xml:space="preserve"> none of the diverse interpretations of the letter can bypass or omit. This maybe one of the key contributions of the N</w:t>
      </w:r>
      <w:r w:rsidR="00A97935">
        <w:t xml:space="preserve">ew </w:t>
      </w:r>
      <w:r>
        <w:t>P</w:t>
      </w:r>
      <w:r w:rsidR="00A97935">
        <w:t>erspective</w:t>
      </w:r>
      <w:r>
        <w:t xml:space="preserve"> to which all subsequent interpretations in </w:t>
      </w:r>
      <w:proofErr w:type="gramStart"/>
      <w:r>
        <w:t>one way</w:t>
      </w:r>
      <w:proofErr w:type="gramEnd"/>
      <w:r>
        <w:t xml:space="preserve"> o</w:t>
      </w:r>
      <w:r w:rsidR="00BC026B">
        <w:t xml:space="preserve">r another relate. It was Sanders’ </w:t>
      </w:r>
      <w:r>
        <w:t xml:space="preserve">forceful challenge of the distorted image of Judaism in New Testament </w:t>
      </w:r>
      <w:proofErr w:type="gramStart"/>
      <w:r>
        <w:t>scholarship which</w:t>
      </w:r>
      <w:proofErr w:type="gramEnd"/>
      <w:r>
        <w:t xml:space="preserve"> triggered the widespread recognition</w:t>
      </w:r>
      <w:r w:rsidR="002A3936">
        <w:rPr>
          <w:rStyle w:val="Funotenzeichen"/>
        </w:rPr>
        <w:t xml:space="preserve"> </w:t>
      </w:r>
      <w:r>
        <w:t xml:space="preserve"> that this image impinged on all interpretations of Romans. </w:t>
      </w:r>
      <w:r w:rsidR="00547D1E">
        <w:t>Whilst Sanders adhered to the traditional perception of discontinuity between first century Judaism and Pa</w:t>
      </w:r>
      <w:r w:rsidR="00212315">
        <w:t xml:space="preserve">ul </w:t>
      </w:r>
      <w:r w:rsidR="00547D1E">
        <w:t xml:space="preserve">which </w:t>
      </w:r>
      <w:r w:rsidR="00BC026B">
        <w:t xml:space="preserve">as we noted is the </w:t>
      </w:r>
      <w:r w:rsidR="00212315">
        <w:t xml:space="preserve">Paul of </w:t>
      </w:r>
      <w:proofErr w:type="spellStart"/>
      <w:r w:rsidR="00212315">
        <w:t>Paulinism</w:t>
      </w:r>
      <w:proofErr w:type="spellEnd"/>
      <w:r w:rsidR="00212315">
        <w:t xml:space="preserve">, </w:t>
      </w:r>
      <w:r>
        <w:t>Dunn had set out to demonstrate that this revised image must have a direct impact on Pauline interpretation and the interpretation of Romans in particular</w:t>
      </w:r>
      <w:proofErr w:type="gramStart"/>
      <w:r>
        <w:t>,</w:t>
      </w:r>
      <w:r w:rsidR="00547D1E">
        <w:t xml:space="preserve">  and</w:t>
      </w:r>
      <w:proofErr w:type="gramEnd"/>
      <w:r w:rsidR="00547D1E">
        <w:t xml:space="preserve"> thus tried to explore the interplay between continuity and discontinuity in the letter.  This is where the conversation is cont</w:t>
      </w:r>
      <w:r w:rsidR="002A3936">
        <w:t>inuing in all the perspectives b</w:t>
      </w:r>
      <w:r w:rsidR="00547D1E">
        <w:t>eyond the N</w:t>
      </w:r>
      <w:r w:rsidR="0025410F">
        <w:t xml:space="preserve">ew </w:t>
      </w:r>
      <w:r w:rsidR="00547D1E">
        <w:t>P</w:t>
      </w:r>
      <w:r w:rsidR="0025410F">
        <w:t>erspective</w:t>
      </w:r>
      <w:r w:rsidR="00547D1E">
        <w:t xml:space="preserve">. </w:t>
      </w:r>
    </w:p>
    <w:p w:rsidR="003B28A7" w:rsidRDefault="00547D1E" w:rsidP="00AB6E65">
      <w:pPr>
        <w:spacing w:line="360" w:lineRule="auto"/>
        <w:contextualSpacing/>
      </w:pPr>
      <w:r>
        <w:t>Far f</w:t>
      </w:r>
      <w:r w:rsidR="00447BED">
        <w:t>rom being a question confined</w:t>
      </w:r>
      <w:r>
        <w:t xml:space="preserve"> to issues concerning social relations, that is, the relationship between Jewish and gentile Christ-followers, or non-Christ following Jews and Christ-following groups, as some interpreters assume, the intensity and continuation of the debate demonstrates that inherent to these issues of social relations are questions concerning the identity of Paul’s Christ-following groups. By this I mean social as well as </w:t>
      </w:r>
      <w:r w:rsidR="000262E2">
        <w:t xml:space="preserve">theological identity.  </w:t>
      </w:r>
      <w:r w:rsidR="00212315">
        <w:t>What is shared between scholars of the N</w:t>
      </w:r>
      <w:r w:rsidR="002A3936">
        <w:t xml:space="preserve">ew </w:t>
      </w:r>
      <w:r w:rsidR="00212315">
        <w:t>P</w:t>
      </w:r>
      <w:r w:rsidR="002A3936">
        <w:t>erspective</w:t>
      </w:r>
      <w:r w:rsidR="00212315">
        <w:t xml:space="preserve">, </w:t>
      </w:r>
      <w:r w:rsidR="002A3936">
        <w:t xml:space="preserve">‘Beyond the New Perspective’ and the ‘Radical </w:t>
      </w:r>
      <w:r w:rsidR="00212315">
        <w:t>N</w:t>
      </w:r>
      <w:r w:rsidR="002A3936">
        <w:t xml:space="preserve">ew </w:t>
      </w:r>
      <w:r w:rsidR="00212315">
        <w:t>P</w:t>
      </w:r>
      <w:r w:rsidR="002A3936">
        <w:t>erspective’</w:t>
      </w:r>
      <w:r w:rsidR="000262E2">
        <w:t xml:space="preserve"> is the recognition that these aspects are inseparably intertwined in Paul. He theologizes contextually, and does so also in Romans. Whether justification by faith, or </w:t>
      </w:r>
      <w:r w:rsidR="00447BED">
        <w:t>participation in Chr</w:t>
      </w:r>
      <w:r w:rsidR="00212315">
        <w:t xml:space="preserve">ist, or covenantal theology </w:t>
      </w:r>
      <w:r w:rsidR="000262E2">
        <w:t xml:space="preserve">are perceived to be the core of Paul’s theologizing (if such a </w:t>
      </w:r>
      <w:proofErr w:type="spellStart"/>
      <w:r w:rsidR="000262E2">
        <w:t>theologoumenon</w:t>
      </w:r>
      <w:proofErr w:type="spellEnd"/>
      <w:r w:rsidR="000262E2">
        <w:t xml:space="preserve"> as a core has then to be identified) in Romans,</w:t>
      </w:r>
      <w:r w:rsidR="003B28A7">
        <w:t xml:space="preserve"> whether questions concerning the law/Torah and the Gospel, grace and works are considered central,</w:t>
      </w:r>
      <w:r w:rsidR="000262E2">
        <w:t xml:space="preserve"> the question of Israel has to be part of the theological thinking in as much as it was and remains pa</w:t>
      </w:r>
      <w:r w:rsidR="003B28A7">
        <w:t xml:space="preserve">rt of social reality. Since </w:t>
      </w:r>
      <w:proofErr w:type="gramStart"/>
      <w:r w:rsidR="003B28A7">
        <w:t>the</w:t>
      </w:r>
      <w:r w:rsidR="000262E2">
        <w:t xml:space="preserve"> question</w:t>
      </w:r>
      <w:r w:rsidR="003B28A7">
        <w:t xml:space="preserve"> of Israel and the </w:t>
      </w:r>
      <w:proofErr w:type="spellStart"/>
      <w:r w:rsidR="003B28A7" w:rsidRPr="002A3936">
        <w:rPr>
          <w:i/>
        </w:rPr>
        <w:t>ekklesia</w:t>
      </w:r>
      <w:proofErr w:type="spellEnd"/>
      <w:r w:rsidR="000262E2">
        <w:t xml:space="preserve"> is explicitly addressed by Paul only in Romans, and specifically in Romans 9-11</w:t>
      </w:r>
      <w:proofErr w:type="gramEnd"/>
      <w:r w:rsidR="000262E2">
        <w:t>, it was central to start the series with a focus on this topic and these chapters.</w:t>
      </w:r>
      <w:r w:rsidR="000262E2">
        <w:rPr>
          <w:rStyle w:val="Funotenzeichen"/>
        </w:rPr>
        <w:footnoteReference w:id="81"/>
      </w:r>
      <w:r w:rsidR="000262E2">
        <w:t xml:space="preserve"> I do not see a proble</w:t>
      </w:r>
      <w:r w:rsidR="002A3936">
        <w:t>m in the fact that this focus of</w:t>
      </w:r>
      <w:r w:rsidR="000262E2">
        <w:t xml:space="preserve"> the N</w:t>
      </w:r>
      <w:r w:rsidR="002A3936">
        <w:t xml:space="preserve">ew </w:t>
      </w:r>
      <w:r w:rsidR="000262E2">
        <w:t>P</w:t>
      </w:r>
      <w:r w:rsidR="002A3936">
        <w:t>erspective and ‘Beyond and Radical New Perspective’</w:t>
      </w:r>
      <w:r w:rsidR="000262E2">
        <w:t xml:space="preserve"> may at least to some extent have been due to a concern about Jewish-Christian relations in the aftermath of the </w:t>
      </w:r>
      <w:proofErr w:type="spellStart"/>
      <w:r w:rsidR="000262E2">
        <w:t>Shoah</w:t>
      </w:r>
      <w:proofErr w:type="spellEnd"/>
      <w:r w:rsidR="000262E2">
        <w:t xml:space="preserve">. If interpretation </w:t>
      </w:r>
      <w:proofErr w:type="gramStart"/>
      <w:r w:rsidR="000262E2">
        <w:t>is</w:t>
      </w:r>
      <w:proofErr w:type="gramEnd"/>
      <w:r w:rsidR="000262E2">
        <w:t xml:space="preserve"> contextual it would be strange if such a horrific event did not </w:t>
      </w:r>
      <w:r w:rsidR="003B28A7">
        <w:t>lead to a significant</w:t>
      </w:r>
      <w:r w:rsidR="000262E2">
        <w:t xml:space="preserve"> rethinking of </w:t>
      </w:r>
      <w:r w:rsidR="003B28A7">
        <w:t xml:space="preserve">scriptural interpretation and </w:t>
      </w:r>
      <w:r w:rsidR="000262E2">
        <w:t>Christian theologizing</w:t>
      </w:r>
      <w:r w:rsidR="003B28A7">
        <w:t>. How</w:t>
      </w:r>
      <w:r w:rsidR="00B833E8">
        <w:t xml:space="preserve">ever, </w:t>
      </w:r>
      <w:r w:rsidR="003B28A7">
        <w:t>the image of Judaism played a significant part in the interpretation of scripture, and of Paul in particular in the history of interpretation for centuries</w:t>
      </w:r>
      <w:r w:rsidR="002A3936">
        <w:t xml:space="preserve"> prior to the event of the World War II</w:t>
      </w:r>
      <w:r w:rsidR="003B28A7">
        <w:t xml:space="preserve">, albeit mostly in a negative way. Thus the focus on Israel </w:t>
      </w:r>
      <w:r w:rsidR="00447BED">
        <w:t>as such has actually nothing</w:t>
      </w:r>
      <w:r w:rsidR="003B28A7">
        <w:t xml:space="preserve"> to do with the events of the </w:t>
      </w:r>
      <w:proofErr w:type="spellStart"/>
      <w:r w:rsidR="003B28A7">
        <w:t>Shoah</w:t>
      </w:r>
      <w:proofErr w:type="spellEnd"/>
      <w:r w:rsidR="003B28A7">
        <w:t xml:space="preserve">, but with the texts </w:t>
      </w:r>
      <w:r w:rsidR="00E32AA9">
        <w:t>themselves. The necessity to re</w:t>
      </w:r>
      <w:r w:rsidR="003B28A7">
        <w:t xml:space="preserve">vise interpretation in light of these recent events however is. </w:t>
      </w:r>
    </w:p>
    <w:p w:rsidR="003B28A7" w:rsidRDefault="00447BED" w:rsidP="00AB6E65">
      <w:pPr>
        <w:spacing w:line="360" w:lineRule="auto"/>
        <w:contextualSpacing/>
      </w:pPr>
      <w:r>
        <w:t xml:space="preserve">In </w:t>
      </w:r>
      <w:r w:rsidR="003B28A7">
        <w:t xml:space="preserve">a sense Romans, and chapters 9-11 in particular are </w:t>
      </w:r>
      <w:r w:rsidR="006B41E3">
        <w:t xml:space="preserve">central to Paul’s theologizing. Not because this is his last will and testament, not because it is a summary of his theology, not because it is a systematic treatise, </w:t>
      </w:r>
      <w:r>
        <w:t xml:space="preserve">and not because of the </w:t>
      </w:r>
      <w:proofErr w:type="spellStart"/>
      <w:r>
        <w:t>Shoah</w:t>
      </w:r>
      <w:proofErr w:type="spellEnd"/>
      <w:r>
        <w:t xml:space="preserve">, </w:t>
      </w:r>
      <w:r w:rsidR="006B41E3">
        <w:t>but because it deals, in a contextual way with a theologically</w:t>
      </w:r>
      <w:r w:rsidR="002A3936">
        <w:t>, socially, and ethically</w:t>
      </w:r>
      <w:r w:rsidR="006B41E3">
        <w:t xml:space="preserve"> central question of the go</w:t>
      </w:r>
      <w:r w:rsidR="002A3936">
        <w:t>spel</w:t>
      </w:r>
      <w:r w:rsidR="006B41E3">
        <w:t xml:space="preserve">. Inherent to the question of Israel and the </w:t>
      </w:r>
      <w:proofErr w:type="spellStart"/>
      <w:r w:rsidR="006B41E3" w:rsidRPr="002A3936">
        <w:rPr>
          <w:i/>
        </w:rPr>
        <w:t>ekklesia</w:t>
      </w:r>
      <w:proofErr w:type="spellEnd"/>
      <w:r w:rsidR="006B41E3">
        <w:t xml:space="preserve"> is the question of ‘God’s character’ – God’s faithfulness. In a sense all subsequent issues follow from this. Thus centre stage in this question</w:t>
      </w:r>
      <w:r>
        <w:t xml:space="preserve"> is God, </w:t>
      </w:r>
      <w:r w:rsidR="00B833E8">
        <w:t>everything else emanates</w:t>
      </w:r>
      <w:r w:rsidR="006B41E3">
        <w:t xml:space="preserve"> from this centre; thus Israel matters, the relationship between Israel and the </w:t>
      </w:r>
      <w:proofErr w:type="spellStart"/>
      <w:r w:rsidR="006B41E3" w:rsidRPr="002A3936">
        <w:rPr>
          <w:i/>
        </w:rPr>
        <w:t>ekklesia</w:t>
      </w:r>
      <w:proofErr w:type="spellEnd"/>
      <w:r w:rsidR="006B41E3">
        <w:t xml:space="preserve"> is important, the question of continuity-discontinuity derives from it, the question of salvation</w:t>
      </w:r>
      <w:r w:rsidR="002A3936">
        <w:t>, the meaning of the Christ-event</w:t>
      </w:r>
      <w:r w:rsidR="006B41E3">
        <w:t xml:space="preserve"> is in</w:t>
      </w:r>
      <w:r w:rsidR="002A3936">
        <w:t>herent to it</w:t>
      </w:r>
      <w:r w:rsidR="006B41E3">
        <w:t>. But all of th</w:t>
      </w:r>
      <w:r w:rsidR="00B833E8">
        <w:t xml:space="preserve">ese aspects are outer circles, proceeding from and depending on </w:t>
      </w:r>
      <w:r w:rsidR="006B41E3">
        <w:t xml:space="preserve">what is central to Romans, </w:t>
      </w:r>
      <w:r w:rsidR="00B833E8">
        <w:t xml:space="preserve">that is, </w:t>
      </w:r>
      <w:r w:rsidR="006B41E3">
        <w:t>God’s faithfulness. Thus this common denominator in N</w:t>
      </w:r>
      <w:r w:rsidR="002A3936">
        <w:t xml:space="preserve">ew </w:t>
      </w:r>
      <w:r w:rsidR="006B41E3">
        <w:t>P</w:t>
      </w:r>
      <w:r w:rsidR="002A3936">
        <w:t>erspective and approaches b</w:t>
      </w:r>
      <w:r w:rsidR="006B41E3">
        <w:t xml:space="preserve">eyond </w:t>
      </w:r>
      <w:r w:rsidR="002A3936">
        <w:t>the New Perspective</w:t>
      </w:r>
      <w:r w:rsidR="006B41E3">
        <w:t xml:space="preserve">, </w:t>
      </w:r>
      <w:r w:rsidR="002A3936">
        <w:t xml:space="preserve">that is </w:t>
      </w:r>
      <w:r w:rsidR="006B41E3">
        <w:t xml:space="preserve">the focus on Israel/Judaism </w:t>
      </w:r>
      <w:r w:rsidR="00E32AA9">
        <w:t xml:space="preserve">is not a side track important </w:t>
      </w:r>
      <w:r>
        <w:t>‘</w:t>
      </w:r>
      <w:r w:rsidR="00E32AA9">
        <w:t>only</w:t>
      </w:r>
      <w:r>
        <w:t>’</w:t>
      </w:r>
      <w:r w:rsidR="00E32AA9">
        <w:t xml:space="preserve"> in relation t</w:t>
      </w:r>
      <w:r w:rsidR="00212315">
        <w:t xml:space="preserve">o social and ethnic issues, or </w:t>
      </w:r>
      <w:r w:rsidR="00E32AA9">
        <w:t>issues concerning the relationship between Christians and Jews</w:t>
      </w:r>
      <w:r w:rsidR="00212315">
        <w:t xml:space="preserve">. </w:t>
      </w:r>
      <w:r w:rsidR="00E32AA9">
        <w:t>N</w:t>
      </w:r>
      <w:r w:rsidR="00A97935">
        <w:t xml:space="preserve">ew </w:t>
      </w:r>
      <w:r w:rsidR="00E32AA9">
        <w:t>P</w:t>
      </w:r>
      <w:r w:rsidR="00A97935">
        <w:t>erspective</w:t>
      </w:r>
      <w:r w:rsidR="00E32AA9">
        <w:t xml:space="preserve"> and beyond </w:t>
      </w:r>
      <w:r w:rsidR="00212315">
        <w:t>scholars</w:t>
      </w:r>
      <w:r w:rsidR="00B833E8">
        <w:t xml:space="preserve"> </w:t>
      </w:r>
      <w:r w:rsidR="00212315">
        <w:t>in their diversity thereby actually focus</w:t>
      </w:r>
      <w:r w:rsidR="00E32AA9">
        <w:t xml:space="preserve"> on the centre of Paul’s theologizing</w:t>
      </w:r>
      <w:r w:rsidR="00212315">
        <w:t xml:space="preserve"> in Romans</w:t>
      </w:r>
      <w:r w:rsidR="00E32AA9">
        <w:t xml:space="preserve">. </w:t>
      </w:r>
    </w:p>
    <w:p w:rsidR="00C175AB" w:rsidRDefault="00C175AB" w:rsidP="00C175AB">
      <w:pPr>
        <w:spacing w:line="360" w:lineRule="auto"/>
        <w:contextualSpacing/>
      </w:pPr>
      <w:r>
        <w:t xml:space="preserve">It is striking that Romans, as before in the history of interpretation, and of the churches, is at the heart of most significant interpretative debates. The current debates and diverse approaches are of course contextual and the specific contexts in which they </w:t>
      </w:r>
      <w:proofErr w:type="gramStart"/>
      <w:r>
        <w:t>emerge(</w:t>
      </w:r>
      <w:proofErr w:type="gramEnd"/>
      <w:r>
        <w:t>d) significantly influence the respective hermeneutical presuppositions of the diverse readings. Hermeneutical presuppositions, rather than being regarded as a problem or even illegitimate are part of the business of interpretati</w:t>
      </w:r>
      <w:r w:rsidR="000E4A8F">
        <w:t xml:space="preserve">on, and should not be deplored </w:t>
      </w:r>
      <w:r>
        <w:t xml:space="preserve">but recognized as part of our interpretive conversations. The diversity in approaches and </w:t>
      </w:r>
      <w:proofErr w:type="gramStart"/>
      <w:r>
        <w:t xml:space="preserve">emphases </w:t>
      </w:r>
      <w:r w:rsidR="000E4A8F">
        <w:t xml:space="preserve"> </w:t>
      </w:r>
      <w:r>
        <w:t>which</w:t>
      </w:r>
      <w:proofErr w:type="gramEnd"/>
      <w:r>
        <w:t xml:space="preserve"> is prevalent in current interpretations of Romans generally, and more specifically among scholars of the New Perspective and Beyond may be indicative of some characteristics shared between Paul’s context and today. Paul lived and theologized in a context of cultural diversity, he theologized in conversation with others, in relation to concrete everyday life issues in his communities. This may render him the ideal partner in our theological conversations today in all their diversity not dispensing us from our responsibility for the outcomes of our readings of Romans</w:t>
      </w:r>
      <w:r w:rsidR="004E7F68">
        <w:t xml:space="preserve">, but inviting us into an open </w:t>
      </w:r>
      <w:r>
        <w:t xml:space="preserve">conversation about the issues of living together that matter most today. </w:t>
      </w:r>
    </w:p>
    <w:p w:rsidR="003B28A7" w:rsidRDefault="003B28A7" w:rsidP="00AB6E65">
      <w:pPr>
        <w:spacing w:line="360" w:lineRule="auto"/>
        <w:contextualSpacing/>
      </w:pPr>
    </w:p>
    <w:p w:rsidR="0090656E" w:rsidRPr="00887283" w:rsidRDefault="000262E2" w:rsidP="00AB6E65">
      <w:pPr>
        <w:spacing w:line="360" w:lineRule="auto"/>
        <w:contextualSpacing/>
      </w:pPr>
      <w:r>
        <w:t xml:space="preserve"> </w:t>
      </w:r>
    </w:p>
    <w:p w:rsidR="0090656E" w:rsidRDefault="0090656E" w:rsidP="00AB6E65">
      <w:pPr>
        <w:spacing w:line="360" w:lineRule="auto"/>
        <w:contextualSpacing/>
      </w:pPr>
    </w:p>
    <w:sectPr w:rsidR="0090656E" w:rsidSect="0090656E">
      <w:footerReference w:type="even" r:id="rId7"/>
      <w:footerReference w:type="default" r:id="rId8"/>
      <w:pgSz w:w="11900" w:h="16840"/>
      <w:pgMar w:top="1418" w:right="1418" w:bottom="1134" w:left="1418" w:header="709" w:footer="709" w:gutter="0"/>
      <w:cols w:space="708"/>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1BF1" w:rsidRDefault="00171BF1" w:rsidP="00B6622B">
      <w:r>
        <w:separator/>
      </w:r>
    </w:p>
  </w:endnote>
  <w:endnote w:type="continuationSeparator" w:id="0">
    <w:p w:rsidR="00171BF1" w:rsidRDefault="00171BF1" w:rsidP="00B6622B">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SPIonic">
    <w:panose1 w:val="00000400000000000000"/>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BF1" w:rsidRDefault="00171BF1" w:rsidP="000262E2">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rsidR="00171BF1" w:rsidRDefault="00171BF1" w:rsidP="000262E2">
    <w:pPr>
      <w:pStyle w:val="Fuzeile"/>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BF1" w:rsidRDefault="00171BF1" w:rsidP="000262E2">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045B40">
      <w:rPr>
        <w:rStyle w:val="Seitenzahl"/>
        <w:noProof/>
      </w:rPr>
      <w:t>18</w:t>
    </w:r>
    <w:r>
      <w:rPr>
        <w:rStyle w:val="Seitenzahl"/>
      </w:rPr>
      <w:fldChar w:fldCharType="end"/>
    </w:r>
  </w:p>
  <w:p w:rsidR="00171BF1" w:rsidRDefault="00171BF1" w:rsidP="000262E2">
    <w:pPr>
      <w:pStyle w:val="Fuzeile"/>
      <w:ind w:right="360"/>
    </w:pPr>
    <w:fldSimple w:instr=" TIME \@ &quot;dd/MM/yyyy&quot; ">
      <w:r w:rsidR="00045B40">
        <w:rPr>
          <w:noProof/>
        </w:rPr>
        <w:t>06/02/2011</w:t>
      </w:r>
    </w:fldSimple>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1BF1" w:rsidRDefault="00171BF1" w:rsidP="00B6622B">
      <w:r>
        <w:separator/>
      </w:r>
    </w:p>
  </w:footnote>
  <w:footnote w:type="continuationSeparator" w:id="0">
    <w:p w:rsidR="00171BF1" w:rsidRDefault="00171BF1" w:rsidP="00B6622B">
      <w:r>
        <w:continuationSeparator/>
      </w:r>
    </w:p>
  </w:footnote>
  <w:footnote w:id="1">
    <w:p w:rsidR="00171BF1" w:rsidRPr="00CD39E6" w:rsidRDefault="00171BF1" w:rsidP="009B654C">
      <w:pPr>
        <w:pStyle w:val="Funotentext"/>
        <w:rPr>
          <w:sz w:val="20"/>
        </w:rPr>
      </w:pPr>
      <w:r w:rsidRPr="00CD39E6">
        <w:rPr>
          <w:rStyle w:val="Funotenzeichen"/>
          <w:sz w:val="20"/>
        </w:rPr>
        <w:footnoteRef/>
      </w:r>
      <w:r w:rsidRPr="00CD39E6">
        <w:rPr>
          <w:sz w:val="20"/>
        </w:rPr>
        <w:t xml:space="preserve"> ‘The New Perspective on Paul’, first </w:t>
      </w:r>
      <w:proofErr w:type="spellStart"/>
      <w:r w:rsidRPr="00CD39E6">
        <w:rPr>
          <w:sz w:val="20"/>
        </w:rPr>
        <w:t>pubished</w:t>
      </w:r>
      <w:proofErr w:type="spellEnd"/>
      <w:r w:rsidRPr="00CD39E6">
        <w:rPr>
          <w:sz w:val="20"/>
        </w:rPr>
        <w:t xml:space="preserve"> in </w:t>
      </w:r>
      <w:r w:rsidRPr="00CD39E6">
        <w:rPr>
          <w:i/>
          <w:sz w:val="20"/>
        </w:rPr>
        <w:t xml:space="preserve">Bulletin of the John </w:t>
      </w:r>
      <w:proofErr w:type="spellStart"/>
      <w:r w:rsidRPr="00CD39E6">
        <w:rPr>
          <w:i/>
          <w:sz w:val="20"/>
        </w:rPr>
        <w:t>Rylands</w:t>
      </w:r>
      <w:proofErr w:type="spellEnd"/>
      <w:r w:rsidRPr="00CD39E6">
        <w:rPr>
          <w:i/>
          <w:sz w:val="20"/>
        </w:rPr>
        <w:t xml:space="preserve"> Library </w:t>
      </w:r>
      <w:r w:rsidRPr="00CD39E6">
        <w:rPr>
          <w:sz w:val="20"/>
        </w:rPr>
        <w:t xml:space="preserve">Manchester, 65 (1983), 95-122, </w:t>
      </w:r>
      <w:r>
        <w:rPr>
          <w:sz w:val="20"/>
        </w:rPr>
        <w:t xml:space="preserve">reprinted in </w:t>
      </w:r>
      <w:proofErr w:type="spellStart"/>
      <w:r>
        <w:rPr>
          <w:sz w:val="20"/>
        </w:rPr>
        <w:t>J.D.G.Dunn</w:t>
      </w:r>
      <w:proofErr w:type="spellEnd"/>
      <w:r>
        <w:rPr>
          <w:sz w:val="20"/>
        </w:rPr>
        <w:t xml:space="preserve">, </w:t>
      </w:r>
      <w:r>
        <w:rPr>
          <w:i/>
          <w:sz w:val="20"/>
        </w:rPr>
        <w:t>Jesus, Paul and the Law: Studies in Mark and Galatians</w:t>
      </w:r>
      <w:r w:rsidRPr="00CD39E6">
        <w:rPr>
          <w:sz w:val="20"/>
        </w:rPr>
        <w:t xml:space="preserve">, </w:t>
      </w:r>
      <w:r>
        <w:rPr>
          <w:sz w:val="20"/>
        </w:rPr>
        <w:t xml:space="preserve">London: SPCK 1990, 183-214, </w:t>
      </w:r>
      <w:r w:rsidRPr="00CD39E6">
        <w:rPr>
          <w:sz w:val="20"/>
        </w:rPr>
        <w:t xml:space="preserve">now also </w:t>
      </w:r>
      <w:proofErr w:type="spellStart"/>
      <w:r w:rsidRPr="00CD39E6">
        <w:rPr>
          <w:sz w:val="20"/>
        </w:rPr>
        <w:t>J.D.G.Dunn</w:t>
      </w:r>
      <w:proofErr w:type="spellEnd"/>
      <w:r w:rsidRPr="00CD39E6">
        <w:rPr>
          <w:sz w:val="20"/>
        </w:rPr>
        <w:t xml:space="preserve">, </w:t>
      </w:r>
      <w:r w:rsidRPr="00CD39E6">
        <w:rPr>
          <w:i/>
          <w:sz w:val="20"/>
        </w:rPr>
        <w:t>The New Perspective on Paul: Collected Essays.</w:t>
      </w:r>
      <w:r w:rsidRPr="00CD39E6">
        <w:rPr>
          <w:sz w:val="20"/>
        </w:rPr>
        <w:t xml:space="preserve"> </w:t>
      </w:r>
      <w:proofErr w:type="spellStart"/>
      <w:r w:rsidRPr="00CD39E6">
        <w:rPr>
          <w:sz w:val="20"/>
        </w:rPr>
        <w:t>Tübingen</w:t>
      </w:r>
      <w:proofErr w:type="gramStart"/>
      <w:r w:rsidRPr="00CD39E6">
        <w:rPr>
          <w:sz w:val="20"/>
        </w:rPr>
        <w:t>:Mohr</w:t>
      </w:r>
      <w:proofErr w:type="spellEnd"/>
      <w:proofErr w:type="gramEnd"/>
      <w:r w:rsidRPr="00CD39E6">
        <w:rPr>
          <w:sz w:val="20"/>
        </w:rPr>
        <w:t xml:space="preserve"> </w:t>
      </w:r>
      <w:proofErr w:type="spellStart"/>
      <w:r w:rsidRPr="00CD39E6">
        <w:rPr>
          <w:sz w:val="20"/>
        </w:rPr>
        <w:t>Siebeck</w:t>
      </w:r>
      <w:proofErr w:type="spellEnd"/>
      <w:r w:rsidRPr="00CD39E6">
        <w:rPr>
          <w:sz w:val="20"/>
        </w:rPr>
        <w:t xml:space="preserve"> 2005,89-110.</w:t>
      </w:r>
    </w:p>
  </w:footnote>
  <w:footnote w:id="2">
    <w:p w:rsidR="00171BF1" w:rsidRPr="00CD39E6" w:rsidRDefault="00171BF1">
      <w:pPr>
        <w:pStyle w:val="Funotentext"/>
        <w:rPr>
          <w:sz w:val="20"/>
        </w:rPr>
      </w:pPr>
      <w:r w:rsidRPr="00CD39E6">
        <w:rPr>
          <w:rStyle w:val="Funotenzeichen"/>
          <w:sz w:val="20"/>
        </w:rPr>
        <w:footnoteRef/>
      </w:r>
      <w:r>
        <w:rPr>
          <w:sz w:val="20"/>
        </w:rPr>
        <w:t xml:space="preserve"> </w:t>
      </w:r>
      <w:proofErr w:type="spellStart"/>
      <w:r>
        <w:rPr>
          <w:sz w:val="20"/>
        </w:rPr>
        <w:t>E.P.Sanders</w:t>
      </w:r>
      <w:proofErr w:type="spellEnd"/>
      <w:r>
        <w:rPr>
          <w:sz w:val="20"/>
        </w:rPr>
        <w:t xml:space="preserve">, </w:t>
      </w:r>
      <w:r>
        <w:rPr>
          <w:i/>
          <w:sz w:val="20"/>
        </w:rPr>
        <w:t xml:space="preserve">Paul and Palestinian Judaism. </w:t>
      </w:r>
      <w:proofErr w:type="gramStart"/>
      <w:r>
        <w:rPr>
          <w:i/>
          <w:sz w:val="20"/>
        </w:rPr>
        <w:t>A Comparison of Patterns of Religion.</w:t>
      </w:r>
      <w:proofErr w:type="gramEnd"/>
      <w:r>
        <w:rPr>
          <w:sz w:val="20"/>
        </w:rPr>
        <w:t xml:space="preserve"> Philadelphia: Fortress Press 1977.</w:t>
      </w:r>
    </w:p>
  </w:footnote>
  <w:footnote w:id="3">
    <w:p w:rsidR="00171BF1" w:rsidRPr="00CD39E6" w:rsidRDefault="00171BF1">
      <w:pPr>
        <w:pStyle w:val="Funotentext"/>
        <w:rPr>
          <w:sz w:val="20"/>
        </w:rPr>
      </w:pPr>
      <w:r w:rsidRPr="00CD39E6">
        <w:rPr>
          <w:rStyle w:val="Funotenzeichen"/>
          <w:sz w:val="20"/>
        </w:rPr>
        <w:footnoteRef/>
      </w:r>
      <w:r w:rsidRPr="00CD39E6">
        <w:rPr>
          <w:sz w:val="20"/>
        </w:rPr>
        <w:t xml:space="preserve"> </w:t>
      </w:r>
      <w:r>
        <w:rPr>
          <w:sz w:val="20"/>
        </w:rPr>
        <w:t xml:space="preserve">See the earlier volumes in this series, especially </w:t>
      </w:r>
      <w:proofErr w:type="spellStart"/>
      <w:r>
        <w:rPr>
          <w:sz w:val="20"/>
        </w:rPr>
        <w:t>D.Patte</w:t>
      </w:r>
      <w:proofErr w:type="spellEnd"/>
      <w:r>
        <w:rPr>
          <w:sz w:val="20"/>
        </w:rPr>
        <w:t xml:space="preserve">, </w:t>
      </w:r>
      <w:proofErr w:type="spellStart"/>
      <w:r>
        <w:rPr>
          <w:sz w:val="20"/>
        </w:rPr>
        <w:t>E.TeSelle</w:t>
      </w:r>
      <w:proofErr w:type="spellEnd"/>
      <w:r>
        <w:rPr>
          <w:sz w:val="20"/>
        </w:rPr>
        <w:t>, eds</w:t>
      </w:r>
      <w:proofErr w:type="gramStart"/>
      <w:r>
        <w:rPr>
          <w:sz w:val="20"/>
        </w:rPr>
        <w:t>.,</w:t>
      </w:r>
      <w:proofErr w:type="gramEnd"/>
      <w:r>
        <w:rPr>
          <w:sz w:val="20"/>
        </w:rPr>
        <w:t xml:space="preserve"> </w:t>
      </w:r>
      <w:r>
        <w:rPr>
          <w:i/>
          <w:sz w:val="20"/>
        </w:rPr>
        <w:t>Engaging Augustine on Romans.</w:t>
      </w:r>
      <w:r>
        <w:rPr>
          <w:sz w:val="20"/>
        </w:rPr>
        <w:t xml:space="preserve"> London, New </w:t>
      </w:r>
      <w:proofErr w:type="spellStart"/>
      <w:r>
        <w:rPr>
          <w:sz w:val="20"/>
        </w:rPr>
        <w:t>York</w:t>
      </w:r>
      <w:proofErr w:type="gramStart"/>
      <w:r>
        <w:rPr>
          <w:sz w:val="20"/>
        </w:rPr>
        <w:t>:T</w:t>
      </w:r>
      <w:proofErr w:type="gramEnd"/>
      <w:r>
        <w:rPr>
          <w:sz w:val="20"/>
        </w:rPr>
        <w:t>&amp;T</w:t>
      </w:r>
      <w:proofErr w:type="spellEnd"/>
      <w:r>
        <w:rPr>
          <w:sz w:val="20"/>
        </w:rPr>
        <w:t xml:space="preserve"> Clark 2005, </w:t>
      </w:r>
      <w:proofErr w:type="spellStart"/>
      <w:r>
        <w:rPr>
          <w:sz w:val="20"/>
        </w:rPr>
        <w:t>K.L.Gaca</w:t>
      </w:r>
      <w:proofErr w:type="spellEnd"/>
      <w:r>
        <w:rPr>
          <w:sz w:val="20"/>
        </w:rPr>
        <w:t xml:space="preserve">, L.L. </w:t>
      </w:r>
      <w:proofErr w:type="spellStart"/>
      <w:r>
        <w:rPr>
          <w:sz w:val="20"/>
        </w:rPr>
        <w:t>Welborn</w:t>
      </w:r>
      <w:proofErr w:type="spellEnd"/>
      <w:r>
        <w:rPr>
          <w:sz w:val="20"/>
        </w:rPr>
        <w:t xml:space="preserve">, eds., </w:t>
      </w:r>
      <w:r>
        <w:rPr>
          <w:i/>
          <w:sz w:val="20"/>
        </w:rPr>
        <w:t>Early Patristic Readings of Romans,</w:t>
      </w:r>
      <w:r>
        <w:rPr>
          <w:sz w:val="20"/>
        </w:rPr>
        <w:t xml:space="preserve"> London, New York: T&amp;T Clark 2006, </w:t>
      </w:r>
      <w:proofErr w:type="spellStart"/>
      <w:r>
        <w:rPr>
          <w:sz w:val="20"/>
        </w:rPr>
        <w:t>W.S.Campbell</w:t>
      </w:r>
      <w:proofErr w:type="spellEnd"/>
      <w:r>
        <w:rPr>
          <w:sz w:val="20"/>
        </w:rPr>
        <w:t xml:space="preserve">, </w:t>
      </w:r>
      <w:proofErr w:type="spellStart"/>
      <w:r>
        <w:rPr>
          <w:sz w:val="20"/>
        </w:rPr>
        <w:t>P.S.Hawkins</w:t>
      </w:r>
      <w:proofErr w:type="spellEnd"/>
      <w:r>
        <w:rPr>
          <w:sz w:val="20"/>
        </w:rPr>
        <w:t xml:space="preserve">, </w:t>
      </w:r>
      <w:proofErr w:type="spellStart"/>
      <w:r>
        <w:rPr>
          <w:sz w:val="20"/>
        </w:rPr>
        <w:t>B.D.Schildgen</w:t>
      </w:r>
      <w:proofErr w:type="spellEnd"/>
      <w:r>
        <w:rPr>
          <w:sz w:val="20"/>
        </w:rPr>
        <w:t xml:space="preserve">, eds., </w:t>
      </w:r>
      <w:r>
        <w:rPr>
          <w:i/>
          <w:sz w:val="20"/>
        </w:rPr>
        <w:t>Medieval Readings of Romans.</w:t>
      </w:r>
      <w:r>
        <w:rPr>
          <w:sz w:val="20"/>
        </w:rPr>
        <w:t xml:space="preserve"> London, New York: T&amp;T Clark 2007, </w:t>
      </w:r>
      <w:proofErr w:type="spellStart"/>
      <w:r>
        <w:rPr>
          <w:sz w:val="20"/>
        </w:rPr>
        <w:t>R.W.Holder</w:t>
      </w:r>
      <w:proofErr w:type="spellEnd"/>
      <w:r>
        <w:rPr>
          <w:sz w:val="20"/>
        </w:rPr>
        <w:t xml:space="preserve">, </w:t>
      </w:r>
      <w:proofErr w:type="spellStart"/>
      <w:r>
        <w:rPr>
          <w:sz w:val="20"/>
        </w:rPr>
        <w:t>K.Ehrensperger</w:t>
      </w:r>
      <w:proofErr w:type="spellEnd"/>
      <w:r>
        <w:rPr>
          <w:sz w:val="20"/>
        </w:rPr>
        <w:t xml:space="preserve"> eds</w:t>
      </w:r>
      <w:proofErr w:type="gramStart"/>
      <w:r>
        <w:rPr>
          <w:sz w:val="20"/>
        </w:rPr>
        <w:t>.,</w:t>
      </w:r>
      <w:proofErr w:type="gramEnd"/>
      <w:r>
        <w:rPr>
          <w:sz w:val="20"/>
        </w:rPr>
        <w:t xml:space="preserve"> </w:t>
      </w:r>
      <w:r>
        <w:rPr>
          <w:i/>
          <w:sz w:val="20"/>
        </w:rPr>
        <w:t>Reformation Readings of Romans.</w:t>
      </w:r>
      <w:r>
        <w:rPr>
          <w:sz w:val="20"/>
        </w:rPr>
        <w:t xml:space="preserve"> London, New York: T&amp;T Clark 2008. </w:t>
      </w:r>
    </w:p>
  </w:footnote>
  <w:footnote w:id="4">
    <w:p w:rsidR="00171BF1" w:rsidRPr="00A0322B" w:rsidRDefault="00171BF1">
      <w:pPr>
        <w:pStyle w:val="Funotentext"/>
        <w:rPr>
          <w:sz w:val="20"/>
        </w:rPr>
      </w:pPr>
      <w:r w:rsidRPr="00CD39E6">
        <w:rPr>
          <w:rStyle w:val="Funotenzeichen"/>
          <w:sz w:val="20"/>
        </w:rPr>
        <w:footnoteRef/>
      </w:r>
      <w:r w:rsidRPr="00CD39E6">
        <w:rPr>
          <w:sz w:val="20"/>
        </w:rPr>
        <w:t xml:space="preserve"> Cf. </w:t>
      </w:r>
      <w:proofErr w:type="spellStart"/>
      <w:r>
        <w:rPr>
          <w:sz w:val="20"/>
        </w:rPr>
        <w:t>G.N.Hansen</w:t>
      </w:r>
      <w:proofErr w:type="spellEnd"/>
      <w:r>
        <w:rPr>
          <w:sz w:val="20"/>
        </w:rPr>
        <w:t xml:space="preserve">, ‘Door and Passageway: Calvin’s Use of Romans as Hermeneutical and Theological Guide’, in </w:t>
      </w:r>
      <w:proofErr w:type="spellStart"/>
      <w:r>
        <w:rPr>
          <w:sz w:val="20"/>
        </w:rPr>
        <w:t>R.W.Holder</w:t>
      </w:r>
      <w:proofErr w:type="spellEnd"/>
      <w:r>
        <w:rPr>
          <w:sz w:val="20"/>
        </w:rPr>
        <w:t xml:space="preserve">, </w:t>
      </w:r>
      <w:proofErr w:type="spellStart"/>
      <w:r>
        <w:rPr>
          <w:sz w:val="20"/>
        </w:rPr>
        <w:t>K.Ehrensperger</w:t>
      </w:r>
      <w:proofErr w:type="spellEnd"/>
      <w:r>
        <w:rPr>
          <w:sz w:val="20"/>
        </w:rPr>
        <w:t>, eds</w:t>
      </w:r>
      <w:proofErr w:type="gramStart"/>
      <w:r>
        <w:rPr>
          <w:sz w:val="20"/>
        </w:rPr>
        <w:t>.,</w:t>
      </w:r>
      <w:proofErr w:type="gramEnd"/>
      <w:r>
        <w:rPr>
          <w:sz w:val="20"/>
        </w:rPr>
        <w:t xml:space="preserve"> </w:t>
      </w:r>
      <w:r>
        <w:rPr>
          <w:i/>
          <w:sz w:val="20"/>
        </w:rPr>
        <w:t>Reformation Readings of Romans,</w:t>
      </w:r>
      <w:r>
        <w:rPr>
          <w:sz w:val="20"/>
        </w:rPr>
        <w:t xml:space="preserve"> 77-94.</w:t>
      </w:r>
    </w:p>
  </w:footnote>
  <w:footnote w:id="5">
    <w:p w:rsidR="00171BF1" w:rsidRPr="00CD39E6" w:rsidRDefault="00171BF1">
      <w:pPr>
        <w:pStyle w:val="Funotentext"/>
        <w:rPr>
          <w:sz w:val="20"/>
        </w:rPr>
      </w:pPr>
      <w:r w:rsidRPr="00CD39E6">
        <w:rPr>
          <w:rStyle w:val="Funotenzeichen"/>
          <w:sz w:val="20"/>
        </w:rPr>
        <w:footnoteRef/>
      </w:r>
      <w:r>
        <w:rPr>
          <w:sz w:val="20"/>
        </w:rPr>
        <w:t xml:space="preserve"> See </w:t>
      </w:r>
      <w:r>
        <w:rPr>
          <w:i/>
          <w:sz w:val="20"/>
        </w:rPr>
        <w:t xml:space="preserve">Pauline Theology, volumes I-IV </w:t>
      </w:r>
      <w:r>
        <w:rPr>
          <w:sz w:val="20"/>
        </w:rPr>
        <w:t xml:space="preserve">Minneapolis. Fortress 1991-96 which were the result of the 10 year SBL project Pauline Theology which had committed itself to reading each letter in its </w:t>
      </w:r>
      <w:proofErr w:type="gramStart"/>
      <w:r>
        <w:rPr>
          <w:sz w:val="20"/>
        </w:rPr>
        <w:t xml:space="preserve">particularity </w:t>
      </w:r>
      <w:r>
        <w:rPr>
          <w:i/>
          <w:sz w:val="20"/>
        </w:rPr>
        <w:t>.</w:t>
      </w:r>
      <w:proofErr w:type="gramEnd"/>
      <w:r>
        <w:rPr>
          <w:i/>
          <w:sz w:val="20"/>
        </w:rPr>
        <w:t xml:space="preserve"> </w:t>
      </w:r>
      <w:r w:rsidRPr="00CD39E6">
        <w:rPr>
          <w:sz w:val="20"/>
        </w:rPr>
        <w:t xml:space="preserve"> </w:t>
      </w:r>
    </w:p>
  </w:footnote>
  <w:footnote w:id="6">
    <w:p w:rsidR="00171BF1" w:rsidRPr="00CD39E6" w:rsidRDefault="00171BF1">
      <w:pPr>
        <w:pStyle w:val="Funotentext"/>
        <w:rPr>
          <w:sz w:val="20"/>
        </w:rPr>
      </w:pPr>
      <w:r w:rsidRPr="00CD39E6">
        <w:rPr>
          <w:rStyle w:val="Funotenzeichen"/>
          <w:sz w:val="20"/>
        </w:rPr>
        <w:footnoteRef/>
      </w:r>
      <w:r w:rsidRPr="00CD39E6">
        <w:rPr>
          <w:sz w:val="20"/>
        </w:rPr>
        <w:t xml:space="preserve"> Cf. </w:t>
      </w:r>
      <w:proofErr w:type="spellStart"/>
      <w:r w:rsidRPr="00CD39E6">
        <w:rPr>
          <w:sz w:val="20"/>
        </w:rPr>
        <w:t>V.Stolle</w:t>
      </w:r>
      <w:proofErr w:type="spellEnd"/>
      <w:r w:rsidRPr="00CD39E6">
        <w:rPr>
          <w:sz w:val="20"/>
        </w:rPr>
        <w:t xml:space="preserve">, </w:t>
      </w:r>
      <w:r w:rsidRPr="00CD39E6">
        <w:rPr>
          <w:i/>
          <w:sz w:val="20"/>
        </w:rPr>
        <w:t xml:space="preserve">Luther und </w:t>
      </w:r>
      <w:proofErr w:type="spellStart"/>
      <w:r w:rsidRPr="00CD39E6">
        <w:rPr>
          <w:i/>
          <w:sz w:val="20"/>
        </w:rPr>
        <w:t>Paulus</w:t>
      </w:r>
      <w:proofErr w:type="spellEnd"/>
      <w:r w:rsidRPr="00CD39E6">
        <w:rPr>
          <w:i/>
          <w:sz w:val="20"/>
        </w:rPr>
        <w:t xml:space="preserve">. Die </w:t>
      </w:r>
      <w:proofErr w:type="spellStart"/>
      <w:r w:rsidRPr="00CD39E6">
        <w:rPr>
          <w:i/>
          <w:sz w:val="20"/>
        </w:rPr>
        <w:t>exegetischen</w:t>
      </w:r>
      <w:proofErr w:type="spellEnd"/>
      <w:r w:rsidRPr="00CD39E6">
        <w:rPr>
          <w:i/>
          <w:sz w:val="20"/>
        </w:rPr>
        <w:t xml:space="preserve"> und </w:t>
      </w:r>
      <w:proofErr w:type="spellStart"/>
      <w:r w:rsidRPr="00CD39E6">
        <w:rPr>
          <w:i/>
          <w:sz w:val="20"/>
        </w:rPr>
        <w:t>hermeneutischen</w:t>
      </w:r>
      <w:proofErr w:type="spellEnd"/>
      <w:r w:rsidRPr="00CD39E6">
        <w:rPr>
          <w:i/>
          <w:sz w:val="20"/>
        </w:rPr>
        <w:t xml:space="preserve"> </w:t>
      </w:r>
      <w:proofErr w:type="spellStart"/>
      <w:r w:rsidRPr="00CD39E6">
        <w:rPr>
          <w:i/>
          <w:sz w:val="20"/>
        </w:rPr>
        <w:t>Grundlagen</w:t>
      </w:r>
      <w:proofErr w:type="spellEnd"/>
      <w:r w:rsidRPr="00CD39E6">
        <w:rPr>
          <w:i/>
          <w:sz w:val="20"/>
        </w:rPr>
        <w:t xml:space="preserve"> </w:t>
      </w:r>
      <w:proofErr w:type="spellStart"/>
      <w:r w:rsidRPr="00CD39E6">
        <w:rPr>
          <w:i/>
          <w:sz w:val="20"/>
        </w:rPr>
        <w:t>der</w:t>
      </w:r>
      <w:proofErr w:type="spellEnd"/>
      <w:r w:rsidRPr="00CD39E6">
        <w:rPr>
          <w:i/>
          <w:sz w:val="20"/>
        </w:rPr>
        <w:t xml:space="preserve"> </w:t>
      </w:r>
      <w:proofErr w:type="spellStart"/>
      <w:r w:rsidRPr="00CD39E6">
        <w:rPr>
          <w:i/>
          <w:sz w:val="20"/>
        </w:rPr>
        <w:t>lutherischen</w:t>
      </w:r>
      <w:proofErr w:type="spellEnd"/>
      <w:r w:rsidRPr="00CD39E6">
        <w:rPr>
          <w:i/>
          <w:sz w:val="20"/>
        </w:rPr>
        <w:t xml:space="preserve"> </w:t>
      </w:r>
      <w:proofErr w:type="spellStart"/>
      <w:r w:rsidRPr="00CD39E6">
        <w:rPr>
          <w:i/>
          <w:sz w:val="20"/>
        </w:rPr>
        <w:t>Rechtfertigungslehre</w:t>
      </w:r>
      <w:proofErr w:type="spellEnd"/>
      <w:r w:rsidRPr="00CD39E6">
        <w:rPr>
          <w:i/>
          <w:sz w:val="20"/>
        </w:rPr>
        <w:t xml:space="preserve"> </w:t>
      </w:r>
      <w:proofErr w:type="spellStart"/>
      <w:r w:rsidRPr="00CD39E6">
        <w:rPr>
          <w:i/>
          <w:sz w:val="20"/>
        </w:rPr>
        <w:t>im</w:t>
      </w:r>
      <w:proofErr w:type="spellEnd"/>
      <w:r w:rsidRPr="00CD39E6">
        <w:rPr>
          <w:i/>
          <w:sz w:val="20"/>
        </w:rPr>
        <w:t xml:space="preserve"> </w:t>
      </w:r>
      <w:proofErr w:type="spellStart"/>
      <w:r w:rsidRPr="00CD39E6">
        <w:rPr>
          <w:i/>
          <w:sz w:val="20"/>
        </w:rPr>
        <w:t>Paulinismus</w:t>
      </w:r>
      <w:proofErr w:type="spellEnd"/>
      <w:r w:rsidRPr="00CD39E6">
        <w:rPr>
          <w:i/>
          <w:sz w:val="20"/>
        </w:rPr>
        <w:t xml:space="preserve"> </w:t>
      </w:r>
      <w:proofErr w:type="spellStart"/>
      <w:r w:rsidRPr="00CD39E6">
        <w:rPr>
          <w:i/>
          <w:sz w:val="20"/>
        </w:rPr>
        <w:t>Luthers</w:t>
      </w:r>
      <w:proofErr w:type="spellEnd"/>
      <w:r w:rsidRPr="00CD39E6">
        <w:rPr>
          <w:i/>
          <w:sz w:val="20"/>
        </w:rPr>
        <w:t>.</w:t>
      </w:r>
      <w:r w:rsidRPr="00CD39E6">
        <w:rPr>
          <w:sz w:val="20"/>
        </w:rPr>
        <w:t xml:space="preserve"> Leipzig 2002.</w:t>
      </w:r>
    </w:p>
  </w:footnote>
  <w:footnote w:id="7">
    <w:p w:rsidR="00171BF1" w:rsidRPr="00CD39E6" w:rsidRDefault="00171BF1">
      <w:pPr>
        <w:pStyle w:val="Funotentext"/>
        <w:rPr>
          <w:sz w:val="20"/>
        </w:rPr>
      </w:pPr>
      <w:r w:rsidRPr="00CD39E6">
        <w:rPr>
          <w:rStyle w:val="Funotenzeichen"/>
          <w:sz w:val="20"/>
        </w:rPr>
        <w:footnoteRef/>
      </w:r>
      <w:r w:rsidRPr="00CD39E6">
        <w:rPr>
          <w:sz w:val="20"/>
        </w:rPr>
        <w:t xml:space="preserve"> Cf. </w:t>
      </w:r>
      <w:r>
        <w:rPr>
          <w:sz w:val="20"/>
        </w:rPr>
        <w:t xml:space="preserve">First published as ‘The Apostle Paul and the Introspective Conscience of the </w:t>
      </w:r>
      <w:proofErr w:type="spellStart"/>
      <w:r>
        <w:rPr>
          <w:sz w:val="20"/>
        </w:rPr>
        <w:t>West’</w:t>
      </w:r>
      <w:proofErr w:type="spellEnd"/>
      <w:r>
        <w:rPr>
          <w:sz w:val="20"/>
        </w:rPr>
        <w:t xml:space="preserve">, </w:t>
      </w:r>
      <w:r>
        <w:rPr>
          <w:i/>
          <w:sz w:val="20"/>
        </w:rPr>
        <w:t xml:space="preserve">HTR </w:t>
      </w:r>
      <w:r>
        <w:rPr>
          <w:sz w:val="20"/>
        </w:rPr>
        <w:t xml:space="preserve">56, 1963, 199-215, republished in </w:t>
      </w:r>
      <w:proofErr w:type="spellStart"/>
      <w:r>
        <w:rPr>
          <w:sz w:val="20"/>
        </w:rPr>
        <w:t>K.Stendahl</w:t>
      </w:r>
      <w:proofErr w:type="spellEnd"/>
      <w:r>
        <w:rPr>
          <w:sz w:val="20"/>
        </w:rPr>
        <w:t xml:space="preserve">, </w:t>
      </w:r>
      <w:r>
        <w:rPr>
          <w:i/>
          <w:sz w:val="20"/>
        </w:rPr>
        <w:t xml:space="preserve">Paul Among Jews and Gentiles and Other </w:t>
      </w:r>
      <w:proofErr w:type="spellStart"/>
      <w:r>
        <w:rPr>
          <w:i/>
          <w:sz w:val="20"/>
        </w:rPr>
        <w:t>Essays</w:t>
      </w:r>
      <w:proofErr w:type="spellEnd"/>
      <w:r>
        <w:rPr>
          <w:i/>
          <w:sz w:val="20"/>
        </w:rPr>
        <w:t>.</w:t>
      </w:r>
      <w:r>
        <w:rPr>
          <w:sz w:val="20"/>
        </w:rPr>
        <w:t xml:space="preserve"> Philadelphia: Fortress Press 1976. </w:t>
      </w:r>
      <w:proofErr w:type="spellStart"/>
      <w:r>
        <w:rPr>
          <w:sz w:val="20"/>
        </w:rPr>
        <w:t>Cf</w:t>
      </w:r>
      <w:proofErr w:type="spellEnd"/>
      <w:r>
        <w:rPr>
          <w:sz w:val="20"/>
        </w:rPr>
        <w:t xml:space="preserve"> also </w:t>
      </w:r>
      <w:proofErr w:type="spellStart"/>
      <w:r>
        <w:rPr>
          <w:sz w:val="20"/>
        </w:rPr>
        <w:t>W.S.Campbell’s</w:t>
      </w:r>
      <w:proofErr w:type="spellEnd"/>
      <w:r>
        <w:rPr>
          <w:sz w:val="20"/>
        </w:rPr>
        <w:t xml:space="preserve"> discussion in ‘Ernst </w:t>
      </w:r>
      <w:proofErr w:type="spellStart"/>
      <w:r w:rsidRPr="00CD39E6">
        <w:rPr>
          <w:sz w:val="20"/>
        </w:rPr>
        <w:t>Käsemann</w:t>
      </w:r>
      <w:proofErr w:type="spellEnd"/>
      <w:r>
        <w:rPr>
          <w:sz w:val="20"/>
        </w:rPr>
        <w:t xml:space="preserve"> on Romans: the Way Forward or the End of an Era?’ </w:t>
      </w:r>
      <w:r w:rsidRPr="00CD39E6">
        <w:rPr>
          <w:sz w:val="20"/>
        </w:rPr>
        <w:t xml:space="preserve"> </w:t>
      </w:r>
      <w:proofErr w:type="gramStart"/>
      <w:r w:rsidRPr="00CD39E6">
        <w:rPr>
          <w:sz w:val="20"/>
        </w:rPr>
        <w:t>in</w:t>
      </w:r>
      <w:proofErr w:type="gramEnd"/>
      <w:r w:rsidRPr="00CD39E6">
        <w:rPr>
          <w:sz w:val="20"/>
        </w:rPr>
        <w:t xml:space="preserve"> this vol</w:t>
      </w:r>
      <w:r>
        <w:rPr>
          <w:sz w:val="20"/>
        </w:rPr>
        <w:t>ume</w:t>
      </w:r>
      <w:r w:rsidRPr="00CD39E6">
        <w:rPr>
          <w:sz w:val="20"/>
        </w:rPr>
        <w:t>.</w:t>
      </w:r>
    </w:p>
  </w:footnote>
  <w:footnote w:id="8">
    <w:p w:rsidR="00171BF1" w:rsidRPr="00CD39E6" w:rsidRDefault="00171BF1">
      <w:pPr>
        <w:pStyle w:val="Funotentext"/>
        <w:rPr>
          <w:sz w:val="20"/>
        </w:rPr>
      </w:pPr>
      <w:r w:rsidRPr="00CD39E6">
        <w:rPr>
          <w:rStyle w:val="Funotenzeichen"/>
          <w:sz w:val="20"/>
        </w:rPr>
        <w:footnoteRef/>
      </w:r>
      <w:r w:rsidRPr="00CD39E6">
        <w:rPr>
          <w:sz w:val="20"/>
        </w:rPr>
        <w:t xml:space="preserve"> </w:t>
      </w:r>
      <w:proofErr w:type="spellStart"/>
      <w:r w:rsidRPr="00CD39E6">
        <w:rPr>
          <w:sz w:val="20"/>
        </w:rPr>
        <w:t>G.F.Moore</w:t>
      </w:r>
      <w:proofErr w:type="spellEnd"/>
      <w:r w:rsidRPr="00CD39E6">
        <w:rPr>
          <w:sz w:val="20"/>
        </w:rPr>
        <w:t xml:space="preserve">, ‘Christian Writers on Judaism’, </w:t>
      </w:r>
      <w:r w:rsidRPr="00CD39E6">
        <w:rPr>
          <w:i/>
          <w:sz w:val="20"/>
        </w:rPr>
        <w:t>HTR</w:t>
      </w:r>
      <w:r w:rsidRPr="00CD39E6">
        <w:rPr>
          <w:sz w:val="20"/>
        </w:rPr>
        <w:t xml:space="preserve"> 14, 1921, 197-254, W.D. Davies, </w:t>
      </w:r>
      <w:r w:rsidRPr="00CD39E6">
        <w:rPr>
          <w:i/>
          <w:sz w:val="20"/>
        </w:rPr>
        <w:t>Paul and Rabbinic Judaism: Some Rabbinic Elements in Pauline Theology.</w:t>
      </w:r>
      <w:r w:rsidRPr="00CD39E6">
        <w:rPr>
          <w:sz w:val="20"/>
        </w:rPr>
        <w:t xml:space="preserve"> </w:t>
      </w:r>
      <w:r>
        <w:rPr>
          <w:sz w:val="20"/>
        </w:rPr>
        <w:t xml:space="preserve">London: SPCK </w:t>
      </w:r>
      <w:r w:rsidRPr="00CD39E6">
        <w:rPr>
          <w:sz w:val="20"/>
        </w:rPr>
        <w:t>1948.</w:t>
      </w:r>
    </w:p>
  </w:footnote>
  <w:footnote w:id="9">
    <w:p w:rsidR="00171BF1" w:rsidRPr="00CD39E6" w:rsidRDefault="00171BF1">
      <w:pPr>
        <w:pStyle w:val="Funotentext"/>
        <w:rPr>
          <w:sz w:val="20"/>
        </w:rPr>
      </w:pPr>
      <w:r w:rsidRPr="00CD39E6">
        <w:rPr>
          <w:rStyle w:val="Funotenzeichen"/>
          <w:sz w:val="20"/>
        </w:rPr>
        <w:footnoteRef/>
      </w:r>
      <w:r w:rsidRPr="00CD39E6">
        <w:rPr>
          <w:sz w:val="20"/>
        </w:rPr>
        <w:t xml:space="preserve"> Reactions opposing the ‘New Perspective’ can be found among Lutheran and existentialist approaches as well as other representatives of Protestant theologies, some evangelical and also Roman-Catholic scholars. The former see in the New Perspective a threat to core </w:t>
      </w:r>
      <w:r>
        <w:rPr>
          <w:sz w:val="20"/>
        </w:rPr>
        <w:t xml:space="preserve">aspects of </w:t>
      </w:r>
      <w:r w:rsidRPr="00CD39E6">
        <w:rPr>
          <w:sz w:val="20"/>
        </w:rPr>
        <w:t>Protestant Theology,</w:t>
      </w:r>
      <w:r>
        <w:rPr>
          <w:sz w:val="20"/>
        </w:rPr>
        <w:t xml:space="preserve"> </w:t>
      </w:r>
      <w:r w:rsidRPr="00CD39E6">
        <w:rPr>
          <w:sz w:val="20"/>
        </w:rPr>
        <w:t xml:space="preserve">others fear a de-theologizing of Pauline interpretation. On this cf. </w:t>
      </w:r>
      <w:proofErr w:type="spellStart"/>
      <w:r w:rsidRPr="00CD39E6">
        <w:rPr>
          <w:sz w:val="20"/>
        </w:rPr>
        <w:t>K.Haacker</w:t>
      </w:r>
      <w:proofErr w:type="spellEnd"/>
      <w:r w:rsidRPr="00CD39E6">
        <w:rPr>
          <w:sz w:val="20"/>
        </w:rPr>
        <w:t>, ‘</w:t>
      </w:r>
      <w:proofErr w:type="spellStart"/>
      <w:r w:rsidRPr="00CD39E6">
        <w:rPr>
          <w:sz w:val="20"/>
        </w:rPr>
        <w:t>Verdienste</w:t>
      </w:r>
      <w:proofErr w:type="spellEnd"/>
      <w:r w:rsidRPr="00CD39E6">
        <w:rPr>
          <w:sz w:val="20"/>
        </w:rPr>
        <w:t xml:space="preserve"> und </w:t>
      </w:r>
      <w:proofErr w:type="spellStart"/>
      <w:r w:rsidRPr="00CD39E6">
        <w:rPr>
          <w:sz w:val="20"/>
        </w:rPr>
        <w:t>Grenzen</w:t>
      </w:r>
      <w:proofErr w:type="spellEnd"/>
      <w:r w:rsidRPr="00CD39E6">
        <w:rPr>
          <w:sz w:val="20"/>
        </w:rPr>
        <w:t xml:space="preserve"> </w:t>
      </w:r>
      <w:proofErr w:type="spellStart"/>
      <w:r w:rsidRPr="00CD39E6">
        <w:rPr>
          <w:sz w:val="20"/>
        </w:rPr>
        <w:t>der</w:t>
      </w:r>
      <w:proofErr w:type="spellEnd"/>
      <w:r w:rsidRPr="00CD39E6">
        <w:rPr>
          <w:sz w:val="20"/>
        </w:rPr>
        <w:t xml:space="preserve"> “</w:t>
      </w:r>
      <w:proofErr w:type="spellStart"/>
      <w:r w:rsidRPr="00CD39E6">
        <w:rPr>
          <w:sz w:val="20"/>
        </w:rPr>
        <w:t>neuen</w:t>
      </w:r>
      <w:proofErr w:type="spellEnd"/>
      <w:r w:rsidRPr="00CD39E6">
        <w:rPr>
          <w:sz w:val="20"/>
        </w:rPr>
        <w:t xml:space="preserve"> </w:t>
      </w:r>
      <w:proofErr w:type="spellStart"/>
      <w:r w:rsidRPr="00CD39E6">
        <w:rPr>
          <w:sz w:val="20"/>
        </w:rPr>
        <w:t>Perspektive</w:t>
      </w:r>
      <w:proofErr w:type="spellEnd"/>
      <w:r w:rsidRPr="00CD39E6">
        <w:rPr>
          <w:sz w:val="20"/>
        </w:rPr>
        <w:t xml:space="preserve">” </w:t>
      </w:r>
      <w:proofErr w:type="spellStart"/>
      <w:r w:rsidRPr="00CD39E6">
        <w:rPr>
          <w:sz w:val="20"/>
        </w:rPr>
        <w:t>der</w:t>
      </w:r>
      <w:proofErr w:type="spellEnd"/>
      <w:r w:rsidRPr="00CD39E6">
        <w:rPr>
          <w:sz w:val="20"/>
        </w:rPr>
        <w:t xml:space="preserve"> </w:t>
      </w:r>
      <w:proofErr w:type="spellStart"/>
      <w:r w:rsidRPr="00CD39E6">
        <w:rPr>
          <w:sz w:val="20"/>
        </w:rPr>
        <w:t>Paulus-Auslegung</w:t>
      </w:r>
      <w:proofErr w:type="spellEnd"/>
      <w:r w:rsidRPr="00CD39E6">
        <w:rPr>
          <w:sz w:val="20"/>
        </w:rPr>
        <w:t xml:space="preserve">’, </w:t>
      </w:r>
      <w:proofErr w:type="spellStart"/>
      <w:r w:rsidRPr="00CD39E6">
        <w:rPr>
          <w:sz w:val="20"/>
        </w:rPr>
        <w:t>M.Bachmann</w:t>
      </w:r>
      <w:proofErr w:type="spellEnd"/>
      <w:r w:rsidRPr="00CD39E6">
        <w:rPr>
          <w:sz w:val="20"/>
        </w:rPr>
        <w:t xml:space="preserve"> ed., </w:t>
      </w:r>
      <w:proofErr w:type="spellStart"/>
      <w:r w:rsidRPr="00CD39E6">
        <w:rPr>
          <w:i/>
          <w:sz w:val="20"/>
        </w:rPr>
        <w:t>Lutherische</w:t>
      </w:r>
      <w:proofErr w:type="spellEnd"/>
      <w:r w:rsidRPr="00CD39E6">
        <w:rPr>
          <w:i/>
          <w:sz w:val="20"/>
        </w:rPr>
        <w:t xml:space="preserve"> und </w:t>
      </w:r>
      <w:proofErr w:type="spellStart"/>
      <w:r w:rsidRPr="00CD39E6">
        <w:rPr>
          <w:i/>
          <w:sz w:val="20"/>
        </w:rPr>
        <w:t>Neue</w:t>
      </w:r>
      <w:proofErr w:type="spellEnd"/>
      <w:r w:rsidRPr="00CD39E6">
        <w:rPr>
          <w:i/>
          <w:sz w:val="20"/>
        </w:rPr>
        <w:t xml:space="preserve"> </w:t>
      </w:r>
      <w:proofErr w:type="spellStart"/>
      <w:r w:rsidRPr="00CD39E6">
        <w:rPr>
          <w:i/>
          <w:sz w:val="20"/>
        </w:rPr>
        <w:t>Paulusperspektive</w:t>
      </w:r>
      <w:proofErr w:type="spellEnd"/>
      <w:r w:rsidRPr="00CD39E6">
        <w:rPr>
          <w:i/>
          <w:sz w:val="20"/>
        </w:rPr>
        <w:t>.</w:t>
      </w:r>
      <w:r w:rsidRPr="00CD39E6">
        <w:rPr>
          <w:sz w:val="20"/>
        </w:rPr>
        <w:t xml:space="preserve"> </w:t>
      </w:r>
      <w:proofErr w:type="spellStart"/>
      <w:r w:rsidRPr="00CD39E6">
        <w:rPr>
          <w:sz w:val="20"/>
        </w:rPr>
        <w:t>Tübingen</w:t>
      </w:r>
      <w:proofErr w:type="spellEnd"/>
      <w:r w:rsidRPr="00CD39E6">
        <w:rPr>
          <w:sz w:val="20"/>
        </w:rPr>
        <w:t xml:space="preserve">: Mohr </w:t>
      </w:r>
      <w:proofErr w:type="spellStart"/>
      <w:r w:rsidRPr="00CD39E6">
        <w:rPr>
          <w:sz w:val="20"/>
        </w:rPr>
        <w:t>Siebeck</w:t>
      </w:r>
      <w:proofErr w:type="spellEnd"/>
      <w:r w:rsidRPr="00CD39E6">
        <w:rPr>
          <w:sz w:val="20"/>
        </w:rPr>
        <w:t xml:space="preserve"> 2005, 3-15, 4.</w:t>
      </w:r>
    </w:p>
  </w:footnote>
  <w:footnote w:id="10">
    <w:p w:rsidR="00171BF1" w:rsidRPr="00CD39E6" w:rsidRDefault="00171BF1">
      <w:pPr>
        <w:pStyle w:val="Funotentext"/>
        <w:rPr>
          <w:sz w:val="20"/>
        </w:rPr>
      </w:pPr>
      <w:r w:rsidRPr="00CD39E6">
        <w:rPr>
          <w:rStyle w:val="Funotenzeichen"/>
          <w:sz w:val="20"/>
        </w:rPr>
        <w:footnoteRef/>
      </w:r>
      <w:r w:rsidRPr="00CD39E6">
        <w:rPr>
          <w:sz w:val="20"/>
        </w:rPr>
        <w:t xml:space="preserve"> Cf. </w:t>
      </w:r>
      <w:proofErr w:type="spellStart"/>
      <w:r>
        <w:rPr>
          <w:sz w:val="20"/>
        </w:rPr>
        <w:t>I.</w:t>
      </w:r>
      <w:r w:rsidRPr="00CD39E6">
        <w:rPr>
          <w:sz w:val="20"/>
        </w:rPr>
        <w:t>Bendik</w:t>
      </w:r>
      <w:proofErr w:type="spellEnd"/>
      <w:r w:rsidRPr="00CD39E6">
        <w:rPr>
          <w:sz w:val="20"/>
        </w:rPr>
        <w:t xml:space="preserve">, </w:t>
      </w:r>
      <w:proofErr w:type="spellStart"/>
      <w:r w:rsidRPr="00CD39E6">
        <w:rPr>
          <w:i/>
          <w:sz w:val="20"/>
        </w:rPr>
        <w:t>Paulus</w:t>
      </w:r>
      <w:proofErr w:type="spellEnd"/>
      <w:r w:rsidRPr="00CD39E6">
        <w:rPr>
          <w:i/>
          <w:sz w:val="20"/>
        </w:rPr>
        <w:t xml:space="preserve"> in </w:t>
      </w:r>
      <w:proofErr w:type="spellStart"/>
      <w:r w:rsidRPr="00CD39E6">
        <w:rPr>
          <w:i/>
          <w:sz w:val="20"/>
        </w:rPr>
        <w:t>Neuer</w:t>
      </w:r>
      <w:proofErr w:type="spellEnd"/>
      <w:r w:rsidRPr="00CD39E6">
        <w:rPr>
          <w:i/>
          <w:sz w:val="20"/>
        </w:rPr>
        <w:t xml:space="preserve"> </w:t>
      </w:r>
      <w:proofErr w:type="spellStart"/>
      <w:proofErr w:type="gramStart"/>
      <w:r w:rsidRPr="00CD39E6">
        <w:rPr>
          <w:i/>
          <w:sz w:val="20"/>
        </w:rPr>
        <w:t>Sicht</w:t>
      </w:r>
      <w:proofErr w:type="spellEnd"/>
      <w:r w:rsidRPr="00CD39E6">
        <w:rPr>
          <w:i/>
          <w:sz w:val="20"/>
        </w:rPr>
        <w:t xml:space="preserve"> ?</w:t>
      </w:r>
      <w:proofErr w:type="gramEnd"/>
      <w:r>
        <w:rPr>
          <w:i/>
          <w:sz w:val="20"/>
        </w:rPr>
        <w:t xml:space="preserve"> </w:t>
      </w:r>
      <w:proofErr w:type="spellStart"/>
      <w:proofErr w:type="gramStart"/>
      <w:r>
        <w:rPr>
          <w:i/>
          <w:sz w:val="20"/>
        </w:rPr>
        <w:t>Eine</w:t>
      </w:r>
      <w:proofErr w:type="spellEnd"/>
      <w:r>
        <w:rPr>
          <w:i/>
          <w:sz w:val="20"/>
        </w:rPr>
        <w:t xml:space="preserve"> </w:t>
      </w:r>
      <w:proofErr w:type="spellStart"/>
      <w:r>
        <w:rPr>
          <w:i/>
          <w:sz w:val="20"/>
        </w:rPr>
        <w:t>kritische</w:t>
      </w:r>
      <w:proofErr w:type="spellEnd"/>
      <w:r>
        <w:rPr>
          <w:i/>
          <w:sz w:val="20"/>
        </w:rPr>
        <w:t xml:space="preserve"> </w:t>
      </w:r>
      <w:proofErr w:type="spellStart"/>
      <w:r>
        <w:rPr>
          <w:i/>
          <w:sz w:val="20"/>
        </w:rPr>
        <w:t>Einführung</w:t>
      </w:r>
      <w:proofErr w:type="spellEnd"/>
      <w:r>
        <w:rPr>
          <w:i/>
          <w:sz w:val="20"/>
        </w:rPr>
        <w:t xml:space="preserve"> in die ‘New Perspective on Paul.</w:t>
      </w:r>
      <w:proofErr w:type="gramEnd"/>
      <w:r>
        <w:rPr>
          <w:sz w:val="20"/>
        </w:rPr>
        <w:t xml:space="preserve"> Stuttgart: </w:t>
      </w:r>
      <w:proofErr w:type="spellStart"/>
      <w:r>
        <w:rPr>
          <w:sz w:val="20"/>
        </w:rPr>
        <w:t>Kohlhammer</w:t>
      </w:r>
      <w:proofErr w:type="spellEnd"/>
      <w:r>
        <w:rPr>
          <w:sz w:val="20"/>
        </w:rPr>
        <w:t xml:space="preserve"> 2010</w:t>
      </w:r>
      <w:r w:rsidRPr="00CD39E6">
        <w:rPr>
          <w:i/>
          <w:sz w:val="20"/>
        </w:rPr>
        <w:t>,</w:t>
      </w:r>
      <w:r w:rsidRPr="00CD39E6">
        <w:rPr>
          <w:sz w:val="20"/>
        </w:rPr>
        <w:t>122.</w:t>
      </w:r>
    </w:p>
  </w:footnote>
  <w:footnote w:id="11">
    <w:p w:rsidR="00171BF1" w:rsidRPr="00CD39E6" w:rsidRDefault="00171BF1">
      <w:pPr>
        <w:pStyle w:val="Funotentext"/>
        <w:rPr>
          <w:sz w:val="20"/>
        </w:rPr>
      </w:pPr>
      <w:r w:rsidRPr="00CD39E6">
        <w:rPr>
          <w:rStyle w:val="Funotenzeichen"/>
          <w:sz w:val="20"/>
        </w:rPr>
        <w:footnoteRef/>
      </w:r>
      <w:r w:rsidRPr="00CD39E6">
        <w:rPr>
          <w:sz w:val="20"/>
        </w:rPr>
        <w:t xml:space="preserve"> </w:t>
      </w:r>
      <w:r>
        <w:rPr>
          <w:sz w:val="20"/>
        </w:rPr>
        <w:t>‘</w:t>
      </w:r>
      <w:r>
        <w:rPr>
          <w:rFonts w:ascii="Times New Roman" w:hAnsi="Times New Roman"/>
          <w:sz w:val="20"/>
          <w:szCs w:val="32"/>
          <w:lang w:val="de-DE"/>
        </w:rPr>
        <w:t xml:space="preserve">Paul and </w:t>
      </w:r>
      <w:r>
        <w:rPr>
          <w:rFonts w:ascii="Times New Roman" w:hAnsi="Times New Roman"/>
          <w:sz w:val="20"/>
          <w:szCs w:val="32"/>
        </w:rPr>
        <w:t>“</w:t>
      </w:r>
      <w:proofErr w:type="spellStart"/>
      <w:r>
        <w:rPr>
          <w:rFonts w:ascii="Times New Roman" w:hAnsi="Times New Roman"/>
          <w:sz w:val="20"/>
          <w:szCs w:val="32"/>
          <w:lang w:val="de-DE"/>
        </w:rPr>
        <w:t>Covenantal</w:t>
      </w:r>
      <w:proofErr w:type="spellEnd"/>
      <w:r>
        <w:rPr>
          <w:rFonts w:ascii="Times New Roman" w:hAnsi="Times New Roman"/>
          <w:sz w:val="20"/>
          <w:szCs w:val="32"/>
          <w:lang w:val="de-DE"/>
        </w:rPr>
        <w:t xml:space="preserve"> </w:t>
      </w:r>
      <w:proofErr w:type="spellStart"/>
      <w:r>
        <w:rPr>
          <w:rFonts w:ascii="Times New Roman" w:hAnsi="Times New Roman"/>
          <w:sz w:val="20"/>
          <w:szCs w:val="32"/>
          <w:lang w:val="de-DE"/>
        </w:rPr>
        <w:t>Nomism</w:t>
      </w:r>
      <w:proofErr w:type="spellEnd"/>
      <w:r>
        <w:rPr>
          <w:rFonts w:ascii="Times New Roman" w:hAnsi="Times New Roman"/>
          <w:sz w:val="20"/>
          <w:szCs w:val="32"/>
          <w:lang w:val="de-DE"/>
        </w:rPr>
        <w:t>”’, in</w:t>
      </w:r>
      <w:r w:rsidRPr="0048765C">
        <w:rPr>
          <w:rFonts w:ascii="Times New Roman" w:hAnsi="Times New Roman"/>
          <w:sz w:val="20"/>
          <w:szCs w:val="32"/>
          <w:lang w:val="de-DE"/>
        </w:rPr>
        <w:t xml:space="preserve"> </w:t>
      </w:r>
      <w:r w:rsidRPr="0048765C">
        <w:rPr>
          <w:rFonts w:ascii="Times New Roman" w:hAnsi="Times New Roman"/>
          <w:i/>
          <w:sz w:val="20"/>
          <w:szCs w:val="32"/>
          <w:lang w:val="de-DE"/>
        </w:rPr>
        <w:t xml:space="preserve">Paul and </w:t>
      </w:r>
      <w:proofErr w:type="spellStart"/>
      <w:r w:rsidRPr="0048765C">
        <w:rPr>
          <w:rFonts w:ascii="Times New Roman" w:hAnsi="Times New Roman"/>
          <w:i/>
          <w:sz w:val="20"/>
          <w:szCs w:val="32"/>
          <w:lang w:val="de-DE"/>
        </w:rPr>
        <w:t>Paulinism</w:t>
      </w:r>
      <w:proofErr w:type="spellEnd"/>
      <w:r w:rsidRPr="0048765C">
        <w:rPr>
          <w:rFonts w:ascii="Times New Roman" w:hAnsi="Times New Roman"/>
          <w:i/>
          <w:sz w:val="20"/>
          <w:szCs w:val="32"/>
          <w:lang w:val="de-DE"/>
        </w:rPr>
        <w:t xml:space="preserve">: Essays in </w:t>
      </w:r>
      <w:proofErr w:type="spellStart"/>
      <w:r w:rsidRPr="0048765C">
        <w:rPr>
          <w:rFonts w:ascii="Times New Roman" w:hAnsi="Times New Roman"/>
          <w:i/>
          <w:sz w:val="20"/>
          <w:szCs w:val="32"/>
          <w:lang w:val="de-DE"/>
        </w:rPr>
        <w:t>Honour</w:t>
      </w:r>
      <w:proofErr w:type="spellEnd"/>
      <w:r w:rsidRPr="0048765C">
        <w:rPr>
          <w:rFonts w:ascii="Times New Roman" w:hAnsi="Times New Roman"/>
          <w:i/>
          <w:sz w:val="20"/>
          <w:szCs w:val="32"/>
          <w:lang w:val="de-DE"/>
        </w:rPr>
        <w:t xml:space="preserve"> of CK </w:t>
      </w:r>
      <w:proofErr w:type="spellStart"/>
      <w:r w:rsidRPr="0048765C">
        <w:rPr>
          <w:rFonts w:ascii="Times New Roman" w:hAnsi="Times New Roman"/>
          <w:i/>
          <w:sz w:val="20"/>
          <w:szCs w:val="32"/>
          <w:lang w:val="de-DE"/>
        </w:rPr>
        <w:t>Barrett</w:t>
      </w:r>
      <w:proofErr w:type="spellEnd"/>
      <w:r>
        <w:rPr>
          <w:rFonts w:ascii="Times New Roman" w:hAnsi="Times New Roman"/>
          <w:sz w:val="20"/>
          <w:szCs w:val="32"/>
          <w:lang w:val="de-DE"/>
        </w:rPr>
        <w:t>,</w:t>
      </w:r>
      <w:r w:rsidRPr="0048765C">
        <w:rPr>
          <w:rFonts w:ascii="Times New Roman" w:hAnsi="Times New Roman"/>
          <w:sz w:val="20"/>
          <w:szCs w:val="32"/>
          <w:lang w:val="de-DE"/>
        </w:rPr>
        <w:t xml:space="preserve"> M</w:t>
      </w:r>
      <w:r>
        <w:rPr>
          <w:rFonts w:ascii="Times New Roman" w:hAnsi="Times New Roman"/>
          <w:sz w:val="20"/>
          <w:szCs w:val="32"/>
          <w:lang w:val="de-DE"/>
        </w:rPr>
        <w:t>.</w:t>
      </w:r>
      <w:r w:rsidRPr="0048765C">
        <w:rPr>
          <w:rFonts w:ascii="Times New Roman" w:hAnsi="Times New Roman"/>
          <w:sz w:val="20"/>
          <w:szCs w:val="32"/>
          <w:lang w:val="de-DE"/>
        </w:rPr>
        <w:t>D</w:t>
      </w:r>
      <w:r>
        <w:rPr>
          <w:rFonts w:ascii="Times New Roman" w:hAnsi="Times New Roman"/>
          <w:sz w:val="20"/>
          <w:szCs w:val="32"/>
          <w:lang w:val="de-DE"/>
        </w:rPr>
        <w:t>.</w:t>
      </w:r>
      <w:r w:rsidRPr="0048765C">
        <w:rPr>
          <w:rFonts w:ascii="Times New Roman" w:hAnsi="Times New Roman"/>
          <w:sz w:val="20"/>
          <w:szCs w:val="32"/>
          <w:lang w:val="de-DE"/>
        </w:rPr>
        <w:t xml:space="preserve"> </w:t>
      </w:r>
      <w:proofErr w:type="spellStart"/>
      <w:r w:rsidRPr="0048765C">
        <w:rPr>
          <w:rFonts w:ascii="Times New Roman" w:hAnsi="Times New Roman"/>
          <w:sz w:val="20"/>
          <w:szCs w:val="32"/>
          <w:lang w:val="de-DE"/>
        </w:rPr>
        <w:t>Hooker</w:t>
      </w:r>
      <w:proofErr w:type="spellEnd"/>
      <w:r>
        <w:rPr>
          <w:rFonts w:ascii="Times New Roman" w:hAnsi="Times New Roman"/>
          <w:sz w:val="20"/>
          <w:szCs w:val="32"/>
          <w:lang w:val="de-DE"/>
        </w:rPr>
        <w:t>,</w:t>
      </w:r>
      <w:r w:rsidRPr="0048765C">
        <w:rPr>
          <w:rFonts w:ascii="Times New Roman" w:hAnsi="Times New Roman"/>
          <w:sz w:val="20"/>
          <w:szCs w:val="32"/>
          <w:lang w:val="de-DE"/>
        </w:rPr>
        <w:t xml:space="preserve"> S</w:t>
      </w:r>
      <w:r>
        <w:rPr>
          <w:rFonts w:ascii="Times New Roman" w:hAnsi="Times New Roman"/>
          <w:sz w:val="20"/>
          <w:szCs w:val="32"/>
          <w:lang w:val="de-DE"/>
        </w:rPr>
        <w:t>.</w:t>
      </w:r>
      <w:r w:rsidRPr="0048765C">
        <w:rPr>
          <w:rFonts w:ascii="Times New Roman" w:hAnsi="Times New Roman"/>
          <w:sz w:val="20"/>
          <w:szCs w:val="32"/>
          <w:lang w:val="de-DE"/>
        </w:rPr>
        <w:t>G</w:t>
      </w:r>
      <w:r>
        <w:rPr>
          <w:rFonts w:ascii="Times New Roman" w:hAnsi="Times New Roman"/>
          <w:sz w:val="20"/>
          <w:szCs w:val="32"/>
          <w:lang w:val="de-DE"/>
        </w:rPr>
        <w:t>.</w:t>
      </w:r>
      <w:r w:rsidRPr="0048765C">
        <w:rPr>
          <w:rFonts w:ascii="Times New Roman" w:hAnsi="Times New Roman"/>
          <w:sz w:val="20"/>
          <w:szCs w:val="32"/>
          <w:lang w:val="de-DE"/>
        </w:rPr>
        <w:t xml:space="preserve"> Wilson, </w:t>
      </w:r>
      <w:proofErr w:type="spellStart"/>
      <w:r>
        <w:rPr>
          <w:rFonts w:ascii="Times New Roman" w:hAnsi="Times New Roman"/>
          <w:sz w:val="20"/>
          <w:szCs w:val="32"/>
          <w:lang w:val="de-DE"/>
        </w:rPr>
        <w:t>London</w:t>
      </w:r>
      <w:proofErr w:type="gramStart"/>
      <w:r>
        <w:rPr>
          <w:rFonts w:ascii="Times New Roman" w:hAnsi="Times New Roman"/>
          <w:sz w:val="20"/>
          <w:szCs w:val="32"/>
          <w:lang w:val="de-DE"/>
        </w:rPr>
        <w:t>:SPCK</w:t>
      </w:r>
      <w:proofErr w:type="spellEnd"/>
      <w:proofErr w:type="gramEnd"/>
      <w:r>
        <w:rPr>
          <w:rFonts w:ascii="Times New Roman" w:hAnsi="Times New Roman"/>
          <w:sz w:val="20"/>
          <w:szCs w:val="32"/>
          <w:lang w:val="de-DE"/>
        </w:rPr>
        <w:t xml:space="preserve"> 1982, 47-56.</w:t>
      </w:r>
    </w:p>
  </w:footnote>
  <w:footnote w:id="12">
    <w:p w:rsidR="00171BF1" w:rsidRPr="00CD39E6" w:rsidRDefault="00171BF1">
      <w:pPr>
        <w:pStyle w:val="Funotentext"/>
        <w:rPr>
          <w:sz w:val="20"/>
        </w:rPr>
      </w:pPr>
      <w:r w:rsidRPr="00CD39E6">
        <w:rPr>
          <w:rStyle w:val="Funotenzeichen"/>
          <w:sz w:val="20"/>
        </w:rPr>
        <w:footnoteRef/>
      </w:r>
      <w:r>
        <w:rPr>
          <w:sz w:val="20"/>
        </w:rPr>
        <w:t xml:space="preserve"> Cf. E.P. </w:t>
      </w:r>
      <w:r w:rsidRPr="00CD39E6">
        <w:rPr>
          <w:sz w:val="20"/>
        </w:rPr>
        <w:t>Sanders</w:t>
      </w:r>
      <w:r>
        <w:rPr>
          <w:sz w:val="20"/>
        </w:rPr>
        <w:t xml:space="preserve">, </w:t>
      </w:r>
      <w:r>
        <w:rPr>
          <w:i/>
          <w:sz w:val="20"/>
        </w:rPr>
        <w:t>Paul and Palestinian Judaism,</w:t>
      </w:r>
      <w:r w:rsidRPr="00CD39E6">
        <w:rPr>
          <w:sz w:val="20"/>
        </w:rPr>
        <w:t xml:space="preserve"> xi</w:t>
      </w:r>
    </w:p>
  </w:footnote>
  <w:footnote w:id="13">
    <w:p w:rsidR="00171BF1" w:rsidRPr="00CD39E6" w:rsidRDefault="00171BF1">
      <w:pPr>
        <w:pStyle w:val="Funotentext"/>
        <w:rPr>
          <w:sz w:val="20"/>
        </w:rPr>
      </w:pPr>
      <w:r w:rsidRPr="00CD39E6">
        <w:rPr>
          <w:rStyle w:val="Funotenzeichen"/>
          <w:sz w:val="20"/>
        </w:rPr>
        <w:footnoteRef/>
      </w:r>
      <w:r w:rsidRPr="00CD39E6">
        <w:rPr>
          <w:sz w:val="20"/>
        </w:rPr>
        <w:t xml:space="preserve"> </w:t>
      </w:r>
      <w:proofErr w:type="spellStart"/>
      <w:r>
        <w:rPr>
          <w:sz w:val="20"/>
        </w:rPr>
        <w:t>E.P.Sanders</w:t>
      </w:r>
      <w:proofErr w:type="spellEnd"/>
      <w:r>
        <w:rPr>
          <w:sz w:val="20"/>
        </w:rPr>
        <w:t xml:space="preserve">, </w:t>
      </w:r>
      <w:r w:rsidRPr="007C6F4D">
        <w:rPr>
          <w:rFonts w:cs="Arial"/>
          <w:color w:val="333333"/>
          <w:sz w:val="20"/>
          <w:lang w:val="de-DE"/>
        </w:rPr>
        <w:t xml:space="preserve">“Patterns of Religion in Paul and </w:t>
      </w:r>
      <w:proofErr w:type="spellStart"/>
      <w:r w:rsidRPr="007C6F4D">
        <w:rPr>
          <w:rFonts w:cs="Arial"/>
          <w:color w:val="333333"/>
          <w:sz w:val="20"/>
          <w:lang w:val="de-DE"/>
        </w:rPr>
        <w:t>Rabbinic</w:t>
      </w:r>
      <w:proofErr w:type="spellEnd"/>
      <w:r w:rsidRPr="007C6F4D">
        <w:rPr>
          <w:rFonts w:cs="Arial"/>
          <w:color w:val="333333"/>
          <w:sz w:val="20"/>
          <w:lang w:val="de-DE"/>
        </w:rPr>
        <w:t xml:space="preserve"> </w:t>
      </w:r>
      <w:proofErr w:type="spellStart"/>
      <w:r w:rsidRPr="007C6F4D">
        <w:rPr>
          <w:rFonts w:cs="Arial"/>
          <w:color w:val="333333"/>
          <w:sz w:val="20"/>
          <w:lang w:val="de-DE"/>
        </w:rPr>
        <w:t>Judaism</w:t>
      </w:r>
      <w:proofErr w:type="spellEnd"/>
      <w:r w:rsidRPr="007C6F4D">
        <w:rPr>
          <w:rFonts w:cs="Arial"/>
          <w:color w:val="333333"/>
          <w:sz w:val="20"/>
          <w:lang w:val="de-DE"/>
        </w:rPr>
        <w:t xml:space="preserve">: A </w:t>
      </w:r>
      <w:proofErr w:type="spellStart"/>
      <w:r w:rsidRPr="007C6F4D">
        <w:rPr>
          <w:rFonts w:cs="Arial"/>
          <w:color w:val="333333"/>
          <w:sz w:val="20"/>
          <w:lang w:val="de-DE"/>
        </w:rPr>
        <w:t>Holistic</w:t>
      </w:r>
      <w:proofErr w:type="spellEnd"/>
      <w:r w:rsidRPr="007C6F4D">
        <w:rPr>
          <w:rFonts w:cs="Arial"/>
          <w:color w:val="333333"/>
          <w:sz w:val="20"/>
          <w:lang w:val="de-DE"/>
        </w:rPr>
        <w:t xml:space="preserve"> </w:t>
      </w:r>
      <w:proofErr w:type="spellStart"/>
      <w:r w:rsidRPr="007C6F4D">
        <w:rPr>
          <w:rFonts w:cs="Arial"/>
          <w:color w:val="333333"/>
          <w:sz w:val="20"/>
          <w:lang w:val="de-DE"/>
        </w:rPr>
        <w:t>Method</w:t>
      </w:r>
      <w:proofErr w:type="spellEnd"/>
      <w:r w:rsidRPr="007C6F4D">
        <w:rPr>
          <w:rFonts w:cs="Arial"/>
          <w:color w:val="333333"/>
          <w:sz w:val="20"/>
          <w:lang w:val="de-DE"/>
        </w:rPr>
        <w:t xml:space="preserve"> of </w:t>
      </w:r>
      <w:proofErr w:type="spellStart"/>
      <w:r w:rsidRPr="007C6F4D">
        <w:rPr>
          <w:rFonts w:cs="Arial"/>
          <w:color w:val="333333"/>
          <w:sz w:val="20"/>
          <w:lang w:val="de-DE"/>
        </w:rPr>
        <w:t>Comparison</w:t>
      </w:r>
      <w:proofErr w:type="spellEnd"/>
      <w:r w:rsidRPr="007C6F4D">
        <w:rPr>
          <w:rFonts w:cs="Arial"/>
          <w:color w:val="333333"/>
          <w:sz w:val="20"/>
          <w:lang w:val="de-DE"/>
        </w:rPr>
        <w:t>,” </w:t>
      </w:r>
      <w:r w:rsidRPr="007C6F4D">
        <w:rPr>
          <w:rFonts w:cs="Arial"/>
          <w:i/>
          <w:iCs/>
          <w:color w:val="333333"/>
          <w:sz w:val="20"/>
          <w:lang w:val="de-DE"/>
        </w:rPr>
        <w:t xml:space="preserve">HTR </w:t>
      </w:r>
      <w:r>
        <w:rPr>
          <w:rFonts w:cs="Arial"/>
          <w:color w:val="333333"/>
          <w:sz w:val="20"/>
          <w:lang w:val="de-DE"/>
        </w:rPr>
        <w:t xml:space="preserve">66 (1973), </w:t>
      </w:r>
      <w:r w:rsidRPr="007C6F4D">
        <w:rPr>
          <w:rFonts w:cs="Arial"/>
          <w:color w:val="333333"/>
          <w:sz w:val="20"/>
          <w:lang w:val="de-DE"/>
        </w:rPr>
        <w:t>455-78</w:t>
      </w:r>
    </w:p>
  </w:footnote>
  <w:footnote w:id="14">
    <w:p w:rsidR="00171BF1" w:rsidRPr="00CD39E6" w:rsidRDefault="00171BF1">
      <w:pPr>
        <w:pStyle w:val="Funotentext"/>
        <w:rPr>
          <w:sz w:val="20"/>
        </w:rPr>
      </w:pPr>
      <w:r w:rsidRPr="00CD39E6">
        <w:rPr>
          <w:rStyle w:val="Funotenzeichen"/>
          <w:sz w:val="20"/>
        </w:rPr>
        <w:footnoteRef/>
      </w:r>
      <w:r w:rsidRPr="00CD39E6">
        <w:rPr>
          <w:sz w:val="20"/>
        </w:rPr>
        <w:t xml:space="preserve"> </w:t>
      </w:r>
      <w:proofErr w:type="spellStart"/>
      <w:r w:rsidRPr="00CD39E6">
        <w:rPr>
          <w:sz w:val="20"/>
        </w:rPr>
        <w:t>Cf</w:t>
      </w:r>
      <w:proofErr w:type="spellEnd"/>
      <w:r w:rsidRPr="00CD39E6">
        <w:rPr>
          <w:sz w:val="20"/>
        </w:rPr>
        <w:t xml:space="preserve"> </w:t>
      </w:r>
      <w:proofErr w:type="spellStart"/>
      <w:r>
        <w:rPr>
          <w:sz w:val="20"/>
        </w:rPr>
        <w:t>I.Bendik</w:t>
      </w:r>
      <w:proofErr w:type="spellEnd"/>
      <w:r>
        <w:rPr>
          <w:sz w:val="20"/>
        </w:rPr>
        <w:t>,</w:t>
      </w:r>
      <w:r w:rsidRPr="00CD39E6">
        <w:rPr>
          <w:sz w:val="20"/>
        </w:rPr>
        <w:t xml:space="preserve"> </w:t>
      </w:r>
      <w:proofErr w:type="spellStart"/>
      <w:r w:rsidRPr="00CD39E6">
        <w:rPr>
          <w:i/>
          <w:sz w:val="20"/>
        </w:rPr>
        <w:t>Paulus</w:t>
      </w:r>
      <w:proofErr w:type="spellEnd"/>
      <w:r w:rsidRPr="00CD39E6">
        <w:rPr>
          <w:i/>
          <w:sz w:val="20"/>
        </w:rPr>
        <w:t xml:space="preserve"> in </w:t>
      </w:r>
      <w:proofErr w:type="spellStart"/>
      <w:r w:rsidRPr="00CD39E6">
        <w:rPr>
          <w:i/>
          <w:sz w:val="20"/>
        </w:rPr>
        <w:t>Neuer</w:t>
      </w:r>
      <w:proofErr w:type="spellEnd"/>
      <w:r w:rsidRPr="00CD39E6">
        <w:rPr>
          <w:i/>
          <w:sz w:val="20"/>
        </w:rPr>
        <w:t xml:space="preserve"> </w:t>
      </w:r>
      <w:proofErr w:type="spellStart"/>
      <w:proofErr w:type="gramStart"/>
      <w:r w:rsidRPr="00CD39E6">
        <w:rPr>
          <w:i/>
          <w:sz w:val="20"/>
        </w:rPr>
        <w:t>Sic</w:t>
      </w:r>
      <w:r>
        <w:rPr>
          <w:i/>
          <w:sz w:val="20"/>
        </w:rPr>
        <w:t>ht</w:t>
      </w:r>
      <w:proofErr w:type="spellEnd"/>
      <w:r>
        <w:rPr>
          <w:i/>
          <w:sz w:val="20"/>
        </w:rPr>
        <w:t xml:space="preserve"> ?</w:t>
      </w:r>
      <w:proofErr w:type="gramEnd"/>
      <w:r>
        <w:rPr>
          <w:i/>
          <w:sz w:val="20"/>
        </w:rPr>
        <w:t xml:space="preserve"> </w:t>
      </w:r>
      <w:proofErr w:type="gramStart"/>
      <w:r>
        <w:rPr>
          <w:sz w:val="20"/>
        </w:rPr>
        <w:t>,</w:t>
      </w:r>
      <w:r w:rsidRPr="00CD39E6">
        <w:rPr>
          <w:sz w:val="20"/>
        </w:rPr>
        <w:t>122</w:t>
      </w:r>
      <w:proofErr w:type="gramEnd"/>
      <w:r w:rsidRPr="00CD39E6">
        <w:rPr>
          <w:sz w:val="20"/>
        </w:rPr>
        <w:t>-4.</w:t>
      </w:r>
    </w:p>
  </w:footnote>
  <w:footnote w:id="15">
    <w:p w:rsidR="00171BF1" w:rsidRPr="00CD39E6" w:rsidRDefault="00171BF1">
      <w:pPr>
        <w:pStyle w:val="Funotentext"/>
        <w:rPr>
          <w:sz w:val="20"/>
        </w:rPr>
      </w:pPr>
      <w:r w:rsidRPr="00CD39E6">
        <w:rPr>
          <w:rStyle w:val="Funotenzeichen"/>
          <w:sz w:val="20"/>
        </w:rPr>
        <w:footnoteRef/>
      </w:r>
      <w:r w:rsidRPr="00CD39E6">
        <w:rPr>
          <w:sz w:val="20"/>
        </w:rPr>
        <w:t xml:space="preserve"> </w:t>
      </w:r>
      <w:r>
        <w:rPr>
          <w:sz w:val="20"/>
        </w:rPr>
        <w:t xml:space="preserve">Cf. </w:t>
      </w:r>
      <w:proofErr w:type="spellStart"/>
      <w:r>
        <w:rPr>
          <w:sz w:val="20"/>
        </w:rPr>
        <w:t>C.Claussen’s</w:t>
      </w:r>
      <w:proofErr w:type="spellEnd"/>
      <w:r>
        <w:rPr>
          <w:sz w:val="20"/>
        </w:rPr>
        <w:t xml:space="preserve"> contribution on Schweitzer in this volume. </w:t>
      </w:r>
    </w:p>
  </w:footnote>
  <w:footnote w:id="16">
    <w:p w:rsidR="00171BF1" w:rsidRPr="00CD39E6" w:rsidRDefault="00171BF1">
      <w:pPr>
        <w:pStyle w:val="Funotentext"/>
        <w:rPr>
          <w:sz w:val="20"/>
        </w:rPr>
      </w:pPr>
      <w:r w:rsidRPr="00CD39E6">
        <w:rPr>
          <w:rStyle w:val="Funotenzeichen"/>
          <w:sz w:val="20"/>
        </w:rPr>
        <w:footnoteRef/>
      </w:r>
      <w:r w:rsidRPr="00CD39E6">
        <w:rPr>
          <w:sz w:val="20"/>
        </w:rPr>
        <w:t xml:space="preserve"> Dunn, </w:t>
      </w:r>
      <w:r>
        <w:rPr>
          <w:sz w:val="20"/>
        </w:rPr>
        <w:t>‘</w:t>
      </w:r>
      <w:r w:rsidRPr="00CD39E6">
        <w:rPr>
          <w:sz w:val="20"/>
        </w:rPr>
        <w:t>The New Perspective</w:t>
      </w:r>
      <w:r>
        <w:rPr>
          <w:sz w:val="20"/>
        </w:rPr>
        <w:t xml:space="preserve"> on Paul’, in </w:t>
      </w:r>
      <w:r>
        <w:rPr>
          <w:i/>
          <w:sz w:val="20"/>
        </w:rPr>
        <w:t>Jesus, Paul and the Law: Studies in Mark and Galatians</w:t>
      </w:r>
      <w:r w:rsidRPr="00CD39E6">
        <w:rPr>
          <w:sz w:val="20"/>
        </w:rPr>
        <w:t xml:space="preserve">, </w:t>
      </w:r>
      <w:r>
        <w:rPr>
          <w:sz w:val="20"/>
        </w:rPr>
        <w:t xml:space="preserve">London: SPCK 1990, 183-214, 187. </w:t>
      </w:r>
    </w:p>
  </w:footnote>
  <w:footnote w:id="17">
    <w:p w:rsidR="00171BF1" w:rsidRPr="00CD39E6" w:rsidRDefault="00171BF1" w:rsidP="00452774">
      <w:pPr>
        <w:pStyle w:val="Funotentext"/>
        <w:rPr>
          <w:sz w:val="20"/>
        </w:rPr>
      </w:pPr>
      <w:r w:rsidRPr="00CD39E6">
        <w:rPr>
          <w:rStyle w:val="Funotenzeichen"/>
          <w:sz w:val="20"/>
        </w:rPr>
        <w:footnoteRef/>
      </w:r>
      <w:r w:rsidRPr="00CD39E6">
        <w:rPr>
          <w:sz w:val="20"/>
        </w:rPr>
        <w:t xml:space="preserve"> </w:t>
      </w:r>
      <w:proofErr w:type="spellStart"/>
      <w:proofErr w:type="gramStart"/>
      <w:r w:rsidRPr="00CD39E6">
        <w:rPr>
          <w:sz w:val="20"/>
        </w:rPr>
        <w:t>Dunn,’The</w:t>
      </w:r>
      <w:proofErr w:type="spellEnd"/>
      <w:r w:rsidRPr="00CD39E6">
        <w:rPr>
          <w:sz w:val="20"/>
        </w:rPr>
        <w:t xml:space="preserve"> New Perspec</w:t>
      </w:r>
      <w:r>
        <w:rPr>
          <w:sz w:val="20"/>
        </w:rPr>
        <w:t>tive’, 190.</w:t>
      </w:r>
      <w:proofErr w:type="gramEnd"/>
    </w:p>
  </w:footnote>
  <w:footnote w:id="18">
    <w:p w:rsidR="00171BF1" w:rsidRPr="009E0D5F" w:rsidRDefault="00171BF1">
      <w:pPr>
        <w:pStyle w:val="Funotentext"/>
        <w:rPr>
          <w:sz w:val="20"/>
        </w:rPr>
      </w:pPr>
      <w:r>
        <w:rPr>
          <w:rStyle w:val="Funotenzeichen"/>
        </w:rPr>
        <w:footnoteRef/>
      </w:r>
      <w:r>
        <w:t xml:space="preserve">  </w:t>
      </w:r>
      <w:r>
        <w:rPr>
          <w:sz w:val="20"/>
        </w:rPr>
        <w:t xml:space="preserve">This zeal is characterized as ‘an unconditional commitment to maintain Israel’s distinctiveness, to prevent the purity of its covenant set-apartness to God from </w:t>
      </w:r>
      <w:proofErr w:type="gramStart"/>
      <w:r>
        <w:rPr>
          <w:sz w:val="20"/>
        </w:rPr>
        <w:t>being …..defiled</w:t>
      </w:r>
      <w:proofErr w:type="gramEnd"/>
      <w:r>
        <w:rPr>
          <w:sz w:val="20"/>
        </w:rPr>
        <w:t>, to defend its religious and national boundaries….a readiness to do this by force……….this zeal was not only directed against Gentiles who threatened Israel’s boundaries, but against fellow Jews too.’ Dunn, ‘Paul’s Conversion: A Light to Twentieth Century Disputes’, 355.</w:t>
      </w:r>
    </w:p>
  </w:footnote>
  <w:footnote w:id="19">
    <w:p w:rsidR="00171BF1" w:rsidRPr="00B77A53" w:rsidRDefault="00171BF1">
      <w:pPr>
        <w:pStyle w:val="Funotentext"/>
        <w:rPr>
          <w:sz w:val="20"/>
        </w:rPr>
      </w:pPr>
      <w:r>
        <w:rPr>
          <w:rStyle w:val="Funotenzeichen"/>
        </w:rPr>
        <w:footnoteRef/>
      </w:r>
      <w:r>
        <w:t xml:space="preserve"> </w:t>
      </w:r>
      <w:r>
        <w:rPr>
          <w:sz w:val="20"/>
        </w:rPr>
        <w:t>This perception has some similarities with the concept of the ‘</w:t>
      </w:r>
      <w:proofErr w:type="spellStart"/>
      <w:r>
        <w:rPr>
          <w:sz w:val="20"/>
        </w:rPr>
        <w:t>Spätjudentum</w:t>
      </w:r>
      <w:proofErr w:type="spellEnd"/>
      <w:r>
        <w:rPr>
          <w:sz w:val="20"/>
        </w:rPr>
        <w:t>’ of earlier scholarship.</w:t>
      </w:r>
    </w:p>
  </w:footnote>
  <w:footnote w:id="20">
    <w:p w:rsidR="00171BF1" w:rsidRPr="00686C70" w:rsidRDefault="00171BF1">
      <w:pPr>
        <w:pStyle w:val="Funotentext"/>
        <w:rPr>
          <w:sz w:val="20"/>
        </w:rPr>
      </w:pPr>
      <w:r>
        <w:rPr>
          <w:rStyle w:val="Funotenzeichen"/>
        </w:rPr>
        <w:footnoteRef/>
      </w:r>
      <w:r>
        <w:t xml:space="preserve"> </w:t>
      </w:r>
      <w:r>
        <w:rPr>
          <w:sz w:val="20"/>
        </w:rPr>
        <w:t xml:space="preserve">Dunn, ‘Paul’s Conversion: A Light to Twentieth Century Disputes’, in </w:t>
      </w:r>
      <w:r>
        <w:rPr>
          <w:i/>
          <w:sz w:val="20"/>
        </w:rPr>
        <w:t>The New Perspective on Paul</w:t>
      </w:r>
      <w:proofErr w:type="gramStart"/>
      <w:r>
        <w:rPr>
          <w:i/>
          <w:sz w:val="20"/>
        </w:rPr>
        <w:t>,</w:t>
      </w:r>
      <w:r>
        <w:rPr>
          <w:sz w:val="20"/>
        </w:rPr>
        <w:t>341</w:t>
      </w:r>
      <w:proofErr w:type="gramEnd"/>
      <w:r>
        <w:rPr>
          <w:sz w:val="20"/>
        </w:rPr>
        <w:t>-59, 359.</w:t>
      </w:r>
    </w:p>
  </w:footnote>
  <w:footnote w:id="21">
    <w:p w:rsidR="00171BF1" w:rsidRPr="00CD39E6" w:rsidRDefault="00171BF1" w:rsidP="00452774">
      <w:pPr>
        <w:pStyle w:val="Funotentext"/>
        <w:rPr>
          <w:sz w:val="20"/>
        </w:rPr>
      </w:pPr>
      <w:r w:rsidRPr="00CD39E6">
        <w:rPr>
          <w:rStyle w:val="Funotenzeichen"/>
          <w:sz w:val="20"/>
        </w:rPr>
        <w:footnoteRef/>
      </w:r>
      <w:r w:rsidRPr="00CD39E6">
        <w:rPr>
          <w:sz w:val="20"/>
        </w:rPr>
        <w:t xml:space="preserve"> Dunn, </w:t>
      </w:r>
      <w:r w:rsidRPr="00A035D0">
        <w:rPr>
          <w:i/>
          <w:sz w:val="20"/>
        </w:rPr>
        <w:t>Theology</w:t>
      </w:r>
      <w:r>
        <w:rPr>
          <w:i/>
          <w:sz w:val="20"/>
        </w:rPr>
        <w:t xml:space="preserve"> of Paul</w:t>
      </w:r>
      <w:r w:rsidRPr="00CD39E6">
        <w:rPr>
          <w:sz w:val="20"/>
        </w:rPr>
        <w:t>, 511.</w:t>
      </w:r>
    </w:p>
  </w:footnote>
  <w:footnote w:id="22">
    <w:p w:rsidR="00171BF1" w:rsidRPr="00CD39E6" w:rsidRDefault="00171BF1" w:rsidP="00452774">
      <w:pPr>
        <w:pStyle w:val="Funotentext"/>
        <w:rPr>
          <w:sz w:val="20"/>
        </w:rPr>
      </w:pPr>
      <w:r w:rsidRPr="00CD39E6">
        <w:rPr>
          <w:rStyle w:val="Funotenzeichen"/>
          <w:sz w:val="20"/>
        </w:rPr>
        <w:footnoteRef/>
      </w:r>
      <w:r w:rsidRPr="00CD39E6">
        <w:rPr>
          <w:sz w:val="20"/>
        </w:rPr>
        <w:t xml:space="preserve"> Dunn, </w:t>
      </w:r>
      <w:r w:rsidRPr="00A035D0">
        <w:rPr>
          <w:i/>
          <w:sz w:val="20"/>
        </w:rPr>
        <w:t>Theology</w:t>
      </w:r>
      <w:r>
        <w:rPr>
          <w:i/>
          <w:sz w:val="20"/>
        </w:rPr>
        <w:t xml:space="preserve"> of Paul</w:t>
      </w:r>
      <w:proofErr w:type="gramStart"/>
      <w:r w:rsidRPr="00CD39E6">
        <w:rPr>
          <w:sz w:val="20"/>
        </w:rPr>
        <w:t>,508</w:t>
      </w:r>
      <w:proofErr w:type="gramEnd"/>
      <w:r w:rsidRPr="00CD39E6">
        <w:rPr>
          <w:sz w:val="20"/>
        </w:rPr>
        <w:t>.</w:t>
      </w:r>
    </w:p>
  </w:footnote>
  <w:footnote w:id="23">
    <w:p w:rsidR="00171BF1" w:rsidRPr="00597CAC" w:rsidRDefault="00171BF1">
      <w:pPr>
        <w:pStyle w:val="Funotentext"/>
        <w:rPr>
          <w:sz w:val="20"/>
        </w:rPr>
      </w:pPr>
      <w:r>
        <w:rPr>
          <w:rStyle w:val="Funotenzeichen"/>
        </w:rPr>
        <w:footnoteRef/>
      </w:r>
      <w:r>
        <w:t xml:space="preserve"> </w:t>
      </w:r>
      <w:r>
        <w:rPr>
          <w:sz w:val="20"/>
        </w:rPr>
        <w:t xml:space="preserve">Dunn, ‘The </w:t>
      </w:r>
      <w:proofErr w:type="spellStart"/>
      <w:r>
        <w:rPr>
          <w:sz w:val="20"/>
        </w:rPr>
        <w:t>NewPerspective</w:t>
      </w:r>
      <w:proofErr w:type="spellEnd"/>
      <w:r>
        <w:rPr>
          <w:sz w:val="20"/>
        </w:rPr>
        <w:t xml:space="preserve">: </w:t>
      </w:r>
      <w:proofErr w:type="spellStart"/>
      <w:r>
        <w:rPr>
          <w:sz w:val="20"/>
        </w:rPr>
        <w:t>whence</w:t>
      </w:r>
      <w:proofErr w:type="gramStart"/>
      <w:r>
        <w:rPr>
          <w:sz w:val="20"/>
        </w:rPr>
        <w:t>,what</w:t>
      </w:r>
      <w:proofErr w:type="spellEnd"/>
      <w:proofErr w:type="gramEnd"/>
      <w:r>
        <w:rPr>
          <w:sz w:val="20"/>
        </w:rPr>
        <w:t xml:space="preserve"> and whither?’, in </w:t>
      </w:r>
      <w:r>
        <w:rPr>
          <w:i/>
          <w:sz w:val="20"/>
        </w:rPr>
        <w:t>The New Perspective on Paul.</w:t>
      </w:r>
      <w:r>
        <w:rPr>
          <w:sz w:val="20"/>
        </w:rPr>
        <w:t xml:space="preserve"> </w:t>
      </w:r>
      <w:proofErr w:type="spellStart"/>
      <w:r>
        <w:rPr>
          <w:sz w:val="20"/>
        </w:rPr>
        <w:t>Tübingen</w:t>
      </w:r>
      <w:proofErr w:type="spellEnd"/>
      <w:r>
        <w:rPr>
          <w:sz w:val="20"/>
        </w:rPr>
        <w:t xml:space="preserve">: Mohr </w:t>
      </w:r>
      <w:proofErr w:type="spellStart"/>
      <w:r>
        <w:rPr>
          <w:sz w:val="20"/>
        </w:rPr>
        <w:t>Siebeck</w:t>
      </w:r>
      <w:proofErr w:type="spellEnd"/>
      <w:r>
        <w:rPr>
          <w:sz w:val="20"/>
        </w:rPr>
        <w:t xml:space="preserve"> 205, 1-88,50.</w:t>
      </w:r>
    </w:p>
  </w:footnote>
  <w:footnote w:id="24">
    <w:p w:rsidR="00171BF1" w:rsidRPr="00CD39E6" w:rsidRDefault="00171BF1">
      <w:pPr>
        <w:pStyle w:val="Funotentext"/>
        <w:rPr>
          <w:sz w:val="20"/>
        </w:rPr>
      </w:pPr>
      <w:r w:rsidRPr="00CD39E6">
        <w:rPr>
          <w:rStyle w:val="Funotenzeichen"/>
          <w:sz w:val="20"/>
        </w:rPr>
        <w:footnoteRef/>
      </w:r>
      <w:r w:rsidRPr="00CD39E6">
        <w:rPr>
          <w:sz w:val="20"/>
        </w:rPr>
        <w:t xml:space="preserve"> Dunn, ‘The New Perspective’</w:t>
      </w:r>
      <w:proofErr w:type="gramStart"/>
      <w:r w:rsidRPr="00CD39E6">
        <w:rPr>
          <w:sz w:val="20"/>
        </w:rPr>
        <w:t>,187</w:t>
      </w:r>
      <w:proofErr w:type="gramEnd"/>
      <w:r w:rsidRPr="00CD39E6">
        <w:rPr>
          <w:sz w:val="20"/>
        </w:rPr>
        <w:t>,</w:t>
      </w:r>
    </w:p>
  </w:footnote>
  <w:footnote w:id="25">
    <w:p w:rsidR="00171BF1" w:rsidRPr="00CD39E6" w:rsidRDefault="00171BF1">
      <w:pPr>
        <w:pStyle w:val="Funotentext"/>
        <w:rPr>
          <w:sz w:val="20"/>
        </w:rPr>
      </w:pPr>
      <w:r w:rsidRPr="00CD39E6">
        <w:rPr>
          <w:rStyle w:val="Funotenzeichen"/>
          <w:sz w:val="20"/>
        </w:rPr>
        <w:footnoteRef/>
      </w:r>
      <w:r w:rsidRPr="00CD39E6">
        <w:rPr>
          <w:sz w:val="20"/>
        </w:rPr>
        <w:t xml:space="preserve"> I am indebted here to </w:t>
      </w:r>
      <w:proofErr w:type="spellStart"/>
      <w:r w:rsidRPr="00CD39E6">
        <w:rPr>
          <w:sz w:val="20"/>
        </w:rPr>
        <w:t>Bendik’s</w:t>
      </w:r>
      <w:proofErr w:type="spellEnd"/>
      <w:r w:rsidRPr="00CD39E6">
        <w:rPr>
          <w:sz w:val="20"/>
        </w:rPr>
        <w:t xml:space="preserve"> excellent </w:t>
      </w:r>
      <w:proofErr w:type="spellStart"/>
      <w:proofErr w:type="gramStart"/>
      <w:r w:rsidRPr="00CD39E6">
        <w:rPr>
          <w:sz w:val="20"/>
        </w:rPr>
        <w:t>analysis.Cf</w:t>
      </w:r>
      <w:proofErr w:type="spellEnd"/>
      <w:proofErr w:type="gramEnd"/>
      <w:r w:rsidRPr="00CD39E6">
        <w:rPr>
          <w:sz w:val="20"/>
        </w:rPr>
        <w:t xml:space="preserve"> </w:t>
      </w:r>
      <w:proofErr w:type="spellStart"/>
      <w:r w:rsidRPr="00CD39E6">
        <w:rPr>
          <w:i/>
          <w:sz w:val="20"/>
        </w:rPr>
        <w:t>Paulus</w:t>
      </w:r>
      <w:proofErr w:type="spellEnd"/>
      <w:r w:rsidRPr="00CD39E6">
        <w:rPr>
          <w:i/>
          <w:sz w:val="20"/>
        </w:rPr>
        <w:t xml:space="preserve"> in </w:t>
      </w:r>
      <w:proofErr w:type="spellStart"/>
      <w:r w:rsidRPr="00CD39E6">
        <w:rPr>
          <w:i/>
          <w:sz w:val="20"/>
        </w:rPr>
        <w:t>Neuer</w:t>
      </w:r>
      <w:proofErr w:type="spellEnd"/>
      <w:r w:rsidRPr="00CD39E6">
        <w:rPr>
          <w:i/>
          <w:sz w:val="20"/>
        </w:rPr>
        <w:t xml:space="preserve"> </w:t>
      </w:r>
      <w:proofErr w:type="spellStart"/>
      <w:r w:rsidRPr="00CD39E6">
        <w:rPr>
          <w:i/>
          <w:sz w:val="20"/>
        </w:rPr>
        <w:t>Sicht</w:t>
      </w:r>
      <w:proofErr w:type="spellEnd"/>
      <w:r w:rsidRPr="00CD39E6">
        <w:rPr>
          <w:i/>
          <w:sz w:val="20"/>
        </w:rPr>
        <w:t xml:space="preserve"> ?</w:t>
      </w:r>
      <w:r w:rsidRPr="00CD39E6">
        <w:rPr>
          <w:sz w:val="20"/>
        </w:rPr>
        <w:t>, 143-48</w:t>
      </w:r>
    </w:p>
  </w:footnote>
  <w:footnote w:id="26">
    <w:p w:rsidR="00171BF1" w:rsidRPr="00CD39E6" w:rsidRDefault="00171BF1">
      <w:pPr>
        <w:pStyle w:val="Funotentext"/>
        <w:rPr>
          <w:sz w:val="20"/>
        </w:rPr>
      </w:pPr>
      <w:r w:rsidRPr="00CD39E6">
        <w:rPr>
          <w:rStyle w:val="Funotenzeichen"/>
          <w:sz w:val="20"/>
        </w:rPr>
        <w:footnoteRef/>
      </w:r>
      <w:r w:rsidRPr="00CD39E6">
        <w:rPr>
          <w:sz w:val="20"/>
        </w:rPr>
        <w:t xml:space="preserve"> </w:t>
      </w:r>
      <w:proofErr w:type="spellStart"/>
      <w:r w:rsidRPr="00CD39E6">
        <w:rPr>
          <w:sz w:val="20"/>
        </w:rPr>
        <w:t>W.S.Campbell</w:t>
      </w:r>
      <w:proofErr w:type="spellEnd"/>
      <w:r w:rsidRPr="00CD39E6">
        <w:rPr>
          <w:sz w:val="20"/>
        </w:rPr>
        <w:t xml:space="preserve"> has argued already in 1981 that Rom</w:t>
      </w:r>
      <w:r>
        <w:rPr>
          <w:sz w:val="20"/>
        </w:rPr>
        <w:t>ans</w:t>
      </w:r>
      <w:r w:rsidRPr="00CD39E6">
        <w:rPr>
          <w:sz w:val="20"/>
        </w:rPr>
        <w:t xml:space="preserve"> 3 should not be read as polemic, but as a rhetorical strategy raising questions to which later in the letter Paul would provide answers. This is good teaching practice rather than polemic. Cf. his ‘Romans 3 as a Key to the Structure and Thought of the Letter’, </w:t>
      </w:r>
      <w:proofErr w:type="spellStart"/>
      <w:r w:rsidRPr="00CD39E6">
        <w:rPr>
          <w:i/>
          <w:sz w:val="20"/>
        </w:rPr>
        <w:t>Novum</w:t>
      </w:r>
      <w:proofErr w:type="spellEnd"/>
      <w:r w:rsidRPr="00CD39E6">
        <w:rPr>
          <w:i/>
          <w:sz w:val="20"/>
        </w:rPr>
        <w:t xml:space="preserve"> </w:t>
      </w:r>
      <w:proofErr w:type="spellStart"/>
      <w:r w:rsidRPr="00CD39E6">
        <w:rPr>
          <w:i/>
          <w:sz w:val="20"/>
        </w:rPr>
        <w:t>Testamentum</w:t>
      </w:r>
      <w:proofErr w:type="spellEnd"/>
      <w:r w:rsidRPr="00CD39E6">
        <w:rPr>
          <w:i/>
          <w:sz w:val="20"/>
        </w:rPr>
        <w:t xml:space="preserve"> </w:t>
      </w:r>
      <w:r w:rsidRPr="00CD39E6">
        <w:rPr>
          <w:sz w:val="20"/>
        </w:rPr>
        <w:t>23 (1981), 19-28. I will come back to this aspect below.</w:t>
      </w:r>
    </w:p>
  </w:footnote>
  <w:footnote w:id="27">
    <w:p w:rsidR="00171BF1" w:rsidRDefault="00171BF1">
      <w:pPr>
        <w:pStyle w:val="Funotentext"/>
      </w:pPr>
      <w:r>
        <w:rPr>
          <w:rStyle w:val="Funotenzeichen"/>
        </w:rPr>
        <w:footnoteRef/>
      </w:r>
      <w:r>
        <w:t xml:space="preserve"> </w:t>
      </w:r>
      <w:r w:rsidRPr="001431B0">
        <w:rPr>
          <w:sz w:val="20"/>
        </w:rPr>
        <w:t>Dunn, ‘The New Perspective: Whence, what and whither?</w:t>
      </w:r>
      <w:proofErr w:type="gramStart"/>
      <w:r w:rsidRPr="001431B0">
        <w:rPr>
          <w:sz w:val="20"/>
        </w:rPr>
        <w:t>’,</w:t>
      </w:r>
      <w:proofErr w:type="gramEnd"/>
      <w:r w:rsidRPr="001431B0">
        <w:rPr>
          <w:sz w:val="20"/>
        </w:rPr>
        <w:t xml:space="preserve"> 30.</w:t>
      </w:r>
    </w:p>
  </w:footnote>
  <w:footnote w:id="28">
    <w:p w:rsidR="00171BF1" w:rsidRPr="001431B0" w:rsidRDefault="00171BF1">
      <w:pPr>
        <w:pStyle w:val="Funotentext"/>
        <w:rPr>
          <w:sz w:val="20"/>
        </w:rPr>
      </w:pPr>
      <w:r>
        <w:rPr>
          <w:rStyle w:val="Funotenzeichen"/>
        </w:rPr>
        <w:footnoteRef/>
      </w:r>
      <w:r>
        <w:t xml:space="preserve"> </w:t>
      </w:r>
      <w:r>
        <w:rPr>
          <w:sz w:val="20"/>
        </w:rPr>
        <w:t xml:space="preserve">Dunn, ‘The New </w:t>
      </w:r>
      <w:proofErr w:type="spellStart"/>
      <w:r>
        <w:rPr>
          <w:sz w:val="20"/>
        </w:rPr>
        <w:t>Perspective</w:t>
      </w:r>
      <w:proofErr w:type="gramStart"/>
      <w:r>
        <w:rPr>
          <w:sz w:val="20"/>
        </w:rPr>
        <w:t>:whence</w:t>
      </w:r>
      <w:proofErr w:type="spellEnd"/>
      <w:proofErr w:type="gramEnd"/>
      <w:r>
        <w:rPr>
          <w:sz w:val="20"/>
        </w:rPr>
        <w:t>, what and whiter?’, 29.</w:t>
      </w:r>
    </w:p>
  </w:footnote>
  <w:footnote w:id="29">
    <w:p w:rsidR="00171BF1" w:rsidRPr="00CD39E6" w:rsidRDefault="00171BF1">
      <w:pPr>
        <w:pStyle w:val="Funotentext"/>
        <w:rPr>
          <w:sz w:val="20"/>
        </w:rPr>
      </w:pPr>
      <w:r w:rsidRPr="00CD39E6">
        <w:rPr>
          <w:rStyle w:val="Funotenzeichen"/>
          <w:sz w:val="20"/>
        </w:rPr>
        <w:footnoteRef/>
      </w:r>
      <w:r w:rsidRPr="00CD39E6">
        <w:rPr>
          <w:sz w:val="20"/>
        </w:rPr>
        <w:t xml:space="preserve"> Dunn, </w:t>
      </w:r>
      <w:r w:rsidRPr="000C2536">
        <w:rPr>
          <w:i/>
          <w:sz w:val="20"/>
        </w:rPr>
        <w:t>Theology</w:t>
      </w:r>
      <w:r>
        <w:rPr>
          <w:i/>
          <w:sz w:val="20"/>
        </w:rPr>
        <w:t xml:space="preserve"> of Paul</w:t>
      </w:r>
      <w:r>
        <w:rPr>
          <w:sz w:val="20"/>
        </w:rPr>
        <w:t>, 160</w:t>
      </w:r>
      <w:r w:rsidRPr="00CD39E6">
        <w:rPr>
          <w:sz w:val="20"/>
        </w:rPr>
        <w:t>.</w:t>
      </w:r>
    </w:p>
  </w:footnote>
  <w:footnote w:id="30">
    <w:p w:rsidR="00171BF1" w:rsidRPr="00696F64" w:rsidRDefault="00171BF1">
      <w:pPr>
        <w:pStyle w:val="Funotentext"/>
        <w:rPr>
          <w:sz w:val="20"/>
        </w:rPr>
      </w:pPr>
      <w:r>
        <w:rPr>
          <w:rStyle w:val="Funotenzeichen"/>
        </w:rPr>
        <w:footnoteRef/>
      </w:r>
      <w:r>
        <w:t xml:space="preserve"> </w:t>
      </w:r>
      <w:r>
        <w:rPr>
          <w:sz w:val="20"/>
        </w:rPr>
        <w:t xml:space="preserve">Cf. my discussion of this aspect of </w:t>
      </w:r>
      <w:proofErr w:type="spellStart"/>
      <w:r>
        <w:rPr>
          <w:sz w:val="20"/>
        </w:rPr>
        <w:t>Baur</w:t>
      </w:r>
      <w:proofErr w:type="spellEnd"/>
      <w:r>
        <w:rPr>
          <w:sz w:val="20"/>
        </w:rPr>
        <w:t xml:space="preserve"> in </w:t>
      </w:r>
      <w:r>
        <w:rPr>
          <w:i/>
          <w:sz w:val="20"/>
        </w:rPr>
        <w:t>That We Maybe Mutually Encouraged,</w:t>
      </w:r>
      <w:r>
        <w:rPr>
          <w:sz w:val="20"/>
        </w:rPr>
        <w:t xml:space="preserve"> 27-31.</w:t>
      </w:r>
    </w:p>
  </w:footnote>
  <w:footnote w:id="31">
    <w:p w:rsidR="00171BF1" w:rsidRPr="00CD39E6" w:rsidRDefault="00171BF1">
      <w:pPr>
        <w:pStyle w:val="Funotentext"/>
        <w:rPr>
          <w:sz w:val="20"/>
        </w:rPr>
      </w:pPr>
      <w:r w:rsidRPr="00CD39E6">
        <w:rPr>
          <w:rStyle w:val="Funotenzeichen"/>
          <w:sz w:val="20"/>
        </w:rPr>
        <w:footnoteRef/>
      </w:r>
      <w:r w:rsidRPr="00CD39E6">
        <w:rPr>
          <w:sz w:val="20"/>
        </w:rPr>
        <w:t xml:space="preserve"> There are of course also those scholars who challenge Sanders’ depiction of Judaism and revert to patterns of interpreting Romans in what they see as theological over against social scientific interpretations, </w:t>
      </w:r>
      <w:proofErr w:type="spellStart"/>
      <w:r w:rsidRPr="00CD39E6">
        <w:rPr>
          <w:sz w:val="20"/>
        </w:rPr>
        <w:t>ie</w:t>
      </w:r>
      <w:proofErr w:type="spellEnd"/>
      <w:r w:rsidRPr="00CD39E6">
        <w:rPr>
          <w:sz w:val="20"/>
        </w:rPr>
        <w:t xml:space="preserve"> </w:t>
      </w:r>
      <w:proofErr w:type="spellStart"/>
      <w:r w:rsidRPr="00CD39E6">
        <w:rPr>
          <w:sz w:val="20"/>
        </w:rPr>
        <w:t>Gaventa</w:t>
      </w:r>
      <w:proofErr w:type="spellEnd"/>
      <w:r w:rsidRPr="00CD39E6">
        <w:rPr>
          <w:sz w:val="20"/>
        </w:rPr>
        <w:t xml:space="preserve">, Barclay, </w:t>
      </w:r>
      <w:proofErr w:type="spellStart"/>
      <w:proofErr w:type="gramStart"/>
      <w:r w:rsidRPr="00CD39E6">
        <w:rPr>
          <w:sz w:val="20"/>
        </w:rPr>
        <w:t>Westerholm</w:t>
      </w:r>
      <w:proofErr w:type="spellEnd"/>
      <w:proofErr w:type="gramEnd"/>
      <w:r w:rsidRPr="00CD39E6">
        <w:rPr>
          <w:sz w:val="20"/>
        </w:rPr>
        <w:t xml:space="preserve"> etc. Space does not permit to provide a detailed discussion of all scholarship which in one way or another reacts and responds to issues raised by Sanders and Dunn and will focus here on those approaches which claim that they are moving the field in those areas where Sanders and Dunn had not gone far enough. </w:t>
      </w:r>
    </w:p>
  </w:footnote>
  <w:footnote w:id="32">
    <w:p w:rsidR="00171BF1" w:rsidRPr="00CD39E6" w:rsidRDefault="00171BF1">
      <w:pPr>
        <w:pStyle w:val="Funotentext"/>
        <w:rPr>
          <w:sz w:val="20"/>
        </w:rPr>
      </w:pPr>
      <w:r w:rsidRPr="00CD39E6">
        <w:rPr>
          <w:rStyle w:val="Funotenzeichen"/>
          <w:sz w:val="20"/>
        </w:rPr>
        <w:footnoteRef/>
      </w:r>
      <w:r>
        <w:rPr>
          <w:sz w:val="20"/>
        </w:rPr>
        <w:t xml:space="preserve"> </w:t>
      </w:r>
      <w:proofErr w:type="spellStart"/>
      <w:r>
        <w:rPr>
          <w:sz w:val="20"/>
        </w:rPr>
        <w:t>Amog</w:t>
      </w:r>
      <w:proofErr w:type="spellEnd"/>
      <w:r>
        <w:rPr>
          <w:sz w:val="20"/>
        </w:rPr>
        <w:t xml:space="preserve"> ‘Beyond the New Perspective’ scholars are </w:t>
      </w:r>
      <w:proofErr w:type="spellStart"/>
      <w:r w:rsidRPr="00CD39E6">
        <w:rPr>
          <w:sz w:val="20"/>
        </w:rPr>
        <w:t>Stowers</w:t>
      </w:r>
      <w:proofErr w:type="spellEnd"/>
      <w:r w:rsidRPr="00CD39E6">
        <w:rPr>
          <w:sz w:val="20"/>
        </w:rPr>
        <w:t xml:space="preserve">, Campbell, </w:t>
      </w:r>
      <w:proofErr w:type="spellStart"/>
      <w:r w:rsidRPr="00CD39E6">
        <w:rPr>
          <w:sz w:val="20"/>
        </w:rPr>
        <w:t>Nanos</w:t>
      </w:r>
      <w:proofErr w:type="spellEnd"/>
      <w:r w:rsidRPr="00CD39E6">
        <w:rPr>
          <w:sz w:val="20"/>
        </w:rPr>
        <w:t xml:space="preserve">, </w:t>
      </w:r>
      <w:proofErr w:type="spellStart"/>
      <w:r w:rsidRPr="00CD39E6">
        <w:rPr>
          <w:sz w:val="20"/>
        </w:rPr>
        <w:t>Fredriksen</w:t>
      </w:r>
      <w:proofErr w:type="spellEnd"/>
      <w:r w:rsidRPr="00CD39E6">
        <w:rPr>
          <w:sz w:val="20"/>
        </w:rPr>
        <w:t xml:space="preserve">, </w:t>
      </w:r>
      <w:proofErr w:type="spellStart"/>
      <w:r w:rsidRPr="00CD39E6">
        <w:rPr>
          <w:sz w:val="20"/>
        </w:rPr>
        <w:t>Runesson</w:t>
      </w:r>
      <w:proofErr w:type="spellEnd"/>
      <w:r w:rsidRPr="00CD39E6">
        <w:rPr>
          <w:sz w:val="20"/>
        </w:rPr>
        <w:t>, Elliott,</w:t>
      </w:r>
      <w:r>
        <w:rPr>
          <w:sz w:val="20"/>
        </w:rPr>
        <w:t xml:space="preserve"> </w:t>
      </w:r>
      <w:proofErr w:type="spellStart"/>
      <w:r>
        <w:rPr>
          <w:sz w:val="20"/>
        </w:rPr>
        <w:t>Eisenbaum</w:t>
      </w:r>
      <w:proofErr w:type="spellEnd"/>
      <w:r>
        <w:rPr>
          <w:sz w:val="20"/>
        </w:rPr>
        <w:t xml:space="preserve">, </w:t>
      </w:r>
      <w:proofErr w:type="spellStart"/>
      <w:r>
        <w:rPr>
          <w:sz w:val="20"/>
        </w:rPr>
        <w:t>Zetterholm</w:t>
      </w:r>
      <w:proofErr w:type="spellEnd"/>
      <w:r>
        <w:rPr>
          <w:sz w:val="20"/>
        </w:rPr>
        <w:t>, myself.</w:t>
      </w:r>
    </w:p>
  </w:footnote>
  <w:footnote w:id="33">
    <w:p w:rsidR="00171BF1" w:rsidRPr="00CD39E6" w:rsidRDefault="00171BF1">
      <w:pPr>
        <w:pStyle w:val="Funotentext"/>
        <w:rPr>
          <w:sz w:val="20"/>
        </w:rPr>
      </w:pPr>
      <w:r w:rsidRPr="00CD39E6">
        <w:rPr>
          <w:rStyle w:val="Funotenzeichen"/>
          <w:sz w:val="20"/>
        </w:rPr>
        <w:footnoteRef/>
      </w:r>
      <w:r w:rsidRPr="00CD39E6">
        <w:rPr>
          <w:sz w:val="20"/>
        </w:rPr>
        <w:t xml:space="preserve"> Cf. my analysis in </w:t>
      </w:r>
      <w:r w:rsidRPr="00CD39E6">
        <w:rPr>
          <w:i/>
          <w:sz w:val="20"/>
        </w:rPr>
        <w:t>That We May Be Mutually Encouraged: Feminism and the New Perspective in Pauline Studies.</w:t>
      </w:r>
      <w:r w:rsidRPr="00CD39E6">
        <w:rPr>
          <w:sz w:val="20"/>
        </w:rPr>
        <w:t xml:space="preserve"> London, New York: T&amp;T Clark 2004, 150-51.</w:t>
      </w:r>
    </w:p>
  </w:footnote>
  <w:footnote w:id="34">
    <w:p w:rsidR="00171BF1" w:rsidRPr="00CD39E6" w:rsidRDefault="00171BF1">
      <w:pPr>
        <w:pStyle w:val="Funotentext"/>
        <w:rPr>
          <w:sz w:val="20"/>
        </w:rPr>
      </w:pPr>
      <w:r w:rsidRPr="00CD39E6">
        <w:rPr>
          <w:rStyle w:val="Funotenzeichen"/>
          <w:sz w:val="20"/>
        </w:rPr>
        <w:footnoteRef/>
      </w:r>
      <w:r w:rsidRPr="00CD39E6">
        <w:rPr>
          <w:sz w:val="20"/>
        </w:rPr>
        <w:t xml:space="preserve"> </w:t>
      </w:r>
      <w:proofErr w:type="spellStart"/>
      <w:r w:rsidRPr="00CD39E6">
        <w:rPr>
          <w:sz w:val="20"/>
        </w:rPr>
        <w:t>Munck</w:t>
      </w:r>
      <w:proofErr w:type="spellEnd"/>
      <w:r w:rsidRPr="00CD39E6">
        <w:rPr>
          <w:sz w:val="20"/>
        </w:rPr>
        <w:t xml:space="preserve">, J. </w:t>
      </w:r>
      <w:r w:rsidRPr="00CD39E6">
        <w:rPr>
          <w:i/>
          <w:sz w:val="20"/>
        </w:rPr>
        <w:t xml:space="preserve">Paul and the Salvation of Mankind. </w:t>
      </w:r>
      <w:r w:rsidRPr="00CD39E6">
        <w:rPr>
          <w:sz w:val="20"/>
        </w:rPr>
        <w:t xml:space="preserve">ET, </w:t>
      </w:r>
      <w:proofErr w:type="spellStart"/>
      <w:r w:rsidRPr="00CD39E6">
        <w:rPr>
          <w:sz w:val="20"/>
        </w:rPr>
        <w:t>London</w:t>
      </w:r>
      <w:proofErr w:type="gramStart"/>
      <w:r w:rsidRPr="00CD39E6">
        <w:rPr>
          <w:sz w:val="20"/>
        </w:rPr>
        <w:t>:SCM</w:t>
      </w:r>
      <w:proofErr w:type="spellEnd"/>
      <w:proofErr w:type="gramEnd"/>
      <w:r w:rsidRPr="00CD39E6">
        <w:rPr>
          <w:sz w:val="20"/>
        </w:rPr>
        <w:t xml:space="preserve"> 1959, 200.</w:t>
      </w:r>
    </w:p>
  </w:footnote>
  <w:footnote w:id="35">
    <w:p w:rsidR="00171BF1" w:rsidRPr="00CD39E6" w:rsidRDefault="00171BF1">
      <w:pPr>
        <w:pStyle w:val="Funotentext"/>
        <w:rPr>
          <w:sz w:val="20"/>
        </w:rPr>
      </w:pPr>
      <w:r w:rsidRPr="00CD39E6">
        <w:rPr>
          <w:rStyle w:val="Funotenzeichen"/>
          <w:sz w:val="20"/>
        </w:rPr>
        <w:footnoteRef/>
      </w:r>
      <w:r w:rsidRPr="00CD39E6">
        <w:rPr>
          <w:sz w:val="20"/>
        </w:rPr>
        <w:t xml:space="preserve">  See R.H. Fuller’s critical overview in </w:t>
      </w:r>
      <w:r w:rsidRPr="00CD39E6">
        <w:rPr>
          <w:i/>
          <w:sz w:val="20"/>
        </w:rPr>
        <w:t>The New Testament in Current Study: Some Trends in the Years 1941-1962.</w:t>
      </w:r>
      <w:r w:rsidRPr="00CD39E6">
        <w:rPr>
          <w:sz w:val="20"/>
        </w:rPr>
        <w:t xml:space="preserve"> </w:t>
      </w:r>
      <w:proofErr w:type="spellStart"/>
      <w:r w:rsidRPr="00CD39E6">
        <w:rPr>
          <w:sz w:val="20"/>
        </w:rPr>
        <w:t>London</w:t>
      </w:r>
      <w:proofErr w:type="gramStart"/>
      <w:r w:rsidRPr="00CD39E6">
        <w:rPr>
          <w:sz w:val="20"/>
        </w:rPr>
        <w:t>:SCM</w:t>
      </w:r>
      <w:proofErr w:type="spellEnd"/>
      <w:proofErr w:type="gramEnd"/>
      <w:r w:rsidRPr="00CD39E6">
        <w:rPr>
          <w:sz w:val="20"/>
        </w:rPr>
        <w:t xml:space="preserve"> 1963, especially his critique of </w:t>
      </w:r>
      <w:proofErr w:type="spellStart"/>
      <w:r w:rsidRPr="00CD39E6">
        <w:rPr>
          <w:sz w:val="20"/>
        </w:rPr>
        <w:t>Bultman’s</w:t>
      </w:r>
      <w:proofErr w:type="spellEnd"/>
      <w:r w:rsidRPr="00CD39E6">
        <w:rPr>
          <w:sz w:val="20"/>
        </w:rPr>
        <w:t xml:space="preserve"> existentialist approach, 72.</w:t>
      </w:r>
    </w:p>
  </w:footnote>
  <w:footnote w:id="36">
    <w:p w:rsidR="00171BF1" w:rsidRPr="000C2536" w:rsidRDefault="00171BF1">
      <w:pPr>
        <w:pStyle w:val="Funotentext"/>
        <w:rPr>
          <w:sz w:val="20"/>
        </w:rPr>
      </w:pPr>
      <w:r>
        <w:rPr>
          <w:rStyle w:val="Funotenzeichen"/>
        </w:rPr>
        <w:footnoteRef/>
      </w:r>
      <w:r>
        <w:t xml:space="preserve"> </w:t>
      </w:r>
      <w:proofErr w:type="spellStart"/>
      <w:r>
        <w:rPr>
          <w:sz w:val="20"/>
        </w:rPr>
        <w:t>P.Tomson</w:t>
      </w:r>
      <w:proofErr w:type="spellEnd"/>
      <w:r>
        <w:rPr>
          <w:sz w:val="20"/>
        </w:rPr>
        <w:t xml:space="preserve">, </w:t>
      </w:r>
      <w:r>
        <w:rPr>
          <w:i/>
          <w:sz w:val="20"/>
        </w:rPr>
        <w:t xml:space="preserve">Paul and the Jewish Law: </w:t>
      </w:r>
      <w:proofErr w:type="spellStart"/>
      <w:r>
        <w:rPr>
          <w:i/>
          <w:sz w:val="20"/>
        </w:rPr>
        <w:t>Halakha</w:t>
      </w:r>
      <w:proofErr w:type="spellEnd"/>
      <w:r>
        <w:rPr>
          <w:i/>
          <w:sz w:val="20"/>
        </w:rPr>
        <w:t xml:space="preserve"> in the Letters of the Apostle to the Gentiles.</w:t>
      </w:r>
      <w:r>
        <w:rPr>
          <w:sz w:val="20"/>
        </w:rPr>
        <w:t xml:space="preserve"> Minneapolis: Fortress 1990.</w:t>
      </w:r>
    </w:p>
  </w:footnote>
  <w:footnote w:id="37">
    <w:p w:rsidR="00171BF1" w:rsidRPr="00CD39E6" w:rsidRDefault="00171BF1">
      <w:pPr>
        <w:pStyle w:val="Funotentext"/>
        <w:rPr>
          <w:sz w:val="20"/>
        </w:rPr>
      </w:pPr>
      <w:r w:rsidRPr="00CD39E6">
        <w:rPr>
          <w:rStyle w:val="Funotenzeichen"/>
          <w:sz w:val="20"/>
        </w:rPr>
        <w:footnoteRef/>
      </w:r>
      <w:r w:rsidRPr="00CD39E6">
        <w:rPr>
          <w:sz w:val="20"/>
        </w:rPr>
        <w:t xml:space="preserve"> Such as </w:t>
      </w:r>
      <w:proofErr w:type="spellStart"/>
      <w:r>
        <w:rPr>
          <w:sz w:val="20"/>
        </w:rPr>
        <w:t>L.</w:t>
      </w:r>
      <w:r w:rsidRPr="00CD39E6">
        <w:rPr>
          <w:sz w:val="20"/>
        </w:rPr>
        <w:t>Gaston</w:t>
      </w:r>
      <w:proofErr w:type="spellEnd"/>
      <w:r>
        <w:rPr>
          <w:sz w:val="20"/>
        </w:rPr>
        <w:t xml:space="preserve">, </w:t>
      </w:r>
      <w:r>
        <w:rPr>
          <w:i/>
          <w:sz w:val="20"/>
        </w:rPr>
        <w:t>Paul and the Torah,</w:t>
      </w:r>
      <w:r>
        <w:rPr>
          <w:sz w:val="20"/>
        </w:rPr>
        <w:t xml:space="preserve"> Vancouver: University of British Columbia Press 1987,</w:t>
      </w:r>
      <w:r w:rsidRPr="00CD39E6">
        <w:rPr>
          <w:sz w:val="20"/>
        </w:rPr>
        <w:t xml:space="preserve"> and </w:t>
      </w:r>
      <w:proofErr w:type="spellStart"/>
      <w:r>
        <w:rPr>
          <w:sz w:val="20"/>
        </w:rPr>
        <w:t>J.</w:t>
      </w:r>
      <w:r w:rsidRPr="00CD39E6">
        <w:rPr>
          <w:sz w:val="20"/>
        </w:rPr>
        <w:t>Gager</w:t>
      </w:r>
      <w:proofErr w:type="spellEnd"/>
      <w:r>
        <w:rPr>
          <w:sz w:val="20"/>
        </w:rPr>
        <w:t xml:space="preserve">, </w:t>
      </w:r>
      <w:r>
        <w:rPr>
          <w:i/>
          <w:sz w:val="20"/>
        </w:rPr>
        <w:t>Reinventing Paul</w:t>
      </w:r>
      <w:r w:rsidRPr="00CD39E6">
        <w:rPr>
          <w:sz w:val="20"/>
        </w:rPr>
        <w:t>.</w:t>
      </w:r>
      <w:r>
        <w:rPr>
          <w:sz w:val="20"/>
        </w:rPr>
        <w:t xml:space="preserve"> Oxford: Oxford University Press 2000.</w:t>
      </w:r>
    </w:p>
  </w:footnote>
  <w:footnote w:id="38">
    <w:p w:rsidR="00171BF1" w:rsidRPr="00CD39E6" w:rsidRDefault="00171BF1">
      <w:pPr>
        <w:pStyle w:val="Funotentext"/>
        <w:rPr>
          <w:sz w:val="20"/>
        </w:rPr>
      </w:pPr>
      <w:r w:rsidRPr="00CD39E6">
        <w:rPr>
          <w:rStyle w:val="Funotenzeichen"/>
          <w:sz w:val="20"/>
        </w:rPr>
        <w:footnoteRef/>
      </w:r>
      <w:r w:rsidRPr="00CD39E6">
        <w:rPr>
          <w:sz w:val="20"/>
        </w:rPr>
        <w:t xml:space="preserve"> Peter </w:t>
      </w:r>
      <w:proofErr w:type="spellStart"/>
      <w:r w:rsidRPr="00CD39E6">
        <w:rPr>
          <w:sz w:val="20"/>
        </w:rPr>
        <w:t>Tomson’s</w:t>
      </w:r>
      <w:proofErr w:type="spellEnd"/>
      <w:r w:rsidRPr="00CD39E6">
        <w:rPr>
          <w:sz w:val="20"/>
        </w:rPr>
        <w:t xml:space="preserve"> work could be seen as a continuation and refinement of </w:t>
      </w:r>
      <w:proofErr w:type="spellStart"/>
      <w:r w:rsidRPr="00CD39E6">
        <w:rPr>
          <w:sz w:val="20"/>
        </w:rPr>
        <w:t>W.D.Davies</w:t>
      </w:r>
      <w:proofErr w:type="spellEnd"/>
      <w:r w:rsidRPr="00CD39E6">
        <w:rPr>
          <w:sz w:val="20"/>
        </w:rPr>
        <w:t xml:space="preserve"> emphasis on the close relation between Paul and what later became Rabbinic Judaism. </w:t>
      </w:r>
      <w:proofErr w:type="spellStart"/>
      <w:r w:rsidRPr="00CD39E6">
        <w:rPr>
          <w:sz w:val="20"/>
        </w:rPr>
        <w:t>Tomson</w:t>
      </w:r>
      <w:proofErr w:type="spellEnd"/>
      <w:r w:rsidRPr="00CD39E6">
        <w:rPr>
          <w:sz w:val="20"/>
        </w:rPr>
        <w:t xml:space="preserve"> developed his approach in his critical analysis of the Corinthian correspondence rather than Romans. </w:t>
      </w:r>
    </w:p>
  </w:footnote>
  <w:footnote w:id="39">
    <w:p w:rsidR="00171BF1" w:rsidRPr="00CD39E6" w:rsidRDefault="00171BF1">
      <w:pPr>
        <w:pStyle w:val="Funotentext"/>
        <w:rPr>
          <w:i/>
          <w:sz w:val="20"/>
        </w:rPr>
      </w:pPr>
      <w:r w:rsidRPr="00CD39E6">
        <w:rPr>
          <w:rStyle w:val="Funotenzeichen"/>
          <w:sz w:val="20"/>
        </w:rPr>
        <w:footnoteRef/>
      </w:r>
      <w:r w:rsidRPr="00CD39E6">
        <w:rPr>
          <w:sz w:val="20"/>
        </w:rPr>
        <w:t xml:space="preserve"> </w:t>
      </w:r>
      <w:r w:rsidRPr="00CD39E6">
        <w:rPr>
          <w:i/>
          <w:sz w:val="20"/>
        </w:rPr>
        <w:t>A Rereading of Romans: Justice, Jews and Gentiles.</w:t>
      </w:r>
      <w:r w:rsidRPr="00CD39E6">
        <w:rPr>
          <w:sz w:val="20"/>
        </w:rPr>
        <w:t xml:space="preserve"> New Haven: Yale University Press 1994</w:t>
      </w:r>
      <w:r>
        <w:rPr>
          <w:sz w:val="20"/>
        </w:rPr>
        <w:t>.</w:t>
      </w:r>
    </w:p>
  </w:footnote>
  <w:footnote w:id="40">
    <w:p w:rsidR="00171BF1" w:rsidRPr="00CD39E6" w:rsidRDefault="00171BF1">
      <w:pPr>
        <w:pStyle w:val="Funotentext"/>
        <w:rPr>
          <w:sz w:val="20"/>
        </w:rPr>
      </w:pPr>
      <w:r w:rsidRPr="00CD39E6">
        <w:rPr>
          <w:rStyle w:val="Funotenzeichen"/>
          <w:sz w:val="20"/>
        </w:rPr>
        <w:footnoteRef/>
      </w:r>
      <w:r w:rsidRPr="00CD39E6">
        <w:rPr>
          <w:sz w:val="20"/>
        </w:rPr>
        <w:t xml:space="preserve"> </w:t>
      </w:r>
      <w:proofErr w:type="spellStart"/>
      <w:proofErr w:type="gramStart"/>
      <w:r w:rsidRPr="00CD39E6">
        <w:rPr>
          <w:sz w:val="20"/>
        </w:rPr>
        <w:t>Stowers</w:t>
      </w:r>
      <w:proofErr w:type="spellEnd"/>
      <w:r w:rsidRPr="00CD39E6">
        <w:rPr>
          <w:sz w:val="20"/>
        </w:rPr>
        <w:t xml:space="preserve"> emphasizes</w:t>
      </w:r>
      <w:proofErr w:type="gramEnd"/>
      <w:r w:rsidRPr="00CD39E6">
        <w:rPr>
          <w:sz w:val="20"/>
        </w:rPr>
        <w:t xml:space="preserve"> the difference between the audience as encoded in the letter and the actual recipients. The first can be identified in the text of the letter, whereas he maintains the ‘I can only speculate about who actually read the letter, their assumptions, knowledge, and reactions to the letter.’ </w:t>
      </w:r>
      <w:r w:rsidRPr="00CD39E6">
        <w:rPr>
          <w:i/>
          <w:sz w:val="20"/>
        </w:rPr>
        <w:t>Rereading</w:t>
      </w:r>
      <w:r>
        <w:rPr>
          <w:i/>
          <w:sz w:val="20"/>
        </w:rPr>
        <w:t xml:space="preserve"> Romans</w:t>
      </w:r>
      <w:proofErr w:type="gramStart"/>
      <w:r w:rsidRPr="00CD39E6">
        <w:rPr>
          <w:sz w:val="20"/>
        </w:rPr>
        <w:t>,22</w:t>
      </w:r>
      <w:proofErr w:type="gramEnd"/>
      <w:r w:rsidRPr="00CD39E6">
        <w:rPr>
          <w:sz w:val="20"/>
        </w:rPr>
        <w:t>.</w:t>
      </w:r>
    </w:p>
  </w:footnote>
  <w:footnote w:id="41">
    <w:p w:rsidR="00171BF1" w:rsidRPr="00CD39E6" w:rsidRDefault="00171BF1">
      <w:pPr>
        <w:pStyle w:val="Funotentext"/>
        <w:rPr>
          <w:sz w:val="20"/>
        </w:rPr>
      </w:pPr>
      <w:r w:rsidRPr="00CD39E6">
        <w:rPr>
          <w:rStyle w:val="Funotenzeichen"/>
          <w:sz w:val="20"/>
        </w:rPr>
        <w:footnoteRef/>
      </w:r>
      <w:r w:rsidRPr="00CD39E6">
        <w:rPr>
          <w:sz w:val="20"/>
        </w:rPr>
        <w:t xml:space="preserve"> </w:t>
      </w:r>
      <w:proofErr w:type="spellStart"/>
      <w:proofErr w:type="gramStart"/>
      <w:r w:rsidRPr="00CD39E6">
        <w:rPr>
          <w:sz w:val="20"/>
        </w:rPr>
        <w:t>Stowers</w:t>
      </w:r>
      <w:proofErr w:type="spellEnd"/>
      <w:r w:rsidRPr="00CD39E6">
        <w:rPr>
          <w:sz w:val="20"/>
        </w:rPr>
        <w:t xml:space="preserve">, </w:t>
      </w:r>
      <w:r w:rsidRPr="00CD39E6">
        <w:rPr>
          <w:i/>
          <w:sz w:val="20"/>
        </w:rPr>
        <w:t>Rereading</w:t>
      </w:r>
      <w:r>
        <w:rPr>
          <w:i/>
          <w:sz w:val="20"/>
        </w:rPr>
        <w:t xml:space="preserve"> Romans</w:t>
      </w:r>
      <w:r w:rsidRPr="00CD39E6">
        <w:rPr>
          <w:i/>
          <w:sz w:val="20"/>
        </w:rPr>
        <w:t>,</w:t>
      </w:r>
      <w:r w:rsidRPr="00CD39E6">
        <w:rPr>
          <w:sz w:val="20"/>
        </w:rPr>
        <w:t xml:space="preserve"> 36.</w:t>
      </w:r>
      <w:proofErr w:type="gramEnd"/>
    </w:p>
  </w:footnote>
  <w:footnote w:id="42">
    <w:p w:rsidR="00171BF1" w:rsidRPr="00CD39E6" w:rsidRDefault="00171BF1">
      <w:pPr>
        <w:pStyle w:val="Funotentext"/>
        <w:rPr>
          <w:sz w:val="20"/>
        </w:rPr>
      </w:pPr>
      <w:r w:rsidRPr="00CD39E6">
        <w:rPr>
          <w:rStyle w:val="Funotenzeichen"/>
          <w:sz w:val="20"/>
        </w:rPr>
        <w:footnoteRef/>
      </w:r>
      <w:r w:rsidRPr="00CD39E6">
        <w:rPr>
          <w:sz w:val="20"/>
        </w:rPr>
        <w:t xml:space="preserve"> </w:t>
      </w:r>
      <w:proofErr w:type="spellStart"/>
      <w:r w:rsidRPr="00CD39E6">
        <w:rPr>
          <w:sz w:val="20"/>
        </w:rPr>
        <w:t>Stowers</w:t>
      </w:r>
      <w:proofErr w:type="spellEnd"/>
      <w:r w:rsidRPr="00CD39E6">
        <w:rPr>
          <w:sz w:val="20"/>
        </w:rPr>
        <w:t xml:space="preserve">, </w:t>
      </w:r>
      <w:r w:rsidRPr="00CD39E6">
        <w:rPr>
          <w:i/>
          <w:sz w:val="20"/>
        </w:rPr>
        <w:t>Rereading</w:t>
      </w:r>
      <w:r>
        <w:rPr>
          <w:i/>
          <w:sz w:val="20"/>
        </w:rPr>
        <w:t xml:space="preserve"> Romans</w:t>
      </w:r>
      <w:r w:rsidRPr="00CD39E6">
        <w:rPr>
          <w:i/>
          <w:sz w:val="20"/>
        </w:rPr>
        <w:t>,</w:t>
      </w:r>
      <w:r w:rsidRPr="00CD39E6">
        <w:rPr>
          <w:sz w:val="20"/>
        </w:rPr>
        <w:t xml:space="preserve"> 28</w:t>
      </w:r>
    </w:p>
  </w:footnote>
  <w:footnote w:id="43">
    <w:p w:rsidR="00171BF1" w:rsidRPr="00D72F51" w:rsidRDefault="00171BF1">
      <w:pPr>
        <w:pStyle w:val="Funotentext"/>
        <w:rPr>
          <w:sz w:val="20"/>
        </w:rPr>
      </w:pPr>
      <w:r w:rsidRPr="00CD39E6">
        <w:rPr>
          <w:rStyle w:val="Funotenzeichen"/>
          <w:sz w:val="20"/>
        </w:rPr>
        <w:footnoteRef/>
      </w:r>
      <w:r w:rsidRPr="00CD39E6">
        <w:rPr>
          <w:sz w:val="20"/>
        </w:rPr>
        <w:t xml:space="preserve"> Cf. </w:t>
      </w:r>
      <w:proofErr w:type="spellStart"/>
      <w:r w:rsidRPr="00CD39E6">
        <w:rPr>
          <w:sz w:val="20"/>
        </w:rPr>
        <w:t>J.</w:t>
      </w:r>
      <w:r>
        <w:rPr>
          <w:sz w:val="20"/>
        </w:rPr>
        <w:t>L.</w:t>
      </w:r>
      <w:r w:rsidRPr="00CD39E6">
        <w:rPr>
          <w:sz w:val="20"/>
        </w:rPr>
        <w:t>Sumney</w:t>
      </w:r>
      <w:proofErr w:type="spellEnd"/>
      <w:r w:rsidRPr="00CD39E6">
        <w:rPr>
          <w:sz w:val="20"/>
        </w:rPr>
        <w:t xml:space="preserve">, </w:t>
      </w:r>
      <w:r>
        <w:rPr>
          <w:i/>
          <w:sz w:val="20"/>
        </w:rPr>
        <w:t xml:space="preserve">‘Servants of Satan’, ‘False Brothers’, and Other Opponents of </w:t>
      </w:r>
      <w:proofErr w:type="spellStart"/>
      <w:r>
        <w:rPr>
          <w:i/>
          <w:sz w:val="20"/>
        </w:rPr>
        <w:t>Paul.</w:t>
      </w:r>
      <w:r>
        <w:rPr>
          <w:sz w:val="20"/>
        </w:rPr>
        <w:t>Sheffield</w:t>
      </w:r>
      <w:proofErr w:type="spellEnd"/>
      <w:r>
        <w:rPr>
          <w:sz w:val="20"/>
        </w:rPr>
        <w:t>: Sheffield University Press 1999.</w:t>
      </w:r>
    </w:p>
  </w:footnote>
  <w:footnote w:id="44">
    <w:p w:rsidR="00171BF1" w:rsidRPr="00CD39E6" w:rsidRDefault="00171BF1">
      <w:pPr>
        <w:pStyle w:val="Funotentext"/>
        <w:rPr>
          <w:sz w:val="20"/>
        </w:rPr>
      </w:pPr>
      <w:r w:rsidRPr="00CD39E6">
        <w:rPr>
          <w:rStyle w:val="Funotenzeichen"/>
          <w:sz w:val="20"/>
        </w:rPr>
        <w:footnoteRef/>
      </w:r>
      <w:r w:rsidRPr="00CD39E6">
        <w:rPr>
          <w:sz w:val="20"/>
        </w:rPr>
        <w:t xml:space="preserve"> </w:t>
      </w:r>
      <w:proofErr w:type="spellStart"/>
      <w:proofErr w:type="gramStart"/>
      <w:r w:rsidRPr="00CD39E6">
        <w:rPr>
          <w:sz w:val="20"/>
        </w:rPr>
        <w:t>Stowers</w:t>
      </w:r>
      <w:proofErr w:type="spellEnd"/>
      <w:r w:rsidRPr="00CD39E6">
        <w:rPr>
          <w:sz w:val="20"/>
        </w:rPr>
        <w:t xml:space="preserve">, </w:t>
      </w:r>
      <w:r w:rsidRPr="00CD39E6">
        <w:rPr>
          <w:i/>
          <w:sz w:val="20"/>
        </w:rPr>
        <w:t>Rereading</w:t>
      </w:r>
      <w:r>
        <w:rPr>
          <w:i/>
          <w:sz w:val="20"/>
        </w:rPr>
        <w:t xml:space="preserve"> Romans</w:t>
      </w:r>
      <w:r w:rsidRPr="00CD39E6">
        <w:rPr>
          <w:i/>
          <w:sz w:val="20"/>
        </w:rPr>
        <w:t>,</w:t>
      </w:r>
      <w:r w:rsidRPr="00CD39E6">
        <w:rPr>
          <w:sz w:val="20"/>
        </w:rPr>
        <w:t xml:space="preserve"> 40.</w:t>
      </w:r>
      <w:proofErr w:type="gramEnd"/>
    </w:p>
  </w:footnote>
  <w:footnote w:id="45">
    <w:p w:rsidR="00171BF1" w:rsidRPr="00CD39E6" w:rsidRDefault="00171BF1">
      <w:pPr>
        <w:pStyle w:val="Funotentext"/>
        <w:rPr>
          <w:sz w:val="20"/>
        </w:rPr>
      </w:pPr>
      <w:r w:rsidRPr="00CD39E6">
        <w:rPr>
          <w:rStyle w:val="Funotenzeichen"/>
          <w:sz w:val="20"/>
        </w:rPr>
        <w:footnoteRef/>
      </w:r>
      <w:r w:rsidRPr="00CD39E6">
        <w:rPr>
          <w:sz w:val="20"/>
        </w:rPr>
        <w:t xml:space="preserve"> </w:t>
      </w:r>
      <w:proofErr w:type="spellStart"/>
      <w:proofErr w:type="gramStart"/>
      <w:r w:rsidRPr="00CD39E6">
        <w:rPr>
          <w:sz w:val="20"/>
        </w:rPr>
        <w:t>Stowers</w:t>
      </w:r>
      <w:proofErr w:type="spellEnd"/>
      <w:r w:rsidRPr="00CD39E6">
        <w:rPr>
          <w:sz w:val="20"/>
        </w:rPr>
        <w:t xml:space="preserve">, </w:t>
      </w:r>
      <w:r w:rsidRPr="00CD39E6">
        <w:rPr>
          <w:i/>
          <w:sz w:val="20"/>
        </w:rPr>
        <w:t>Rereading</w:t>
      </w:r>
      <w:r>
        <w:rPr>
          <w:i/>
          <w:sz w:val="20"/>
        </w:rPr>
        <w:t xml:space="preserve"> Romans</w:t>
      </w:r>
      <w:r w:rsidRPr="00CD39E6">
        <w:rPr>
          <w:i/>
          <w:sz w:val="20"/>
        </w:rPr>
        <w:t xml:space="preserve">, </w:t>
      </w:r>
      <w:r w:rsidRPr="00CD39E6">
        <w:rPr>
          <w:sz w:val="20"/>
        </w:rPr>
        <w:t>40.</w:t>
      </w:r>
      <w:proofErr w:type="gramEnd"/>
    </w:p>
  </w:footnote>
  <w:footnote w:id="46">
    <w:p w:rsidR="00171BF1" w:rsidRPr="00D72F51" w:rsidRDefault="00171BF1">
      <w:pPr>
        <w:pStyle w:val="Funotentext"/>
        <w:rPr>
          <w:sz w:val="20"/>
        </w:rPr>
      </w:pPr>
      <w:r w:rsidRPr="00CD39E6">
        <w:rPr>
          <w:rStyle w:val="Funotenzeichen"/>
          <w:sz w:val="20"/>
        </w:rPr>
        <w:footnoteRef/>
      </w:r>
      <w:r w:rsidRPr="00CD39E6">
        <w:rPr>
          <w:sz w:val="20"/>
        </w:rPr>
        <w:t xml:space="preserve"> </w:t>
      </w:r>
      <w:r>
        <w:rPr>
          <w:sz w:val="20"/>
        </w:rPr>
        <w:t xml:space="preserve">Published in </w:t>
      </w:r>
      <w:proofErr w:type="spellStart"/>
      <w:r>
        <w:rPr>
          <w:i/>
          <w:sz w:val="20"/>
        </w:rPr>
        <w:t>Studia</w:t>
      </w:r>
      <w:proofErr w:type="spellEnd"/>
      <w:r>
        <w:rPr>
          <w:i/>
          <w:sz w:val="20"/>
        </w:rPr>
        <w:t xml:space="preserve"> </w:t>
      </w:r>
      <w:proofErr w:type="spellStart"/>
      <w:proofErr w:type="gramStart"/>
      <w:r>
        <w:rPr>
          <w:i/>
          <w:sz w:val="20"/>
        </w:rPr>
        <w:t>Evangelica</w:t>
      </w:r>
      <w:proofErr w:type="spellEnd"/>
      <w:r>
        <w:rPr>
          <w:i/>
          <w:sz w:val="20"/>
        </w:rPr>
        <w:t xml:space="preserve"> ,</w:t>
      </w:r>
      <w:proofErr w:type="gramEnd"/>
      <w:r>
        <w:rPr>
          <w:i/>
          <w:sz w:val="20"/>
        </w:rPr>
        <w:t xml:space="preserve"> </w:t>
      </w:r>
      <w:proofErr w:type="spellStart"/>
      <w:r>
        <w:rPr>
          <w:sz w:val="20"/>
        </w:rPr>
        <w:t>vol</w:t>
      </w:r>
      <w:proofErr w:type="spellEnd"/>
      <w:r>
        <w:rPr>
          <w:sz w:val="20"/>
        </w:rPr>
        <w:t xml:space="preserve"> 7, </w:t>
      </w:r>
      <w:r>
        <w:rPr>
          <w:i/>
          <w:sz w:val="20"/>
        </w:rPr>
        <w:t>Papers Presented to the 5</w:t>
      </w:r>
      <w:r w:rsidRPr="00D72F51">
        <w:rPr>
          <w:i/>
          <w:sz w:val="20"/>
          <w:vertAlign w:val="superscript"/>
        </w:rPr>
        <w:t>th</w:t>
      </w:r>
      <w:r>
        <w:rPr>
          <w:i/>
          <w:sz w:val="20"/>
        </w:rPr>
        <w:t xml:space="preserve"> International Congress of Biblical Studies, Oxford 1973,</w:t>
      </w:r>
      <w:r>
        <w:rPr>
          <w:sz w:val="20"/>
        </w:rPr>
        <w:t xml:space="preserve"> ed. </w:t>
      </w:r>
      <w:proofErr w:type="spellStart"/>
      <w:r>
        <w:rPr>
          <w:sz w:val="20"/>
        </w:rPr>
        <w:t>E.A.Livingstone</w:t>
      </w:r>
      <w:proofErr w:type="spellEnd"/>
      <w:r>
        <w:rPr>
          <w:sz w:val="20"/>
        </w:rPr>
        <w:t xml:space="preserve">, Berlin: </w:t>
      </w:r>
      <w:proofErr w:type="spellStart"/>
      <w:r>
        <w:rPr>
          <w:sz w:val="20"/>
        </w:rPr>
        <w:t>Akademie</w:t>
      </w:r>
      <w:proofErr w:type="spellEnd"/>
      <w:r>
        <w:rPr>
          <w:sz w:val="20"/>
        </w:rPr>
        <w:t xml:space="preserve"> </w:t>
      </w:r>
      <w:proofErr w:type="spellStart"/>
      <w:r>
        <w:rPr>
          <w:sz w:val="20"/>
        </w:rPr>
        <w:t>Verlag</w:t>
      </w:r>
      <w:proofErr w:type="spellEnd"/>
      <w:r>
        <w:rPr>
          <w:sz w:val="20"/>
        </w:rPr>
        <w:t xml:space="preserve"> 1982, 90-99.</w:t>
      </w:r>
    </w:p>
  </w:footnote>
  <w:footnote w:id="47">
    <w:p w:rsidR="00171BF1" w:rsidRPr="00D72F51" w:rsidRDefault="00171BF1">
      <w:pPr>
        <w:pStyle w:val="Funotentext"/>
        <w:rPr>
          <w:sz w:val="20"/>
        </w:rPr>
      </w:pPr>
      <w:r w:rsidRPr="00CD39E6">
        <w:rPr>
          <w:rStyle w:val="Funotenzeichen"/>
          <w:sz w:val="20"/>
        </w:rPr>
        <w:footnoteRef/>
      </w:r>
      <w:r w:rsidRPr="00CD39E6">
        <w:rPr>
          <w:sz w:val="20"/>
        </w:rPr>
        <w:t xml:space="preserve"> This is similarly emphasized in ‘the Freedom and Faithfulness of God in Relation to Israel’</w:t>
      </w:r>
      <w:r>
        <w:rPr>
          <w:sz w:val="20"/>
        </w:rPr>
        <w:t xml:space="preserve">, </w:t>
      </w:r>
      <w:r>
        <w:rPr>
          <w:i/>
          <w:sz w:val="20"/>
        </w:rPr>
        <w:t>JSNT,</w:t>
      </w:r>
      <w:r>
        <w:rPr>
          <w:sz w:val="20"/>
        </w:rPr>
        <w:t xml:space="preserve"> 13, 1981, 27-45.</w:t>
      </w:r>
    </w:p>
  </w:footnote>
  <w:footnote w:id="48">
    <w:p w:rsidR="00171BF1" w:rsidRPr="00CD39E6" w:rsidRDefault="00171BF1">
      <w:pPr>
        <w:pStyle w:val="Funotentext"/>
        <w:rPr>
          <w:sz w:val="20"/>
        </w:rPr>
      </w:pPr>
      <w:r w:rsidRPr="00CD39E6">
        <w:rPr>
          <w:rStyle w:val="Funotenzeichen"/>
          <w:sz w:val="20"/>
        </w:rPr>
        <w:footnoteRef/>
      </w:r>
      <w:r w:rsidRPr="00CD39E6">
        <w:rPr>
          <w:sz w:val="20"/>
        </w:rPr>
        <w:t xml:space="preserve"> Campbell, ‘Did Paul Advocate Separation from the Synagogue’, SJT, 1990, now also </w:t>
      </w:r>
      <w:r w:rsidRPr="00CD39E6">
        <w:rPr>
          <w:i/>
          <w:sz w:val="20"/>
        </w:rPr>
        <w:t>Paul’s Gospel in an Intercultural Context.</w:t>
      </w:r>
      <w:r w:rsidRPr="00CD39E6">
        <w:rPr>
          <w:sz w:val="20"/>
        </w:rPr>
        <w:t xml:space="preserve"> Frankfurt, New York: Peter Lang 1991,122-31. Also </w:t>
      </w:r>
      <w:proofErr w:type="spellStart"/>
      <w:proofErr w:type="gramStart"/>
      <w:r>
        <w:rPr>
          <w:sz w:val="20"/>
        </w:rPr>
        <w:t>M.D.Nanos</w:t>
      </w:r>
      <w:proofErr w:type="spellEnd"/>
      <w:r>
        <w:rPr>
          <w:sz w:val="20"/>
        </w:rPr>
        <w:t xml:space="preserve"> </w:t>
      </w:r>
      <w:r w:rsidRPr="00CD39E6">
        <w:rPr>
          <w:sz w:val="20"/>
        </w:rPr>
        <w:t>,</w:t>
      </w:r>
      <w:proofErr w:type="gramEnd"/>
      <w:r w:rsidRPr="00CD39E6">
        <w:rPr>
          <w:sz w:val="20"/>
        </w:rPr>
        <w:t xml:space="preserve"> </w:t>
      </w:r>
      <w:r w:rsidRPr="00CD39E6">
        <w:rPr>
          <w:i/>
          <w:sz w:val="20"/>
        </w:rPr>
        <w:t>The Mystery of Romans: the Jewish Context of Paul’s Letter.</w:t>
      </w:r>
      <w:r w:rsidRPr="00CD39E6">
        <w:rPr>
          <w:sz w:val="20"/>
        </w:rPr>
        <w:t xml:space="preserve"> Minneap</w:t>
      </w:r>
      <w:r>
        <w:rPr>
          <w:sz w:val="20"/>
        </w:rPr>
        <w:t>olis: Fortress 1996,41-84.</w:t>
      </w:r>
    </w:p>
  </w:footnote>
  <w:footnote w:id="49">
    <w:p w:rsidR="00171BF1" w:rsidRPr="00CD39E6" w:rsidRDefault="00171BF1">
      <w:pPr>
        <w:pStyle w:val="Funotentext"/>
        <w:rPr>
          <w:i/>
          <w:sz w:val="20"/>
        </w:rPr>
      </w:pPr>
      <w:r w:rsidRPr="00CD39E6">
        <w:rPr>
          <w:rStyle w:val="Funotenzeichen"/>
          <w:sz w:val="20"/>
        </w:rPr>
        <w:footnoteRef/>
      </w:r>
      <w:r w:rsidRPr="00CD39E6">
        <w:rPr>
          <w:sz w:val="20"/>
        </w:rPr>
        <w:t xml:space="preserve"> Campbell, </w:t>
      </w:r>
      <w:r w:rsidRPr="00CD39E6">
        <w:rPr>
          <w:i/>
          <w:sz w:val="20"/>
        </w:rPr>
        <w:t>Identity</w:t>
      </w:r>
      <w:proofErr w:type="gramStart"/>
      <w:r w:rsidRPr="00CD39E6">
        <w:rPr>
          <w:i/>
          <w:sz w:val="20"/>
        </w:rPr>
        <w:t>,</w:t>
      </w:r>
      <w:r w:rsidRPr="00CD39E6">
        <w:rPr>
          <w:sz w:val="20"/>
        </w:rPr>
        <w:t>111</w:t>
      </w:r>
      <w:proofErr w:type="gramEnd"/>
      <w:r w:rsidRPr="00CD39E6">
        <w:rPr>
          <w:sz w:val="20"/>
        </w:rPr>
        <w:t xml:space="preserve">-13. </w:t>
      </w:r>
      <w:proofErr w:type="spellStart"/>
      <w:r w:rsidRPr="00CD39E6">
        <w:rPr>
          <w:sz w:val="20"/>
        </w:rPr>
        <w:t>Cf.alos</w:t>
      </w:r>
      <w:proofErr w:type="spellEnd"/>
      <w:r w:rsidRPr="00CD39E6">
        <w:rPr>
          <w:sz w:val="20"/>
        </w:rPr>
        <w:t xml:space="preserve"> </w:t>
      </w:r>
      <w:proofErr w:type="spellStart"/>
      <w:r w:rsidRPr="00CD39E6">
        <w:rPr>
          <w:sz w:val="20"/>
        </w:rPr>
        <w:t>J.Sumney</w:t>
      </w:r>
      <w:proofErr w:type="spellEnd"/>
      <w:r w:rsidRPr="00CD39E6">
        <w:rPr>
          <w:sz w:val="20"/>
        </w:rPr>
        <w:t xml:space="preserve">, </w:t>
      </w:r>
      <w:r w:rsidRPr="00CD39E6">
        <w:rPr>
          <w:i/>
          <w:sz w:val="20"/>
        </w:rPr>
        <w:t>Opponents</w:t>
      </w:r>
    </w:p>
  </w:footnote>
  <w:footnote w:id="50">
    <w:p w:rsidR="00171BF1" w:rsidRPr="001053BE" w:rsidRDefault="00171BF1">
      <w:pPr>
        <w:pStyle w:val="Funotentext"/>
        <w:rPr>
          <w:sz w:val="20"/>
        </w:rPr>
      </w:pPr>
      <w:r w:rsidRPr="00CD39E6">
        <w:rPr>
          <w:rStyle w:val="Funotenzeichen"/>
          <w:sz w:val="20"/>
        </w:rPr>
        <w:footnoteRef/>
      </w:r>
      <w:r w:rsidRPr="00CD39E6">
        <w:rPr>
          <w:sz w:val="20"/>
        </w:rPr>
        <w:t xml:space="preserve"> Cf. </w:t>
      </w:r>
      <w:proofErr w:type="spellStart"/>
      <w:r>
        <w:rPr>
          <w:sz w:val="20"/>
        </w:rPr>
        <w:t>W.S.Campbell</w:t>
      </w:r>
      <w:proofErr w:type="spellEnd"/>
      <w:r>
        <w:rPr>
          <w:sz w:val="20"/>
        </w:rPr>
        <w:t xml:space="preserve">, ‘Divergent Images of Paul and His Mission’, in </w:t>
      </w:r>
      <w:proofErr w:type="spellStart"/>
      <w:r>
        <w:rPr>
          <w:sz w:val="20"/>
        </w:rPr>
        <w:t>D.Patte</w:t>
      </w:r>
      <w:proofErr w:type="spellEnd"/>
      <w:r>
        <w:rPr>
          <w:sz w:val="20"/>
        </w:rPr>
        <w:t xml:space="preserve">, </w:t>
      </w:r>
      <w:proofErr w:type="spellStart"/>
      <w:r>
        <w:rPr>
          <w:sz w:val="20"/>
        </w:rPr>
        <w:t>C.Grenholm</w:t>
      </w:r>
      <w:proofErr w:type="spellEnd"/>
      <w:r>
        <w:rPr>
          <w:sz w:val="20"/>
        </w:rPr>
        <w:t xml:space="preserve"> eds</w:t>
      </w:r>
      <w:proofErr w:type="gramStart"/>
      <w:r>
        <w:rPr>
          <w:sz w:val="20"/>
        </w:rPr>
        <w:t>.,</w:t>
      </w:r>
      <w:proofErr w:type="gramEnd"/>
      <w:r w:rsidRPr="00CD39E6">
        <w:rPr>
          <w:sz w:val="20"/>
        </w:rPr>
        <w:t xml:space="preserve"> </w:t>
      </w:r>
      <w:r w:rsidRPr="001053BE">
        <w:rPr>
          <w:i/>
          <w:sz w:val="20"/>
        </w:rPr>
        <w:t>Reading Israel</w:t>
      </w:r>
      <w:r w:rsidRPr="00CD39E6">
        <w:rPr>
          <w:sz w:val="20"/>
        </w:rPr>
        <w:t xml:space="preserve"> </w:t>
      </w:r>
      <w:r>
        <w:rPr>
          <w:i/>
          <w:sz w:val="20"/>
        </w:rPr>
        <w:t xml:space="preserve"> in Romans: Legitimacy and Plausibility of Divergent Interpretations.</w:t>
      </w:r>
      <w:r>
        <w:rPr>
          <w:sz w:val="20"/>
        </w:rPr>
        <w:t xml:space="preserve"> Harrisburg, PA: Trinity Press International 2000, 187-211.</w:t>
      </w:r>
    </w:p>
  </w:footnote>
  <w:footnote w:id="51">
    <w:p w:rsidR="00171BF1" w:rsidRPr="00CD39E6" w:rsidRDefault="00171BF1">
      <w:pPr>
        <w:pStyle w:val="Funotentext"/>
        <w:rPr>
          <w:sz w:val="20"/>
        </w:rPr>
      </w:pPr>
      <w:r w:rsidRPr="00CD39E6">
        <w:rPr>
          <w:rStyle w:val="Funotenzeichen"/>
          <w:sz w:val="20"/>
        </w:rPr>
        <w:footnoteRef/>
      </w:r>
      <w:r w:rsidRPr="00CD39E6">
        <w:rPr>
          <w:sz w:val="20"/>
        </w:rPr>
        <w:t xml:space="preserve"> </w:t>
      </w:r>
      <w:r>
        <w:rPr>
          <w:sz w:val="20"/>
        </w:rPr>
        <w:t xml:space="preserve">W.S. </w:t>
      </w:r>
      <w:r w:rsidRPr="00CD39E6">
        <w:rPr>
          <w:sz w:val="20"/>
        </w:rPr>
        <w:t xml:space="preserve">Campbell, </w:t>
      </w:r>
      <w:r>
        <w:rPr>
          <w:i/>
          <w:sz w:val="20"/>
        </w:rPr>
        <w:t xml:space="preserve">Paul’s Gospel in an </w:t>
      </w:r>
      <w:r w:rsidRPr="00CD39E6">
        <w:rPr>
          <w:i/>
          <w:sz w:val="20"/>
        </w:rPr>
        <w:t>Intercultural</w:t>
      </w:r>
      <w:r>
        <w:rPr>
          <w:i/>
          <w:sz w:val="20"/>
        </w:rPr>
        <w:t xml:space="preserve"> Context.</w:t>
      </w:r>
      <w:r>
        <w:rPr>
          <w:sz w:val="20"/>
        </w:rPr>
        <w:t xml:space="preserve"> Frankfurt, New York: Peter Lang 1991, </w:t>
      </w:r>
      <w:r w:rsidRPr="00CD39E6">
        <w:rPr>
          <w:sz w:val="20"/>
        </w:rPr>
        <w:t>44</w:t>
      </w:r>
    </w:p>
  </w:footnote>
  <w:footnote w:id="52">
    <w:p w:rsidR="00171BF1" w:rsidRPr="00CD39E6" w:rsidRDefault="00171BF1">
      <w:pPr>
        <w:pStyle w:val="Funotentext"/>
        <w:rPr>
          <w:sz w:val="20"/>
        </w:rPr>
      </w:pPr>
      <w:r w:rsidRPr="00CD39E6">
        <w:rPr>
          <w:rStyle w:val="Funotenzeichen"/>
          <w:sz w:val="20"/>
        </w:rPr>
        <w:footnoteRef/>
      </w:r>
      <w:r>
        <w:rPr>
          <w:sz w:val="20"/>
        </w:rPr>
        <w:t xml:space="preserve"> Contra Dunn.</w:t>
      </w:r>
    </w:p>
  </w:footnote>
  <w:footnote w:id="53">
    <w:p w:rsidR="00171BF1" w:rsidRPr="00CD39E6" w:rsidRDefault="00171BF1">
      <w:pPr>
        <w:pStyle w:val="Funotentext"/>
        <w:rPr>
          <w:sz w:val="20"/>
        </w:rPr>
      </w:pPr>
      <w:r w:rsidRPr="00CD39E6">
        <w:rPr>
          <w:rStyle w:val="Funotenzeichen"/>
          <w:sz w:val="20"/>
        </w:rPr>
        <w:footnoteRef/>
      </w:r>
      <w:r w:rsidRPr="00CD39E6">
        <w:rPr>
          <w:sz w:val="20"/>
        </w:rPr>
        <w:t xml:space="preserve"> </w:t>
      </w:r>
      <w:proofErr w:type="spellStart"/>
      <w:r>
        <w:rPr>
          <w:sz w:val="20"/>
        </w:rPr>
        <w:t>W.S</w:t>
      </w:r>
      <w:proofErr w:type="gramStart"/>
      <w:r>
        <w:rPr>
          <w:sz w:val="20"/>
        </w:rPr>
        <w:t>:</w:t>
      </w:r>
      <w:r w:rsidRPr="00CD39E6">
        <w:rPr>
          <w:sz w:val="20"/>
        </w:rPr>
        <w:t>Campbell</w:t>
      </w:r>
      <w:proofErr w:type="spellEnd"/>
      <w:proofErr w:type="gramEnd"/>
      <w:r w:rsidRPr="00CD39E6">
        <w:rPr>
          <w:sz w:val="20"/>
        </w:rPr>
        <w:t xml:space="preserve">, </w:t>
      </w:r>
      <w:r w:rsidRPr="00CD39E6">
        <w:rPr>
          <w:i/>
          <w:sz w:val="20"/>
        </w:rPr>
        <w:t>Christian Identity,</w:t>
      </w:r>
      <w:r w:rsidRPr="00CD39E6">
        <w:rPr>
          <w:sz w:val="20"/>
        </w:rPr>
        <w:t>105.</w:t>
      </w:r>
    </w:p>
  </w:footnote>
  <w:footnote w:id="54">
    <w:p w:rsidR="00171BF1" w:rsidRPr="00CD39E6" w:rsidRDefault="00171BF1">
      <w:pPr>
        <w:pStyle w:val="Funotentext"/>
        <w:rPr>
          <w:sz w:val="20"/>
        </w:rPr>
      </w:pPr>
      <w:r w:rsidRPr="00CD39E6">
        <w:rPr>
          <w:rStyle w:val="Funotenzeichen"/>
          <w:sz w:val="20"/>
        </w:rPr>
        <w:footnoteRef/>
      </w:r>
      <w:r w:rsidRPr="00CD39E6">
        <w:rPr>
          <w:sz w:val="20"/>
        </w:rPr>
        <w:t xml:space="preserve"> </w:t>
      </w:r>
      <w:proofErr w:type="spellStart"/>
      <w:r>
        <w:rPr>
          <w:sz w:val="20"/>
        </w:rPr>
        <w:t>W.S</w:t>
      </w:r>
      <w:proofErr w:type="gramStart"/>
      <w:r>
        <w:rPr>
          <w:sz w:val="20"/>
        </w:rPr>
        <w:t>:</w:t>
      </w:r>
      <w:r w:rsidRPr="00CD39E6">
        <w:rPr>
          <w:sz w:val="20"/>
        </w:rPr>
        <w:t>Campbell</w:t>
      </w:r>
      <w:proofErr w:type="spellEnd"/>
      <w:proofErr w:type="gramEnd"/>
      <w:r w:rsidRPr="00CD39E6">
        <w:rPr>
          <w:sz w:val="20"/>
        </w:rPr>
        <w:t xml:space="preserve">, </w:t>
      </w:r>
      <w:r>
        <w:rPr>
          <w:sz w:val="20"/>
        </w:rPr>
        <w:t>‘</w:t>
      </w:r>
      <w:r w:rsidRPr="00CD39E6">
        <w:rPr>
          <w:sz w:val="20"/>
        </w:rPr>
        <w:t>The Freedom and Fai</w:t>
      </w:r>
      <w:r>
        <w:rPr>
          <w:sz w:val="20"/>
        </w:rPr>
        <w:t xml:space="preserve">thfulness of God’, </w:t>
      </w:r>
      <w:r w:rsidRPr="00CD39E6">
        <w:rPr>
          <w:sz w:val="20"/>
        </w:rPr>
        <w:t>43-59.</w:t>
      </w:r>
    </w:p>
  </w:footnote>
  <w:footnote w:id="55">
    <w:p w:rsidR="00171BF1" w:rsidRPr="00CD39E6" w:rsidRDefault="00171BF1">
      <w:pPr>
        <w:pStyle w:val="Funotentext"/>
        <w:rPr>
          <w:sz w:val="20"/>
        </w:rPr>
      </w:pPr>
      <w:r w:rsidRPr="00CD39E6">
        <w:rPr>
          <w:rStyle w:val="Funotenzeichen"/>
          <w:sz w:val="20"/>
        </w:rPr>
        <w:footnoteRef/>
      </w:r>
      <w:r>
        <w:rPr>
          <w:sz w:val="20"/>
        </w:rPr>
        <w:t>W.S.</w:t>
      </w:r>
      <w:r w:rsidRPr="00CD39E6">
        <w:rPr>
          <w:sz w:val="20"/>
        </w:rPr>
        <w:t xml:space="preserve"> Campbell, </w:t>
      </w:r>
      <w:r w:rsidRPr="00CD39E6">
        <w:rPr>
          <w:i/>
          <w:sz w:val="20"/>
        </w:rPr>
        <w:t>Identity,</w:t>
      </w:r>
      <w:r w:rsidRPr="00CD39E6">
        <w:rPr>
          <w:sz w:val="20"/>
        </w:rPr>
        <w:t xml:space="preserve"> 170</w:t>
      </w:r>
    </w:p>
  </w:footnote>
  <w:footnote w:id="56">
    <w:p w:rsidR="00171BF1" w:rsidRPr="00B01491" w:rsidRDefault="00171BF1">
      <w:pPr>
        <w:pStyle w:val="Funotentext"/>
        <w:rPr>
          <w:sz w:val="20"/>
        </w:rPr>
      </w:pPr>
      <w:r>
        <w:rPr>
          <w:rStyle w:val="Funotenzeichen"/>
        </w:rPr>
        <w:footnoteRef/>
      </w:r>
      <w:r>
        <w:t xml:space="preserve"> </w:t>
      </w:r>
      <w:r>
        <w:rPr>
          <w:sz w:val="20"/>
        </w:rPr>
        <w:t xml:space="preserve">Campbell, </w:t>
      </w:r>
      <w:r>
        <w:rPr>
          <w:i/>
          <w:sz w:val="20"/>
        </w:rPr>
        <w:t>Identity,</w:t>
      </w:r>
      <w:r>
        <w:rPr>
          <w:sz w:val="20"/>
        </w:rPr>
        <w:t xml:space="preserve"> 171.</w:t>
      </w:r>
    </w:p>
  </w:footnote>
  <w:footnote w:id="57">
    <w:p w:rsidR="00171BF1" w:rsidRPr="00CD39E6" w:rsidRDefault="00171BF1">
      <w:pPr>
        <w:pStyle w:val="Funotentext"/>
        <w:rPr>
          <w:sz w:val="20"/>
        </w:rPr>
      </w:pPr>
      <w:r w:rsidRPr="00CD39E6">
        <w:rPr>
          <w:rStyle w:val="Funotenzeichen"/>
          <w:sz w:val="20"/>
        </w:rPr>
        <w:footnoteRef/>
      </w:r>
      <w:r w:rsidRPr="00CD39E6">
        <w:rPr>
          <w:sz w:val="20"/>
        </w:rPr>
        <w:t xml:space="preserve"> </w:t>
      </w:r>
      <w:r>
        <w:rPr>
          <w:sz w:val="20"/>
        </w:rPr>
        <w:t xml:space="preserve">W.S. </w:t>
      </w:r>
      <w:r w:rsidRPr="00CD39E6">
        <w:rPr>
          <w:sz w:val="20"/>
        </w:rPr>
        <w:t xml:space="preserve">Campbell, </w:t>
      </w:r>
      <w:r w:rsidRPr="00CD39E6">
        <w:rPr>
          <w:i/>
          <w:sz w:val="20"/>
        </w:rPr>
        <w:t xml:space="preserve">Identity, </w:t>
      </w:r>
      <w:r w:rsidRPr="00CD39E6">
        <w:rPr>
          <w:sz w:val="20"/>
        </w:rPr>
        <w:t>171.</w:t>
      </w:r>
    </w:p>
  </w:footnote>
  <w:footnote w:id="58">
    <w:p w:rsidR="00171BF1" w:rsidRPr="00CD39E6" w:rsidRDefault="00171BF1">
      <w:pPr>
        <w:pStyle w:val="Funotentext"/>
        <w:rPr>
          <w:sz w:val="20"/>
        </w:rPr>
      </w:pPr>
      <w:r w:rsidRPr="00CD39E6">
        <w:rPr>
          <w:rStyle w:val="Funotenzeichen"/>
          <w:sz w:val="20"/>
        </w:rPr>
        <w:footnoteRef/>
      </w:r>
      <w:r w:rsidRPr="00CD39E6">
        <w:rPr>
          <w:sz w:val="20"/>
        </w:rPr>
        <w:t xml:space="preserve"> Cf. </w:t>
      </w:r>
      <w:r>
        <w:rPr>
          <w:sz w:val="20"/>
        </w:rPr>
        <w:t>Campbell’s</w:t>
      </w:r>
      <w:r w:rsidRPr="00CD39E6">
        <w:rPr>
          <w:sz w:val="20"/>
        </w:rPr>
        <w:t xml:space="preserve"> contribution on </w:t>
      </w:r>
      <w:proofErr w:type="spellStart"/>
      <w:r w:rsidRPr="00CD39E6">
        <w:rPr>
          <w:sz w:val="20"/>
        </w:rPr>
        <w:t>Käsemann</w:t>
      </w:r>
      <w:proofErr w:type="spellEnd"/>
      <w:r w:rsidRPr="00CD39E6">
        <w:rPr>
          <w:sz w:val="20"/>
        </w:rPr>
        <w:t xml:space="preserve"> in this volume.</w:t>
      </w:r>
    </w:p>
  </w:footnote>
  <w:footnote w:id="59">
    <w:p w:rsidR="00171BF1" w:rsidRPr="00CD39E6" w:rsidRDefault="00171BF1">
      <w:pPr>
        <w:pStyle w:val="Funotentext"/>
        <w:rPr>
          <w:sz w:val="20"/>
        </w:rPr>
      </w:pPr>
      <w:r w:rsidRPr="00CD39E6">
        <w:rPr>
          <w:rStyle w:val="Funotenzeichen"/>
          <w:sz w:val="20"/>
        </w:rPr>
        <w:footnoteRef/>
      </w:r>
      <w:r w:rsidRPr="00CD39E6">
        <w:rPr>
          <w:sz w:val="20"/>
        </w:rPr>
        <w:t xml:space="preserve"> </w:t>
      </w:r>
      <w:proofErr w:type="spellStart"/>
      <w:proofErr w:type="gramStart"/>
      <w:r>
        <w:rPr>
          <w:sz w:val="20"/>
        </w:rPr>
        <w:t>J.</w:t>
      </w:r>
      <w:r w:rsidRPr="00CD39E6">
        <w:rPr>
          <w:sz w:val="20"/>
        </w:rPr>
        <w:t>Taubes</w:t>
      </w:r>
      <w:proofErr w:type="spellEnd"/>
      <w:r w:rsidRPr="00CD39E6">
        <w:rPr>
          <w:sz w:val="20"/>
        </w:rPr>
        <w:t xml:space="preserve">, </w:t>
      </w:r>
      <w:r w:rsidRPr="00CD39E6">
        <w:rPr>
          <w:i/>
          <w:sz w:val="20"/>
        </w:rPr>
        <w:t>The Political Theology of Paul</w:t>
      </w:r>
      <w:r w:rsidRPr="00CD39E6">
        <w:rPr>
          <w:sz w:val="20"/>
        </w:rPr>
        <w:t>.</w:t>
      </w:r>
      <w:proofErr w:type="gramEnd"/>
      <w:r w:rsidRPr="00CD39E6">
        <w:rPr>
          <w:sz w:val="20"/>
        </w:rPr>
        <w:t xml:space="preserve"> Stanford: Stanford University Press 2004,13-16.</w:t>
      </w:r>
    </w:p>
  </w:footnote>
  <w:footnote w:id="60">
    <w:p w:rsidR="00171BF1" w:rsidRPr="00CD39E6" w:rsidRDefault="00171BF1">
      <w:pPr>
        <w:pStyle w:val="Funotentext"/>
        <w:rPr>
          <w:sz w:val="20"/>
        </w:rPr>
      </w:pPr>
      <w:r w:rsidRPr="00CD39E6">
        <w:rPr>
          <w:rStyle w:val="Funotenzeichen"/>
          <w:sz w:val="20"/>
        </w:rPr>
        <w:footnoteRef/>
      </w:r>
      <w:r>
        <w:rPr>
          <w:sz w:val="20"/>
        </w:rPr>
        <w:t xml:space="preserve"> Contra Dunn.</w:t>
      </w:r>
    </w:p>
  </w:footnote>
  <w:footnote w:id="61">
    <w:p w:rsidR="00171BF1" w:rsidRPr="00CD39E6" w:rsidRDefault="00171BF1">
      <w:pPr>
        <w:pStyle w:val="Funotentext"/>
        <w:rPr>
          <w:sz w:val="20"/>
        </w:rPr>
      </w:pPr>
      <w:r w:rsidRPr="00CD39E6">
        <w:rPr>
          <w:rStyle w:val="Funotenzeichen"/>
          <w:sz w:val="20"/>
        </w:rPr>
        <w:footnoteRef/>
      </w:r>
      <w:r w:rsidRPr="00CD39E6">
        <w:rPr>
          <w:sz w:val="20"/>
        </w:rPr>
        <w:t xml:space="preserve"> </w:t>
      </w:r>
      <w:proofErr w:type="spellStart"/>
      <w:r>
        <w:rPr>
          <w:sz w:val="20"/>
        </w:rPr>
        <w:t>N.</w:t>
      </w:r>
      <w:r w:rsidRPr="00CD39E6">
        <w:rPr>
          <w:sz w:val="20"/>
        </w:rPr>
        <w:t>Elliott</w:t>
      </w:r>
      <w:proofErr w:type="spellEnd"/>
      <w:r w:rsidRPr="00CD39E6">
        <w:rPr>
          <w:sz w:val="20"/>
        </w:rPr>
        <w:t xml:space="preserve">, </w:t>
      </w:r>
      <w:r>
        <w:rPr>
          <w:i/>
          <w:sz w:val="20"/>
        </w:rPr>
        <w:t xml:space="preserve">The </w:t>
      </w:r>
      <w:r w:rsidRPr="00CD39E6">
        <w:rPr>
          <w:i/>
          <w:sz w:val="20"/>
        </w:rPr>
        <w:t>Arrogance</w:t>
      </w:r>
      <w:r>
        <w:rPr>
          <w:i/>
          <w:sz w:val="20"/>
        </w:rPr>
        <w:t xml:space="preserve"> of Nations: Reading Romans in the Shadow of Empire.</w:t>
      </w:r>
      <w:r>
        <w:rPr>
          <w:sz w:val="20"/>
        </w:rPr>
        <w:t xml:space="preserve"> Minneapolis: Fortress Press 2008</w:t>
      </w:r>
      <w:r w:rsidRPr="00CD39E6">
        <w:rPr>
          <w:i/>
          <w:sz w:val="20"/>
        </w:rPr>
        <w:t>,</w:t>
      </w:r>
      <w:r w:rsidRPr="00CD39E6">
        <w:rPr>
          <w:sz w:val="20"/>
        </w:rPr>
        <w:t>12.</w:t>
      </w:r>
    </w:p>
  </w:footnote>
  <w:footnote w:id="62">
    <w:p w:rsidR="00171BF1" w:rsidRPr="00C62AEA" w:rsidRDefault="00171BF1">
      <w:pPr>
        <w:pStyle w:val="Funotentext"/>
        <w:rPr>
          <w:sz w:val="20"/>
        </w:rPr>
      </w:pPr>
      <w:r w:rsidRPr="00CD39E6">
        <w:rPr>
          <w:rStyle w:val="Funotenzeichen"/>
          <w:sz w:val="20"/>
        </w:rPr>
        <w:footnoteRef/>
      </w:r>
      <w:r w:rsidRPr="00CD39E6">
        <w:rPr>
          <w:sz w:val="20"/>
        </w:rPr>
        <w:t xml:space="preserve"> </w:t>
      </w:r>
      <w:r>
        <w:rPr>
          <w:sz w:val="20"/>
        </w:rPr>
        <w:t xml:space="preserve">Elliott, </w:t>
      </w:r>
      <w:r>
        <w:rPr>
          <w:i/>
          <w:sz w:val="20"/>
        </w:rPr>
        <w:t>Arrogance,</w:t>
      </w:r>
      <w:r>
        <w:rPr>
          <w:sz w:val="20"/>
        </w:rPr>
        <w:t xml:space="preserve"> 20.c</w:t>
      </w:r>
      <w:r w:rsidRPr="00CD39E6">
        <w:rPr>
          <w:sz w:val="20"/>
        </w:rPr>
        <w:t>f also Campbell</w:t>
      </w:r>
      <w:r>
        <w:rPr>
          <w:sz w:val="20"/>
        </w:rPr>
        <w:t xml:space="preserve"> W.S.</w:t>
      </w:r>
      <w:r w:rsidRPr="00CD39E6">
        <w:rPr>
          <w:sz w:val="20"/>
        </w:rPr>
        <w:t>,</w:t>
      </w:r>
      <w:r>
        <w:rPr>
          <w:sz w:val="20"/>
        </w:rPr>
        <w:t xml:space="preserve"> ‘The Addressees of Paul’s Letter to the Romans: Assemblies of God in House Churches and Synagogues?’ in </w:t>
      </w:r>
      <w:proofErr w:type="spellStart"/>
      <w:r>
        <w:rPr>
          <w:sz w:val="20"/>
        </w:rPr>
        <w:t>F.Wilk</w:t>
      </w:r>
      <w:proofErr w:type="spellEnd"/>
      <w:r>
        <w:rPr>
          <w:sz w:val="20"/>
        </w:rPr>
        <w:t xml:space="preserve">, </w:t>
      </w:r>
      <w:proofErr w:type="spellStart"/>
      <w:r>
        <w:rPr>
          <w:sz w:val="20"/>
        </w:rPr>
        <w:t>J.R.Wagners</w:t>
      </w:r>
      <w:proofErr w:type="spellEnd"/>
      <w:r>
        <w:rPr>
          <w:sz w:val="20"/>
        </w:rPr>
        <w:t xml:space="preserve">, </w:t>
      </w:r>
      <w:r>
        <w:rPr>
          <w:i/>
          <w:sz w:val="20"/>
        </w:rPr>
        <w:t xml:space="preserve">Between Gospel and Election: Explorations in the </w:t>
      </w:r>
      <w:proofErr w:type="spellStart"/>
      <w:r>
        <w:rPr>
          <w:i/>
          <w:sz w:val="20"/>
        </w:rPr>
        <w:t>Intepretation</w:t>
      </w:r>
      <w:proofErr w:type="spellEnd"/>
      <w:r>
        <w:rPr>
          <w:i/>
          <w:sz w:val="20"/>
        </w:rPr>
        <w:t xml:space="preserve"> of Romans 9-11.</w:t>
      </w:r>
      <w:r>
        <w:rPr>
          <w:sz w:val="20"/>
        </w:rPr>
        <w:t xml:space="preserve">Tübingen: Mohr </w:t>
      </w:r>
      <w:proofErr w:type="spellStart"/>
      <w:r>
        <w:rPr>
          <w:sz w:val="20"/>
        </w:rPr>
        <w:t>Siebeck</w:t>
      </w:r>
      <w:proofErr w:type="spellEnd"/>
      <w:r>
        <w:rPr>
          <w:sz w:val="20"/>
        </w:rPr>
        <w:t xml:space="preserve"> 2010, 171-195</w:t>
      </w:r>
      <w:proofErr w:type="gramStart"/>
      <w:r>
        <w:rPr>
          <w:sz w:val="20"/>
        </w:rPr>
        <w:t xml:space="preserve">, </w:t>
      </w:r>
      <w:r w:rsidRPr="00CD39E6">
        <w:rPr>
          <w:sz w:val="20"/>
        </w:rPr>
        <w:t xml:space="preserve"> </w:t>
      </w:r>
      <w:proofErr w:type="spellStart"/>
      <w:r w:rsidRPr="00CD39E6">
        <w:rPr>
          <w:sz w:val="20"/>
        </w:rPr>
        <w:t>Nanos</w:t>
      </w:r>
      <w:proofErr w:type="spellEnd"/>
      <w:proofErr w:type="gramEnd"/>
      <w:r>
        <w:rPr>
          <w:sz w:val="20"/>
        </w:rPr>
        <w:t xml:space="preserve">, </w:t>
      </w:r>
      <w:r>
        <w:rPr>
          <w:i/>
          <w:sz w:val="20"/>
        </w:rPr>
        <w:t>Mystery</w:t>
      </w:r>
      <w:r>
        <w:rPr>
          <w:sz w:val="20"/>
        </w:rPr>
        <w:t xml:space="preserve">, 41-84, and </w:t>
      </w:r>
    </w:p>
  </w:footnote>
  <w:footnote w:id="63">
    <w:p w:rsidR="00171BF1" w:rsidRPr="00CD39E6" w:rsidRDefault="00171BF1">
      <w:pPr>
        <w:pStyle w:val="Funotentext"/>
        <w:rPr>
          <w:sz w:val="20"/>
        </w:rPr>
      </w:pPr>
      <w:r w:rsidRPr="00CD39E6">
        <w:rPr>
          <w:rStyle w:val="Funotenzeichen"/>
          <w:sz w:val="20"/>
        </w:rPr>
        <w:footnoteRef/>
      </w:r>
      <w:r w:rsidRPr="00CD39E6">
        <w:rPr>
          <w:sz w:val="20"/>
        </w:rPr>
        <w:t xml:space="preserve"> Elliott, </w:t>
      </w:r>
      <w:r w:rsidRPr="00CD39E6">
        <w:rPr>
          <w:i/>
          <w:sz w:val="20"/>
        </w:rPr>
        <w:t>Arrogance</w:t>
      </w:r>
      <w:proofErr w:type="gramStart"/>
      <w:r w:rsidRPr="00CD39E6">
        <w:rPr>
          <w:i/>
          <w:sz w:val="20"/>
        </w:rPr>
        <w:t>,</w:t>
      </w:r>
      <w:r w:rsidRPr="00CD39E6">
        <w:rPr>
          <w:sz w:val="20"/>
        </w:rPr>
        <w:t>15</w:t>
      </w:r>
      <w:proofErr w:type="gramEnd"/>
      <w:r w:rsidRPr="00CD39E6">
        <w:rPr>
          <w:sz w:val="20"/>
        </w:rPr>
        <w:t>.</w:t>
      </w:r>
    </w:p>
  </w:footnote>
  <w:footnote w:id="64">
    <w:p w:rsidR="00171BF1" w:rsidRPr="00CD39E6" w:rsidRDefault="00171BF1">
      <w:pPr>
        <w:pStyle w:val="Funotentext"/>
        <w:rPr>
          <w:sz w:val="20"/>
        </w:rPr>
      </w:pPr>
      <w:r w:rsidRPr="00CD39E6">
        <w:rPr>
          <w:rStyle w:val="Funotenzeichen"/>
          <w:sz w:val="20"/>
        </w:rPr>
        <w:footnoteRef/>
      </w:r>
      <w:r>
        <w:rPr>
          <w:sz w:val="20"/>
        </w:rPr>
        <w:t xml:space="preserve"> </w:t>
      </w:r>
      <w:r w:rsidRPr="00CD39E6">
        <w:rPr>
          <w:sz w:val="20"/>
        </w:rPr>
        <w:t xml:space="preserve">Cf. </w:t>
      </w:r>
      <w:r>
        <w:rPr>
          <w:sz w:val="20"/>
        </w:rPr>
        <w:t xml:space="preserve">also </w:t>
      </w:r>
      <w:r w:rsidRPr="00CD39E6">
        <w:rPr>
          <w:sz w:val="20"/>
        </w:rPr>
        <w:t>Campbell, ‘Divergent Ima</w:t>
      </w:r>
      <w:r>
        <w:rPr>
          <w:sz w:val="20"/>
        </w:rPr>
        <w:t>ges of Paul and His Mission’</w:t>
      </w:r>
      <w:r w:rsidRPr="00CD39E6">
        <w:rPr>
          <w:sz w:val="20"/>
        </w:rPr>
        <w:t>.</w:t>
      </w:r>
    </w:p>
  </w:footnote>
  <w:footnote w:id="65">
    <w:p w:rsidR="00171BF1" w:rsidRPr="00CD39E6" w:rsidRDefault="00171BF1">
      <w:pPr>
        <w:pStyle w:val="Funotentext"/>
        <w:rPr>
          <w:sz w:val="20"/>
        </w:rPr>
      </w:pPr>
      <w:r w:rsidRPr="00CD39E6">
        <w:rPr>
          <w:rStyle w:val="Funotenzeichen"/>
          <w:sz w:val="20"/>
        </w:rPr>
        <w:footnoteRef/>
      </w:r>
      <w:r w:rsidRPr="00CD39E6">
        <w:rPr>
          <w:sz w:val="20"/>
        </w:rPr>
        <w:t xml:space="preserve"> Elliott, </w:t>
      </w:r>
      <w:r w:rsidRPr="00CD39E6">
        <w:rPr>
          <w:i/>
          <w:sz w:val="20"/>
        </w:rPr>
        <w:t>Arrogance</w:t>
      </w:r>
      <w:proofErr w:type="gramStart"/>
      <w:r w:rsidRPr="00CD39E6">
        <w:rPr>
          <w:i/>
          <w:sz w:val="20"/>
        </w:rPr>
        <w:t>,</w:t>
      </w:r>
      <w:r w:rsidRPr="00CD39E6">
        <w:rPr>
          <w:sz w:val="20"/>
        </w:rPr>
        <w:t>158</w:t>
      </w:r>
      <w:proofErr w:type="gramEnd"/>
    </w:p>
  </w:footnote>
  <w:footnote w:id="66">
    <w:p w:rsidR="00171BF1" w:rsidRPr="00CD39E6" w:rsidRDefault="00171BF1">
      <w:pPr>
        <w:pStyle w:val="Funotentext"/>
        <w:rPr>
          <w:sz w:val="20"/>
        </w:rPr>
      </w:pPr>
      <w:r w:rsidRPr="00CD39E6">
        <w:rPr>
          <w:rStyle w:val="Funotenzeichen"/>
          <w:sz w:val="20"/>
        </w:rPr>
        <w:footnoteRef/>
      </w:r>
      <w:r w:rsidRPr="00CD39E6">
        <w:rPr>
          <w:sz w:val="20"/>
        </w:rPr>
        <w:t xml:space="preserve"> Elliott,</w:t>
      </w:r>
      <w:r w:rsidRPr="00CD39E6">
        <w:rPr>
          <w:i/>
          <w:sz w:val="20"/>
        </w:rPr>
        <w:t xml:space="preserve"> Arrogance,</w:t>
      </w:r>
      <w:r w:rsidRPr="00CD39E6">
        <w:rPr>
          <w:sz w:val="20"/>
        </w:rPr>
        <w:t xml:space="preserve"> 158.</w:t>
      </w:r>
    </w:p>
  </w:footnote>
  <w:footnote w:id="67">
    <w:p w:rsidR="00171BF1" w:rsidRPr="00C15436" w:rsidRDefault="00171BF1" w:rsidP="00C154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i/>
          <w:color w:val="000000"/>
          <w:sz w:val="20"/>
          <w:szCs w:val="18"/>
          <w:lang w:val="de-DE"/>
        </w:rPr>
      </w:pPr>
      <w:r w:rsidRPr="00CD39E6">
        <w:rPr>
          <w:rStyle w:val="Funotenzeichen"/>
          <w:sz w:val="20"/>
        </w:rPr>
        <w:footnoteRef/>
      </w:r>
      <w:r w:rsidRPr="00CD39E6">
        <w:rPr>
          <w:sz w:val="20"/>
        </w:rPr>
        <w:t xml:space="preserve"> </w:t>
      </w:r>
      <w:r>
        <w:rPr>
          <w:sz w:val="20"/>
        </w:rPr>
        <w:t xml:space="preserve">See also </w:t>
      </w:r>
      <w:r w:rsidR="0060273F">
        <w:rPr>
          <w:sz w:val="20"/>
        </w:rPr>
        <w:t>I.</w:t>
      </w:r>
      <w:r w:rsidRPr="00CD39E6">
        <w:rPr>
          <w:sz w:val="20"/>
        </w:rPr>
        <w:t xml:space="preserve"> </w:t>
      </w:r>
      <w:proofErr w:type="spellStart"/>
      <w:r>
        <w:rPr>
          <w:sz w:val="20"/>
        </w:rPr>
        <w:t>E.</w:t>
      </w:r>
      <w:r w:rsidRPr="00CD39E6">
        <w:rPr>
          <w:sz w:val="20"/>
        </w:rPr>
        <w:t>Rock</w:t>
      </w:r>
      <w:proofErr w:type="spellEnd"/>
      <w:r>
        <w:rPr>
          <w:sz w:val="20"/>
        </w:rPr>
        <w:t xml:space="preserve">, </w:t>
      </w:r>
      <w:r w:rsidRPr="00C15436">
        <w:rPr>
          <w:rFonts w:cs="Times"/>
          <w:i/>
          <w:color w:val="000000"/>
          <w:sz w:val="20"/>
          <w:szCs w:val="23"/>
          <w:lang w:val="de-DE"/>
        </w:rPr>
        <w:t xml:space="preserve">Paul’s Letter to </w:t>
      </w:r>
      <w:proofErr w:type="spellStart"/>
      <w:r w:rsidRPr="00C15436">
        <w:rPr>
          <w:rFonts w:cs="Times"/>
          <w:i/>
          <w:color w:val="000000"/>
          <w:sz w:val="20"/>
          <w:szCs w:val="23"/>
          <w:lang w:val="de-DE"/>
        </w:rPr>
        <w:t>the</w:t>
      </w:r>
      <w:proofErr w:type="spellEnd"/>
      <w:r w:rsidRPr="00C15436">
        <w:rPr>
          <w:rFonts w:cs="Times"/>
          <w:i/>
          <w:color w:val="000000"/>
          <w:sz w:val="20"/>
          <w:szCs w:val="23"/>
          <w:lang w:val="de-DE"/>
        </w:rPr>
        <w:t xml:space="preserve"> Romans and Romans </w:t>
      </w:r>
      <w:proofErr w:type="spellStart"/>
      <w:r w:rsidRPr="00C15436">
        <w:rPr>
          <w:rFonts w:cs="Times"/>
          <w:i/>
          <w:color w:val="000000"/>
          <w:sz w:val="20"/>
          <w:szCs w:val="23"/>
          <w:lang w:val="de-DE"/>
        </w:rPr>
        <w:t>Imperialism</w:t>
      </w:r>
      <w:proofErr w:type="spellEnd"/>
      <w:r w:rsidRPr="00C15436">
        <w:rPr>
          <w:rFonts w:cs="Times"/>
          <w:i/>
          <w:color w:val="000000"/>
          <w:sz w:val="20"/>
          <w:szCs w:val="23"/>
          <w:lang w:val="de-DE"/>
        </w:rPr>
        <w:t xml:space="preserve">: An </w:t>
      </w:r>
      <w:proofErr w:type="spellStart"/>
      <w:r w:rsidRPr="00C15436">
        <w:rPr>
          <w:rFonts w:cs="Times"/>
          <w:i/>
          <w:color w:val="000000"/>
          <w:sz w:val="20"/>
          <w:szCs w:val="23"/>
          <w:lang w:val="de-DE"/>
        </w:rPr>
        <w:t>Ideological</w:t>
      </w:r>
      <w:proofErr w:type="spellEnd"/>
      <w:r w:rsidRPr="00C15436">
        <w:rPr>
          <w:rFonts w:cs="Times"/>
          <w:i/>
          <w:color w:val="000000"/>
          <w:sz w:val="20"/>
          <w:szCs w:val="23"/>
          <w:lang w:val="de-DE"/>
        </w:rPr>
        <w:t xml:space="preserve"> Analysis of </w:t>
      </w:r>
      <w:proofErr w:type="spellStart"/>
      <w:r w:rsidRPr="00C15436">
        <w:rPr>
          <w:rFonts w:cs="Times"/>
          <w:i/>
          <w:color w:val="000000"/>
          <w:sz w:val="20"/>
          <w:szCs w:val="23"/>
          <w:lang w:val="de-DE"/>
        </w:rPr>
        <w:t>the</w:t>
      </w:r>
      <w:proofErr w:type="spellEnd"/>
      <w:r w:rsidRPr="00C15436">
        <w:rPr>
          <w:rFonts w:cs="Times"/>
          <w:i/>
          <w:color w:val="000000"/>
          <w:sz w:val="20"/>
          <w:szCs w:val="23"/>
          <w:lang w:val="de-DE"/>
        </w:rPr>
        <w:t xml:space="preserve"> </w:t>
      </w:r>
      <w:proofErr w:type="spellStart"/>
      <w:r w:rsidRPr="00C15436">
        <w:rPr>
          <w:rFonts w:cs="Times"/>
          <w:i/>
          <w:color w:val="000000"/>
          <w:sz w:val="20"/>
          <w:szCs w:val="23"/>
          <w:lang w:val="de-DE"/>
        </w:rPr>
        <w:t>Exordium</w:t>
      </w:r>
      <w:proofErr w:type="spellEnd"/>
      <w:r w:rsidRPr="00C15436">
        <w:rPr>
          <w:rFonts w:cs="Times"/>
          <w:i/>
          <w:color w:val="000000"/>
          <w:sz w:val="20"/>
          <w:szCs w:val="23"/>
          <w:lang w:val="de-DE"/>
        </w:rPr>
        <w:t xml:space="preserve"> (Rom 1:1-17),</w:t>
      </w:r>
      <w:r>
        <w:rPr>
          <w:rFonts w:cs="Times"/>
          <w:color w:val="000000"/>
          <w:sz w:val="23"/>
          <w:szCs w:val="23"/>
          <w:lang w:val="de-DE"/>
        </w:rPr>
        <w:t xml:space="preserve"> </w:t>
      </w:r>
      <w:proofErr w:type="spellStart"/>
      <w:r>
        <w:rPr>
          <w:rFonts w:cs="Times"/>
          <w:color w:val="000000"/>
          <w:sz w:val="20"/>
          <w:szCs w:val="23"/>
          <w:lang w:val="de-DE"/>
        </w:rPr>
        <w:t>Eugene,OR</w:t>
      </w:r>
      <w:proofErr w:type="spellEnd"/>
      <w:r>
        <w:rPr>
          <w:rFonts w:cs="Times"/>
          <w:color w:val="000000"/>
          <w:sz w:val="20"/>
          <w:szCs w:val="23"/>
          <w:lang w:val="de-DE"/>
        </w:rPr>
        <w:t xml:space="preserve">: </w:t>
      </w:r>
      <w:proofErr w:type="spellStart"/>
      <w:r w:rsidRPr="00C15436">
        <w:rPr>
          <w:rFonts w:cs="Times"/>
          <w:color w:val="000000"/>
          <w:sz w:val="20"/>
          <w:szCs w:val="23"/>
          <w:lang w:val="de-DE"/>
        </w:rPr>
        <w:t>Wipf&amp;Stock</w:t>
      </w:r>
      <w:proofErr w:type="spellEnd"/>
      <w:r>
        <w:rPr>
          <w:rFonts w:cs="Times"/>
          <w:color w:val="000000"/>
          <w:sz w:val="20"/>
          <w:szCs w:val="23"/>
          <w:lang w:val="de-DE"/>
        </w:rPr>
        <w:t xml:space="preserve"> 2011.</w:t>
      </w:r>
    </w:p>
  </w:footnote>
  <w:footnote w:id="68">
    <w:p w:rsidR="00171BF1" w:rsidRPr="006A329D" w:rsidRDefault="00171BF1">
      <w:pPr>
        <w:pStyle w:val="Funotentext"/>
        <w:rPr>
          <w:sz w:val="20"/>
        </w:rPr>
      </w:pPr>
      <w:r>
        <w:rPr>
          <w:rStyle w:val="Funotenzeichen"/>
        </w:rPr>
        <w:footnoteRef/>
      </w:r>
      <w:r>
        <w:t xml:space="preserve"> </w:t>
      </w:r>
      <w:r w:rsidRPr="006A329D">
        <w:rPr>
          <w:rFonts w:cs="Verdana"/>
          <w:bCs/>
          <w:sz w:val="20"/>
          <w:szCs w:val="26"/>
          <w:lang w:val="de-DE"/>
        </w:rPr>
        <w:t xml:space="preserve">"Paul and </w:t>
      </w:r>
      <w:proofErr w:type="spellStart"/>
      <w:r w:rsidRPr="006A329D">
        <w:rPr>
          <w:rFonts w:cs="Verdana"/>
          <w:bCs/>
          <w:sz w:val="20"/>
          <w:szCs w:val="26"/>
          <w:lang w:val="de-DE"/>
        </w:rPr>
        <w:t>Judaism</w:t>
      </w:r>
      <w:proofErr w:type="spellEnd"/>
      <w:r w:rsidRPr="006A329D">
        <w:rPr>
          <w:rFonts w:cs="Verdana"/>
          <w:bCs/>
          <w:sz w:val="20"/>
          <w:szCs w:val="26"/>
          <w:lang w:val="de-DE"/>
        </w:rPr>
        <w:t xml:space="preserve">: </w:t>
      </w:r>
      <w:proofErr w:type="spellStart"/>
      <w:r w:rsidRPr="006A329D">
        <w:rPr>
          <w:rFonts w:cs="Verdana"/>
          <w:bCs/>
          <w:sz w:val="20"/>
          <w:szCs w:val="26"/>
          <w:lang w:val="de-DE"/>
        </w:rPr>
        <w:t>Why</w:t>
      </w:r>
      <w:proofErr w:type="spellEnd"/>
      <w:r w:rsidRPr="006A329D">
        <w:rPr>
          <w:rFonts w:cs="Verdana"/>
          <w:bCs/>
          <w:sz w:val="20"/>
          <w:szCs w:val="26"/>
          <w:lang w:val="de-DE"/>
        </w:rPr>
        <w:t xml:space="preserve"> Not Paul's </w:t>
      </w:r>
      <w:proofErr w:type="spellStart"/>
      <w:r w:rsidRPr="006A329D">
        <w:rPr>
          <w:rFonts w:cs="Verdana"/>
          <w:bCs/>
          <w:sz w:val="20"/>
          <w:szCs w:val="26"/>
          <w:lang w:val="de-DE"/>
        </w:rPr>
        <w:t>Judaism</w:t>
      </w:r>
      <w:proofErr w:type="spellEnd"/>
      <w:r w:rsidRPr="006A329D">
        <w:rPr>
          <w:rFonts w:cs="Verdana"/>
          <w:bCs/>
          <w:sz w:val="20"/>
          <w:szCs w:val="26"/>
          <w:lang w:val="de-DE"/>
        </w:rPr>
        <w:t xml:space="preserve">?" </w:t>
      </w:r>
      <w:r>
        <w:rPr>
          <w:rFonts w:cs="Verdana"/>
          <w:sz w:val="20"/>
          <w:szCs w:val="26"/>
          <w:lang w:val="de-DE"/>
        </w:rPr>
        <w:t>in M.</w:t>
      </w:r>
      <w:r w:rsidRPr="006A329D">
        <w:rPr>
          <w:rFonts w:cs="Verdana"/>
          <w:sz w:val="20"/>
          <w:szCs w:val="26"/>
          <w:lang w:val="de-DE"/>
        </w:rPr>
        <w:t xml:space="preserve"> </w:t>
      </w:r>
      <w:proofErr w:type="spellStart"/>
      <w:r w:rsidRPr="006A329D">
        <w:rPr>
          <w:rFonts w:cs="Verdana"/>
          <w:sz w:val="20"/>
          <w:szCs w:val="26"/>
          <w:lang w:val="de-DE"/>
        </w:rPr>
        <w:t>Given</w:t>
      </w:r>
      <w:proofErr w:type="spellEnd"/>
      <w:r w:rsidRPr="006A329D">
        <w:rPr>
          <w:rFonts w:cs="Verdana"/>
          <w:sz w:val="20"/>
          <w:szCs w:val="26"/>
          <w:lang w:val="de-DE"/>
        </w:rPr>
        <w:t>, ed.,</w:t>
      </w:r>
      <w:r w:rsidRPr="006A329D">
        <w:rPr>
          <w:rFonts w:cs="Verdana"/>
          <w:bCs/>
          <w:sz w:val="20"/>
          <w:szCs w:val="26"/>
          <w:lang w:val="de-DE"/>
        </w:rPr>
        <w:t xml:space="preserve"> </w:t>
      </w:r>
      <w:hyperlink r:id="rId1" w:history="1">
        <w:r w:rsidRPr="006A329D">
          <w:rPr>
            <w:rFonts w:cs="Verdana"/>
            <w:bCs/>
            <w:i/>
            <w:iCs/>
            <w:sz w:val="20"/>
            <w:szCs w:val="26"/>
            <w:u w:color="0000F6"/>
            <w:lang w:val="de-DE"/>
          </w:rPr>
          <w:t xml:space="preserve">Paul </w:t>
        </w:r>
        <w:proofErr w:type="spellStart"/>
        <w:r w:rsidRPr="006A329D">
          <w:rPr>
            <w:rFonts w:cs="Verdana"/>
            <w:bCs/>
            <w:i/>
            <w:iCs/>
            <w:sz w:val="20"/>
            <w:szCs w:val="26"/>
            <w:u w:color="0000F6"/>
            <w:lang w:val="de-DE"/>
          </w:rPr>
          <w:t>Unbound</w:t>
        </w:r>
        <w:proofErr w:type="spellEnd"/>
        <w:r w:rsidRPr="006A329D">
          <w:rPr>
            <w:rFonts w:cs="Verdana"/>
            <w:bCs/>
            <w:i/>
            <w:iCs/>
            <w:sz w:val="20"/>
            <w:szCs w:val="26"/>
            <w:u w:color="0000F6"/>
            <w:lang w:val="de-DE"/>
          </w:rPr>
          <w:t xml:space="preserve">: </w:t>
        </w:r>
        <w:proofErr w:type="spellStart"/>
        <w:r w:rsidRPr="006A329D">
          <w:rPr>
            <w:rFonts w:cs="Verdana"/>
            <w:bCs/>
            <w:i/>
            <w:iCs/>
            <w:sz w:val="20"/>
            <w:szCs w:val="26"/>
            <w:u w:color="0000F6"/>
            <w:lang w:val="de-DE"/>
          </w:rPr>
          <w:t>Other</w:t>
        </w:r>
        <w:proofErr w:type="spellEnd"/>
        <w:r w:rsidRPr="006A329D">
          <w:rPr>
            <w:rFonts w:cs="Verdana"/>
            <w:bCs/>
            <w:i/>
            <w:iCs/>
            <w:sz w:val="20"/>
            <w:szCs w:val="26"/>
            <w:u w:color="0000F6"/>
            <w:lang w:val="de-DE"/>
          </w:rPr>
          <w:t xml:space="preserve"> </w:t>
        </w:r>
        <w:proofErr w:type="spellStart"/>
        <w:r w:rsidRPr="006A329D">
          <w:rPr>
            <w:rFonts w:cs="Verdana"/>
            <w:bCs/>
            <w:i/>
            <w:iCs/>
            <w:sz w:val="20"/>
            <w:szCs w:val="26"/>
            <w:u w:color="0000F6"/>
            <w:lang w:val="de-DE"/>
          </w:rPr>
          <w:t>Perspectives</w:t>
        </w:r>
        <w:proofErr w:type="spellEnd"/>
        <w:r w:rsidRPr="006A329D">
          <w:rPr>
            <w:rFonts w:cs="Verdana"/>
            <w:bCs/>
            <w:i/>
            <w:iCs/>
            <w:sz w:val="20"/>
            <w:szCs w:val="26"/>
            <w:u w:color="0000F6"/>
            <w:lang w:val="de-DE"/>
          </w:rPr>
          <w:t xml:space="preserve"> on </w:t>
        </w:r>
        <w:proofErr w:type="spellStart"/>
        <w:r w:rsidRPr="006A329D">
          <w:rPr>
            <w:rFonts w:cs="Verdana"/>
            <w:bCs/>
            <w:i/>
            <w:iCs/>
            <w:sz w:val="20"/>
            <w:szCs w:val="26"/>
            <w:u w:color="0000F6"/>
            <w:lang w:val="de-DE"/>
          </w:rPr>
          <w:t>the</w:t>
        </w:r>
        <w:proofErr w:type="spellEnd"/>
        <w:r w:rsidRPr="006A329D">
          <w:rPr>
            <w:rFonts w:cs="Verdana"/>
            <w:bCs/>
            <w:i/>
            <w:iCs/>
            <w:sz w:val="20"/>
            <w:szCs w:val="26"/>
            <w:u w:color="0000F6"/>
            <w:lang w:val="de-DE"/>
          </w:rPr>
          <w:t xml:space="preserve"> </w:t>
        </w:r>
        <w:proofErr w:type="spellStart"/>
        <w:r w:rsidRPr="006A329D">
          <w:rPr>
            <w:rFonts w:cs="Verdana"/>
            <w:bCs/>
            <w:i/>
            <w:iCs/>
            <w:sz w:val="20"/>
            <w:szCs w:val="26"/>
            <w:u w:color="0000F6"/>
            <w:lang w:val="de-DE"/>
          </w:rPr>
          <w:t>Apostle</w:t>
        </w:r>
        <w:proofErr w:type="spellEnd"/>
      </w:hyperlink>
      <w:r w:rsidRPr="006A329D">
        <w:rPr>
          <w:rFonts w:cs="Verdana"/>
          <w:bCs/>
          <w:sz w:val="20"/>
          <w:szCs w:val="26"/>
          <w:lang w:val="de-DE"/>
        </w:rPr>
        <w:t xml:space="preserve"> </w:t>
      </w:r>
      <w:r>
        <w:rPr>
          <w:rFonts w:cs="Verdana"/>
          <w:sz w:val="20"/>
          <w:szCs w:val="26"/>
          <w:lang w:val="de-DE"/>
        </w:rPr>
        <w:t>,</w:t>
      </w:r>
      <w:proofErr w:type="spellStart"/>
      <w:r w:rsidRPr="006A329D">
        <w:rPr>
          <w:rFonts w:cs="Verdana"/>
          <w:sz w:val="20"/>
          <w:szCs w:val="26"/>
          <w:lang w:val="de-DE"/>
        </w:rPr>
        <w:t>Pe</w:t>
      </w:r>
      <w:r>
        <w:rPr>
          <w:rFonts w:cs="Verdana"/>
          <w:sz w:val="20"/>
          <w:szCs w:val="26"/>
          <w:lang w:val="de-DE"/>
        </w:rPr>
        <w:t>abody</w:t>
      </w:r>
      <w:proofErr w:type="spellEnd"/>
      <w:r>
        <w:rPr>
          <w:rFonts w:cs="Verdana"/>
          <w:sz w:val="20"/>
          <w:szCs w:val="26"/>
          <w:lang w:val="de-DE"/>
        </w:rPr>
        <w:t xml:space="preserve">, Mass.: </w:t>
      </w:r>
      <w:proofErr w:type="spellStart"/>
      <w:r>
        <w:rPr>
          <w:rFonts w:cs="Verdana"/>
          <w:sz w:val="20"/>
          <w:szCs w:val="26"/>
          <w:lang w:val="de-DE"/>
        </w:rPr>
        <w:t>Hendrickson</w:t>
      </w:r>
      <w:proofErr w:type="spellEnd"/>
      <w:r>
        <w:rPr>
          <w:rFonts w:cs="Verdana"/>
          <w:sz w:val="20"/>
          <w:szCs w:val="26"/>
          <w:lang w:val="de-DE"/>
        </w:rPr>
        <w:t>, 2009</w:t>
      </w:r>
      <w:r w:rsidRPr="006A329D">
        <w:rPr>
          <w:rFonts w:cs="Verdana"/>
          <w:sz w:val="20"/>
          <w:szCs w:val="26"/>
          <w:lang w:val="de-DE"/>
        </w:rPr>
        <w:t>.117-60</w:t>
      </w:r>
      <w:r>
        <w:rPr>
          <w:rFonts w:cs="Verdana"/>
          <w:sz w:val="20"/>
          <w:szCs w:val="26"/>
          <w:lang w:val="de-DE"/>
        </w:rPr>
        <w:t>.</w:t>
      </w:r>
      <w:r w:rsidRPr="006A329D">
        <w:rPr>
          <w:rFonts w:cs="Verdana"/>
          <w:sz w:val="20"/>
          <w:szCs w:val="26"/>
          <w:lang w:val="de-DE"/>
        </w:rPr>
        <w:t xml:space="preserve"> </w:t>
      </w:r>
    </w:p>
  </w:footnote>
  <w:footnote w:id="69">
    <w:p w:rsidR="00171BF1" w:rsidRPr="006A329D" w:rsidRDefault="00171BF1">
      <w:pPr>
        <w:pStyle w:val="Funotentext"/>
        <w:rPr>
          <w:sz w:val="20"/>
        </w:rPr>
      </w:pPr>
      <w:r w:rsidRPr="00CD39E6">
        <w:rPr>
          <w:rStyle w:val="Funotenzeichen"/>
          <w:sz w:val="20"/>
        </w:rPr>
        <w:footnoteRef/>
      </w:r>
      <w:r w:rsidRPr="00CD39E6">
        <w:rPr>
          <w:sz w:val="20"/>
        </w:rPr>
        <w:t xml:space="preserve"> </w:t>
      </w:r>
      <w:r w:rsidRPr="006A329D">
        <w:rPr>
          <w:i/>
          <w:sz w:val="20"/>
        </w:rPr>
        <w:t>Mystery</w:t>
      </w:r>
      <w:r>
        <w:rPr>
          <w:sz w:val="20"/>
        </w:rPr>
        <w:t xml:space="preserve">, 41-84, </w:t>
      </w:r>
      <w:proofErr w:type="spellStart"/>
      <w:r>
        <w:rPr>
          <w:sz w:val="20"/>
        </w:rPr>
        <w:t>cf</w:t>
      </w:r>
      <w:proofErr w:type="spellEnd"/>
      <w:r>
        <w:rPr>
          <w:sz w:val="20"/>
        </w:rPr>
        <w:t xml:space="preserve"> also his </w:t>
      </w:r>
      <w:r w:rsidRPr="006A329D">
        <w:rPr>
          <w:rFonts w:cs="Verdana"/>
          <w:bCs/>
          <w:color w:val="262626"/>
          <w:sz w:val="20"/>
          <w:szCs w:val="26"/>
          <w:lang w:val="de-DE"/>
        </w:rPr>
        <w:t>"</w:t>
      </w:r>
      <w:proofErr w:type="spellStart"/>
      <w:r w:rsidRPr="006A329D">
        <w:rPr>
          <w:rFonts w:cs="Verdana"/>
          <w:bCs/>
          <w:color w:val="262626"/>
          <w:sz w:val="20"/>
          <w:szCs w:val="26"/>
          <w:lang w:val="de-DE"/>
        </w:rPr>
        <w:t>The</w:t>
      </w:r>
      <w:proofErr w:type="spellEnd"/>
      <w:r w:rsidRPr="006A329D">
        <w:rPr>
          <w:rFonts w:cs="Verdana"/>
          <w:bCs/>
          <w:color w:val="262626"/>
          <w:sz w:val="20"/>
          <w:szCs w:val="26"/>
          <w:lang w:val="de-DE"/>
        </w:rPr>
        <w:t xml:space="preserve"> </w:t>
      </w:r>
      <w:proofErr w:type="spellStart"/>
      <w:r w:rsidRPr="006A329D">
        <w:rPr>
          <w:rFonts w:cs="Verdana"/>
          <w:bCs/>
          <w:color w:val="262626"/>
          <w:sz w:val="20"/>
          <w:szCs w:val="26"/>
          <w:lang w:val="de-DE"/>
        </w:rPr>
        <w:t>Jewish</w:t>
      </w:r>
      <w:proofErr w:type="spellEnd"/>
      <w:r w:rsidRPr="006A329D">
        <w:rPr>
          <w:rFonts w:cs="Verdana"/>
          <w:bCs/>
          <w:color w:val="262626"/>
          <w:sz w:val="20"/>
          <w:szCs w:val="26"/>
          <w:lang w:val="de-DE"/>
        </w:rPr>
        <w:t xml:space="preserve"> </w:t>
      </w:r>
      <w:proofErr w:type="spellStart"/>
      <w:r w:rsidRPr="006A329D">
        <w:rPr>
          <w:rFonts w:cs="Verdana"/>
          <w:bCs/>
          <w:color w:val="262626"/>
          <w:sz w:val="20"/>
          <w:szCs w:val="26"/>
          <w:lang w:val="de-DE"/>
        </w:rPr>
        <w:t>Context</w:t>
      </w:r>
      <w:proofErr w:type="spellEnd"/>
      <w:r w:rsidRPr="006A329D">
        <w:rPr>
          <w:rFonts w:cs="Verdana"/>
          <w:bCs/>
          <w:color w:val="262626"/>
          <w:sz w:val="20"/>
          <w:szCs w:val="26"/>
          <w:lang w:val="de-DE"/>
        </w:rPr>
        <w:t xml:space="preserve"> of </w:t>
      </w:r>
      <w:proofErr w:type="spellStart"/>
      <w:r w:rsidRPr="006A329D">
        <w:rPr>
          <w:rFonts w:cs="Verdana"/>
          <w:bCs/>
          <w:color w:val="262626"/>
          <w:sz w:val="20"/>
          <w:szCs w:val="26"/>
          <w:lang w:val="de-DE"/>
        </w:rPr>
        <w:t>the</w:t>
      </w:r>
      <w:proofErr w:type="spellEnd"/>
      <w:r w:rsidRPr="006A329D">
        <w:rPr>
          <w:rFonts w:cs="Verdana"/>
          <w:bCs/>
          <w:color w:val="262626"/>
          <w:sz w:val="20"/>
          <w:szCs w:val="26"/>
          <w:lang w:val="de-DE"/>
        </w:rPr>
        <w:t xml:space="preserve"> Gentile </w:t>
      </w:r>
      <w:proofErr w:type="spellStart"/>
      <w:r w:rsidRPr="006A329D">
        <w:rPr>
          <w:rFonts w:cs="Verdana"/>
          <w:bCs/>
          <w:color w:val="262626"/>
          <w:sz w:val="20"/>
          <w:szCs w:val="26"/>
          <w:lang w:val="de-DE"/>
        </w:rPr>
        <w:t>Audience</w:t>
      </w:r>
      <w:proofErr w:type="spellEnd"/>
      <w:r w:rsidRPr="006A329D">
        <w:rPr>
          <w:rFonts w:cs="Verdana"/>
          <w:bCs/>
          <w:color w:val="262626"/>
          <w:sz w:val="20"/>
          <w:szCs w:val="26"/>
          <w:lang w:val="de-DE"/>
        </w:rPr>
        <w:t xml:space="preserve"> </w:t>
      </w:r>
      <w:proofErr w:type="spellStart"/>
      <w:r w:rsidRPr="006A329D">
        <w:rPr>
          <w:rFonts w:cs="Verdana"/>
          <w:bCs/>
          <w:color w:val="262626"/>
          <w:sz w:val="20"/>
          <w:szCs w:val="26"/>
          <w:lang w:val="de-DE"/>
        </w:rPr>
        <w:t>Addressed</w:t>
      </w:r>
      <w:proofErr w:type="spellEnd"/>
      <w:r w:rsidRPr="006A329D">
        <w:rPr>
          <w:rFonts w:cs="Verdana"/>
          <w:bCs/>
          <w:color w:val="262626"/>
          <w:sz w:val="20"/>
          <w:szCs w:val="26"/>
          <w:lang w:val="de-DE"/>
        </w:rPr>
        <w:t xml:space="preserve"> in Paul's Letter to </w:t>
      </w:r>
      <w:proofErr w:type="spellStart"/>
      <w:r w:rsidRPr="006A329D">
        <w:rPr>
          <w:rFonts w:cs="Verdana"/>
          <w:bCs/>
          <w:color w:val="262626"/>
          <w:sz w:val="20"/>
          <w:szCs w:val="26"/>
          <w:lang w:val="de-DE"/>
        </w:rPr>
        <w:t>the</w:t>
      </w:r>
      <w:proofErr w:type="spellEnd"/>
      <w:r w:rsidRPr="006A329D">
        <w:rPr>
          <w:rFonts w:cs="Verdana"/>
          <w:bCs/>
          <w:color w:val="262626"/>
          <w:sz w:val="20"/>
          <w:szCs w:val="26"/>
          <w:lang w:val="de-DE"/>
        </w:rPr>
        <w:t xml:space="preserve"> Romans."</w:t>
      </w:r>
      <w:r w:rsidRPr="006A329D">
        <w:rPr>
          <w:rFonts w:cs="Verdana"/>
          <w:i/>
          <w:iCs/>
          <w:color w:val="262626"/>
          <w:sz w:val="20"/>
          <w:szCs w:val="26"/>
          <w:lang w:val="de-DE"/>
        </w:rPr>
        <w:t xml:space="preserve"> </w:t>
      </w:r>
      <w:proofErr w:type="spellStart"/>
      <w:r w:rsidRPr="006A329D">
        <w:rPr>
          <w:rFonts w:cs="Verdana"/>
          <w:bCs/>
          <w:i/>
          <w:iCs/>
          <w:color w:val="262626"/>
          <w:sz w:val="20"/>
          <w:szCs w:val="26"/>
          <w:lang w:val="de-DE"/>
        </w:rPr>
        <w:t>Catholic</w:t>
      </w:r>
      <w:proofErr w:type="spellEnd"/>
      <w:r w:rsidRPr="006A329D">
        <w:rPr>
          <w:rFonts w:cs="Verdana"/>
          <w:bCs/>
          <w:i/>
          <w:iCs/>
          <w:color w:val="262626"/>
          <w:sz w:val="20"/>
          <w:szCs w:val="26"/>
          <w:lang w:val="de-DE"/>
        </w:rPr>
        <w:t xml:space="preserve"> </w:t>
      </w:r>
      <w:proofErr w:type="spellStart"/>
      <w:r w:rsidRPr="006A329D">
        <w:rPr>
          <w:rFonts w:cs="Verdana"/>
          <w:bCs/>
          <w:i/>
          <w:iCs/>
          <w:color w:val="262626"/>
          <w:sz w:val="20"/>
          <w:szCs w:val="26"/>
          <w:lang w:val="de-DE"/>
        </w:rPr>
        <w:t>Biblical</w:t>
      </w:r>
      <w:proofErr w:type="spellEnd"/>
      <w:r w:rsidRPr="006A329D">
        <w:rPr>
          <w:rFonts w:cs="Verdana"/>
          <w:bCs/>
          <w:i/>
          <w:iCs/>
          <w:color w:val="262626"/>
          <w:sz w:val="20"/>
          <w:szCs w:val="26"/>
          <w:lang w:val="de-DE"/>
        </w:rPr>
        <w:t xml:space="preserve"> </w:t>
      </w:r>
      <w:proofErr w:type="spellStart"/>
      <w:r w:rsidRPr="006A329D">
        <w:rPr>
          <w:rFonts w:cs="Verdana"/>
          <w:bCs/>
          <w:i/>
          <w:iCs/>
          <w:color w:val="262626"/>
          <w:sz w:val="20"/>
          <w:szCs w:val="26"/>
          <w:lang w:val="de-DE"/>
        </w:rPr>
        <w:t>Quarterly</w:t>
      </w:r>
      <w:proofErr w:type="spellEnd"/>
      <w:r w:rsidRPr="006A329D">
        <w:rPr>
          <w:rFonts w:cs="Verdana"/>
          <w:color w:val="262626"/>
          <w:sz w:val="20"/>
          <w:szCs w:val="26"/>
          <w:lang w:val="de-DE"/>
        </w:rPr>
        <w:t xml:space="preserve"> 61 (1999) 283-304.</w:t>
      </w:r>
    </w:p>
  </w:footnote>
  <w:footnote w:id="70">
    <w:p w:rsidR="00171BF1" w:rsidRPr="006A329D" w:rsidRDefault="00171BF1">
      <w:pPr>
        <w:pStyle w:val="Funotentext"/>
        <w:rPr>
          <w:sz w:val="20"/>
        </w:rPr>
      </w:pPr>
      <w:r w:rsidRPr="00CD39E6">
        <w:rPr>
          <w:rStyle w:val="Funotenzeichen"/>
          <w:sz w:val="20"/>
        </w:rPr>
        <w:footnoteRef/>
      </w:r>
      <w:r w:rsidRPr="00CD39E6">
        <w:rPr>
          <w:sz w:val="20"/>
        </w:rPr>
        <w:t xml:space="preserve"> </w:t>
      </w:r>
      <w:r w:rsidRPr="00CD39E6">
        <w:rPr>
          <w:i/>
          <w:sz w:val="20"/>
        </w:rPr>
        <w:t>Mystery</w:t>
      </w:r>
      <w:proofErr w:type="gramStart"/>
      <w:r>
        <w:rPr>
          <w:sz w:val="20"/>
        </w:rPr>
        <w:t>,103</w:t>
      </w:r>
      <w:proofErr w:type="gramEnd"/>
      <w:r>
        <w:rPr>
          <w:sz w:val="20"/>
        </w:rPr>
        <w:t>-119, 289-334.</w:t>
      </w:r>
    </w:p>
  </w:footnote>
  <w:footnote w:id="71">
    <w:p w:rsidR="00171BF1" w:rsidRPr="00CD39E6" w:rsidRDefault="00171BF1">
      <w:pPr>
        <w:pStyle w:val="Funotentext"/>
        <w:rPr>
          <w:sz w:val="20"/>
        </w:rPr>
      </w:pPr>
      <w:r w:rsidRPr="00CD39E6">
        <w:rPr>
          <w:rStyle w:val="Funotenzeichen"/>
          <w:sz w:val="20"/>
        </w:rPr>
        <w:footnoteRef/>
      </w:r>
      <w:r w:rsidRPr="00CD39E6">
        <w:rPr>
          <w:sz w:val="20"/>
        </w:rPr>
        <w:t xml:space="preserve"> </w:t>
      </w:r>
      <w:r w:rsidRPr="00CD39E6">
        <w:rPr>
          <w:i/>
          <w:sz w:val="20"/>
        </w:rPr>
        <w:t>Mystery</w:t>
      </w:r>
      <w:r w:rsidRPr="00CD39E6">
        <w:rPr>
          <w:sz w:val="20"/>
        </w:rPr>
        <w:t>, 74</w:t>
      </w:r>
    </w:p>
  </w:footnote>
  <w:footnote w:id="72">
    <w:p w:rsidR="00171BF1" w:rsidRPr="00CD39E6" w:rsidRDefault="00171BF1">
      <w:pPr>
        <w:pStyle w:val="Funotentext"/>
        <w:rPr>
          <w:i/>
          <w:sz w:val="20"/>
        </w:rPr>
      </w:pPr>
      <w:r w:rsidRPr="00CD39E6">
        <w:rPr>
          <w:rStyle w:val="Funotenzeichen"/>
          <w:sz w:val="20"/>
        </w:rPr>
        <w:footnoteRef/>
      </w:r>
      <w:r w:rsidRPr="00CD39E6">
        <w:rPr>
          <w:sz w:val="20"/>
        </w:rPr>
        <w:t xml:space="preserve"> </w:t>
      </w:r>
      <w:proofErr w:type="spellStart"/>
      <w:proofErr w:type="gramStart"/>
      <w:r>
        <w:rPr>
          <w:sz w:val="20"/>
        </w:rPr>
        <w:t>Stowers</w:t>
      </w:r>
      <w:proofErr w:type="spellEnd"/>
      <w:r>
        <w:rPr>
          <w:sz w:val="20"/>
        </w:rPr>
        <w:t xml:space="preserve">, </w:t>
      </w:r>
      <w:r>
        <w:rPr>
          <w:i/>
          <w:sz w:val="20"/>
        </w:rPr>
        <w:t>Rereading</w:t>
      </w:r>
      <w:r w:rsidRPr="00CD39E6">
        <w:rPr>
          <w:i/>
          <w:sz w:val="20"/>
        </w:rPr>
        <w:t>.</w:t>
      </w:r>
      <w:proofErr w:type="gramEnd"/>
    </w:p>
  </w:footnote>
  <w:footnote w:id="73">
    <w:p w:rsidR="00171BF1" w:rsidRPr="00CD39E6" w:rsidRDefault="00171BF1">
      <w:pPr>
        <w:pStyle w:val="Funotentext"/>
        <w:rPr>
          <w:sz w:val="20"/>
        </w:rPr>
      </w:pPr>
      <w:r w:rsidRPr="00CD39E6">
        <w:rPr>
          <w:rStyle w:val="Funotenzeichen"/>
          <w:sz w:val="20"/>
        </w:rPr>
        <w:footnoteRef/>
      </w:r>
      <w:r w:rsidRPr="00CD39E6">
        <w:rPr>
          <w:sz w:val="20"/>
        </w:rPr>
        <w:t xml:space="preserve"> </w:t>
      </w:r>
      <w:proofErr w:type="gramStart"/>
      <w:r w:rsidRPr="00CD39E6">
        <w:rPr>
          <w:i/>
          <w:sz w:val="20"/>
        </w:rPr>
        <w:t>Mystery,</w:t>
      </w:r>
      <w:r w:rsidRPr="00CD39E6">
        <w:rPr>
          <w:sz w:val="20"/>
        </w:rPr>
        <w:t xml:space="preserve"> 84.</w:t>
      </w:r>
      <w:proofErr w:type="gramEnd"/>
    </w:p>
  </w:footnote>
  <w:footnote w:id="74">
    <w:p w:rsidR="00171BF1" w:rsidRPr="00CD39E6" w:rsidRDefault="00171BF1">
      <w:pPr>
        <w:pStyle w:val="Funotentext"/>
        <w:rPr>
          <w:sz w:val="20"/>
        </w:rPr>
      </w:pPr>
      <w:r w:rsidRPr="00CD39E6">
        <w:rPr>
          <w:rStyle w:val="Funotenzeichen"/>
          <w:sz w:val="20"/>
        </w:rPr>
        <w:footnoteRef/>
      </w:r>
      <w:r w:rsidRPr="00CD39E6">
        <w:rPr>
          <w:sz w:val="20"/>
        </w:rPr>
        <w:t xml:space="preserve"> This mig</w:t>
      </w:r>
      <w:r>
        <w:rPr>
          <w:sz w:val="20"/>
        </w:rPr>
        <w:t>ht be an allusion to Isa 42.3.</w:t>
      </w:r>
    </w:p>
  </w:footnote>
  <w:footnote w:id="75">
    <w:p w:rsidR="00171BF1" w:rsidRPr="00CD39E6" w:rsidRDefault="00171BF1">
      <w:pPr>
        <w:pStyle w:val="Funotentext"/>
        <w:rPr>
          <w:sz w:val="20"/>
        </w:rPr>
      </w:pPr>
      <w:r w:rsidRPr="00CD39E6">
        <w:rPr>
          <w:rStyle w:val="Funotenzeichen"/>
          <w:sz w:val="20"/>
        </w:rPr>
        <w:footnoteRef/>
      </w:r>
      <w:r w:rsidRPr="00CD39E6">
        <w:rPr>
          <w:sz w:val="20"/>
        </w:rPr>
        <w:t xml:space="preserve"> ‘”Broken Branches”: A Pauline Metaphor Gone </w:t>
      </w:r>
      <w:proofErr w:type="gramStart"/>
      <w:r w:rsidRPr="00CD39E6">
        <w:rPr>
          <w:sz w:val="20"/>
        </w:rPr>
        <w:t>Awry ?</w:t>
      </w:r>
      <w:proofErr w:type="gramEnd"/>
      <w:r w:rsidRPr="00CD39E6">
        <w:rPr>
          <w:sz w:val="20"/>
        </w:rPr>
        <w:t xml:space="preserve"> (Romans 11:11-24)’ in </w:t>
      </w:r>
      <w:r w:rsidRPr="00CD39E6">
        <w:rPr>
          <w:i/>
          <w:sz w:val="20"/>
        </w:rPr>
        <w:t>Between Gospel and Election’,</w:t>
      </w:r>
      <w:r w:rsidRPr="00CD39E6">
        <w:rPr>
          <w:sz w:val="20"/>
        </w:rPr>
        <w:t xml:space="preserve"> </w:t>
      </w:r>
      <w:proofErr w:type="spellStart"/>
      <w:r w:rsidRPr="00CD39E6">
        <w:rPr>
          <w:sz w:val="20"/>
        </w:rPr>
        <w:t>F.Wilk</w:t>
      </w:r>
      <w:proofErr w:type="spellEnd"/>
      <w:r w:rsidRPr="00CD39E6">
        <w:rPr>
          <w:sz w:val="20"/>
        </w:rPr>
        <w:t xml:space="preserve">, </w:t>
      </w:r>
      <w:proofErr w:type="spellStart"/>
      <w:r w:rsidRPr="00CD39E6">
        <w:rPr>
          <w:sz w:val="20"/>
        </w:rPr>
        <w:t>J.R.Wagner</w:t>
      </w:r>
      <w:proofErr w:type="spellEnd"/>
      <w:r w:rsidRPr="00CD39E6">
        <w:rPr>
          <w:sz w:val="20"/>
        </w:rPr>
        <w:t xml:space="preserve"> ed., </w:t>
      </w:r>
      <w:proofErr w:type="spellStart"/>
      <w:r w:rsidRPr="00CD39E6">
        <w:rPr>
          <w:sz w:val="20"/>
        </w:rPr>
        <w:t>Tübingen</w:t>
      </w:r>
      <w:proofErr w:type="gramStart"/>
      <w:r w:rsidRPr="00CD39E6">
        <w:rPr>
          <w:sz w:val="20"/>
        </w:rPr>
        <w:t>:Mohr</w:t>
      </w:r>
      <w:proofErr w:type="spellEnd"/>
      <w:proofErr w:type="gramEnd"/>
      <w:r w:rsidRPr="00CD39E6">
        <w:rPr>
          <w:sz w:val="20"/>
        </w:rPr>
        <w:t xml:space="preserve"> </w:t>
      </w:r>
      <w:proofErr w:type="spellStart"/>
      <w:r w:rsidRPr="00CD39E6">
        <w:rPr>
          <w:sz w:val="20"/>
        </w:rPr>
        <w:t>Siebeck</w:t>
      </w:r>
      <w:proofErr w:type="spellEnd"/>
      <w:r w:rsidRPr="00CD39E6">
        <w:rPr>
          <w:sz w:val="20"/>
        </w:rPr>
        <w:t xml:space="preserve"> 2010, 339-376, 362.</w:t>
      </w:r>
    </w:p>
  </w:footnote>
  <w:footnote w:id="76">
    <w:p w:rsidR="00171BF1" w:rsidRPr="00CD39E6" w:rsidRDefault="00171BF1">
      <w:pPr>
        <w:pStyle w:val="Funotentext"/>
        <w:rPr>
          <w:sz w:val="20"/>
        </w:rPr>
      </w:pPr>
      <w:r w:rsidRPr="00CD39E6">
        <w:rPr>
          <w:rStyle w:val="Funotenzeichen"/>
          <w:sz w:val="20"/>
        </w:rPr>
        <w:footnoteRef/>
      </w:r>
      <w:r w:rsidRPr="00CD39E6">
        <w:rPr>
          <w:sz w:val="20"/>
        </w:rPr>
        <w:t xml:space="preserve"> ‘”</w:t>
      </w:r>
      <w:proofErr w:type="spellStart"/>
      <w:r w:rsidRPr="00CD39E6">
        <w:rPr>
          <w:sz w:val="20"/>
        </w:rPr>
        <w:t>Borken</w:t>
      </w:r>
      <w:proofErr w:type="spellEnd"/>
      <w:r w:rsidRPr="00CD39E6">
        <w:rPr>
          <w:sz w:val="20"/>
        </w:rPr>
        <w:t xml:space="preserve"> Branches”’, 372.</w:t>
      </w:r>
    </w:p>
  </w:footnote>
  <w:footnote w:id="77">
    <w:p w:rsidR="00171BF1" w:rsidRPr="007168D3" w:rsidRDefault="00171BF1">
      <w:pPr>
        <w:pStyle w:val="Funotentext"/>
        <w:rPr>
          <w:i/>
          <w:sz w:val="20"/>
        </w:rPr>
      </w:pPr>
      <w:r>
        <w:rPr>
          <w:rStyle w:val="Funotenzeichen"/>
        </w:rPr>
        <w:footnoteRef/>
      </w:r>
      <w:r>
        <w:t xml:space="preserve"> </w:t>
      </w:r>
      <w:r>
        <w:rPr>
          <w:sz w:val="20"/>
        </w:rPr>
        <w:t xml:space="preserve">Cf. Jewett, R. </w:t>
      </w:r>
      <w:proofErr w:type="gramStart"/>
      <w:r>
        <w:rPr>
          <w:i/>
          <w:sz w:val="20"/>
        </w:rPr>
        <w:t>Romans,…</w:t>
      </w:r>
      <w:proofErr w:type="gramEnd"/>
    </w:p>
  </w:footnote>
  <w:footnote w:id="78">
    <w:p w:rsidR="00171BF1" w:rsidRPr="00CD39E6" w:rsidRDefault="00171BF1">
      <w:pPr>
        <w:pStyle w:val="Funotentext"/>
        <w:rPr>
          <w:sz w:val="20"/>
        </w:rPr>
      </w:pPr>
      <w:r w:rsidRPr="00CD39E6">
        <w:rPr>
          <w:rStyle w:val="Funotenzeichen"/>
          <w:sz w:val="20"/>
        </w:rPr>
        <w:footnoteRef/>
      </w:r>
      <w:r w:rsidRPr="00CD39E6">
        <w:rPr>
          <w:sz w:val="20"/>
        </w:rPr>
        <w:t xml:space="preserve"> ‘”Callused” not “Hardened”: Paul’s Revelation of Temporary Protection Until all Israel Can Be Healed’, in </w:t>
      </w:r>
      <w:r w:rsidRPr="00CD39E6">
        <w:rPr>
          <w:i/>
          <w:sz w:val="20"/>
        </w:rPr>
        <w:t>Reading Paul in Context: Explorations in Identity Formation.</w:t>
      </w:r>
      <w:r w:rsidRPr="00CD39E6">
        <w:rPr>
          <w:sz w:val="20"/>
        </w:rPr>
        <w:t xml:space="preserve"> Ed. </w:t>
      </w:r>
      <w:proofErr w:type="spellStart"/>
      <w:r w:rsidRPr="00CD39E6">
        <w:rPr>
          <w:sz w:val="20"/>
        </w:rPr>
        <w:t>K.Ehrensperger</w:t>
      </w:r>
      <w:proofErr w:type="spellEnd"/>
      <w:r w:rsidRPr="00CD39E6">
        <w:rPr>
          <w:sz w:val="20"/>
        </w:rPr>
        <w:t xml:space="preserve">, </w:t>
      </w:r>
      <w:proofErr w:type="spellStart"/>
      <w:r w:rsidRPr="00CD39E6">
        <w:rPr>
          <w:sz w:val="20"/>
        </w:rPr>
        <w:t>J.B.Tucker</w:t>
      </w:r>
      <w:proofErr w:type="spellEnd"/>
      <w:r w:rsidRPr="00CD39E6">
        <w:rPr>
          <w:sz w:val="20"/>
        </w:rPr>
        <w:t xml:space="preserve">, </w:t>
      </w:r>
      <w:proofErr w:type="gramStart"/>
      <w:r w:rsidRPr="00CD39E6">
        <w:rPr>
          <w:sz w:val="20"/>
        </w:rPr>
        <w:t>London</w:t>
      </w:r>
      <w:proofErr w:type="gramEnd"/>
      <w:r w:rsidRPr="00CD39E6">
        <w:rPr>
          <w:sz w:val="20"/>
        </w:rPr>
        <w:t>, New York: T&amp;T Clark 2010, 52-73,70.</w:t>
      </w:r>
    </w:p>
  </w:footnote>
  <w:footnote w:id="79">
    <w:p w:rsidR="00171BF1" w:rsidRPr="00B34170" w:rsidRDefault="00171BF1">
      <w:pPr>
        <w:pStyle w:val="Funotentext"/>
        <w:rPr>
          <w:sz w:val="20"/>
        </w:rPr>
      </w:pPr>
      <w:r>
        <w:rPr>
          <w:rStyle w:val="Funotenzeichen"/>
        </w:rPr>
        <w:footnoteRef/>
      </w:r>
      <w:r>
        <w:t xml:space="preserve"> </w:t>
      </w:r>
      <w:r>
        <w:rPr>
          <w:sz w:val="20"/>
        </w:rPr>
        <w:t>Those who respond to Christ at ‘the people of God’, ‘the Israel of God’</w:t>
      </w:r>
      <w:proofErr w:type="gramStart"/>
      <w:r>
        <w:rPr>
          <w:sz w:val="20"/>
        </w:rPr>
        <w:t>,  Wright</w:t>
      </w:r>
      <w:proofErr w:type="gramEnd"/>
      <w:r>
        <w:rPr>
          <w:sz w:val="20"/>
        </w:rPr>
        <w:t xml:space="preserve"> N.T., </w:t>
      </w:r>
      <w:r>
        <w:rPr>
          <w:i/>
          <w:sz w:val="20"/>
        </w:rPr>
        <w:t>Paul in Fresh Perspective.</w:t>
      </w:r>
      <w:r>
        <w:rPr>
          <w:sz w:val="20"/>
        </w:rPr>
        <w:t xml:space="preserve"> Minneapolis: Fortress Press 2005, 113.</w:t>
      </w:r>
    </w:p>
  </w:footnote>
  <w:footnote w:id="80">
    <w:p w:rsidR="00171BF1" w:rsidRPr="00B34170" w:rsidRDefault="00171BF1">
      <w:pPr>
        <w:pStyle w:val="Funotentext"/>
        <w:rPr>
          <w:sz w:val="20"/>
        </w:rPr>
      </w:pPr>
      <w:r w:rsidRPr="00CD39E6">
        <w:rPr>
          <w:rStyle w:val="Funotenzeichen"/>
          <w:sz w:val="20"/>
        </w:rPr>
        <w:footnoteRef/>
      </w:r>
      <w:r w:rsidRPr="00CD39E6">
        <w:rPr>
          <w:sz w:val="20"/>
        </w:rPr>
        <w:t xml:space="preserve"> Cf. </w:t>
      </w:r>
      <w:proofErr w:type="spellStart"/>
      <w:r w:rsidRPr="00CD39E6">
        <w:rPr>
          <w:sz w:val="20"/>
        </w:rPr>
        <w:t>Fredriksen</w:t>
      </w:r>
      <w:proofErr w:type="spellEnd"/>
      <w:r>
        <w:rPr>
          <w:sz w:val="20"/>
        </w:rPr>
        <w:t>, P. ‘</w:t>
      </w:r>
      <w:proofErr w:type="spellStart"/>
      <w:r>
        <w:rPr>
          <w:sz w:val="20"/>
        </w:rPr>
        <w:t>Judaizing</w:t>
      </w:r>
      <w:proofErr w:type="spellEnd"/>
      <w:r>
        <w:rPr>
          <w:sz w:val="20"/>
        </w:rPr>
        <w:t xml:space="preserve"> the Nations: The Ritual Demands of Paul’s Gospel’, </w:t>
      </w:r>
      <w:r>
        <w:rPr>
          <w:i/>
          <w:sz w:val="20"/>
        </w:rPr>
        <w:t>NTS</w:t>
      </w:r>
      <w:r>
        <w:rPr>
          <w:sz w:val="20"/>
        </w:rPr>
        <w:t xml:space="preserve"> 56, 232-52, who presents an attempt not to anachronistically separate ethnicity and religion, and proposes rather than to refer to non-Jews as gentiles they should be called pagans in </w:t>
      </w:r>
      <w:proofErr w:type="spellStart"/>
      <w:r>
        <w:rPr>
          <w:sz w:val="20"/>
        </w:rPr>
        <w:t>Christ</w:t>
      </w:r>
      <w:proofErr w:type="spellEnd"/>
      <w:proofErr w:type="gramStart"/>
      <w:r>
        <w:rPr>
          <w:sz w:val="20"/>
        </w:rPr>
        <w:t>,.</w:t>
      </w:r>
      <w:proofErr w:type="gramEnd"/>
      <w:r>
        <w:rPr>
          <w:sz w:val="20"/>
        </w:rPr>
        <w:t xml:space="preserve"> These pagans in Christ are being </w:t>
      </w:r>
      <w:proofErr w:type="spellStart"/>
      <w:proofErr w:type="gramStart"/>
      <w:r>
        <w:rPr>
          <w:sz w:val="20"/>
        </w:rPr>
        <w:t>judaized</w:t>
      </w:r>
      <w:proofErr w:type="spellEnd"/>
      <w:proofErr w:type="gramEnd"/>
      <w:r>
        <w:rPr>
          <w:sz w:val="20"/>
        </w:rPr>
        <w:t xml:space="preserve">, that is, introduced to a Jewish symbolic life and have to learn what is implied in living a life in relation to the God of Israel. </w:t>
      </w:r>
      <w:proofErr w:type="spellStart"/>
      <w:r>
        <w:rPr>
          <w:sz w:val="20"/>
        </w:rPr>
        <w:t>Fredriksen</w:t>
      </w:r>
      <w:proofErr w:type="spellEnd"/>
      <w:r>
        <w:rPr>
          <w:sz w:val="20"/>
        </w:rPr>
        <w:t xml:space="preserve"> is careful to emphasize the distinction between Jews and non-</w:t>
      </w:r>
      <w:proofErr w:type="gramStart"/>
      <w:r>
        <w:rPr>
          <w:sz w:val="20"/>
        </w:rPr>
        <w:t>Jews which</w:t>
      </w:r>
      <w:proofErr w:type="gramEnd"/>
      <w:r>
        <w:rPr>
          <w:sz w:val="20"/>
        </w:rPr>
        <w:t xml:space="preserve"> she sees as maintained by Paul. She clearly states that ‘This distinction between Israel and the nations, and these convictions about God’s constancy, shape the most programmatic discussion that we have from Paul, namely his letter to the Romans.’ Her attempt against a ‘spiritualization’ of being ‘in Christ’ identity as above ethnicity and thus universal is commendable, and her argument that the that non-negotiable dimension of being in </w:t>
      </w:r>
      <w:proofErr w:type="spellStart"/>
      <w:r>
        <w:rPr>
          <w:sz w:val="20"/>
        </w:rPr>
        <w:t>Christ</w:t>
      </w:r>
      <w:proofErr w:type="spellEnd"/>
      <w:r>
        <w:rPr>
          <w:sz w:val="20"/>
        </w:rPr>
        <w:t>, the demand of worshipping exclusively the God of Israel is so Jewish that this demand can be described as ‘</w:t>
      </w:r>
      <w:proofErr w:type="spellStart"/>
      <w:r>
        <w:rPr>
          <w:sz w:val="20"/>
        </w:rPr>
        <w:t>Judaizing</w:t>
      </w:r>
      <w:proofErr w:type="spellEnd"/>
      <w:r>
        <w:rPr>
          <w:sz w:val="20"/>
        </w:rPr>
        <w:t xml:space="preserve">’ is intriguing. But it might lead to obscuring Paul’s insistence that these Christ-followers from the non-Jewish nations should do this precisely as non-Jews. A similar problem arises with </w:t>
      </w:r>
      <w:r w:rsidRPr="00CD39E6">
        <w:rPr>
          <w:sz w:val="20"/>
        </w:rPr>
        <w:t xml:space="preserve">Johnson </w:t>
      </w:r>
      <w:proofErr w:type="gramStart"/>
      <w:r w:rsidRPr="00CD39E6">
        <w:rPr>
          <w:sz w:val="20"/>
        </w:rPr>
        <w:t>Hodge</w:t>
      </w:r>
      <w:r>
        <w:rPr>
          <w:sz w:val="20"/>
        </w:rPr>
        <w:t xml:space="preserve">’s  </w:t>
      </w:r>
      <w:r w:rsidRPr="00CD39E6">
        <w:rPr>
          <w:sz w:val="20"/>
        </w:rPr>
        <w:t>claims</w:t>
      </w:r>
      <w:proofErr w:type="gramEnd"/>
      <w:r w:rsidRPr="00CD39E6">
        <w:rPr>
          <w:sz w:val="20"/>
        </w:rPr>
        <w:t xml:space="preserve"> that </w:t>
      </w:r>
      <w:r>
        <w:rPr>
          <w:sz w:val="20"/>
        </w:rPr>
        <w:t xml:space="preserve">‘in </w:t>
      </w:r>
      <w:r w:rsidRPr="00CD39E6">
        <w:rPr>
          <w:sz w:val="20"/>
        </w:rPr>
        <w:t>Christ</w:t>
      </w:r>
      <w:r>
        <w:rPr>
          <w:sz w:val="20"/>
        </w:rPr>
        <w:t>’</w:t>
      </w:r>
      <w:r w:rsidRPr="00CD39E6">
        <w:rPr>
          <w:sz w:val="20"/>
        </w:rPr>
        <w:t xml:space="preserve"> identity is actually a</w:t>
      </w:r>
      <w:r>
        <w:rPr>
          <w:sz w:val="20"/>
        </w:rPr>
        <w:t>n ethnic,</w:t>
      </w:r>
      <w:r w:rsidRPr="00CD39E6">
        <w:rPr>
          <w:sz w:val="20"/>
        </w:rPr>
        <w:t xml:space="preserve"> Jewish identity.</w:t>
      </w:r>
      <w:r>
        <w:rPr>
          <w:sz w:val="20"/>
        </w:rPr>
        <w:t xml:space="preserve"> </w:t>
      </w:r>
      <w:proofErr w:type="spellStart"/>
      <w:r>
        <w:rPr>
          <w:sz w:val="20"/>
        </w:rPr>
        <w:t>C.Johnson</w:t>
      </w:r>
      <w:proofErr w:type="spellEnd"/>
      <w:r>
        <w:rPr>
          <w:sz w:val="20"/>
        </w:rPr>
        <w:t xml:space="preserve"> Hodge, </w:t>
      </w:r>
      <w:r>
        <w:rPr>
          <w:i/>
          <w:sz w:val="20"/>
        </w:rPr>
        <w:t>If Sons, Then Heirs: A Study of Kinship and Ethnicity in the Letters of Paul.</w:t>
      </w:r>
      <w:r>
        <w:rPr>
          <w:sz w:val="20"/>
        </w:rPr>
        <w:t xml:space="preserve"> New York: Oxford University Press 2007.</w:t>
      </w:r>
    </w:p>
  </w:footnote>
  <w:footnote w:id="81">
    <w:p w:rsidR="00171BF1" w:rsidRPr="0025410F" w:rsidRDefault="00171BF1">
      <w:pPr>
        <w:pStyle w:val="Funotentext"/>
        <w:rPr>
          <w:sz w:val="20"/>
        </w:rPr>
      </w:pPr>
      <w:r w:rsidRPr="00CD39E6">
        <w:rPr>
          <w:rStyle w:val="Funotenzeichen"/>
          <w:sz w:val="20"/>
        </w:rPr>
        <w:footnoteRef/>
      </w:r>
      <w:r w:rsidRPr="00CD39E6">
        <w:rPr>
          <w:sz w:val="20"/>
        </w:rPr>
        <w:t xml:space="preserve"> </w:t>
      </w:r>
      <w:r>
        <w:rPr>
          <w:sz w:val="20"/>
        </w:rPr>
        <w:t xml:space="preserve">See D. </w:t>
      </w:r>
      <w:proofErr w:type="spellStart"/>
      <w:r w:rsidRPr="00CD39E6">
        <w:rPr>
          <w:sz w:val="20"/>
        </w:rPr>
        <w:t>Patte</w:t>
      </w:r>
      <w:proofErr w:type="spellEnd"/>
      <w:r>
        <w:rPr>
          <w:sz w:val="20"/>
        </w:rPr>
        <w:t>, ‘A Post-Holocaust Biblical Critic Responds’</w:t>
      </w:r>
      <w:r w:rsidRPr="00CD39E6">
        <w:rPr>
          <w:sz w:val="20"/>
        </w:rPr>
        <w:t xml:space="preserve"> in</w:t>
      </w:r>
      <w:r>
        <w:rPr>
          <w:sz w:val="20"/>
        </w:rPr>
        <w:t xml:space="preserve"> </w:t>
      </w:r>
      <w:proofErr w:type="spellStart"/>
      <w:r>
        <w:rPr>
          <w:sz w:val="20"/>
        </w:rPr>
        <w:t>Patte</w:t>
      </w:r>
      <w:proofErr w:type="spellEnd"/>
      <w:r>
        <w:rPr>
          <w:sz w:val="20"/>
        </w:rPr>
        <w:t xml:space="preserve"> D., </w:t>
      </w:r>
      <w:proofErr w:type="spellStart"/>
      <w:r>
        <w:rPr>
          <w:sz w:val="20"/>
        </w:rPr>
        <w:t>Grenholm</w:t>
      </w:r>
      <w:proofErr w:type="spellEnd"/>
      <w:r>
        <w:rPr>
          <w:sz w:val="20"/>
        </w:rPr>
        <w:t xml:space="preserve"> C., </w:t>
      </w:r>
      <w:proofErr w:type="gramStart"/>
      <w:r>
        <w:rPr>
          <w:sz w:val="20"/>
        </w:rPr>
        <w:t>eds</w:t>
      </w:r>
      <w:proofErr w:type="gramEnd"/>
      <w:r>
        <w:rPr>
          <w:sz w:val="20"/>
        </w:rPr>
        <w:t>.</w:t>
      </w:r>
      <w:r w:rsidRPr="00CD39E6">
        <w:rPr>
          <w:sz w:val="20"/>
        </w:rPr>
        <w:t xml:space="preserve"> </w:t>
      </w:r>
      <w:r>
        <w:rPr>
          <w:i/>
          <w:sz w:val="20"/>
        </w:rPr>
        <w:t>Reading Israel’</w:t>
      </w:r>
      <w:r>
        <w:rPr>
          <w:sz w:val="20"/>
        </w:rPr>
        <w:t>, 222-45</w:t>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247D4"/>
    <w:multiLevelType w:val="hybridMultilevel"/>
    <w:tmpl w:val="7E307D00"/>
    <w:lvl w:ilvl="0" w:tplc="3B8264CC">
      <w:start w:val="4"/>
      <w:numFmt w:val="bullet"/>
      <w:lvlText w:val="-"/>
      <w:lvlJc w:val="left"/>
      <w:pPr>
        <w:ind w:left="720" w:hanging="360"/>
      </w:pPr>
      <w:rPr>
        <w:rFonts w:ascii="Cambria" w:eastAsiaTheme="minorHAnsi" w:hAnsi="Cambria" w:cstheme="minorBidi"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461008EE"/>
    <w:multiLevelType w:val="hybridMultilevel"/>
    <w:tmpl w:val="5B9E3CC0"/>
    <w:lvl w:ilvl="0" w:tplc="9ADA2972">
      <w:start w:val="4"/>
      <w:numFmt w:val="bullet"/>
      <w:lvlText w:val="-"/>
      <w:lvlJc w:val="left"/>
      <w:pPr>
        <w:ind w:left="1060" w:hanging="700"/>
      </w:pPr>
      <w:rPr>
        <w:rFonts w:ascii="Cambria" w:eastAsiaTheme="minorHAnsi" w:hAnsi="Cambria" w:cstheme="minorBidi"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doNotAutofitConstrainedTables/>
    <w:splitPgBreakAndParaMark/>
    <w:doNotVertAlignCellWithSp/>
    <w:doNotBreakConstrainedForcedTable/>
    <w:useAnsiKerningPairs/>
    <w:cachedColBalance/>
  </w:compat>
  <w:rsids>
    <w:rsidRoot w:val="0090656E"/>
    <w:rsid w:val="00006560"/>
    <w:rsid w:val="00015EC3"/>
    <w:rsid w:val="000210C4"/>
    <w:rsid w:val="00025C94"/>
    <w:rsid w:val="000262E2"/>
    <w:rsid w:val="00034896"/>
    <w:rsid w:val="00045B40"/>
    <w:rsid w:val="000706AF"/>
    <w:rsid w:val="000A0C2D"/>
    <w:rsid w:val="000C2536"/>
    <w:rsid w:val="000C2A0E"/>
    <w:rsid w:val="000E4A8F"/>
    <w:rsid w:val="000F4189"/>
    <w:rsid w:val="000F50B7"/>
    <w:rsid w:val="001044C0"/>
    <w:rsid w:val="001053BE"/>
    <w:rsid w:val="001057C1"/>
    <w:rsid w:val="00105AC1"/>
    <w:rsid w:val="001064B7"/>
    <w:rsid w:val="001431B0"/>
    <w:rsid w:val="00150C4C"/>
    <w:rsid w:val="00154CC7"/>
    <w:rsid w:val="00171BF1"/>
    <w:rsid w:val="001A13D2"/>
    <w:rsid w:val="001A1596"/>
    <w:rsid w:val="001D4C1C"/>
    <w:rsid w:val="001E2080"/>
    <w:rsid w:val="001F1806"/>
    <w:rsid w:val="001F5E13"/>
    <w:rsid w:val="0020263A"/>
    <w:rsid w:val="00212315"/>
    <w:rsid w:val="00214535"/>
    <w:rsid w:val="00214E99"/>
    <w:rsid w:val="002463CF"/>
    <w:rsid w:val="0025410F"/>
    <w:rsid w:val="00261C3C"/>
    <w:rsid w:val="00285A80"/>
    <w:rsid w:val="00295318"/>
    <w:rsid w:val="002A3936"/>
    <w:rsid w:val="002C2D60"/>
    <w:rsid w:val="002C7024"/>
    <w:rsid w:val="002D0A22"/>
    <w:rsid w:val="002E4BB4"/>
    <w:rsid w:val="002E789C"/>
    <w:rsid w:val="002F25E3"/>
    <w:rsid w:val="00313303"/>
    <w:rsid w:val="00324671"/>
    <w:rsid w:val="00327D3A"/>
    <w:rsid w:val="003331C4"/>
    <w:rsid w:val="003469B4"/>
    <w:rsid w:val="00362A2B"/>
    <w:rsid w:val="003633A8"/>
    <w:rsid w:val="00365FDA"/>
    <w:rsid w:val="003714CE"/>
    <w:rsid w:val="003909CB"/>
    <w:rsid w:val="003B28A7"/>
    <w:rsid w:val="003F021F"/>
    <w:rsid w:val="003F167E"/>
    <w:rsid w:val="004262BE"/>
    <w:rsid w:val="00430B02"/>
    <w:rsid w:val="00434859"/>
    <w:rsid w:val="00447BED"/>
    <w:rsid w:val="00452774"/>
    <w:rsid w:val="00467DC2"/>
    <w:rsid w:val="004A1827"/>
    <w:rsid w:val="004C55F0"/>
    <w:rsid w:val="004C7D8A"/>
    <w:rsid w:val="004E7185"/>
    <w:rsid w:val="004E7F68"/>
    <w:rsid w:val="004F258E"/>
    <w:rsid w:val="005421ED"/>
    <w:rsid w:val="0054697A"/>
    <w:rsid w:val="00547D1E"/>
    <w:rsid w:val="005563FA"/>
    <w:rsid w:val="005612FC"/>
    <w:rsid w:val="005638CD"/>
    <w:rsid w:val="00565B9F"/>
    <w:rsid w:val="00591B18"/>
    <w:rsid w:val="00597CAC"/>
    <w:rsid w:val="005B2ED0"/>
    <w:rsid w:val="005B76CE"/>
    <w:rsid w:val="005E5C55"/>
    <w:rsid w:val="00600A12"/>
    <w:rsid w:val="0060273F"/>
    <w:rsid w:val="00616321"/>
    <w:rsid w:val="006174DC"/>
    <w:rsid w:val="00620D4F"/>
    <w:rsid w:val="006219D9"/>
    <w:rsid w:val="00635E14"/>
    <w:rsid w:val="00672B84"/>
    <w:rsid w:val="00686C70"/>
    <w:rsid w:val="00687971"/>
    <w:rsid w:val="00696F64"/>
    <w:rsid w:val="006A329D"/>
    <w:rsid w:val="006B41E3"/>
    <w:rsid w:val="006F2B86"/>
    <w:rsid w:val="007168D3"/>
    <w:rsid w:val="007263A3"/>
    <w:rsid w:val="00745C76"/>
    <w:rsid w:val="007A6199"/>
    <w:rsid w:val="007C01D8"/>
    <w:rsid w:val="007C6F4D"/>
    <w:rsid w:val="007E31E8"/>
    <w:rsid w:val="007E4FBF"/>
    <w:rsid w:val="00830A19"/>
    <w:rsid w:val="00840CF5"/>
    <w:rsid w:val="00844F43"/>
    <w:rsid w:val="00854288"/>
    <w:rsid w:val="00861E96"/>
    <w:rsid w:val="00882DB0"/>
    <w:rsid w:val="008859DC"/>
    <w:rsid w:val="00885FD7"/>
    <w:rsid w:val="0088660A"/>
    <w:rsid w:val="00887283"/>
    <w:rsid w:val="008916D4"/>
    <w:rsid w:val="00893F6D"/>
    <w:rsid w:val="00897F44"/>
    <w:rsid w:val="008B3CB7"/>
    <w:rsid w:val="008B533B"/>
    <w:rsid w:val="008B74D0"/>
    <w:rsid w:val="008B7E70"/>
    <w:rsid w:val="008F2F12"/>
    <w:rsid w:val="008F6F4A"/>
    <w:rsid w:val="009036E5"/>
    <w:rsid w:val="0090656E"/>
    <w:rsid w:val="00917799"/>
    <w:rsid w:val="00921085"/>
    <w:rsid w:val="00922513"/>
    <w:rsid w:val="00953B3E"/>
    <w:rsid w:val="00954E49"/>
    <w:rsid w:val="00964C76"/>
    <w:rsid w:val="00972E17"/>
    <w:rsid w:val="00995514"/>
    <w:rsid w:val="009B654C"/>
    <w:rsid w:val="009C7427"/>
    <w:rsid w:val="009C75F9"/>
    <w:rsid w:val="009D0A2D"/>
    <w:rsid w:val="009E0D5F"/>
    <w:rsid w:val="009E3FCD"/>
    <w:rsid w:val="009E6FDD"/>
    <w:rsid w:val="009F5AC9"/>
    <w:rsid w:val="00A021FD"/>
    <w:rsid w:val="00A0322B"/>
    <w:rsid w:val="00A035D0"/>
    <w:rsid w:val="00A038D0"/>
    <w:rsid w:val="00A131DA"/>
    <w:rsid w:val="00A22C91"/>
    <w:rsid w:val="00A30D4B"/>
    <w:rsid w:val="00A340DC"/>
    <w:rsid w:val="00A36700"/>
    <w:rsid w:val="00A80E20"/>
    <w:rsid w:val="00A8250C"/>
    <w:rsid w:val="00A97935"/>
    <w:rsid w:val="00AA3FB3"/>
    <w:rsid w:val="00AB6E65"/>
    <w:rsid w:val="00AC2017"/>
    <w:rsid w:val="00AD4878"/>
    <w:rsid w:val="00AD4CF5"/>
    <w:rsid w:val="00AE1AA9"/>
    <w:rsid w:val="00AF0F96"/>
    <w:rsid w:val="00B01491"/>
    <w:rsid w:val="00B033AE"/>
    <w:rsid w:val="00B1379D"/>
    <w:rsid w:val="00B14720"/>
    <w:rsid w:val="00B24042"/>
    <w:rsid w:val="00B32599"/>
    <w:rsid w:val="00B34170"/>
    <w:rsid w:val="00B43520"/>
    <w:rsid w:val="00B453EB"/>
    <w:rsid w:val="00B458B2"/>
    <w:rsid w:val="00B5791A"/>
    <w:rsid w:val="00B622E2"/>
    <w:rsid w:val="00B63743"/>
    <w:rsid w:val="00B6622B"/>
    <w:rsid w:val="00B66A99"/>
    <w:rsid w:val="00B77A53"/>
    <w:rsid w:val="00B833E8"/>
    <w:rsid w:val="00B91156"/>
    <w:rsid w:val="00B9352B"/>
    <w:rsid w:val="00BA2F15"/>
    <w:rsid w:val="00BA350E"/>
    <w:rsid w:val="00BC026B"/>
    <w:rsid w:val="00BD48CF"/>
    <w:rsid w:val="00BE676E"/>
    <w:rsid w:val="00C04BAD"/>
    <w:rsid w:val="00C15436"/>
    <w:rsid w:val="00C175AB"/>
    <w:rsid w:val="00C20126"/>
    <w:rsid w:val="00C244D1"/>
    <w:rsid w:val="00C31DCB"/>
    <w:rsid w:val="00C432AF"/>
    <w:rsid w:val="00C62AEA"/>
    <w:rsid w:val="00C90778"/>
    <w:rsid w:val="00CA1DF5"/>
    <w:rsid w:val="00CB513A"/>
    <w:rsid w:val="00CD21F4"/>
    <w:rsid w:val="00CD3650"/>
    <w:rsid w:val="00CD39E6"/>
    <w:rsid w:val="00CE1040"/>
    <w:rsid w:val="00CE2A60"/>
    <w:rsid w:val="00CE7BC1"/>
    <w:rsid w:val="00CF4280"/>
    <w:rsid w:val="00D10948"/>
    <w:rsid w:val="00D353DB"/>
    <w:rsid w:val="00D40C29"/>
    <w:rsid w:val="00D53B4E"/>
    <w:rsid w:val="00D6679C"/>
    <w:rsid w:val="00D72F51"/>
    <w:rsid w:val="00D757D9"/>
    <w:rsid w:val="00D77F7F"/>
    <w:rsid w:val="00D93742"/>
    <w:rsid w:val="00DA1835"/>
    <w:rsid w:val="00DA3D07"/>
    <w:rsid w:val="00DA4757"/>
    <w:rsid w:val="00DA60C5"/>
    <w:rsid w:val="00DB6903"/>
    <w:rsid w:val="00DD50C7"/>
    <w:rsid w:val="00DD5FFE"/>
    <w:rsid w:val="00DE38C3"/>
    <w:rsid w:val="00E00DCB"/>
    <w:rsid w:val="00E03E91"/>
    <w:rsid w:val="00E05854"/>
    <w:rsid w:val="00E20E10"/>
    <w:rsid w:val="00E2344A"/>
    <w:rsid w:val="00E32AA9"/>
    <w:rsid w:val="00E40623"/>
    <w:rsid w:val="00E45CC0"/>
    <w:rsid w:val="00E56E74"/>
    <w:rsid w:val="00E64FD3"/>
    <w:rsid w:val="00E92BE8"/>
    <w:rsid w:val="00EA7736"/>
    <w:rsid w:val="00EA7DEF"/>
    <w:rsid w:val="00EB3363"/>
    <w:rsid w:val="00EC5028"/>
    <w:rsid w:val="00EC7169"/>
    <w:rsid w:val="00ED0117"/>
    <w:rsid w:val="00F35A0E"/>
    <w:rsid w:val="00F36A63"/>
    <w:rsid w:val="00F6464E"/>
    <w:rsid w:val="00F7696B"/>
    <w:rsid w:val="00F942C3"/>
    <w:rsid w:val="00F9431F"/>
    <w:rsid w:val="00F960A1"/>
    <w:rsid w:val="00FA2FD9"/>
    <w:rsid w:val="00FA6FDD"/>
    <w:rsid w:val="00FB5A76"/>
    <w:rsid w:val="00FC22B7"/>
    <w:rsid w:val="00FC6726"/>
  </w:rsids>
  <m:mathPr>
    <m:mathFont m:val="Wingdings 2"/>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35B9E"/>
    <w:rPr>
      <w:lang w:val="en-GB"/>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Sprechblasentext">
    <w:name w:val="Balloon Text"/>
    <w:basedOn w:val="Standard"/>
    <w:link w:val="SprechblasentextZeichen"/>
    <w:uiPriority w:val="99"/>
    <w:semiHidden/>
    <w:unhideWhenUsed/>
    <w:rsid w:val="00E425CB"/>
    <w:rPr>
      <w:rFonts w:ascii="Lucida Grande" w:hAnsi="Lucida Grande"/>
      <w:sz w:val="18"/>
      <w:szCs w:val="18"/>
    </w:rPr>
  </w:style>
  <w:style w:type="character" w:customStyle="1" w:styleId="SprechblasentextZeichen">
    <w:name w:val="Sprechblasentext Zeichen"/>
    <w:basedOn w:val="Absatzstandardschriftart"/>
    <w:link w:val="Sprechblasentext"/>
    <w:uiPriority w:val="99"/>
    <w:semiHidden/>
    <w:rsid w:val="00E425CB"/>
    <w:rPr>
      <w:rFonts w:ascii="Lucida Grande" w:hAnsi="Lucida Grande"/>
      <w:sz w:val="18"/>
      <w:szCs w:val="18"/>
    </w:rPr>
  </w:style>
  <w:style w:type="paragraph" w:styleId="Listenabsatz">
    <w:name w:val="List Paragraph"/>
    <w:basedOn w:val="Standard"/>
    <w:uiPriority w:val="34"/>
    <w:qFormat/>
    <w:rsid w:val="0090656E"/>
    <w:pPr>
      <w:ind w:left="720"/>
      <w:contextualSpacing/>
    </w:pPr>
  </w:style>
  <w:style w:type="paragraph" w:styleId="Funotentext">
    <w:name w:val="footnote text"/>
    <w:basedOn w:val="Standard"/>
    <w:link w:val="FunotentextZeichen"/>
    <w:uiPriority w:val="99"/>
    <w:semiHidden/>
    <w:unhideWhenUsed/>
    <w:rsid w:val="00214535"/>
  </w:style>
  <w:style w:type="character" w:customStyle="1" w:styleId="FunotentextZeichen">
    <w:name w:val="Fußnotentext Zeichen"/>
    <w:basedOn w:val="Absatzstandardschriftart"/>
    <w:link w:val="Funotentext"/>
    <w:uiPriority w:val="99"/>
    <w:semiHidden/>
    <w:rsid w:val="00214535"/>
    <w:rPr>
      <w:lang w:val="en-GB"/>
    </w:rPr>
  </w:style>
  <w:style w:type="character" w:styleId="Funotenzeichen">
    <w:name w:val="footnote reference"/>
    <w:basedOn w:val="Absatzstandardschriftart"/>
    <w:uiPriority w:val="99"/>
    <w:semiHidden/>
    <w:unhideWhenUsed/>
    <w:rsid w:val="00214535"/>
    <w:rPr>
      <w:vertAlign w:val="superscript"/>
    </w:rPr>
  </w:style>
  <w:style w:type="paragraph" w:styleId="Fuzeile">
    <w:name w:val="footer"/>
    <w:basedOn w:val="Standard"/>
    <w:link w:val="FuzeileZeichen"/>
    <w:uiPriority w:val="99"/>
    <w:semiHidden/>
    <w:unhideWhenUsed/>
    <w:rsid w:val="000262E2"/>
    <w:pPr>
      <w:tabs>
        <w:tab w:val="center" w:pos="4703"/>
        <w:tab w:val="right" w:pos="9406"/>
      </w:tabs>
    </w:pPr>
  </w:style>
  <w:style w:type="character" w:customStyle="1" w:styleId="FuzeileZeichen">
    <w:name w:val="Fußzeile Zeichen"/>
    <w:basedOn w:val="Absatzstandardschriftart"/>
    <w:link w:val="Fuzeile"/>
    <w:uiPriority w:val="99"/>
    <w:semiHidden/>
    <w:rsid w:val="000262E2"/>
    <w:rPr>
      <w:lang w:val="en-GB"/>
    </w:rPr>
  </w:style>
  <w:style w:type="character" w:styleId="Seitenzahl">
    <w:name w:val="page number"/>
    <w:basedOn w:val="Absatzstandardschriftart"/>
    <w:uiPriority w:val="99"/>
    <w:semiHidden/>
    <w:unhideWhenUsed/>
    <w:rsid w:val="000262E2"/>
  </w:style>
  <w:style w:type="paragraph" w:styleId="Kopfzeile">
    <w:name w:val="header"/>
    <w:basedOn w:val="Standard"/>
    <w:link w:val="KopfzeileZeichen"/>
    <w:uiPriority w:val="99"/>
    <w:semiHidden/>
    <w:unhideWhenUsed/>
    <w:rsid w:val="002463CF"/>
    <w:pPr>
      <w:tabs>
        <w:tab w:val="center" w:pos="4703"/>
        <w:tab w:val="right" w:pos="9406"/>
      </w:tabs>
    </w:pPr>
  </w:style>
  <w:style w:type="character" w:customStyle="1" w:styleId="KopfzeileZeichen">
    <w:name w:val="Kopfzeile Zeichen"/>
    <w:basedOn w:val="Absatzstandardschriftart"/>
    <w:link w:val="Kopfzeile"/>
    <w:uiPriority w:val="99"/>
    <w:semiHidden/>
    <w:rsid w:val="002463CF"/>
    <w:rPr>
      <w:lang w:val="en-GB"/>
    </w:rPr>
  </w:style>
</w:styles>
</file>

<file path=word/webSettings.xml><?xml version="1.0" encoding="utf-8"?>
<w:webSettings xmlns:r="http://schemas.openxmlformats.org/officeDocument/2006/relationships" xmlns:w="http://schemas.openxmlformats.org/wordprocessingml/2006/main">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www.hendrickson.com/html/product/563245.trade.html"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8704</Words>
  <Characters>45976</Characters>
  <Application>Microsoft Macintosh Word</Application>
  <DocSecurity>0</DocSecurity>
  <Lines>689</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Lampeter</Company>
  <LinksUpToDate>false</LinksUpToDate>
  <CharactersWithSpaces>54754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Campbell</dc:creator>
  <cp:lastModifiedBy>William Campbell</cp:lastModifiedBy>
  <cp:revision>2</cp:revision>
  <cp:lastPrinted>2011-02-06T13:54:00Z</cp:lastPrinted>
  <dcterms:created xsi:type="dcterms:W3CDTF">2011-02-06T13:55:00Z</dcterms:created>
  <dcterms:modified xsi:type="dcterms:W3CDTF">2011-02-06T13:55:00Z</dcterms:modified>
</cp:coreProperties>
</file>