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9E7C81" w14:textId="321CFE0B" w:rsidR="009C5FAA" w:rsidRDefault="007B7445" w:rsidP="007B7445">
      <w:pPr>
        <w:pStyle w:val="Heading1"/>
      </w:pPr>
      <w:r>
        <w:t>Assignment Two</w:t>
      </w:r>
    </w:p>
    <w:p w14:paraId="6AEF0165" w14:textId="77777777" w:rsidR="007B7445" w:rsidRDefault="007B7445" w:rsidP="007B7445">
      <w:pPr>
        <w:pStyle w:val="Subtitle"/>
        <w:rPr>
          <w:rStyle w:val="Strong"/>
        </w:rPr>
      </w:pPr>
      <w:r w:rsidRPr="003332E3">
        <w:rPr>
          <w:rStyle w:val="Strong"/>
        </w:rPr>
        <w:t>What do Schleiermacher, Ritschl, Troeltsch, Tillich, and Bultmann have in common, and what most significantly divides them?</w:t>
      </w:r>
    </w:p>
    <w:p w14:paraId="5F4F9E61" w14:textId="0E8ADFE4" w:rsidR="00C925AD" w:rsidRDefault="00C925AD" w:rsidP="00C925AD">
      <w:pPr>
        <w:pStyle w:val="Heading2"/>
      </w:pPr>
      <w:r>
        <w:t>Introduction</w:t>
      </w:r>
    </w:p>
    <w:p w14:paraId="1D240774" w14:textId="58AF0BDD" w:rsidR="0014496F" w:rsidRPr="0014496F" w:rsidRDefault="0014496F" w:rsidP="0014496F">
      <w:r>
        <w:t xml:space="preserve">This essay aims to examine and analyse what </w:t>
      </w:r>
      <w:r w:rsidR="00DD0CDA">
        <w:t xml:space="preserve">five different theologians have in common and what divides them in their means relating to a shared religion of Christianity. It first sets out </w:t>
      </w:r>
      <w:r w:rsidR="00EF1CA4">
        <w:t>the context in which the early theologians worked in and how it influenced their views, and influenced who came after them.</w:t>
      </w:r>
      <w:r w:rsidR="0058358A">
        <w:t xml:space="preserve"> </w:t>
      </w:r>
      <w:r w:rsidR="002A6063">
        <w:t xml:space="preserve">Furthermore, it </w:t>
      </w:r>
      <w:proofErr w:type="gramStart"/>
      <w:r w:rsidR="002A6063">
        <w:t>takes a look</w:t>
      </w:r>
      <w:proofErr w:type="gramEnd"/>
      <w:r w:rsidR="002A6063">
        <w:t xml:space="preserve"> at shared characteristics within their methods and viewpoints, with each theologian having </w:t>
      </w:r>
      <w:r w:rsidR="00B109A9">
        <w:t>similarities. Following this, it looks at what divides the theologians the most, and as they were from different times and being influenced by others, their views will vary despite any similarities. This essay will point these differences out and analyse them further</w:t>
      </w:r>
      <w:r w:rsidR="00D07C6D">
        <w:t xml:space="preserve"> </w:t>
      </w:r>
      <w:proofErr w:type="gramStart"/>
      <w:r w:rsidR="00D07C6D">
        <w:t>in order to</w:t>
      </w:r>
      <w:proofErr w:type="gramEnd"/>
      <w:r w:rsidR="00D07C6D">
        <w:t xml:space="preserve"> see how different they are from each other.</w:t>
      </w:r>
    </w:p>
    <w:p w14:paraId="6F652139" w14:textId="77777777" w:rsidR="00114D05" w:rsidRDefault="00114D05" w:rsidP="00114D05">
      <w:pPr>
        <w:pStyle w:val="Heading2"/>
      </w:pPr>
      <w:r w:rsidRPr="001D3335">
        <w:t>What They Have in Common</w:t>
      </w:r>
    </w:p>
    <w:p w14:paraId="57C57DB9" w14:textId="0E452A31" w:rsidR="007B7445" w:rsidRDefault="007B379F" w:rsidP="007B379F">
      <w:pPr>
        <w:pStyle w:val="Heading3"/>
      </w:pPr>
      <w:r>
        <w:t>The Challenge of Modernity</w:t>
      </w:r>
    </w:p>
    <w:p w14:paraId="2E280ADA" w14:textId="08A1D7DE" w:rsidR="00DA7A98" w:rsidRDefault="00AA72BF" w:rsidP="00DA7A98">
      <w:r>
        <w:t xml:space="preserve">The work of each </w:t>
      </w:r>
      <w:r w:rsidR="00B440B8">
        <w:t>theologian must be understood in the context of their time, and what problems they encountered in the intellectual space.</w:t>
      </w:r>
      <w:r w:rsidR="00D01CBC">
        <w:t xml:space="preserve"> From the eighteenth century and onwards, there was a significant</w:t>
      </w:r>
      <w:r w:rsidR="00176F2A">
        <w:t xml:space="preserve"> change in the culture and religious spheres of Europe. The Enlightenment era placed</w:t>
      </w:r>
      <w:r w:rsidR="00B775F2">
        <w:t xml:space="preserve"> more value and confidence in human reason</w:t>
      </w:r>
      <w:r w:rsidR="00767075">
        <w:t xml:space="preserve"> and </w:t>
      </w:r>
      <w:r w:rsidR="00392303">
        <w:t>investigation unrelated to metaphysics or spiritualism. This enabled many thinkers to challenge the traditional religious views that society had held for so many hundreds of years.</w:t>
      </w:r>
      <w:r w:rsidR="00887392">
        <w:t xml:space="preserve"> It also coincided with the development of natural sciences which further challenged Christian understandings of the world</w:t>
      </w:r>
      <w:r w:rsidR="006C2341">
        <w:t xml:space="preserve">. Historical criticism of the bible was at an </w:t>
      </w:r>
      <w:r w:rsidR="00830289">
        <w:t>all-time</w:t>
      </w:r>
      <w:r w:rsidR="006C2341">
        <w:t xml:space="preserve"> high, with many scholars</w:t>
      </w:r>
      <w:r w:rsidR="00A96A5C">
        <w:t xml:space="preserve"> treating it as they would an ancient text to verify it. It was </w:t>
      </w:r>
      <w:proofErr w:type="gramStart"/>
      <w:r w:rsidR="00A96A5C">
        <w:t>all of</w:t>
      </w:r>
      <w:proofErr w:type="gramEnd"/>
      <w:r w:rsidR="00A96A5C">
        <w:t xml:space="preserve"> this that made Christian scripture more difficult to defend</w:t>
      </w:r>
      <w:r w:rsidR="005D7511">
        <w:t>, with miracles and divine revelation facing heavy scrutiny.</w:t>
      </w:r>
    </w:p>
    <w:p w14:paraId="158C7E9B" w14:textId="3AFF573D" w:rsidR="005D7511" w:rsidRDefault="00CB347A" w:rsidP="00DA7A98">
      <w:r>
        <w:t>The challenges varied from country to country. In France</w:t>
      </w:r>
      <w:r w:rsidR="00155A0D">
        <w:t xml:space="preserve">, this period of the enlightenment was more to do with anti-government and anti-church sentiment, while in Germany (where </w:t>
      </w:r>
      <w:r w:rsidR="002A72F6">
        <w:t>the theologians are from), it was a more</w:t>
      </w:r>
      <w:r w:rsidR="00973425">
        <w:t xml:space="preserve"> spiritualistic and nationalistic idea, not aggressive like the French </w:t>
      </w:r>
      <w:r w:rsidR="00092768">
        <w:t>ideas were.</w:t>
      </w:r>
      <w:r w:rsidR="00092768">
        <w:rPr>
          <w:rStyle w:val="FootnoteReference"/>
        </w:rPr>
        <w:footnoteReference w:id="1"/>
      </w:r>
    </w:p>
    <w:p w14:paraId="1A4E121A" w14:textId="55DF0B01" w:rsidR="00E76388" w:rsidRDefault="008E1573" w:rsidP="00DA7A98">
      <w:r>
        <w:t>Each theologian had different solutions to protect their religion and justify its role, and each were inspired by the thinkers that came before</w:t>
      </w:r>
      <w:r w:rsidR="002B3315">
        <w:t xml:space="preserve"> them, with most if not all inspired by Schleiermacher. They all shared the conviction that theology must engage critically with modern</w:t>
      </w:r>
      <w:r w:rsidR="00F33797">
        <w:t xml:space="preserve"> science and worldviews</w:t>
      </w:r>
      <w:r w:rsidR="00CE2B2C">
        <w:t xml:space="preserve"> instead of ignoring them. Ignoring the problems would make it seem unreputable and not taken seriously.</w:t>
      </w:r>
      <w:r w:rsidR="00A02B6D">
        <w:t xml:space="preserve"> Overall, their goal was to reinterpret Christianity in ways that addressed the questions raised while </w:t>
      </w:r>
      <w:r w:rsidR="002A398A">
        <w:t>giving it significance for contemporary believers.</w:t>
      </w:r>
    </w:p>
    <w:p w14:paraId="0A05279E" w14:textId="2D6713B1" w:rsidR="003E51BC" w:rsidRDefault="003E51BC" w:rsidP="00B02D16">
      <w:pPr>
        <w:pStyle w:val="Heading3"/>
      </w:pPr>
      <w:r>
        <w:t>Shared Characteristics</w:t>
      </w:r>
    </w:p>
    <w:p w14:paraId="147CC2DE" w14:textId="28520F25" w:rsidR="00944CD1" w:rsidRDefault="00944CD1" w:rsidP="00D92897">
      <w:r>
        <w:t>Despite large differences in their theological conc</w:t>
      </w:r>
      <w:r w:rsidR="009E16A5">
        <w:t>lusions, they are all united by a common concern</w:t>
      </w:r>
      <w:r w:rsidR="00B75A0B">
        <w:t>: how can Christianity remain credible in during the Enlightenment and post Enlightenment.</w:t>
      </w:r>
      <w:r w:rsidR="00C345C9">
        <w:t xml:space="preserve"> For it to remain meaningful in an ever growing sceptic and progressing society, then it cannot just ignore the </w:t>
      </w:r>
      <w:r w:rsidR="00C345C9">
        <w:lastRenderedPageBreak/>
        <w:t>questions raised or problems pointed out, it had to address them</w:t>
      </w:r>
      <w:r w:rsidR="00D2152F">
        <w:t xml:space="preserve"> directly to remain in the high brass that science and philosophy </w:t>
      </w:r>
      <w:r w:rsidR="003C3105">
        <w:t>remained in.</w:t>
      </w:r>
      <w:r w:rsidR="00344532">
        <w:t xml:space="preserve"> Liberal theology </w:t>
      </w:r>
      <w:r w:rsidR="00382DEE">
        <w:t>emerged from the conviction that Christian faith must be “</w:t>
      </w:r>
      <w:r w:rsidR="00D92897">
        <w:t>required reconstruction in the light of modern knowledge”</w:t>
      </w:r>
      <w:r w:rsidR="00D92897">
        <w:rPr>
          <w:rStyle w:val="FootnoteReference"/>
        </w:rPr>
        <w:footnoteReference w:id="2"/>
      </w:r>
    </w:p>
    <w:p w14:paraId="602C21A4" w14:textId="4D41257F" w:rsidR="00897BA9" w:rsidRDefault="00BC3CBB" w:rsidP="00D92897">
      <w:r>
        <w:t>This shared commitment led each theologian to question aspects of protestant orthodoxy while remained committed to their own.</w:t>
      </w:r>
      <w:r w:rsidR="00284DCD">
        <w:t xml:space="preserve"> </w:t>
      </w:r>
      <w:r w:rsidR="007A64B2">
        <w:t>Scholar</w:t>
      </w:r>
      <w:r w:rsidR="00284DCD">
        <w:t xml:space="preserve"> Roger Olson notes that modern theology is characterised by trying to</w:t>
      </w:r>
      <w:r w:rsidR="00B06DEC">
        <w:t xml:space="preserve"> reconcile Christianity with the assumptions of modern culture, rather than retreating</w:t>
      </w:r>
      <w:r w:rsidR="00193E9B">
        <w:t xml:space="preserve"> from</w:t>
      </w:r>
      <w:r w:rsidR="00B06DEC">
        <w:t xml:space="preserve"> or denying</w:t>
      </w:r>
      <w:r w:rsidR="00193E9B">
        <w:t xml:space="preserve"> their criticisms</w:t>
      </w:r>
      <w:r w:rsidR="00585B53">
        <w:rPr>
          <w:rStyle w:val="FootnoteReference"/>
        </w:rPr>
        <w:footnoteReference w:id="3"/>
      </w:r>
      <w:r w:rsidR="00585B53">
        <w:t>. These thinkers</w:t>
      </w:r>
      <w:r w:rsidR="005A2C89">
        <w:t xml:space="preserve"> understood the fact that </w:t>
      </w:r>
      <w:r w:rsidR="00B2382F">
        <w:t>inherited doctrines required reinterpretation if they were to remain persuasive in the new age of reason</w:t>
      </w:r>
      <w:r w:rsidR="00B10DE9">
        <w:t xml:space="preserve"> Christianity had not seen before</w:t>
      </w:r>
      <w:r w:rsidR="00B35CF1">
        <w:t xml:space="preserve"> or at least as strongly.</w:t>
      </w:r>
    </w:p>
    <w:p w14:paraId="11D34080" w14:textId="3F14E85F" w:rsidR="004F44E5" w:rsidRDefault="004F44E5" w:rsidP="00D92897">
      <w:r>
        <w:t xml:space="preserve">United by a common purpose but </w:t>
      </w:r>
      <w:r w:rsidR="00E52DB3">
        <w:t>used different means and occasionally disagreed with the methods of those who came before.</w:t>
      </w:r>
      <w:r w:rsidR="003F3B15">
        <w:t xml:space="preserve"> Schleiermacher</w:t>
      </w:r>
      <w:r w:rsidR="00CB1BB2">
        <w:t xml:space="preserve"> argued that religion should be understood as the feeling of absolute </w:t>
      </w:r>
      <w:r w:rsidR="00D6226B">
        <w:t>dependence</w:t>
      </w:r>
      <w:r w:rsidR="007B4C4F">
        <w:t xml:space="preserve"> and </w:t>
      </w:r>
      <w:r w:rsidR="00BB2817">
        <w:t>in the experience of the person partaking in the religion</w:t>
      </w:r>
      <w:r w:rsidR="0018128E">
        <w:t xml:space="preserve"> rather than a system of doctrine or moral guidelines</w:t>
      </w:r>
      <w:r w:rsidR="00DB41B8">
        <w:t>. Ritschl</w:t>
      </w:r>
      <w:r w:rsidR="0062343B">
        <w:t xml:space="preserve"> </w:t>
      </w:r>
      <w:r w:rsidR="00EE15B2">
        <w:t xml:space="preserve">takes on the idea that theology </w:t>
      </w:r>
      <w:r w:rsidR="007B4C4F">
        <w:t xml:space="preserve">should be </w:t>
      </w:r>
      <w:r w:rsidR="00BB2817">
        <w:t xml:space="preserve">rooted in human </w:t>
      </w:r>
      <w:r w:rsidR="00B17AC2">
        <w:t>experience but</w:t>
      </w:r>
      <w:r w:rsidR="00DE2FEE">
        <w:t xml:space="preserve"> took a more ethical response. He thought that viewing the history of Christ </w:t>
      </w:r>
      <w:r w:rsidR="009133CB">
        <w:t>simply as history instead of a miracle, it could potentially lead to a practical affirmation of the divine mission</w:t>
      </w:r>
      <w:r w:rsidR="00F91408">
        <w:t>. He focused heavily on the ethical</w:t>
      </w:r>
      <w:r w:rsidR="00AD6136">
        <w:t xml:space="preserve"> development of people (which he thought was more important than the church)</w:t>
      </w:r>
      <w:r w:rsidR="00ED49FE">
        <w:t xml:space="preserve"> and rejected metaphysics</w:t>
      </w:r>
      <w:r w:rsidR="00FB4E9F">
        <w:t xml:space="preserve"> and traditional doctrines such as the virgin birth or the Trinity.</w:t>
      </w:r>
      <w:r w:rsidR="00FB4E9F">
        <w:rPr>
          <w:rStyle w:val="FootnoteReference"/>
        </w:rPr>
        <w:footnoteReference w:id="4"/>
      </w:r>
    </w:p>
    <w:p w14:paraId="1A48FC85" w14:textId="6F1F0ACC" w:rsidR="006108C4" w:rsidRPr="00944CD1" w:rsidRDefault="001D1D9B" w:rsidP="00D92897">
      <w:r>
        <w:t xml:space="preserve">Troeltsch saw the Enlightenment as a new wave of </w:t>
      </w:r>
      <w:r w:rsidR="00BA4659">
        <w:t>modernity and</w:t>
      </w:r>
      <w:r w:rsidR="00B37A24">
        <w:t xml:space="preserve"> sought to criticize his predecessors with a more historical point of view</w:t>
      </w:r>
      <w:r w:rsidR="00B37A24">
        <w:rPr>
          <w:rStyle w:val="FootnoteReference"/>
        </w:rPr>
        <w:footnoteReference w:id="5"/>
      </w:r>
      <w:r w:rsidR="00BB2840">
        <w:t xml:space="preserve"> and thought the church should reconsider what it claims to be absolute truth</w:t>
      </w:r>
      <w:r w:rsidR="00BB2840">
        <w:rPr>
          <w:rStyle w:val="FootnoteReference"/>
        </w:rPr>
        <w:footnoteReference w:id="6"/>
      </w:r>
      <w:r w:rsidR="00313367">
        <w:t xml:space="preserve">. As he was born after the Enlightenment, he wanted to </w:t>
      </w:r>
      <w:r w:rsidR="00B72B9A">
        <w:t>figure out how it could survive post Enlightenment</w:t>
      </w:r>
    </w:p>
    <w:p w14:paraId="637B3DF7" w14:textId="4C09A730" w:rsidR="003E51BC" w:rsidRDefault="006108C4" w:rsidP="00DA7A98">
      <w:r w:rsidRPr="006108C4">
        <w:t>Tillich</w:t>
      </w:r>
      <w:r w:rsidR="0087357F">
        <w:t xml:space="preserve"> wanted sceptical people to understand Christianity and tried to persuade them</w:t>
      </w:r>
      <w:r w:rsidR="00CF3F24">
        <w:t xml:space="preserve"> by blending faith and modern culture</w:t>
      </w:r>
      <w:r w:rsidR="00CE62EA">
        <w:t>.</w:t>
      </w:r>
      <w:r w:rsidR="00963400">
        <w:t xml:space="preserve"> He created or is at least credited with</w:t>
      </w:r>
      <w:r w:rsidR="00173582">
        <w:t xml:space="preserve"> creating</w:t>
      </w:r>
      <w:r w:rsidR="00963400">
        <w:t xml:space="preserve"> the method of correlation</w:t>
      </w:r>
      <w:r w:rsidR="00F13F4F">
        <w:t xml:space="preserve"> which is a</w:t>
      </w:r>
      <w:r w:rsidR="00142FBE">
        <w:t>n approach that frames theology more like a dialogue between questions posed by reason and answers provided by faith and revelatory experience</w:t>
      </w:r>
      <w:r w:rsidR="00253664">
        <w:t>.</w:t>
      </w:r>
      <w:r w:rsidR="00840277">
        <w:t xml:space="preserve"> It wanted to </w:t>
      </w:r>
      <w:r w:rsidR="009C62AC">
        <w:t>acknowledge both human experience and Christian faith, aiming for their coexistence.</w:t>
      </w:r>
    </w:p>
    <w:p w14:paraId="77E0E228" w14:textId="0765EF1A" w:rsidR="00766396" w:rsidRDefault="003517E3" w:rsidP="00DA7A98">
      <w:r>
        <w:t>So,</w:t>
      </w:r>
      <w:r w:rsidR="00766396">
        <w:t xml:space="preserve"> what is the common theme between all these theologians? </w:t>
      </w:r>
      <w:r>
        <w:t>Well,</w:t>
      </w:r>
      <w:r w:rsidR="00766396">
        <w:t xml:space="preserve"> they all agreed that Christianity needed to be reinterpreted </w:t>
      </w:r>
      <w:proofErr w:type="gramStart"/>
      <w:r>
        <w:t>in order to</w:t>
      </w:r>
      <w:proofErr w:type="gramEnd"/>
      <w:r>
        <w:t xml:space="preserve"> survive during the enlightenment and after it. But it could not continue to exist in </w:t>
      </w:r>
      <w:r w:rsidR="003640CC">
        <w:t>its</w:t>
      </w:r>
      <w:r>
        <w:t xml:space="preserve"> traditional form of believing in doctrine or divine miracles. </w:t>
      </w:r>
      <w:r w:rsidR="00BF126E">
        <w:t xml:space="preserve">However, the way they sought to defend varied drastically from another, with each </w:t>
      </w:r>
      <w:r w:rsidR="008242BC">
        <w:t>having their own idea of what should be central to faith.</w:t>
      </w:r>
    </w:p>
    <w:p w14:paraId="03F6E8C1" w14:textId="7E1891B7" w:rsidR="008242BC" w:rsidRDefault="008242BC" w:rsidP="008242BC">
      <w:pPr>
        <w:pStyle w:val="Heading2"/>
      </w:pPr>
      <w:r>
        <w:t>What Most Significantly Divides Them</w:t>
      </w:r>
    </w:p>
    <w:p w14:paraId="4BA9DE8A" w14:textId="718C99EA" w:rsidR="00CD3281" w:rsidRPr="00CD3281" w:rsidRDefault="00CD3281" w:rsidP="00CD3281">
      <w:pPr>
        <w:pStyle w:val="Heading3"/>
      </w:pPr>
      <w:r>
        <w:t>C</w:t>
      </w:r>
      <w:r w:rsidRPr="00CD3281">
        <w:t xml:space="preserve">entral </w:t>
      </w:r>
      <w:r>
        <w:t>D</w:t>
      </w:r>
      <w:r w:rsidRPr="00CD3281">
        <w:t>ivision</w:t>
      </w:r>
    </w:p>
    <w:p w14:paraId="19C14F0D" w14:textId="51416B95" w:rsidR="00E02D23" w:rsidRDefault="00CD4A2A" w:rsidP="00E02D23">
      <w:r>
        <w:t xml:space="preserve">They all had </w:t>
      </w:r>
      <w:r w:rsidR="004E0E8C">
        <w:t>what they thought should be the foundations of faith.</w:t>
      </w:r>
      <w:r w:rsidR="00951192">
        <w:t xml:space="preserve"> Their foundational anchor</w:t>
      </w:r>
      <w:r w:rsidR="007B6979">
        <w:t xml:space="preserve"> differs greatly.</w:t>
      </w:r>
      <w:r w:rsidR="004E0E8C">
        <w:t xml:space="preserve"> </w:t>
      </w:r>
      <w:r w:rsidR="007B6979">
        <w:t>There are</w:t>
      </w:r>
      <w:r w:rsidR="00587A44">
        <w:t xml:space="preserve"> five primary foundations applied to each theologian</w:t>
      </w:r>
      <w:r w:rsidR="000868F0">
        <w:t>:</w:t>
      </w:r>
      <w:r w:rsidR="000A1B78">
        <w:t xml:space="preserve"> religious experience, ethical </w:t>
      </w:r>
      <w:r w:rsidR="000A1B78">
        <w:lastRenderedPageBreak/>
        <w:t>value, historical investigation</w:t>
      </w:r>
      <w:r w:rsidR="00C66694">
        <w:t>, existential correlation and proclamation/faith.</w:t>
      </w:r>
      <w:r w:rsidR="00CA6AB2">
        <w:t xml:space="preserve"> These are the big </w:t>
      </w:r>
      <w:r w:rsidR="00213AC7">
        <w:t>differences;</w:t>
      </w:r>
      <w:r w:rsidR="00CA6AB2">
        <w:t xml:space="preserve"> they all are very different in how they approach</w:t>
      </w:r>
      <w:r w:rsidR="007F12EA">
        <w:t xml:space="preserve"> and dismantle criticisms</w:t>
      </w:r>
      <w:r w:rsidR="00D85975">
        <w:t>.</w:t>
      </w:r>
      <w:r w:rsidR="003C1CD7">
        <w:t xml:space="preserve"> This can be seen as an “all roads lead to </w:t>
      </w:r>
      <w:r w:rsidR="00C867DD">
        <w:t>Rome</w:t>
      </w:r>
      <w:r w:rsidR="003C1CD7">
        <w:t>”</w:t>
      </w:r>
      <w:r w:rsidR="009F1F52">
        <w:t xml:space="preserve"> approach</w:t>
      </w:r>
      <w:r w:rsidR="009B6726">
        <w:t>, they all want the same thing, but have varying ways.</w:t>
      </w:r>
    </w:p>
    <w:p w14:paraId="2D12CA52" w14:textId="6D65CD0A" w:rsidR="0081115C" w:rsidRDefault="0081115C" w:rsidP="0081115C">
      <w:pPr>
        <w:pStyle w:val="Heading3"/>
      </w:pPr>
      <w:r w:rsidRPr="0081115C">
        <w:t>Schleiermacher and Ritschl</w:t>
      </w:r>
    </w:p>
    <w:p w14:paraId="08E5DB9F" w14:textId="77777777" w:rsidR="000E6758" w:rsidRDefault="000E0802" w:rsidP="000E6758">
      <w:r>
        <w:t>Schleiermacher and Ritschl both belong to liberal theology</w:t>
      </w:r>
      <w:r w:rsidR="00473B1D">
        <w:t xml:space="preserve">, but they begin in different places. Schleiermacher is more about </w:t>
      </w:r>
      <w:r w:rsidR="00E5232F">
        <w:t>experience being the foundation of faith</w:t>
      </w:r>
      <w:r w:rsidR="00115EEA">
        <w:t xml:space="preserve">. He popularised the idea of </w:t>
      </w:r>
      <w:proofErr w:type="spellStart"/>
      <w:r w:rsidR="00115EEA" w:rsidRPr="007E4CEE">
        <w:t>Gef</w:t>
      </w:r>
      <w:r w:rsidR="00851573" w:rsidRPr="00381BD5">
        <w:rPr>
          <w:sz w:val="16"/>
          <w:szCs w:val="16"/>
        </w:rPr>
        <w:t>Ü</w:t>
      </w:r>
      <w:r w:rsidR="00115EEA" w:rsidRPr="007E4CEE">
        <w:t>hl</w:t>
      </w:r>
      <w:proofErr w:type="spellEnd"/>
      <w:r w:rsidR="00AF0EAE">
        <w:t>, which emphasises feeling</w:t>
      </w:r>
      <w:r w:rsidR="002C1B44">
        <w:t xml:space="preserve">, </w:t>
      </w:r>
      <w:r w:rsidR="000E6758">
        <w:t>‘the domain of pre-</w:t>
      </w:r>
    </w:p>
    <w:p w14:paraId="4AE5B703" w14:textId="4C1B9E2D" w:rsidR="00BA0C77" w:rsidRDefault="000E6758" w:rsidP="000E6758">
      <w:r>
        <w:t>reflective, immediate experience’</w:t>
      </w:r>
      <w:r>
        <w:rPr>
          <w:rStyle w:val="FootnoteReference"/>
        </w:rPr>
        <w:footnoteReference w:id="7"/>
      </w:r>
      <w:r w:rsidR="007C6C89">
        <w:t>.</w:t>
      </w:r>
      <w:r w:rsidR="00BA0C77">
        <w:t xml:space="preserve"> </w:t>
      </w:r>
      <w:r w:rsidR="00463E33">
        <w:t xml:space="preserve">He made it a core aspect of his theology in response </w:t>
      </w:r>
      <w:r w:rsidR="00DA5E02">
        <w:t>to enlightenment rationalism which had reduced Christianity to reason or an ethical system</w:t>
      </w:r>
      <w:r w:rsidR="005F5F2E">
        <w:t>. He wanted to show that religion</w:t>
      </w:r>
      <w:r w:rsidR="002A3B47">
        <w:t xml:space="preserve"> exists in </w:t>
      </w:r>
      <w:r w:rsidR="00DC3B83">
        <w:t>its</w:t>
      </w:r>
      <w:r w:rsidR="002A3B47">
        <w:t xml:space="preserve"> own </w:t>
      </w:r>
      <w:r w:rsidR="00756589">
        <w:t>plane of knowledge and cannot be judged by science or philosophy</w:t>
      </w:r>
      <w:r w:rsidR="00814DDD">
        <w:t>. Doctrine as a result</w:t>
      </w:r>
      <w:r w:rsidR="005D1446">
        <w:t xml:space="preserve"> becomes secondary</w:t>
      </w:r>
      <w:r w:rsidR="007C6C89">
        <w:t xml:space="preserve"> </w:t>
      </w:r>
    </w:p>
    <w:p w14:paraId="59E6626D" w14:textId="77777777" w:rsidR="007C73CB" w:rsidRDefault="007C6C89" w:rsidP="007C73CB">
      <w:pPr>
        <w:rPr>
          <w:i/>
          <w:iCs/>
        </w:rPr>
      </w:pPr>
      <w:r>
        <w:t xml:space="preserve">Ritschl is more </w:t>
      </w:r>
      <w:r w:rsidR="00755F8B">
        <w:t>centred on ethicality, value judgements and being closer to the Kingdom of God.</w:t>
      </w:r>
      <w:r w:rsidR="00B87CA5">
        <w:t xml:space="preserve"> He contrasted Schleiermacher</w:t>
      </w:r>
      <w:r w:rsidR="004C7BC8">
        <w:t xml:space="preserve"> and thought participation in Christianity is about engaging with God’s Kingdom</w:t>
      </w:r>
      <w:r w:rsidR="00756261">
        <w:t xml:space="preserve"> and that religious truths are “value judgements” </w:t>
      </w:r>
      <w:r w:rsidR="00756261">
        <w:rPr>
          <w:i/>
          <w:iCs/>
        </w:rPr>
        <w:t>(</w:t>
      </w:r>
      <w:proofErr w:type="spellStart"/>
      <w:r w:rsidR="00756261" w:rsidRPr="00756261">
        <w:rPr>
          <w:i/>
          <w:iCs/>
        </w:rPr>
        <w:t>Werthurteile</w:t>
      </w:r>
      <w:proofErr w:type="spellEnd"/>
      <w:r w:rsidR="00756261">
        <w:rPr>
          <w:i/>
          <w:iCs/>
        </w:rPr>
        <w:t>)</w:t>
      </w:r>
      <w:r w:rsidR="007C73CB">
        <w:rPr>
          <w:i/>
          <w:iCs/>
        </w:rPr>
        <w:t xml:space="preserve">. </w:t>
      </w:r>
    </w:p>
    <w:p w14:paraId="54D7F521" w14:textId="7ADAB9E4" w:rsidR="0081115C" w:rsidRDefault="007C73CB" w:rsidP="00FB18AB">
      <w:r w:rsidRPr="007C73CB">
        <w:t>‘</w:t>
      </w:r>
      <w:r w:rsidR="00FB18AB">
        <w:t>Religious knowledge moves in independent value-judgments, which relate to man's attitude to the world, and call forth feelings of pleasure or pain, in which man either enjoys the dominion over the world vouchsafed him by God, or feels grievously the lack of God's help to that end.</w:t>
      </w:r>
      <w:r w:rsidRPr="007C73CB">
        <w:t>’</w:t>
      </w:r>
      <w:r>
        <w:rPr>
          <w:rStyle w:val="FootnoteReference"/>
        </w:rPr>
        <w:footnoteReference w:id="8"/>
      </w:r>
    </w:p>
    <w:p w14:paraId="234002CF" w14:textId="26C1939A" w:rsidR="00526F1E" w:rsidRDefault="00526F1E" w:rsidP="00FB18AB">
      <w:r>
        <w:t>The significance of such value judgements</w:t>
      </w:r>
      <w:r w:rsidR="009859EC">
        <w:t xml:space="preserve"> lies in the practical ability to shape believers towards the Kingdom of God instead of providing some abstract tool or knowledge about the nature of God.</w:t>
      </w:r>
    </w:p>
    <w:p w14:paraId="6B2FC91B" w14:textId="0BE07285" w:rsidR="00B66468" w:rsidRDefault="006D23F5" w:rsidP="00FB18AB">
      <w:r>
        <w:t xml:space="preserve">Schleiermacher </w:t>
      </w:r>
      <w:r w:rsidR="00BE1285">
        <w:t>is more concerned with what</w:t>
      </w:r>
      <w:r>
        <w:t xml:space="preserve"> </w:t>
      </w:r>
      <w:r w:rsidR="00BE1285">
        <w:t>r</w:t>
      </w:r>
      <w:r>
        <w:t xml:space="preserve">eligion </w:t>
      </w:r>
      <w:r w:rsidR="00C45C30">
        <w:t xml:space="preserve">is, </w:t>
      </w:r>
      <w:r w:rsidR="00BE1285">
        <w:t>and</w:t>
      </w:r>
      <w:r w:rsidR="00C45C30">
        <w:t xml:space="preserve"> Ritschl </w:t>
      </w:r>
      <w:r w:rsidR="00BE1285">
        <w:t xml:space="preserve">is more concerned </w:t>
      </w:r>
      <w:r w:rsidR="00900FB3">
        <w:t>with</w:t>
      </w:r>
      <w:r w:rsidR="00C45C30">
        <w:t xml:space="preserve"> what religion does.</w:t>
      </w:r>
    </w:p>
    <w:p w14:paraId="0C387518" w14:textId="51765867" w:rsidR="00894CB5" w:rsidRDefault="00894CB5" w:rsidP="00894CB5">
      <w:pPr>
        <w:pStyle w:val="Heading3"/>
      </w:pPr>
      <w:r>
        <w:t>Troeltsch</w:t>
      </w:r>
    </w:p>
    <w:p w14:paraId="169D14CF" w14:textId="3310C514" w:rsidR="00D62A3B" w:rsidRDefault="00DB3456" w:rsidP="00D62A3B">
      <w:r>
        <w:t>Troeltsch pushed liberal theology further by making history the starting point</w:t>
      </w:r>
      <w:r w:rsidR="007675C4">
        <w:t>.</w:t>
      </w:r>
      <w:r w:rsidR="005D4F99">
        <w:t xml:space="preserve"> Historicism is not just studying history but recognising all bel</w:t>
      </w:r>
      <w:r w:rsidR="00DC3B83">
        <w:t xml:space="preserve">iefs and doctrines are shaped by their historical </w:t>
      </w:r>
      <w:r w:rsidR="00575CBB">
        <w:t xml:space="preserve">context, so using this logic, </w:t>
      </w:r>
      <w:r w:rsidR="00BA44D0">
        <w:t xml:space="preserve">he examined </w:t>
      </w:r>
      <w:r w:rsidR="00B477B2">
        <w:t xml:space="preserve">how Christianity interacted with </w:t>
      </w:r>
      <w:r w:rsidR="008B5B04">
        <w:t xml:space="preserve">social </w:t>
      </w:r>
      <w:r w:rsidR="00A524EE">
        <w:t>forces and</w:t>
      </w:r>
      <w:r w:rsidR="00466E25">
        <w:t xml:space="preserve"> noting that doctrines were shaped by the contexts in which they existed.</w:t>
      </w:r>
      <w:r w:rsidR="00466E25">
        <w:rPr>
          <w:rStyle w:val="FootnoteReference"/>
        </w:rPr>
        <w:footnoteReference w:id="9"/>
      </w:r>
      <w:r w:rsidR="008D20A9">
        <w:t>,</w:t>
      </w:r>
      <w:r w:rsidR="008D20A9">
        <w:rPr>
          <w:rStyle w:val="FootnoteReference"/>
        </w:rPr>
        <w:footnoteReference w:id="10"/>
      </w:r>
      <w:r w:rsidR="004A20E1">
        <w:t xml:space="preserve"> He did believe Christianity was the supreme religion</w:t>
      </w:r>
      <w:r w:rsidR="006375E7">
        <w:t xml:space="preserve"> in his early </w:t>
      </w:r>
      <w:r w:rsidR="0012109E">
        <w:t>essays but</w:t>
      </w:r>
      <w:r w:rsidR="00AE5065">
        <w:t xml:space="preserve"> the more he developed his ideas, he started to think otherwise</w:t>
      </w:r>
      <w:r w:rsidR="0012109E">
        <w:t>.</w:t>
      </w:r>
      <w:r w:rsidR="0012109E">
        <w:rPr>
          <w:rStyle w:val="FootnoteReference"/>
        </w:rPr>
        <w:footnoteReference w:id="11"/>
      </w:r>
      <w:r w:rsidR="00CD2309">
        <w:t xml:space="preserve"> </w:t>
      </w:r>
      <w:r w:rsidR="006B6829">
        <w:t>To Troeltsch, Christianity was part of the broader spectrum of history</w:t>
      </w:r>
      <w:r w:rsidR="009C05D8">
        <w:t>, instead of the absolute truth. This historicism made him question the claims of Christianity more.</w:t>
      </w:r>
      <w:r w:rsidR="00B66724">
        <w:t xml:space="preserve"> If </w:t>
      </w:r>
      <w:r w:rsidR="00312763">
        <w:t>doctrine, dogma and divine revelation were products of the time, that surely puts into question</w:t>
      </w:r>
      <w:r w:rsidR="00A66EF9">
        <w:t xml:space="preserve"> the absoluteness that the church has claimed for so many hundreds of years</w:t>
      </w:r>
      <w:r w:rsidR="000313DE">
        <w:t xml:space="preserve">. If we use historical relativism </w:t>
      </w:r>
      <w:r w:rsidR="00B241BF">
        <w:t xml:space="preserve">and examine </w:t>
      </w:r>
      <w:proofErr w:type="spellStart"/>
      <w:proofErr w:type="gramStart"/>
      <w:r w:rsidR="00B241BF">
        <w:t>it’s</w:t>
      </w:r>
      <w:proofErr w:type="spellEnd"/>
      <w:proofErr w:type="gramEnd"/>
      <w:r w:rsidR="00B241BF">
        <w:t xml:space="preserve"> implications, how can Christian belief be maintained once recognised that doctrines do indeed develop over time.</w:t>
      </w:r>
      <w:r w:rsidR="00B241BF">
        <w:rPr>
          <w:rStyle w:val="FootnoteReference"/>
        </w:rPr>
        <w:footnoteReference w:id="12"/>
      </w:r>
    </w:p>
    <w:p w14:paraId="03A6A83C" w14:textId="77453C3C" w:rsidR="00B96352" w:rsidRDefault="007D56F7" w:rsidP="00D62A3B">
      <w:r>
        <w:lastRenderedPageBreak/>
        <w:t>If Christianity developed historically, then how can it still claim to be uniquely true?</w:t>
      </w:r>
      <w:r w:rsidR="00F0073D">
        <w:t xml:space="preserve"> Christianity is no longer this unchanging set of principles and teachings </w:t>
      </w:r>
      <w:r w:rsidR="00126982">
        <w:t>as it would like to believe.</w:t>
      </w:r>
      <w:r w:rsidR="00694A50">
        <w:t xml:space="preserve"> If Christianity is historically conditioned in the same way other religions are, on what basis can </w:t>
      </w:r>
      <w:proofErr w:type="gramStart"/>
      <w:r w:rsidR="00694A50">
        <w:t>it</w:t>
      </w:r>
      <w:proofErr w:type="gramEnd"/>
      <w:r w:rsidR="00694A50">
        <w:t xml:space="preserve"> sill </w:t>
      </w:r>
      <w:r w:rsidR="00BB67F5">
        <w:t xml:space="preserve">claim to be </w:t>
      </w:r>
      <w:proofErr w:type="gramStart"/>
      <w:r w:rsidR="00BB67F5">
        <w:t>absolutely true</w:t>
      </w:r>
      <w:proofErr w:type="gramEnd"/>
      <w:r w:rsidR="00BB67F5">
        <w:t xml:space="preserve">? </w:t>
      </w:r>
    </w:p>
    <w:p w14:paraId="4311BEC8" w14:textId="4F71177D" w:rsidR="0000767D" w:rsidRDefault="006508CF" w:rsidP="00D62A3B">
      <w:r>
        <w:t>Furthermore,</w:t>
      </w:r>
      <w:r w:rsidR="004A7575">
        <w:t xml:space="preserve"> Doctrines </w:t>
      </w:r>
      <w:proofErr w:type="gramStart"/>
      <w:r w:rsidR="00B518DC">
        <w:t>are considered to be</w:t>
      </w:r>
      <w:proofErr w:type="gramEnd"/>
      <w:r w:rsidR="00B518DC">
        <w:t xml:space="preserve"> divine revelation from God or Jesus to his followers but using historical relativism,</w:t>
      </w:r>
      <w:r w:rsidR="004B047B">
        <w:t xml:space="preserve"> Troeltsch would ask</w:t>
      </w:r>
      <w:r w:rsidR="008D6AF4">
        <w:t xml:space="preserve"> how </w:t>
      </w:r>
      <w:r w:rsidR="0001562B">
        <w:t>doctrine came</w:t>
      </w:r>
      <w:r w:rsidR="008D6AF4">
        <w:t xml:space="preserve"> to exist</w:t>
      </w:r>
      <w:r w:rsidR="00640CC8">
        <w:t>.</w:t>
      </w:r>
      <w:r w:rsidR="00425820">
        <w:t xml:space="preserve"> For example, the doctrine of the Trinity came to exist through debates in the 4</w:t>
      </w:r>
      <w:r w:rsidR="00425820" w:rsidRPr="00425820">
        <w:rPr>
          <w:vertAlign w:val="superscript"/>
        </w:rPr>
        <w:t>th</w:t>
      </w:r>
      <w:r w:rsidR="00425820">
        <w:t xml:space="preserve"> century</w:t>
      </w:r>
      <w:r w:rsidR="009907C9">
        <w:rPr>
          <w:rStyle w:val="FootnoteReference"/>
        </w:rPr>
        <w:footnoteReference w:id="13"/>
      </w:r>
      <w:r w:rsidR="00455CB0">
        <w:t xml:space="preserve"> and different periods of church history have interpreted scripture differently.</w:t>
      </w:r>
      <w:r w:rsidR="001D174F">
        <w:t xml:space="preserve"> So perhaps they are historical interpretations of revelation rather than the word directly from God.</w:t>
      </w:r>
      <w:r w:rsidR="002D1BF5">
        <w:t xml:space="preserve"> This is not to say doctrine or religion is </w:t>
      </w:r>
      <w:r w:rsidR="00767606">
        <w:t>false,</w:t>
      </w:r>
      <w:r w:rsidR="002D1BF5">
        <w:t xml:space="preserve"> </w:t>
      </w:r>
      <w:r w:rsidR="00587AA1">
        <w:t>but they should be understood in the contexts of which they were developed.</w:t>
      </w:r>
    </w:p>
    <w:p w14:paraId="2F3C78DA" w14:textId="09575D25" w:rsidR="00767606" w:rsidRDefault="00767606" w:rsidP="00D62A3B">
      <w:r>
        <w:t>This separates Troeltsch from his peers</w:t>
      </w:r>
      <w:r w:rsidR="00D1431C">
        <w:t xml:space="preserve">, as Schleiermacher was more concerned with grounding theology and Ritsch who was looking at </w:t>
      </w:r>
      <w:r w:rsidR="0075031A">
        <w:t>the authority of ethicality.</w:t>
      </w:r>
      <w:r w:rsidR="002B196D">
        <w:t xml:space="preserve"> Troeltsch was looking for the historical context in which religion exists</w:t>
      </w:r>
      <w:r w:rsidR="00742BCA">
        <w:t>, and since they are historically developed, they cannot just be taken by their word</w:t>
      </w:r>
      <w:r w:rsidR="00F06A5D">
        <w:t xml:space="preserve"> and considered universally binding.</w:t>
      </w:r>
    </w:p>
    <w:p w14:paraId="652C3BD5" w14:textId="00F47347" w:rsidR="00267CFF" w:rsidRDefault="00267CFF" w:rsidP="00267CFF">
      <w:pPr>
        <w:pStyle w:val="Heading3"/>
      </w:pPr>
      <w:r w:rsidRPr="00267CFF">
        <w:t>Tillich and Bultmann</w:t>
      </w:r>
    </w:p>
    <w:p w14:paraId="3389D6D7" w14:textId="7889E6D1" w:rsidR="00267CFF" w:rsidRDefault="00626196" w:rsidP="00267CFF">
      <w:r>
        <w:t>Tillich and Bultmann</w:t>
      </w:r>
      <w:r w:rsidR="00757D26">
        <w:t xml:space="preserve"> both accept </w:t>
      </w:r>
      <w:r w:rsidR="00203721">
        <w:t>the critiques brought on by philosophy and historical criticism but move theology in different directions</w:t>
      </w:r>
      <w:r w:rsidR="003B05F6">
        <w:t xml:space="preserve">. </w:t>
      </w:r>
    </w:p>
    <w:p w14:paraId="199698BE" w14:textId="358B1B2B" w:rsidR="00407E6E" w:rsidRDefault="00407E6E" w:rsidP="00267CFF">
      <w:r>
        <w:t xml:space="preserve">Tillich was very interested in the symbolic nature </w:t>
      </w:r>
      <w:r w:rsidR="00381772">
        <w:t>of religion and existential philosophy relating to it.</w:t>
      </w:r>
      <w:r w:rsidR="00C43200">
        <w:t xml:space="preserve"> Existential questions </w:t>
      </w:r>
      <w:r w:rsidR="00D57E31">
        <w:t xml:space="preserve">are concerned with the fundamental questions of human existence such as “why do we exist?” or </w:t>
      </w:r>
      <w:r w:rsidR="009D68D5">
        <w:t>“what is the meaning of life”</w:t>
      </w:r>
      <w:r w:rsidR="008E72B1">
        <w:t xml:space="preserve">. Additionally, there are moments in human lives where we </w:t>
      </w:r>
      <w:r w:rsidR="00B767BF">
        <w:t>question our meaning, are feeling guilty and questioning death as a concept</w:t>
      </w:r>
      <w:r w:rsidR="006E0C06">
        <w:t>. Tillich would describe these feelings as “non-being”</w:t>
      </w:r>
      <w:r w:rsidR="00BA4404">
        <w:t xml:space="preserve"> (threats to our existence </w:t>
      </w:r>
      <w:r w:rsidR="00815F39">
        <w:t>such as the concepts mentioned)</w:t>
      </w:r>
      <w:r w:rsidR="0045271F">
        <w:t xml:space="preserve">, and by resisting such feelings we are </w:t>
      </w:r>
      <w:r w:rsidR="009B5448">
        <w:t xml:space="preserve">using the “power of being”. Tillich would ask where </w:t>
      </w:r>
      <w:r w:rsidR="00387BE3">
        <w:t>this comes</w:t>
      </w:r>
      <w:r w:rsidR="009B5448">
        <w:t xml:space="preserve"> from with answer lying withing the symbol of “God as the creator”</w:t>
      </w:r>
      <w:r w:rsidR="00387BE3">
        <w:t>.</w:t>
      </w:r>
      <w:r w:rsidR="009B5448">
        <w:rPr>
          <w:rStyle w:val="FootnoteReference"/>
        </w:rPr>
        <w:footnoteReference w:id="14"/>
      </w:r>
      <w:r w:rsidR="00C126F7">
        <w:t xml:space="preserve"> Tillich believed that modern people no longer </w:t>
      </w:r>
      <w:r w:rsidR="003019B0">
        <w:t>struggle</w:t>
      </w:r>
      <w:r w:rsidR="00C126F7">
        <w:t xml:space="preserve"> with questions about the authenticity of doctrine</w:t>
      </w:r>
      <w:r w:rsidR="009E39C1">
        <w:t xml:space="preserve">, but with questions of existence. </w:t>
      </w:r>
      <w:proofErr w:type="gramStart"/>
      <w:r w:rsidR="009E39C1">
        <w:t>So</w:t>
      </w:r>
      <w:proofErr w:type="gramEnd"/>
      <w:r w:rsidR="009E39C1">
        <w:t xml:space="preserve"> for Tillich, theology should begin by analysing the human condition before presenting Christian answers.</w:t>
      </w:r>
    </w:p>
    <w:p w14:paraId="13869179" w14:textId="2BAF1BF6" w:rsidR="004E5523" w:rsidRDefault="00292910" w:rsidP="00004DF0">
      <w:r>
        <w:t>Tillich writes</w:t>
      </w:r>
      <w:r w:rsidR="00004DF0">
        <w:t xml:space="preserve"> ‘Symbolically speaking, God answers man’s questions, and under the impact of God’s answers man asks them. Theology formulates the questions implied in human existence, and theology formulates the answers implied in divine self-manifestation under the guidance of the questions implied in human existence. This is a circle which drives man to a point where question and answer are not separated’</w:t>
      </w:r>
      <w:r w:rsidR="00004DF0">
        <w:rPr>
          <w:rStyle w:val="FootnoteReference"/>
        </w:rPr>
        <w:footnoteReference w:id="15"/>
      </w:r>
    </w:p>
    <w:p w14:paraId="338D7A21" w14:textId="7351E128" w:rsidR="00734E2B" w:rsidRDefault="00734E2B" w:rsidP="00004DF0">
      <w:r>
        <w:t>This summarises his method of correlation</w:t>
      </w:r>
      <w:r w:rsidR="0097056A">
        <w:t>. Theology enters a dialogue with existential questions of reality</w:t>
      </w:r>
      <w:r w:rsidR="0063694B">
        <w:t xml:space="preserve">, with the human questions shaping the theological reflection while divine revelation </w:t>
      </w:r>
      <w:proofErr w:type="gramStart"/>
      <w:r w:rsidR="0063694B">
        <w:t>provide</w:t>
      </w:r>
      <w:proofErr w:type="gramEnd"/>
      <w:r w:rsidR="0063694B">
        <w:t xml:space="preserve"> the answers.</w:t>
      </w:r>
    </w:p>
    <w:p w14:paraId="77F21C72" w14:textId="1B344696" w:rsidR="0090606B" w:rsidRDefault="0090606B" w:rsidP="00B32C73">
      <w:r>
        <w:t xml:space="preserve">Conversely, Bultmann </w:t>
      </w:r>
      <w:r w:rsidR="00C1212A">
        <w:t>rejects Tillich’s emphasis on philosophical correlation. Instead, he argues that theology should be centred upon the proclamation of the Gospel</w:t>
      </w:r>
      <w:r w:rsidR="0034571D">
        <w:t>.</w:t>
      </w:r>
      <w:r w:rsidR="005D51ED">
        <w:t xml:space="preserve"> Firstly, The New Testament was written within a first century mythological </w:t>
      </w:r>
      <w:r w:rsidR="00E42855">
        <w:t>worldview, with examples of demons, angels</w:t>
      </w:r>
      <w:r w:rsidR="00A415A2">
        <w:t xml:space="preserve"> and hell below. Most people do not share this view however so the message of it should be demyth</w:t>
      </w:r>
      <w:r w:rsidR="003761FB">
        <w:t xml:space="preserve">ologised. </w:t>
      </w:r>
      <w:r w:rsidR="003761FB">
        <w:lastRenderedPageBreak/>
        <w:t xml:space="preserve">The myths are not false per </w:t>
      </w:r>
      <w:r w:rsidR="00B92E7C">
        <w:t>say but</w:t>
      </w:r>
      <w:r w:rsidR="003761FB">
        <w:t xml:space="preserve"> are symbolic</w:t>
      </w:r>
      <w:r w:rsidR="00EC3657">
        <w:t xml:space="preserve"> ways of expressing the truth.</w:t>
      </w:r>
      <w:r w:rsidR="00EC3657">
        <w:rPr>
          <w:rStyle w:val="FootnoteReference"/>
        </w:rPr>
        <w:footnoteReference w:id="16"/>
      </w:r>
      <w:r w:rsidR="009A5E31">
        <w:t xml:space="preserve"> Bultmann recognises that it would be impossible </w:t>
      </w:r>
      <w:r w:rsidR="000D2A9E">
        <w:t>for people shaped by science to accept the mythical expressions of the New Testament</w:t>
      </w:r>
      <w:r w:rsidR="008B589B">
        <w:t>. He famously writes</w:t>
      </w:r>
      <w:r w:rsidR="00B32C73">
        <w:t xml:space="preserve"> ‘People cannot use electric lights and radios and, in the case of ill-ness, take advantage of modern medical and clinical means, and at the same time believe in the spirit and wonder world of the new testament.</w:t>
      </w:r>
      <w:r w:rsidR="005D2733">
        <w:t>’</w:t>
      </w:r>
      <w:r w:rsidR="005D2733">
        <w:rPr>
          <w:rStyle w:val="FootnoteReference"/>
        </w:rPr>
        <w:footnoteReference w:id="17"/>
      </w:r>
    </w:p>
    <w:p w14:paraId="0DEB64E8" w14:textId="18524AEA" w:rsidR="00233DD2" w:rsidRDefault="00233DD2" w:rsidP="00004DF0">
      <w:r>
        <w:t>If myths are reinterpreted what remains of the testament? For Bultmann it’s the proclamation</w:t>
      </w:r>
      <w:r w:rsidR="00D7764D">
        <w:t>/kerygma</w:t>
      </w:r>
      <w:r w:rsidR="007D2A43">
        <w:t>. It is the proclamation of the resurrection that creates faith</w:t>
      </w:r>
      <w:r w:rsidR="00C0313C">
        <w:t xml:space="preserve"> and an authentic existence.</w:t>
      </w:r>
      <w:r w:rsidR="00C0313C">
        <w:rPr>
          <w:rStyle w:val="FootnoteReference"/>
        </w:rPr>
        <w:footnoteReference w:id="18"/>
      </w:r>
      <w:r w:rsidR="009A5E0F">
        <w:t xml:space="preserve"> When somebody hears </w:t>
      </w:r>
      <w:r w:rsidR="00515472">
        <w:t>this proclamation and responds to God’s call, this is what faith is.</w:t>
      </w:r>
    </w:p>
    <w:p w14:paraId="505489B9" w14:textId="69585AAF" w:rsidR="00C925AD" w:rsidRDefault="00C925AD" w:rsidP="00C925AD">
      <w:pPr>
        <w:pStyle w:val="Heading2"/>
      </w:pPr>
      <w:r>
        <w:t>Conclusion</w:t>
      </w:r>
    </w:p>
    <w:p w14:paraId="095C8B3F" w14:textId="4431F32F" w:rsidR="006269FB" w:rsidRDefault="00F83053" w:rsidP="006269FB">
      <w:r>
        <w:t>This essay has looked at the key differences</w:t>
      </w:r>
      <w:r w:rsidR="00B10DE0">
        <w:t xml:space="preserve"> and </w:t>
      </w:r>
      <w:proofErr w:type="gramStart"/>
      <w:r w:rsidR="00B10DE0">
        <w:t xml:space="preserve">similarities </w:t>
      </w:r>
      <w:r>
        <w:t xml:space="preserve"> between</w:t>
      </w:r>
      <w:proofErr w:type="gramEnd"/>
      <w:r>
        <w:t xml:space="preserve"> the five </w:t>
      </w:r>
      <w:r w:rsidR="00B10DE0">
        <w:t xml:space="preserve">theologians, compared them and analysed them against each other </w:t>
      </w:r>
      <w:proofErr w:type="gramStart"/>
      <w:r w:rsidR="00B10DE0">
        <w:t>in order to</w:t>
      </w:r>
      <w:proofErr w:type="gramEnd"/>
      <w:r w:rsidR="00B10DE0">
        <w:t xml:space="preserve"> understand them further.</w:t>
      </w:r>
      <w:r w:rsidR="00192A02">
        <w:t xml:space="preserve"> All theologians have similarities within their </w:t>
      </w:r>
      <w:proofErr w:type="gramStart"/>
      <w:r w:rsidR="00192A02">
        <w:t>work, but</w:t>
      </w:r>
      <w:proofErr w:type="gramEnd"/>
      <w:r w:rsidR="00192A02">
        <w:t xml:space="preserve"> primarily have differences. Where one theologian agrees with one point, they disagree with several more</w:t>
      </w:r>
      <w:r w:rsidR="00602127">
        <w:t xml:space="preserve">. </w:t>
      </w:r>
      <w:r w:rsidR="00E665E5">
        <w:t>However, in their disagreements, they all agreed that Christianity needed to acknowledge the criti</w:t>
      </w:r>
      <w:r w:rsidR="00500387">
        <w:t>ques from the contexts they operated in</w:t>
      </w:r>
      <w:r w:rsidR="00A53F19">
        <w:t>. Their foundations remained different all while pursuing a similar goal</w:t>
      </w:r>
      <w:r w:rsidR="008E53F7">
        <w:t xml:space="preserve">. </w:t>
      </w:r>
      <w:r w:rsidR="00485094">
        <w:t>Their differences allowed for the shared purpose to be exposed in different lights, with doctrine, faith and revelation all having different meanings for each theologian.</w:t>
      </w:r>
    </w:p>
    <w:p w14:paraId="1CAFCF64" w14:textId="2E5887DB" w:rsidR="00703C89" w:rsidRDefault="00703C89" w:rsidP="00703C89">
      <w:pPr>
        <w:pStyle w:val="Heading1"/>
      </w:pPr>
      <w:r>
        <w:t>Bibliography</w:t>
      </w:r>
    </w:p>
    <w:p w14:paraId="19B1EB3F" w14:textId="77777777" w:rsidR="00380A8C" w:rsidRPr="00380A8C" w:rsidRDefault="00380A8C" w:rsidP="00380A8C">
      <w:r w:rsidRPr="006B6D27">
        <w:t>Coakley, Sarah</w:t>
      </w:r>
      <w:r w:rsidRPr="00380A8C">
        <w:t xml:space="preserve">, ‘The Nature of Troeltsch’s Relativism’, in </w:t>
      </w:r>
      <w:r w:rsidRPr="00380A8C">
        <w:rPr>
          <w:i/>
          <w:iCs/>
        </w:rPr>
        <w:t>Christ without Absolutes: A Study of the Christology of Ernst Troeltsch</w:t>
      </w:r>
      <w:r w:rsidRPr="00380A8C">
        <w:t xml:space="preserve"> (Oxford: Oxford University Press, 1994), </w:t>
      </w:r>
      <w:hyperlink r:id="rId10" w:tgtFrame="_new" w:history="1">
        <w:r w:rsidRPr="00380A8C">
          <w:rPr>
            <w:rStyle w:val="Hyperlink"/>
          </w:rPr>
          <w:t>https://doi.org/10.1093/acprof:oso/9780198263746.003.0002</w:t>
        </w:r>
      </w:hyperlink>
      <w:r w:rsidRPr="00380A8C">
        <w:t>.</w:t>
      </w:r>
    </w:p>
    <w:p w14:paraId="599A9BDD" w14:textId="77777777" w:rsidR="00380A8C" w:rsidRPr="00380A8C" w:rsidRDefault="00380A8C" w:rsidP="00380A8C">
      <w:r w:rsidRPr="006B6D27">
        <w:t>Ford, David</w:t>
      </w:r>
      <w:r w:rsidRPr="00380A8C">
        <w:t xml:space="preserve">, </w:t>
      </w:r>
      <w:r w:rsidRPr="00380A8C">
        <w:rPr>
          <w:i/>
          <w:iCs/>
        </w:rPr>
        <w:t>The Modern Theologians</w:t>
      </w:r>
      <w:r w:rsidRPr="00380A8C">
        <w:t xml:space="preserve"> (Oxford: Blackwell, 2005).</w:t>
      </w:r>
    </w:p>
    <w:p w14:paraId="1B5A4E2C" w14:textId="347ABF16" w:rsidR="00380A8C" w:rsidRPr="00380A8C" w:rsidRDefault="00380A8C" w:rsidP="00380A8C">
      <w:r w:rsidRPr="006B6D27">
        <w:t>Frei, Hans Wilhelm</w:t>
      </w:r>
      <w:r w:rsidRPr="00380A8C">
        <w:t xml:space="preserve">, ‘Albrecht Ritschl’, </w:t>
      </w:r>
      <w:r w:rsidRPr="00380A8C">
        <w:rPr>
          <w:i/>
          <w:iCs/>
        </w:rPr>
        <w:t>Encyclopaedia Britannica</w:t>
      </w:r>
      <w:r w:rsidRPr="00380A8C">
        <w:t xml:space="preserve">, </w:t>
      </w:r>
      <w:hyperlink r:id="rId11" w:tgtFrame="_new" w:history="1">
        <w:r w:rsidRPr="00380A8C">
          <w:rPr>
            <w:rStyle w:val="Hyperlink"/>
          </w:rPr>
          <w:t>https://www.britannica.com/biography/Albrecht-Ritschl</w:t>
        </w:r>
      </w:hyperlink>
      <w:r w:rsidRPr="00380A8C">
        <w:t xml:space="preserve"> </w:t>
      </w:r>
    </w:p>
    <w:p w14:paraId="72759C23" w14:textId="77777777" w:rsidR="00380A8C" w:rsidRPr="00380A8C" w:rsidRDefault="00380A8C" w:rsidP="00380A8C">
      <w:r w:rsidRPr="006B6D27">
        <w:t>Hege, Brent</w:t>
      </w:r>
      <w:r w:rsidRPr="00380A8C">
        <w:t xml:space="preserve">, ‘Rudolf Bultmann on Myth, History, and the Resurrection’, in </w:t>
      </w:r>
      <w:r w:rsidRPr="00380A8C">
        <w:rPr>
          <w:i/>
          <w:iCs/>
        </w:rPr>
        <w:t>German Protestant Theology</w:t>
      </w:r>
      <w:r w:rsidRPr="00380A8C">
        <w:t xml:space="preserve"> (Butler University, 2017).</w:t>
      </w:r>
    </w:p>
    <w:p w14:paraId="24F3E6B9" w14:textId="77777777" w:rsidR="00380A8C" w:rsidRPr="00380A8C" w:rsidRDefault="00380A8C" w:rsidP="00380A8C">
      <w:r w:rsidRPr="006B6D27">
        <w:t>Kelly, J. N. D</w:t>
      </w:r>
      <w:r w:rsidRPr="00380A8C">
        <w:rPr>
          <w:b/>
          <w:bCs/>
        </w:rPr>
        <w:t>.</w:t>
      </w:r>
      <w:r w:rsidRPr="00380A8C">
        <w:t xml:space="preserve">, </w:t>
      </w:r>
      <w:r w:rsidRPr="00380A8C">
        <w:rPr>
          <w:i/>
          <w:iCs/>
        </w:rPr>
        <w:t>Early Christian Doctrines</w:t>
      </w:r>
      <w:r w:rsidRPr="00380A8C">
        <w:t xml:space="preserve"> (New York: Harper &amp; Row, 1960).</w:t>
      </w:r>
    </w:p>
    <w:p w14:paraId="3BE7125C" w14:textId="77777777" w:rsidR="00380A8C" w:rsidRPr="00380A8C" w:rsidRDefault="00380A8C" w:rsidP="00380A8C">
      <w:r w:rsidRPr="006B6D27">
        <w:t>Kelsey, David H</w:t>
      </w:r>
      <w:r w:rsidRPr="00380A8C">
        <w:rPr>
          <w:b/>
          <w:bCs/>
        </w:rPr>
        <w:t>.</w:t>
      </w:r>
      <w:r w:rsidRPr="00380A8C">
        <w:t xml:space="preserve">, ‘Paul Tillich’, in </w:t>
      </w:r>
      <w:r w:rsidRPr="00380A8C">
        <w:rPr>
          <w:i/>
          <w:iCs/>
        </w:rPr>
        <w:t>The Modern Theologians</w:t>
      </w:r>
      <w:r w:rsidRPr="00380A8C">
        <w:t xml:space="preserve"> (Oxford: Blackwell, 2005).</w:t>
      </w:r>
    </w:p>
    <w:p w14:paraId="2AB83461" w14:textId="77777777" w:rsidR="00380A8C" w:rsidRPr="00380A8C" w:rsidRDefault="00380A8C" w:rsidP="00380A8C">
      <w:r w:rsidRPr="006B6D27">
        <w:t>McGrath, Alister E</w:t>
      </w:r>
      <w:r w:rsidRPr="00380A8C">
        <w:rPr>
          <w:b/>
          <w:bCs/>
        </w:rPr>
        <w:t>.</w:t>
      </w:r>
      <w:r w:rsidRPr="00380A8C">
        <w:t xml:space="preserve">, </w:t>
      </w:r>
      <w:r w:rsidRPr="00380A8C">
        <w:rPr>
          <w:i/>
          <w:iCs/>
        </w:rPr>
        <w:t>Christian Theology: An Introduction</w:t>
      </w:r>
      <w:r w:rsidRPr="00380A8C">
        <w:t xml:space="preserve"> (Wiley-Blackwell, 2011).</w:t>
      </w:r>
    </w:p>
    <w:p w14:paraId="77BE48B9" w14:textId="569530B7" w:rsidR="00380A8C" w:rsidRPr="00380A8C" w:rsidRDefault="00380A8C" w:rsidP="00380A8C">
      <w:r w:rsidRPr="006B6D27">
        <w:t>No Author</w:t>
      </w:r>
      <w:r w:rsidRPr="00380A8C">
        <w:t xml:space="preserve">, ‘The Age of Enlightenment’, </w:t>
      </w:r>
      <w:r w:rsidRPr="00380A8C">
        <w:rPr>
          <w:i/>
          <w:iCs/>
        </w:rPr>
        <w:t>Lumen Learning</w:t>
      </w:r>
      <w:r w:rsidRPr="00380A8C">
        <w:t xml:space="preserve">, </w:t>
      </w:r>
      <w:hyperlink r:id="rId12" w:tgtFrame="_new" w:history="1">
        <w:r w:rsidRPr="00380A8C">
          <w:rPr>
            <w:rStyle w:val="Hyperlink"/>
          </w:rPr>
          <w:t>https://courses.lumenlearning.com/suny-hccc-worldhistory2/chapter/the-age-of-enlightenment/</w:t>
        </w:r>
      </w:hyperlink>
      <w:r w:rsidRPr="00380A8C">
        <w:t xml:space="preserve"> </w:t>
      </w:r>
    </w:p>
    <w:p w14:paraId="59F8D917" w14:textId="77777777" w:rsidR="00380A8C" w:rsidRPr="00380A8C" w:rsidRDefault="00380A8C" w:rsidP="00380A8C">
      <w:r w:rsidRPr="006B6D27">
        <w:t>Olson, Roger E</w:t>
      </w:r>
      <w:r w:rsidRPr="00380A8C">
        <w:rPr>
          <w:b/>
          <w:bCs/>
        </w:rPr>
        <w:t>.</w:t>
      </w:r>
      <w:r w:rsidRPr="00380A8C">
        <w:t xml:space="preserve">, </w:t>
      </w:r>
      <w:r w:rsidRPr="00380A8C">
        <w:rPr>
          <w:i/>
          <w:iCs/>
        </w:rPr>
        <w:t>The Journey of Modern Theology: From Reconstruction to Deconstruction</w:t>
      </w:r>
      <w:r w:rsidRPr="00380A8C">
        <w:t xml:space="preserve"> (Downers Grove, IL: InterVarsity Press, 2013).</w:t>
      </w:r>
    </w:p>
    <w:p w14:paraId="3AAD392C" w14:textId="77777777" w:rsidR="00380A8C" w:rsidRPr="00380A8C" w:rsidRDefault="00380A8C" w:rsidP="00380A8C">
      <w:r w:rsidRPr="006B6D27">
        <w:t>Ritschl, Albrecht</w:t>
      </w:r>
      <w:r w:rsidRPr="00380A8C">
        <w:t xml:space="preserve">, </w:t>
      </w:r>
      <w:r w:rsidRPr="00380A8C">
        <w:rPr>
          <w:i/>
          <w:iCs/>
        </w:rPr>
        <w:t>The Christian Doctrine of Justification and Reconciliation</w:t>
      </w:r>
      <w:r w:rsidRPr="00380A8C">
        <w:t xml:space="preserve"> (Edinburgh, 1900).</w:t>
      </w:r>
    </w:p>
    <w:p w14:paraId="22772374" w14:textId="77777777" w:rsidR="00380A8C" w:rsidRPr="00380A8C" w:rsidRDefault="00380A8C" w:rsidP="00380A8C">
      <w:r w:rsidRPr="006B6D27">
        <w:lastRenderedPageBreak/>
        <w:t>Rogers, C. D</w:t>
      </w:r>
      <w:r w:rsidRPr="00380A8C">
        <w:rPr>
          <w:b/>
          <w:bCs/>
        </w:rPr>
        <w:t>.</w:t>
      </w:r>
      <w:r w:rsidRPr="00380A8C">
        <w:t xml:space="preserve">, ‘Schleiermacher, Kierkegaard, and the Problem of First Immediacy’, </w:t>
      </w:r>
      <w:r w:rsidRPr="00380A8C">
        <w:rPr>
          <w:i/>
          <w:iCs/>
        </w:rPr>
        <w:t>International Journal for Philosophy of Religion</w:t>
      </w:r>
      <w:r w:rsidRPr="00380A8C">
        <w:t xml:space="preserve"> (Dordrecht, 2016).</w:t>
      </w:r>
    </w:p>
    <w:p w14:paraId="4F97E425" w14:textId="77777777" w:rsidR="00380A8C" w:rsidRPr="00380A8C" w:rsidRDefault="00380A8C" w:rsidP="00380A8C">
      <w:r w:rsidRPr="006B6D27">
        <w:t>Schaper, Eva</w:t>
      </w:r>
      <w:r w:rsidRPr="00380A8C">
        <w:t xml:space="preserve">, ‘Ernst Troeltsch’, </w:t>
      </w:r>
      <w:r w:rsidRPr="00380A8C">
        <w:rPr>
          <w:i/>
          <w:iCs/>
        </w:rPr>
        <w:t>Encyclopaedia Britannica</w:t>
      </w:r>
      <w:r w:rsidRPr="00380A8C">
        <w:t xml:space="preserve">, </w:t>
      </w:r>
      <w:hyperlink r:id="rId13" w:tgtFrame="_new" w:history="1">
        <w:r w:rsidRPr="00380A8C">
          <w:rPr>
            <w:rStyle w:val="Hyperlink"/>
          </w:rPr>
          <w:t>https://www.britannica.com/biography/Ernst-Troeltsch</w:t>
        </w:r>
      </w:hyperlink>
      <w:r w:rsidRPr="00380A8C">
        <w:t xml:space="preserve"> [accessed 15 July 2026].</w:t>
      </w:r>
    </w:p>
    <w:p w14:paraId="11183277" w14:textId="32613759" w:rsidR="00380A8C" w:rsidRPr="00380A8C" w:rsidRDefault="00380A8C" w:rsidP="00380A8C">
      <w:r w:rsidRPr="006B6D27">
        <w:t>Sullivan, Donald</w:t>
      </w:r>
      <w:r w:rsidRPr="00380A8C">
        <w:t xml:space="preserve">, ‘Ernst Troeltsch’, </w:t>
      </w:r>
      <w:r w:rsidRPr="00380A8C">
        <w:rPr>
          <w:i/>
          <w:iCs/>
        </w:rPr>
        <w:t>EBSCO Research Starters</w:t>
      </w:r>
      <w:r w:rsidRPr="00380A8C">
        <w:t xml:space="preserve">, </w:t>
      </w:r>
      <w:hyperlink r:id="rId14" w:tgtFrame="_new" w:history="1">
        <w:r w:rsidRPr="00380A8C">
          <w:rPr>
            <w:rStyle w:val="Hyperlink"/>
          </w:rPr>
          <w:t>https://www.ebsco.com/research-starters/history/ernst-troeltsch</w:t>
        </w:r>
      </w:hyperlink>
      <w:r w:rsidRPr="00380A8C">
        <w:t xml:space="preserve"> </w:t>
      </w:r>
    </w:p>
    <w:p w14:paraId="6854BC98" w14:textId="77777777" w:rsidR="00380A8C" w:rsidRPr="00380A8C" w:rsidRDefault="00380A8C" w:rsidP="00380A8C">
      <w:r w:rsidRPr="006B6D27">
        <w:t>Tillich, Paul</w:t>
      </w:r>
      <w:r w:rsidRPr="00380A8C">
        <w:t xml:space="preserve">, ‘The Method of Correlation’, in </w:t>
      </w:r>
      <w:r w:rsidRPr="00380A8C">
        <w:rPr>
          <w:i/>
          <w:iCs/>
        </w:rPr>
        <w:t>Systematic Theology</w:t>
      </w:r>
      <w:r w:rsidRPr="00380A8C">
        <w:t xml:space="preserve"> (Chicago: University of Chicago Press, 1967).</w:t>
      </w:r>
    </w:p>
    <w:p w14:paraId="15D40A5C" w14:textId="77777777" w:rsidR="00380A8C" w:rsidRPr="00380A8C" w:rsidRDefault="00380A8C" w:rsidP="00380A8C">
      <w:r w:rsidRPr="006B6D27">
        <w:t>Troeltsch, Ernst</w:t>
      </w:r>
      <w:r w:rsidRPr="00380A8C">
        <w:t xml:space="preserve">, </w:t>
      </w:r>
      <w:r w:rsidRPr="00380A8C">
        <w:rPr>
          <w:i/>
          <w:iCs/>
        </w:rPr>
        <w:t>The Absoluteness of Christianity and the History of Religions</w:t>
      </w:r>
      <w:r w:rsidRPr="00380A8C">
        <w:t xml:space="preserve"> (Trent University Library, 1971).</w:t>
      </w:r>
    </w:p>
    <w:p w14:paraId="067EC351" w14:textId="77777777" w:rsidR="00380A8C" w:rsidRPr="00380A8C" w:rsidRDefault="00380A8C" w:rsidP="00380A8C"/>
    <w:sectPr w:rsidR="00380A8C" w:rsidRPr="00380A8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44C207" w14:textId="77777777" w:rsidR="00E6494F" w:rsidRDefault="00E6494F" w:rsidP="00092768">
      <w:pPr>
        <w:spacing w:after="0" w:line="240" w:lineRule="auto"/>
      </w:pPr>
      <w:r>
        <w:separator/>
      </w:r>
    </w:p>
  </w:endnote>
  <w:endnote w:type="continuationSeparator" w:id="0">
    <w:p w14:paraId="3EFAC4D2" w14:textId="77777777" w:rsidR="00E6494F" w:rsidRDefault="00E6494F" w:rsidP="000927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693957" w14:textId="77777777" w:rsidR="00E6494F" w:rsidRDefault="00E6494F" w:rsidP="00092768">
      <w:pPr>
        <w:spacing w:after="0" w:line="240" w:lineRule="auto"/>
      </w:pPr>
      <w:r>
        <w:separator/>
      </w:r>
    </w:p>
  </w:footnote>
  <w:footnote w:type="continuationSeparator" w:id="0">
    <w:p w14:paraId="16D34BA2" w14:textId="77777777" w:rsidR="00E6494F" w:rsidRDefault="00E6494F" w:rsidP="00092768">
      <w:pPr>
        <w:spacing w:after="0" w:line="240" w:lineRule="auto"/>
      </w:pPr>
      <w:r>
        <w:continuationSeparator/>
      </w:r>
    </w:p>
  </w:footnote>
  <w:footnote w:id="1">
    <w:p w14:paraId="439E2A7C" w14:textId="4F014130" w:rsidR="00092768" w:rsidRDefault="00092768">
      <w:pPr>
        <w:pStyle w:val="FootnoteText"/>
      </w:pPr>
      <w:r>
        <w:rPr>
          <w:rStyle w:val="FootnoteReference"/>
        </w:rPr>
        <w:footnoteRef/>
      </w:r>
      <w:r>
        <w:t xml:space="preserve"> No Author, </w:t>
      </w:r>
      <w:r w:rsidRPr="00092768">
        <w:t>The Age of Enlightenment</w:t>
      </w:r>
      <w:r>
        <w:t>,</w:t>
      </w:r>
      <w:r w:rsidR="00D272AA">
        <w:t xml:space="preserve"> </w:t>
      </w:r>
      <w:hyperlink r:id="rId1" w:history="1">
        <w:r w:rsidR="00D272AA" w:rsidRPr="00232415">
          <w:rPr>
            <w:rStyle w:val="Hyperlink"/>
          </w:rPr>
          <w:t>https://courses.lumenlearning.com/suny-hccc-worldhistory2/chapter/the-age-of-enlightenment/</w:t>
        </w:r>
      </w:hyperlink>
      <w:r w:rsidR="00D272AA">
        <w:t xml:space="preserve"> (Accessed 14/07/2026)</w:t>
      </w:r>
    </w:p>
  </w:footnote>
  <w:footnote w:id="2">
    <w:p w14:paraId="6F1BB5F6" w14:textId="1C0F61EC" w:rsidR="00D92897" w:rsidRDefault="00D92897">
      <w:pPr>
        <w:pStyle w:val="FootnoteText"/>
      </w:pPr>
      <w:r>
        <w:rPr>
          <w:rStyle w:val="FootnoteReference"/>
        </w:rPr>
        <w:footnoteRef/>
      </w:r>
      <w:r>
        <w:t xml:space="preserve"> </w:t>
      </w:r>
      <w:r w:rsidR="00455449">
        <w:t xml:space="preserve"> Alistair McGrath,</w:t>
      </w:r>
      <w:r w:rsidR="00A3574E" w:rsidRPr="00A3574E">
        <w:t xml:space="preserve"> </w:t>
      </w:r>
      <w:r w:rsidR="00A3574E" w:rsidRPr="00A3574E">
        <w:rPr>
          <w:i/>
          <w:iCs/>
        </w:rPr>
        <w:t>Liberal Protestantism in</w:t>
      </w:r>
      <w:r w:rsidR="00455449">
        <w:t xml:space="preserve"> </w:t>
      </w:r>
      <w:r w:rsidR="00455449" w:rsidRPr="00792D3C">
        <w:t>Christian Theology: An Introduction</w:t>
      </w:r>
      <w:r w:rsidR="00A3574E">
        <w:t>,</w:t>
      </w:r>
      <w:r w:rsidR="00455449">
        <w:t xml:space="preserve"> (Wiley-Blackwell, 2011</w:t>
      </w:r>
      <w:r w:rsidR="00032A86">
        <w:t>), p. 181</w:t>
      </w:r>
    </w:p>
  </w:footnote>
  <w:footnote w:id="3">
    <w:p w14:paraId="681C8A8F" w14:textId="1C8C9BB7" w:rsidR="00585B53" w:rsidRDefault="00585B53">
      <w:pPr>
        <w:pStyle w:val="FootnoteText"/>
      </w:pPr>
      <w:r>
        <w:rPr>
          <w:rStyle w:val="FootnoteReference"/>
        </w:rPr>
        <w:footnoteRef/>
      </w:r>
      <w:r>
        <w:t xml:space="preserve"> Roger Olson</w:t>
      </w:r>
      <w:r w:rsidR="00AF1CAD">
        <w:t>, The Journey of Modern Theology: From Reconstruction to Deconstruction</w:t>
      </w:r>
      <w:r w:rsidR="00787354">
        <w:t xml:space="preserve"> (</w:t>
      </w:r>
      <w:r w:rsidR="00FD6A8B" w:rsidRPr="00FD6A8B">
        <w:t>InterVarsity Press</w:t>
      </w:r>
      <w:r w:rsidR="00FD6A8B">
        <w:t>, 2013)</w:t>
      </w:r>
    </w:p>
  </w:footnote>
  <w:footnote w:id="4">
    <w:p w14:paraId="29609D27" w14:textId="0C718AEB" w:rsidR="00FB4E9F" w:rsidRDefault="00FB4E9F">
      <w:pPr>
        <w:pStyle w:val="FootnoteText"/>
      </w:pPr>
      <w:r>
        <w:rPr>
          <w:rStyle w:val="FootnoteReference"/>
        </w:rPr>
        <w:footnoteRef/>
      </w:r>
      <w:r>
        <w:t xml:space="preserve"> </w:t>
      </w:r>
      <w:r w:rsidR="00933789">
        <w:t xml:space="preserve">Hans Wilhelm Frei, </w:t>
      </w:r>
      <w:r w:rsidR="00B17AC2" w:rsidRPr="00B17AC2">
        <w:t>Albrecht Ritschl</w:t>
      </w:r>
      <w:r w:rsidR="00B17AC2">
        <w:t xml:space="preserve">, </w:t>
      </w:r>
      <w:hyperlink r:id="rId2" w:history="1">
        <w:r w:rsidR="00933789" w:rsidRPr="00066D6B">
          <w:rPr>
            <w:rStyle w:val="Hyperlink"/>
          </w:rPr>
          <w:t>https://www.britannica.com/biography/Albrecht-Ritschl</w:t>
        </w:r>
      </w:hyperlink>
      <w:r w:rsidR="00933789">
        <w:t>, (Accessed 15/07/2026)</w:t>
      </w:r>
    </w:p>
  </w:footnote>
  <w:footnote w:id="5">
    <w:p w14:paraId="0AD6452E" w14:textId="2365023A" w:rsidR="00B37A24" w:rsidRDefault="00B37A24">
      <w:pPr>
        <w:pStyle w:val="FootnoteText"/>
      </w:pPr>
      <w:r>
        <w:rPr>
          <w:rStyle w:val="FootnoteReference"/>
        </w:rPr>
        <w:footnoteRef/>
      </w:r>
      <w:r>
        <w:t xml:space="preserve"> </w:t>
      </w:r>
      <w:r w:rsidR="00E305F1">
        <w:t>David Ford, The Modern Theologians,</w:t>
      </w:r>
      <w:r w:rsidR="0024572F">
        <w:t xml:space="preserve"> (Blackwell, 2005)</w:t>
      </w:r>
      <w:r w:rsidR="00DE4801">
        <w:t xml:space="preserve"> p.</w:t>
      </w:r>
      <w:r w:rsidR="00123D7D">
        <w:t>11</w:t>
      </w:r>
    </w:p>
  </w:footnote>
  <w:footnote w:id="6">
    <w:p w14:paraId="71FCD883" w14:textId="2FC56A84" w:rsidR="00BB2840" w:rsidRDefault="00BB2840">
      <w:pPr>
        <w:pStyle w:val="FootnoteText"/>
      </w:pPr>
      <w:r>
        <w:rPr>
          <w:rStyle w:val="FootnoteReference"/>
        </w:rPr>
        <w:footnoteRef/>
      </w:r>
      <w:r>
        <w:t xml:space="preserve"> Eva Schaper, Ernst Troeltsch,</w:t>
      </w:r>
      <w:r w:rsidR="00D12DAA">
        <w:t xml:space="preserve"> </w:t>
      </w:r>
      <w:hyperlink r:id="rId3" w:history="1">
        <w:r w:rsidR="00D12DAA" w:rsidRPr="00FB2EE2">
          <w:rPr>
            <w:rStyle w:val="Hyperlink"/>
          </w:rPr>
          <w:t>https://www.britannica.com/biography/Ernst-Troeltsch</w:t>
        </w:r>
      </w:hyperlink>
      <w:r w:rsidR="00D12DAA">
        <w:t xml:space="preserve"> (Accessed 15/07/2026)</w:t>
      </w:r>
    </w:p>
  </w:footnote>
  <w:footnote w:id="7">
    <w:p w14:paraId="447E0D10" w14:textId="5985516B" w:rsidR="000E6758" w:rsidRPr="00013E96" w:rsidRDefault="000E6758">
      <w:pPr>
        <w:pStyle w:val="FootnoteText"/>
      </w:pPr>
      <w:r>
        <w:rPr>
          <w:rStyle w:val="FootnoteReference"/>
        </w:rPr>
        <w:footnoteRef/>
      </w:r>
      <w:r>
        <w:t xml:space="preserve"> C.D Rogers, </w:t>
      </w:r>
      <w:r w:rsidRPr="000E6758">
        <w:t>Schleiermacher, Kierkegaard, and the problem of first immediacy</w:t>
      </w:r>
      <w:r>
        <w:t xml:space="preserve"> in </w:t>
      </w:r>
      <w:r w:rsidRPr="000E6758">
        <w:rPr>
          <w:i/>
          <w:iCs/>
        </w:rPr>
        <w:t>International Journal for Philosophy of Religion</w:t>
      </w:r>
      <w:r w:rsidR="00013E96">
        <w:t xml:space="preserve"> (Dordrecht, 2016)</w:t>
      </w:r>
      <w:r w:rsidR="00F30462">
        <w:t>, p.262</w:t>
      </w:r>
    </w:p>
  </w:footnote>
  <w:footnote w:id="8">
    <w:p w14:paraId="0FF27139" w14:textId="02A093D2" w:rsidR="007C73CB" w:rsidRPr="00E63048" w:rsidRDefault="007C73CB">
      <w:pPr>
        <w:pStyle w:val="FootnoteText"/>
      </w:pPr>
      <w:r>
        <w:rPr>
          <w:rStyle w:val="FootnoteReference"/>
        </w:rPr>
        <w:footnoteRef/>
      </w:r>
      <w:r>
        <w:t xml:space="preserve"> </w:t>
      </w:r>
      <w:r w:rsidR="001A2FA4">
        <w:t>Albrecht</w:t>
      </w:r>
      <w:r w:rsidR="00E01A61">
        <w:t xml:space="preserve"> Rit</w:t>
      </w:r>
      <w:r w:rsidR="006B6D27">
        <w:t>sc</w:t>
      </w:r>
      <w:r w:rsidR="00E01A61">
        <w:t xml:space="preserve">hl, </w:t>
      </w:r>
      <w:r w:rsidR="00E01A61" w:rsidRPr="00E01A61">
        <w:rPr>
          <w:i/>
          <w:iCs/>
        </w:rPr>
        <w:t>The Christian Doctrine of Justification and Reconciliation</w:t>
      </w:r>
      <w:r w:rsidR="00E63048">
        <w:rPr>
          <w:i/>
          <w:iCs/>
        </w:rPr>
        <w:t xml:space="preserve"> </w:t>
      </w:r>
      <w:r w:rsidR="00E63048">
        <w:t>(1900, Edin</w:t>
      </w:r>
      <w:r w:rsidR="00E20B98">
        <w:t>burgh) p. 205</w:t>
      </w:r>
    </w:p>
  </w:footnote>
  <w:footnote w:id="9">
    <w:p w14:paraId="251B2ADA" w14:textId="62981B89" w:rsidR="00466E25" w:rsidRDefault="00466E25">
      <w:pPr>
        <w:pStyle w:val="FootnoteText"/>
      </w:pPr>
      <w:r>
        <w:rPr>
          <w:rStyle w:val="FootnoteReference"/>
        </w:rPr>
        <w:footnoteRef/>
      </w:r>
      <w:r>
        <w:t xml:space="preserve"> Donald Sullivan</w:t>
      </w:r>
      <w:r w:rsidR="002D67B9">
        <w:t xml:space="preserve">, Ernst Troeltsch, </w:t>
      </w:r>
      <w:hyperlink r:id="rId4" w:history="1">
        <w:r w:rsidR="002D67B9" w:rsidRPr="00E17382">
          <w:rPr>
            <w:rStyle w:val="Hyperlink"/>
          </w:rPr>
          <w:t>https://www.ebsco.com/research-starters/history/ernst-troeltsch</w:t>
        </w:r>
      </w:hyperlink>
      <w:r w:rsidR="002D67B9">
        <w:t xml:space="preserve"> (Accessed 19/07/2026)</w:t>
      </w:r>
    </w:p>
  </w:footnote>
  <w:footnote w:id="10">
    <w:p w14:paraId="3F27FF31" w14:textId="1A3AD8F4" w:rsidR="008D20A9" w:rsidRDefault="008D20A9">
      <w:pPr>
        <w:pStyle w:val="FootnoteText"/>
      </w:pPr>
      <w:r>
        <w:rPr>
          <w:rStyle w:val="FootnoteReference"/>
        </w:rPr>
        <w:footnoteRef/>
      </w:r>
      <w:r>
        <w:t xml:space="preserve"> </w:t>
      </w:r>
      <w:r w:rsidR="00B94872">
        <w:t>Ernst Troeltsch, The Absoluteness of Christianity And The History of Religions</w:t>
      </w:r>
      <w:r w:rsidR="005000F7">
        <w:t xml:space="preserve"> (Trent University Library, </w:t>
      </w:r>
      <w:r w:rsidR="00E00AC4">
        <w:t>1971) pp. 85-86</w:t>
      </w:r>
    </w:p>
  </w:footnote>
  <w:footnote w:id="11">
    <w:p w14:paraId="1DE0BFA7" w14:textId="77777777" w:rsidR="0012109E" w:rsidRDefault="0012109E" w:rsidP="0012109E">
      <w:pPr>
        <w:pStyle w:val="FootnoteText"/>
      </w:pPr>
      <w:r>
        <w:rPr>
          <w:rStyle w:val="FootnoteReference"/>
        </w:rPr>
        <w:footnoteRef/>
      </w:r>
      <w:r>
        <w:t xml:space="preserve"> Ibid (Accessed 19/07/2026)</w:t>
      </w:r>
    </w:p>
  </w:footnote>
  <w:footnote w:id="12">
    <w:p w14:paraId="165B4CA4" w14:textId="3F2AAF62" w:rsidR="005F1145" w:rsidRPr="00622C38" w:rsidRDefault="00B241BF">
      <w:pPr>
        <w:pStyle w:val="FootnoteText"/>
      </w:pPr>
      <w:r>
        <w:rPr>
          <w:rStyle w:val="FootnoteReference"/>
        </w:rPr>
        <w:footnoteRef/>
      </w:r>
      <w:r>
        <w:t xml:space="preserve"> </w:t>
      </w:r>
      <w:r w:rsidR="008245C1">
        <w:t xml:space="preserve">Sarah Coakley, </w:t>
      </w:r>
      <w:r w:rsidR="00622C38" w:rsidRPr="00622C38">
        <w:t>The Nature of Troeltsch’s Relativism</w:t>
      </w:r>
      <w:r w:rsidR="00622C38">
        <w:t xml:space="preserve"> </w:t>
      </w:r>
      <w:r w:rsidR="00622C38" w:rsidRPr="00622C38">
        <w:rPr>
          <w:i/>
          <w:iCs/>
        </w:rPr>
        <w:t xml:space="preserve">in </w:t>
      </w:r>
      <w:r w:rsidR="008245C1" w:rsidRPr="00622C38">
        <w:rPr>
          <w:i/>
          <w:iCs/>
        </w:rPr>
        <w:t>Christ without Absolutes: A Study of the Christology of Ernst Troeltsch</w:t>
      </w:r>
      <w:r w:rsidR="00622C38">
        <w:rPr>
          <w:i/>
          <w:iCs/>
        </w:rPr>
        <w:t xml:space="preserve"> </w:t>
      </w:r>
      <w:r w:rsidR="00622C38">
        <w:t>(</w:t>
      </w:r>
      <w:r w:rsidR="00275DA4">
        <w:t xml:space="preserve">Oxford Academic, </w:t>
      </w:r>
      <w:r w:rsidR="00622C38">
        <w:t>1994</w:t>
      </w:r>
      <w:r w:rsidR="00275DA4">
        <w:t>)</w:t>
      </w:r>
      <w:r w:rsidR="005F1145">
        <w:t xml:space="preserve"> </w:t>
      </w:r>
      <w:hyperlink r:id="rId5" w:history="1">
        <w:r w:rsidR="005F1145" w:rsidRPr="005F1145">
          <w:rPr>
            <w:rStyle w:val="Hyperlink"/>
          </w:rPr>
          <w:t>https://doi.org/10.1093/acprof:oso/9780198263746.003.0002</w:t>
        </w:r>
      </w:hyperlink>
    </w:p>
  </w:footnote>
  <w:footnote w:id="13">
    <w:p w14:paraId="13906701" w14:textId="2D59870E" w:rsidR="009907C9" w:rsidRDefault="009907C9">
      <w:pPr>
        <w:pStyle w:val="FootnoteText"/>
      </w:pPr>
      <w:r>
        <w:rPr>
          <w:rStyle w:val="FootnoteReference"/>
        </w:rPr>
        <w:footnoteRef/>
      </w:r>
      <w:r>
        <w:t xml:space="preserve"> </w:t>
      </w:r>
      <w:r w:rsidR="00DB1BD1">
        <w:t>J. N. D. Kelly, Early Christian Doctrines (</w:t>
      </w:r>
      <w:r w:rsidR="0094355B">
        <w:t>Harper &amp; Row</w:t>
      </w:r>
      <w:r w:rsidR="000D35C7">
        <w:t>, 1960</w:t>
      </w:r>
      <w:r w:rsidR="00F72278">
        <w:t>)</w:t>
      </w:r>
      <w:r w:rsidR="000D35C7">
        <w:t xml:space="preserve"> </w:t>
      </w:r>
      <w:r w:rsidR="00F72278">
        <w:t>p</w:t>
      </w:r>
      <w:r w:rsidR="00524D8C">
        <w:t>p</w:t>
      </w:r>
      <w:r w:rsidR="009635C9">
        <w:t>. 252-</w:t>
      </w:r>
      <w:r w:rsidR="00F72278">
        <w:t>269</w:t>
      </w:r>
    </w:p>
  </w:footnote>
  <w:footnote w:id="14">
    <w:p w14:paraId="3AFF3D8F" w14:textId="00A1304D" w:rsidR="009B5448" w:rsidRPr="00D1019B" w:rsidRDefault="009B5448">
      <w:pPr>
        <w:pStyle w:val="FootnoteText"/>
      </w:pPr>
      <w:r>
        <w:rPr>
          <w:rStyle w:val="FootnoteReference"/>
        </w:rPr>
        <w:footnoteRef/>
      </w:r>
      <w:r>
        <w:t xml:space="preserve"> David H. Kelsey, Paul Tillich in </w:t>
      </w:r>
      <w:r>
        <w:rPr>
          <w:i/>
          <w:iCs/>
        </w:rPr>
        <w:t>The Modern Theologians</w:t>
      </w:r>
      <w:r w:rsidR="00D1019B">
        <w:rPr>
          <w:i/>
          <w:iCs/>
        </w:rPr>
        <w:t xml:space="preserve"> </w:t>
      </w:r>
      <w:r w:rsidR="00D1019B">
        <w:t>(Blackwell, 2005) p.65</w:t>
      </w:r>
    </w:p>
  </w:footnote>
  <w:footnote w:id="15">
    <w:p w14:paraId="77D06F5A" w14:textId="033D70DC" w:rsidR="00004DF0" w:rsidRDefault="00004DF0">
      <w:pPr>
        <w:pStyle w:val="FootnoteText"/>
      </w:pPr>
      <w:r>
        <w:rPr>
          <w:rStyle w:val="FootnoteReference"/>
        </w:rPr>
        <w:footnoteRef/>
      </w:r>
      <w:r>
        <w:t xml:space="preserve"> Paul Tillich, </w:t>
      </w:r>
      <w:r w:rsidR="00D50E17">
        <w:t xml:space="preserve">The Method of Correlation in </w:t>
      </w:r>
      <w:r>
        <w:t>Systematic Theology</w:t>
      </w:r>
      <w:r w:rsidR="00634210">
        <w:t xml:space="preserve"> (University of Chicago Press,</w:t>
      </w:r>
      <w:r w:rsidR="00C3022B">
        <w:t xml:space="preserve"> 1967)</w:t>
      </w:r>
      <w:r w:rsidR="00A43E26">
        <w:t xml:space="preserve"> p. 61</w:t>
      </w:r>
    </w:p>
  </w:footnote>
  <w:footnote w:id="16">
    <w:p w14:paraId="4E747F4F" w14:textId="737DA6ED" w:rsidR="00EC3657" w:rsidRPr="00DE7698" w:rsidRDefault="00EC3657">
      <w:pPr>
        <w:pStyle w:val="FootnoteText"/>
      </w:pPr>
      <w:r>
        <w:rPr>
          <w:rStyle w:val="FootnoteReference"/>
        </w:rPr>
        <w:footnoteRef/>
      </w:r>
      <w:r>
        <w:t xml:space="preserve"> </w:t>
      </w:r>
      <w:r w:rsidR="0054221C">
        <w:t>Brent Hege</w:t>
      </w:r>
      <w:r w:rsidR="00DE7698">
        <w:t xml:space="preserve">, </w:t>
      </w:r>
      <w:r w:rsidR="0054221C" w:rsidRPr="0054221C">
        <w:t>Rudolf Bultmann on Myth, History, and the Resurrection</w:t>
      </w:r>
      <w:r w:rsidR="00D257A5">
        <w:t xml:space="preserve"> in </w:t>
      </w:r>
      <w:r w:rsidR="00D257A5">
        <w:rPr>
          <w:i/>
          <w:iCs/>
        </w:rPr>
        <w:t>German Protestant Theology</w:t>
      </w:r>
      <w:r w:rsidR="00E05560">
        <w:t xml:space="preserve"> </w:t>
      </w:r>
      <w:r w:rsidR="00DE7698">
        <w:t>(</w:t>
      </w:r>
      <w:r w:rsidR="00E05560">
        <w:t>Butler University</w:t>
      </w:r>
      <w:r w:rsidR="00DE7698">
        <w:t>,</w:t>
      </w:r>
      <w:r w:rsidR="007B79F2">
        <w:t xml:space="preserve"> </w:t>
      </w:r>
      <w:r w:rsidR="00E05560">
        <w:t>2017</w:t>
      </w:r>
      <w:r w:rsidR="007B79F2">
        <w:t>)</w:t>
      </w:r>
      <w:r w:rsidR="00765F8D">
        <w:t xml:space="preserve"> p</w:t>
      </w:r>
      <w:r w:rsidR="007C6460">
        <w:t>p.42-43</w:t>
      </w:r>
    </w:p>
  </w:footnote>
  <w:footnote w:id="17">
    <w:p w14:paraId="3F84AAA7" w14:textId="15BCC7CD" w:rsidR="005D2733" w:rsidRDefault="005D2733">
      <w:pPr>
        <w:pStyle w:val="FootnoteText"/>
      </w:pPr>
      <w:r>
        <w:rPr>
          <w:rStyle w:val="FootnoteReference"/>
        </w:rPr>
        <w:footnoteRef/>
      </w:r>
      <w:r>
        <w:t xml:space="preserve"> Ibid, p.43</w:t>
      </w:r>
    </w:p>
  </w:footnote>
  <w:footnote w:id="18">
    <w:p w14:paraId="53229924" w14:textId="5E81A332" w:rsidR="00C0313C" w:rsidRDefault="00C0313C">
      <w:pPr>
        <w:pStyle w:val="FootnoteText"/>
      </w:pPr>
      <w:r>
        <w:rPr>
          <w:rStyle w:val="FootnoteReference"/>
        </w:rPr>
        <w:footnoteRef/>
      </w:r>
      <w:r>
        <w:t xml:space="preserve"> </w:t>
      </w:r>
      <w:r w:rsidR="00892845">
        <w:t>McGrath, Authentic human existence, p.506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7445"/>
    <w:rsid w:val="00004DF0"/>
    <w:rsid w:val="0000767D"/>
    <w:rsid w:val="00013E96"/>
    <w:rsid w:val="0001562B"/>
    <w:rsid w:val="000313DE"/>
    <w:rsid w:val="00032A86"/>
    <w:rsid w:val="00035392"/>
    <w:rsid w:val="000502CA"/>
    <w:rsid w:val="000868F0"/>
    <w:rsid w:val="00092768"/>
    <w:rsid w:val="000A1B78"/>
    <w:rsid w:val="000C39C8"/>
    <w:rsid w:val="000D2A9E"/>
    <w:rsid w:val="000D35C7"/>
    <w:rsid w:val="000E0802"/>
    <w:rsid w:val="000E6758"/>
    <w:rsid w:val="00114D05"/>
    <w:rsid w:val="00115EEA"/>
    <w:rsid w:val="0012109E"/>
    <w:rsid w:val="00123D7D"/>
    <w:rsid w:val="00126982"/>
    <w:rsid w:val="00142FBE"/>
    <w:rsid w:val="0014496F"/>
    <w:rsid w:val="00155A0D"/>
    <w:rsid w:val="00173582"/>
    <w:rsid w:val="00176F2A"/>
    <w:rsid w:val="0018128E"/>
    <w:rsid w:val="00192A02"/>
    <w:rsid w:val="00193E9B"/>
    <w:rsid w:val="001A2FA4"/>
    <w:rsid w:val="001D032E"/>
    <w:rsid w:val="001D174F"/>
    <w:rsid w:val="001D1D9B"/>
    <w:rsid w:val="001F09BB"/>
    <w:rsid w:val="002003A3"/>
    <w:rsid w:val="00203721"/>
    <w:rsid w:val="00213AC7"/>
    <w:rsid w:val="00233DD2"/>
    <w:rsid w:val="00235326"/>
    <w:rsid w:val="002358BE"/>
    <w:rsid w:val="0024572F"/>
    <w:rsid w:val="00253664"/>
    <w:rsid w:val="00256F9B"/>
    <w:rsid w:val="00267CFF"/>
    <w:rsid w:val="00275DA4"/>
    <w:rsid w:val="00284DCD"/>
    <w:rsid w:val="00292910"/>
    <w:rsid w:val="002A398A"/>
    <w:rsid w:val="002A3B47"/>
    <w:rsid w:val="002A6063"/>
    <w:rsid w:val="002A72F6"/>
    <w:rsid w:val="002B196D"/>
    <w:rsid w:val="002B3315"/>
    <w:rsid w:val="002C1B44"/>
    <w:rsid w:val="002D1BF5"/>
    <w:rsid w:val="002D1E7E"/>
    <w:rsid w:val="002D27F7"/>
    <w:rsid w:val="002D67B9"/>
    <w:rsid w:val="002E01E8"/>
    <w:rsid w:val="002E21F5"/>
    <w:rsid w:val="003019B0"/>
    <w:rsid w:val="00312763"/>
    <w:rsid w:val="00313367"/>
    <w:rsid w:val="00344532"/>
    <w:rsid w:val="0034571D"/>
    <w:rsid w:val="003517E3"/>
    <w:rsid w:val="003640CC"/>
    <w:rsid w:val="003761FB"/>
    <w:rsid w:val="00380860"/>
    <w:rsid w:val="00380A8C"/>
    <w:rsid w:val="00381772"/>
    <w:rsid w:val="00381BD5"/>
    <w:rsid w:val="00382DEE"/>
    <w:rsid w:val="00387BE3"/>
    <w:rsid w:val="00392303"/>
    <w:rsid w:val="003B05F6"/>
    <w:rsid w:val="003C1CD7"/>
    <w:rsid w:val="003C3105"/>
    <w:rsid w:val="003C4A18"/>
    <w:rsid w:val="003E51BC"/>
    <w:rsid w:val="003F3B15"/>
    <w:rsid w:val="00407E6E"/>
    <w:rsid w:val="00425820"/>
    <w:rsid w:val="0044371E"/>
    <w:rsid w:val="0045271F"/>
    <w:rsid w:val="00455449"/>
    <w:rsid w:val="00455CB0"/>
    <w:rsid w:val="00463E33"/>
    <w:rsid w:val="00466E25"/>
    <w:rsid w:val="00473B1D"/>
    <w:rsid w:val="00485094"/>
    <w:rsid w:val="004949B3"/>
    <w:rsid w:val="004A20E1"/>
    <w:rsid w:val="004A7575"/>
    <w:rsid w:val="004B047B"/>
    <w:rsid w:val="004C7BC8"/>
    <w:rsid w:val="004E0E8C"/>
    <w:rsid w:val="004E5523"/>
    <w:rsid w:val="004E708A"/>
    <w:rsid w:val="004F44E5"/>
    <w:rsid w:val="005000F7"/>
    <w:rsid w:val="00500387"/>
    <w:rsid w:val="00504C3F"/>
    <w:rsid w:val="00515472"/>
    <w:rsid w:val="00524D8C"/>
    <w:rsid w:val="00526F1E"/>
    <w:rsid w:val="0054221C"/>
    <w:rsid w:val="00575CBB"/>
    <w:rsid w:val="0058358A"/>
    <w:rsid w:val="00585B53"/>
    <w:rsid w:val="00587A44"/>
    <w:rsid w:val="00587AA1"/>
    <w:rsid w:val="005A2C89"/>
    <w:rsid w:val="005D1446"/>
    <w:rsid w:val="005D2733"/>
    <w:rsid w:val="005D4F99"/>
    <w:rsid w:val="005D51ED"/>
    <w:rsid w:val="005D7511"/>
    <w:rsid w:val="005F1145"/>
    <w:rsid w:val="005F5F2E"/>
    <w:rsid w:val="00602127"/>
    <w:rsid w:val="006108C4"/>
    <w:rsid w:val="00622C38"/>
    <w:rsid w:val="0062343B"/>
    <w:rsid w:val="00626196"/>
    <w:rsid w:val="006269FB"/>
    <w:rsid w:val="00634210"/>
    <w:rsid w:val="0063694B"/>
    <w:rsid w:val="006375E7"/>
    <w:rsid w:val="00640CC8"/>
    <w:rsid w:val="006508CF"/>
    <w:rsid w:val="00694A50"/>
    <w:rsid w:val="006B6829"/>
    <w:rsid w:val="006B6D27"/>
    <w:rsid w:val="006C2341"/>
    <w:rsid w:val="006D23F5"/>
    <w:rsid w:val="006D5129"/>
    <w:rsid w:val="006E0C06"/>
    <w:rsid w:val="00703C89"/>
    <w:rsid w:val="00734E2B"/>
    <w:rsid w:val="007403D6"/>
    <w:rsid w:val="00742BCA"/>
    <w:rsid w:val="0075031A"/>
    <w:rsid w:val="00755F8B"/>
    <w:rsid w:val="00756261"/>
    <w:rsid w:val="00756589"/>
    <w:rsid w:val="00757D26"/>
    <w:rsid w:val="00765F8D"/>
    <w:rsid w:val="00766396"/>
    <w:rsid w:val="00767075"/>
    <w:rsid w:val="007675C4"/>
    <w:rsid w:val="00767606"/>
    <w:rsid w:val="00787354"/>
    <w:rsid w:val="007A64B2"/>
    <w:rsid w:val="007B379F"/>
    <w:rsid w:val="007B4C4F"/>
    <w:rsid w:val="007B6979"/>
    <w:rsid w:val="007B7445"/>
    <w:rsid w:val="007B79F2"/>
    <w:rsid w:val="007C57DF"/>
    <w:rsid w:val="007C6460"/>
    <w:rsid w:val="007C6C89"/>
    <w:rsid w:val="007C73CB"/>
    <w:rsid w:val="007D2A43"/>
    <w:rsid w:val="007D56F7"/>
    <w:rsid w:val="007E4CEE"/>
    <w:rsid w:val="007F12EA"/>
    <w:rsid w:val="0081115C"/>
    <w:rsid w:val="00814DDD"/>
    <w:rsid w:val="00815F39"/>
    <w:rsid w:val="008242BC"/>
    <w:rsid w:val="008245C1"/>
    <w:rsid w:val="00830289"/>
    <w:rsid w:val="00840277"/>
    <w:rsid w:val="00840A12"/>
    <w:rsid w:val="00851573"/>
    <w:rsid w:val="0087357F"/>
    <w:rsid w:val="00887392"/>
    <w:rsid w:val="00892845"/>
    <w:rsid w:val="00894CB5"/>
    <w:rsid w:val="00896154"/>
    <w:rsid w:val="00897BA9"/>
    <w:rsid w:val="008A3C4D"/>
    <w:rsid w:val="008B0E21"/>
    <w:rsid w:val="008B589B"/>
    <w:rsid w:val="008B5B04"/>
    <w:rsid w:val="008C01A8"/>
    <w:rsid w:val="008D20A9"/>
    <w:rsid w:val="008D6AF4"/>
    <w:rsid w:val="008E1573"/>
    <w:rsid w:val="008E53F7"/>
    <w:rsid w:val="008E72B1"/>
    <w:rsid w:val="00900FB3"/>
    <w:rsid w:val="0090606B"/>
    <w:rsid w:val="009133CB"/>
    <w:rsid w:val="00933789"/>
    <w:rsid w:val="0094355B"/>
    <w:rsid w:val="00944CD1"/>
    <w:rsid w:val="00951192"/>
    <w:rsid w:val="00953F3B"/>
    <w:rsid w:val="00963400"/>
    <w:rsid w:val="009635C9"/>
    <w:rsid w:val="009658E2"/>
    <w:rsid w:val="0097056A"/>
    <w:rsid w:val="00973425"/>
    <w:rsid w:val="009859EC"/>
    <w:rsid w:val="009907C9"/>
    <w:rsid w:val="009A5E0F"/>
    <w:rsid w:val="009A5E31"/>
    <w:rsid w:val="009B5448"/>
    <w:rsid w:val="009B6726"/>
    <w:rsid w:val="009C05D8"/>
    <w:rsid w:val="009C5FAA"/>
    <w:rsid w:val="009C62AC"/>
    <w:rsid w:val="009D68D5"/>
    <w:rsid w:val="009E16A5"/>
    <w:rsid w:val="009E39C1"/>
    <w:rsid w:val="009F1F52"/>
    <w:rsid w:val="00A02B6D"/>
    <w:rsid w:val="00A12DAD"/>
    <w:rsid w:val="00A34C7B"/>
    <w:rsid w:val="00A3574E"/>
    <w:rsid w:val="00A415A2"/>
    <w:rsid w:val="00A43E26"/>
    <w:rsid w:val="00A524EE"/>
    <w:rsid w:val="00A53F19"/>
    <w:rsid w:val="00A66EF9"/>
    <w:rsid w:val="00A969B2"/>
    <w:rsid w:val="00A96A5C"/>
    <w:rsid w:val="00AA72BF"/>
    <w:rsid w:val="00AD6136"/>
    <w:rsid w:val="00AE5065"/>
    <w:rsid w:val="00AF0EAE"/>
    <w:rsid w:val="00AF1CAD"/>
    <w:rsid w:val="00B02D16"/>
    <w:rsid w:val="00B06DEC"/>
    <w:rsid w:val="00B109A9"/>
    <w:rsid w:val="00B10DE0"/>
    <w:rsid w:val="00B10DE9"/>
    <w:rsid w:val="00B17AC2"/>
    <w:rsid w:val="00B2382F"/>
    <w:rsid w:val="00B241BF"/>
    <w:rsid w:val="00B32C73"/>
    <w:rsid w:val="00B35CF1"/>
    <w:rsid w:val="00B37A24"/>
    <w:rsid w:val="00B440B8"/>
    <w:rsid w:val="00B477B2"/>
    <w:rsid w:val="00B518DC"/>
    <w:rsid w:val="00B610FF"/>
    <w:rsid w:val="00B66468"/>
    <w:rsid w:val="00B66724"/>
    <w:rsid w:val="00B72B9A"/>
    <w:rsid w:val="00B75A0B"/>
    <w:rsid w:val="00B767BF"/>
    <w:rsid w:val="00B775F2"/>
    <w:rsid w:val="00B81BCA"/>
    <w:rsid w:val="00B87CA5"/>
    <w:rsid w:val="00B92E7C"/>
    <w:rsid w:val="00B94872"/>
    <w:rsid w:val="00B96352"/>
    <w:rsid w:val="00BA0C77"/>
    <w:rsid w:val="00BA4404"/>
    <w:rsid w:val="00BA44D0"/>
    <w:rsid w:val="00BA4659"/>
    <w:rsid w:val="00BB2817"/>
    <w:rsid w:val="00BB2840"/>
    <w:rsid w:val="00BB67F5"/>
    <w:rsid w:val="00BC3CBB"/>
    <w:rsid w:val="00BE1285"/>
    <w:rsid w:val="00BF126E"/>
    <w:rsid w:val="00C0313C"/>
    <w:rsid w:val="00C1212A"/>
    <w:rsid w:val="00C126F7"/>
    <w:rsid w:val="00C14EE8"/>
    <w:rsid w:val="00C3022B"/>
    <w:rsid w:val="00C339A9"/>
    <w:rsid w:val="00C345C9"/>
    <w:rsid w:val="00C43200"/>
    <w:rsid w:val="00C45C30"/>
    <w:rsid w:val="00C66694"/>
    <w:rsid w:val="00C867DD"/>
    <w:rsid w:val="00C925AD"/>
    <w:rsid w:val="00C97E04"/>
    <w:rsid w:val="00CA6AB2"/>
    <w:rsid w:val="00CB1BB2"/>
    <w:rsid w:val="00CB347A"/>
    <w:rsid w:val="00CB7BFE"/>
    <w:rsid w:val="00CD2309"/>
    <w:rsid w:val="00CD3281"/>
    <w:rsid w:val="00CD4A2A"/>
    <w:rsid w:val="00CE2B2C"/>
    <w:rsid w:val="00CE62EA"/>
    <w:rsid w:val="00CF3F24"/>
    <w:rsid w:val="00D01CBC"/>
    <w:rsid w:val="00D07C6D"/>
    <w:rsid w:val="00D1019B"/>
    <w:rsid w:val="00D12DAA"/>
    <w:rsid w:val="00D1431C"/>
    <w:rsid w:val="00D20AAC"/>
    <w:rsid w:val="00D2152F"/>
    <w:rsid w:val="00D23930"/>
    <w:rsid w:val="00D257A5"/>
    <w:rsid w:val="00D272AA"/>
    <w:rsid w:val="00D50E17"/>
    <w:rsid w:val="00D57E31"/>
    <w:rsid w:val="00D6226B"/>
    <w:rsid w:val="00D62A3B"/>
    <w:rsid w:val="00D662BA"/>
    <w:rsid w:val="00D7764D"/>
    <w:rsid w:val="00D85975"/>
    <w:rsid w:val="00D92897"/>
    <w:rsid w:val="00DA5E02"/>
    <w:rsid w:val="00DA7A98"/>
    <w:rsid w:val="00DB1BD1"/>
    <w:rsid w:val="00DB3456"/>
    <w:rsid w:val="00DB41B8"/>
    <w:rsid w:val="00DC3B83"/>
    <w:rsid w:val="00DD0CDA"/>
    <w:rsid w:val="00DD5AA2"/>
    <w:rsid w:val="00DE2FEE"/>
    <w:rsid w:val="00DE4801"/>
    <w:rsid w:val="00DE7698"/>
    <w:rsid w:val="00E00AC4"/>
    <w:rsid w:val="00E01A61"/>
    <w:rsid w:val="00E02D23"/>
    <w:rsid w:val="00E05560"/>
    <w:rsid w:val="00E20B98"/>
    <w:rsid w:val="00E305F1"/>
    <w:rsid w:val="00E42855"/>
    <w:rsid w:val="00E5232F"/>
    <w:rsid w:val="00E52DB3"/>
    <w:rsid w:val="00E5788D"/>
    <w:rsid w:val="00E63048"/>
    <w:rsid w:val="00E6494F"/>
    <w:rsid w:val="00E665E5"/>
    <w:rsid w:val="00E70B46"/>
    <w:rsid w:val="00E76388"/>
    <w:rsid w:val="00EC3657"/>
    <w:rsid w:val="00ED49FE"/>
    <w:rsid w:val="00EE15B2"/>
    <w:rsid w:val="00EF1CA4"/>
    <w:rsid w:val="00F0073D"/>
    <w:rsid w:val="00F009C7"/>
    <w:rsid w:val="00F06A5D"/>
    <w:rsid w:val="00F13F4F"/>
    <w:rsid w:val="00F24650"/>
    <w:rsid w:val="00F30462"/>
    <w:rsid w:val="00F33797"/>
    <w:rsid w:val="00F72278"/>
    <w:rsid w:val="00F73CC3"/>
    <w:rsid w:val="00F74705"/>
    <w:rsid w:val="00F805C4"/>
    <w:rsid w:val="00F83053"/>
    <w:rsid w:val="00F91408"/>
    <w:rsid w:val="00F978FB"/>
    <w:rsid w:val="00FB18AB"/>
    <w:rsid w:val="00FB4E9F"/>
    <w:rsid w:val="00FD6A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92B25"/>
  <w15:chartTrackingRefBased/>
  <w15:docId w15:val="{A7EAA9C6-F7EF-4A7E-9B5D-CF410D643C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744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B744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B744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B744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B744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B74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74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74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74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744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7B744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7B744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B744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B744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B74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74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74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7445"/>
    <w:rPr>
      <w:rFonts w:eastAsiaTheme="majorEastAsia" w:cstheme="majorBidi"/>
      <w:color w:val="272727" w:themeColor="text1" w:themeTint="D8"/>
    </w:rPr>
  </w:style>
  <w:style w:type="paragraph" w:styleId="Title">
    <w:name w:val="Title"/>
    <w:basedOn w:val="Normal"/>
    <w:next w:val="Normal"/>
    <w:link w:val="TitleChar"/>
    <w:uiPriority w:val="10"/>
    <w:qFormat/>
    <w:rsid w:val="007B74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74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74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74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7445"/>
    <w:pPr>
      <w:spacing w:before="160"/>
      <w:jc w:val="center"/>
    </w:pPr>
    <w:rPr>
      <w:i/>
      <w:iCs/>
      <w:color w:val="404040" w:themeColor="text1" w:themeTint="BF"/>
    </w:rPr>
  </w:style>
  <w:style w:type="character" w:customStyle="1" w:styleId="QuoteChar">
    <w:name w:val="Quote Char"/>
    <w:basedOn w:val="DefaultParagraphFont"/>
    <w:link w:val="Quote"/>
    <w:uiPriority w:val="29"/>
    <w:rsid w:val="007B7445"/>
    <w:rPr>
      <w:i/>
      <w:iCs/>
      <w:color w:val="404040" w:themeColor="text1" w:themeTint="BF"/>
    </w:rPr>
  </w:style>
  <w:style w:type="paragraph" w:styleId="ListParagraph">
    <w:name w:val="List Paragraph"/>
    <w:basedOn w:val="Normal"/>
    <w:uiPriority w:val="34"/>
    <w:qFormat/>
    <w:rsid w:val="007B7445"/>
    <w:pPr>
      <w:ind w:left="720"/>
      <w:contextualSpacing/>
    </w:pPr>
  </w:style>
  <w:style w:type="character" w:styleId="IntenseEmphasis">
    <w:name w:val="Intense Emphasis"/>
    <w:basedOn w:val="DefaultParagraphFont"/>
    <w:uiPriority w:val="21"/>
    <w:qFormat/>
    <w:rsid w:val="007B7445"/>
    <w:rPr>
      <w:i/>
      <w:iCs/>
      <w:color w:val="2F5496" w:themeColor="accent1" w:themeShade="BF"/>
    </w:rPr>
  </w:style>
  <w:style w:type="paragraph" w:styleId="IntenseQuote">
    <w:name w:val="Intense Quote"/>
    <w:basedOn w:val="Normal"/>
    <w:next w:val="Normal"/>
    <w:link w:val="IntenseQuoteChar"/>
    <w:uiPriority w:val="30"/>
    <w:qFormat/>
    <w:rsid w:val="007B744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B7445"/>
    <w:rPr>
      <w:i/>
      <w:iCs/>
      <w:color w:val="2F5496" w:themeColor="accent1" w:themeShade="BF"/>
    </w:rPr>
  </w:style>
  <w:style w:type="character" w:styleId="IntenseReference">
    <w:name w:val="Intense Reference"/>
    <w:basedOn w:val="DefaultParagraphFont"/>
    <w:uiPriority w:val="32"/>
    <w:qFormat/>
    <w:rsid w:val="007B7445"/>
    <w:rPr>
      <w:b/>
      <w:bCs/>
      <w:smallCaps/>
      <w:color w:val="2F5496" w:themeColor="accent1" w:themeShade="BF"/>
      <w:spacing w:val="5"/>
    </w:rPr>
  </w:style>
  <w:style w:type="character" w:styleId="Strong">
    <w:name w:val="Strong"/>
    <w:basedOn w:val="DefaultParagraphFont"/>
    <w:uiPriority w:val="22"/>
    <w:qFormat/>
    <w:rsid w:val="007B7445"/>
    <w:rPr>
      <w:b/>
      <w:bCs/>
    </w:rPr>
  </w:style>
  <w:style w:type="paragraph" w:styleId="FootnoteText">
    <w:name w:val="footnote text"/>
    <w:basedOn w:val="Normal"/>
    <w:link w:val="FootnoteTextChar"/>
    <w:uiPriority w:val="99"/>
    <w:semiHidden/>
    <w:unhideWhenUsed/>
    <w:rsid w:val="0009276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92768"/>
    <w:rPr>
      <w:sz w:val="20"/>
      <w:szCs w:val="20"/>
    </w:rPr>
  </w:style>
  <w:style w:type="character" w:styleId="FootnoteReference">
    <w:name w:val="footnote reference"/>
    <w:basedOn w:val="DefaultParagraphFont"/>
    <w:uiPriority w:val="99"/>
    <w:semiHidden/>
    <w:unhideWhenUsed/>
    <w:rsid w:val="00092768"/>
    <w:rPr>
      <w:vertAlign w:val="superscript"/>
    </w:rPr>
  </w:style>
  <w:style w:type="character" w:styleId="Hyperlink">
    <w:name w:val="Hyperlink"/>
    <w:basedOn w:val="DefaultParagraphFont"/>
    <w:uiPriority w:val="99"/>
    <w:unhideWhenUsed/>
    <w:rsid w:val="00D272AA"/>
    <w:rPr>
      <w:color w:val="0563C1" w:themeColor="hyperlink"/>
      <w:u w:val="single"/>
    </w:rPr>
  </w:style>
  <w:style w:type="character" w:styleId="UnresolvedMention">
    <w:name w:val="Unresolved Mention"/>
    <w:basedOn w:val="DefaultParagraphFont"/>
    <w:uiPriority w:val="99"/>
    <w:semiHidden/>
    <w:unhideWhenUsed/>
    <w:rsid w:val="00D272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britannica.com/biography/Ernst-Troeltsch"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courses.lumenlearning.com/suny-hccc-worldhistory2/chapter/the-age-of-enlightenment/"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ritannica.com/biography/Albrecht-Ritschl"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doi.org/10.1093/acprof:oso/9780198263746.003.0002"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ebsco.com/research-starters/history/ernst-troeltsch"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britannica.com/biography/Ernst-Troeltsch" TargetMode="External"/><Relationship Id="rId2" Type="http://schemas.openxmlformats.org/officeDocument/2006/relationships/hyperlink" Target="https://www.britannica.com/biography/Albrecht-Ritschl" TargetMode="External"/><Relationship Id="rId1" Type="http://schemas.openxmlformats.org/officeDocument/2006/relationships/hyperlink" Target="https://courses.lumenlearning.com/suny-hccc-worldhistory2/chapter/the-age-of-enlightenment/" TargetMode="External"/><Relationship Id="rId5" Type="http://schemas.openxmlformats.org/officeDocument/2006/relationships/hyperlink" Target="https://doi.org/10.1093/acprof:oso/9780198263746.003.0002" TargetMode="External"/><Relationship Id="rId4" Type="http://schemas.openxmlformats.org/officeDocument/2006/relationships/hyperlink" Target="https://www.ebsco.com/research-starters/history/ernst-troelts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4" ma:contentTypeDescription="Create a new document." ma:contentTypeScope="" ma:versionID="2ea42c22ddaa7072ead07b1a1a5e742f">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72a7b822decd5c3f01d58ab417b06198"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4:SharedWithUsers" minOccurs="0"/>
                <xsd:element ref="ns4:SharedWithDetails" minOccurs="0"/>
                <xsd:element ref="ns4:SharingHintHash"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0D9211-6633-4CD7-93D1-0979FF703791}">
  <ds:schemaRefs>
    <ds:schemaRef ds:uri="http://schemas.microsoft.com/office/2006/metadata/properties"/>
    <ds:schemaRef ds:uri="http://schemas.microsoft.com/office/infopath/2007/PartnerControls"/>
    <ds:schemaRef ds:uri="0ebdf10f-b5a3-45b6-acdb-7dc1eb398785"/>
  </ds:schemaRefs>
</ds:datastoreItem>
</file>

<file path=customXml/itemProps2.xml><?xml version="1.0" encoding="utf-8"?>
<ds:datastoreItem xmlns:ds="http://schemas.openxmlformats.org/officeDocument/2006/customXml" ds:itemID="{9C570391-5021-499A-B324-FDF58488F33D}">
  <ds:schemaRefs>
    <ds:schemaRef ds:uri="http://schemas.microsoft.com/sharepoint/v3/contenttype/forms"/>
  </ds:schemaRefs>
</ds:datastoreItem>
</file>

<file path=customXml/itemProps3.xml><?xml version="1.0" encoding="utf-8"?>
<ds:datastoreItem xmlns:ds="http://schemas.openxmlformats.org/officeDocument/2006/customXml" ds:itemID="{68B85224-0890-4C5D-B029-5C75BFD159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3A190C3-256F-42C1-AC59-A8224F4CC9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2388</Words>
  <Characters>13613</Characters>
  <Application>Microsoft Office Word</Application>
  <DocSecurity>0</DocSecurity>
  <Lines>113</Lines>
  <Paragraphs>31</Paragraphs>
  <ScaleCrop>false</ScaleCrop>
  <Company/>
  <LinksUpToDate>false</LinksUpToDate>
  <CharactersWithSpaces>15970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Priestley (2306087)</dc:creator>
  <cp:keywords/>
  <dc:description/>
  <cp:lastModifiedBy>Kelsey Priestley (2306087)</cp:lastModifiedBy>
  <cp:revision>2</cp:revision>
  <dcterms:created xsi:type="dcterms:W3CDTF">2026-07-24T22:39:00Z</dcterms:created>
  <dcterms:modified xsi:type="dcterms:W3CDTF">2026-07-24T22:39:00Z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