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4AFA2" w14:textId="34AC0B8E" w:rsidR="008639FE" w:rsidRPr="00053BF2" w:rsidRDefault="005F68DA" w:rsidP="008639FE">
      <w:pPr>
        <w:jc w:val="right"/>
        <w:rPr>
          <w:rFonts w:cs="Times New Roman"/>
          <w:color w:val="404040" w:themeColor="text1" w:themeTint="BF"/>
          <w:sz w:val="36"/>
          <w:szCs w:val="36"/>
        </w:rPr>
      </w:pPr>
      <w:r w:rsidRPr="00053BF2">
        <w:rPr>
          <w:rFonts w:eastAsia="Times New Roman" w:cs="Times New Roman"/>
          <w:caps/>
          <w:color w:val="44546A" w:themeColor="text2"/>
          <w:spacing w:val="-15"/>
          <w:sz w:val="48"/>
          <w:szCs w:val="72"/>
          <w:lang w:eastAsia="en-GB"/>
        </w:rPr>
        <w:t>CYBER RESILIENCE AT FINSECURE LTD</w:t>
      </w:r>
      <w:r w:rsidR="008639FE" w:rsidRPr="00053BF2">
        <w:rPr>
          <w:rFonts w:eastAsia="Times New Roman" w:cs="Times New Roman"/>
          <w:caps/>
          <w:color w:val="44546A" w:themeColor="text2"/>
          <w:spacing w:val="-15"/>
          <w:sz w:val="48"/>
          <w:szCs w:val="72"/>
          <w:lang w:eastAsia="en-GB"/>
        </w:rPr>
        <w:br/>
      </w:r>
      <w:bookmarkStart w:id="0" w:name="_Hlk203970560"/>
      <w:sdt>
        <w:sdtPr>
          <w:rPr>
            <w:rFonts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8639FE" w:rsidRPr="00053BF2">
            <w:rPr>
              <w:rFonts w:cs="Times New Roman"/>
              <w:color w:val="404040" w:themeColor="text1" w:themeTint="BF"/>
              <w:sz w:val="36"/>
              <w:szCs w:val="36"/>
            </w:rPr>
            <w:t>Modern policies to meet modern threats</w:t>
          </w:r>
        </w:sdtContent>
      </w:sdt>
      <w:bookmarkEnd w:id="0"/>
    </w:p>
    <w:p w14:paraId="119BB8D7" w14:textId="2CE380B8" w:rsidR="00DD068B" w:rsidRPr="00053BF2" w:rsidRDefault="005F68DA" w:rsidP="00DD068B">
      <w:pPr>
        <w:pStyle w:val="IEEE-Author"/>
        <w:rPr>
          <w:rFonts w:cs="Times New Roman"/>
        </w:rPr>
      </w:pPr>
      <w:r w:rsidRPr="00053BF2">
        <w:rPr>
          <w:rFonts w:eastAsia="Times New Roman" w:cs="Times New Roman"/>
          <w:caps/>
          <w:color w:val="44546A" w:themeColor="text2"/>
          <w:spacing w:val="-15"/>
          <w:sz w:val="48"/>
          <w:szCs w:val="72"/>
          <w:lang w:eastAsia="en-GB"/>
        </w:rPr>
        <w:t xml:space="preserve"> </w:t>
      </w:r>
      <w:r w:rsidR="0035205F" w:rsidRPr="00053BF2">
        <w:rPr>
          <w:rFonts w:cs="Times New Roman"/>
        </w:rPr>
        <w:t>Zoe Selina Clark</w:t>
      </w:r>
    </w:p>
    <w:p w14:paraId="37F671CC" w14:textId="18CC0E4C" w:rsidR="00DD068B" w:rsidRPr="00053BF2" w:rsidRDefault="00DD068B" w:rsidP="00DD068B">
      <w:pPr>
        <w:pStyle w:val="IEEE-Affil"/>
        <w:rPr>
          <w:rFonts w:cs="Times New Roman"/>
        </w:rPr>
      </w:pPr>
      <w:r w:rsidRPr="00053BF2">
        <w:rPr>
          <w:rFonts w:cs="Times New Roman"/>
        </w:rPr>
        <w:t>Student University of Wales Trinity St David, Swansea, Wales</w:t>
      </w:r>
    </w:p>
    <w:p w14:paraId="0C8563C1" w14:textId="4D223729" w:rsidR="00DD068B" w:rsidRPr="00053BF2" w:rsidRDefault="00053BF2" w:rsidP="00053BF2">
      <w:pPr>
        <w:jc w:val="center"/>
        <w:rPr>
          <w:rFonts w:cs="Times New Roman"/>
          <w:sz w:val="18"/>
          <w:szCs w:val="18"/>
        </w:rPr>
        <w:sectPr w:rsidR="00DD068B" w:rsidRPr="00053BF2">
          <w:footerReference w:type="default" r:id="rId8"/>
          <w:pgSz w:w="11906" w:h="16838"/>
          <w:pgMar w:top="1440" w:right="1440" w:bottom="1440" w:left="1440" w:header="708" w:footer="708" w:gutter="0"/>
          <w:cols w:space="708"/>
          <w:docGrid w:linePitch="360"/>
        </w:sectPr>
      </w:pPr>
      <w:r w:rsidRPr="00053BF2">
        <w:rPr>
          <w:rFonts w:cs="Times New Roman"/>
          <w:sz w:val="18"/>
          <w:szCs w:val="18"/>
        </w:rPr>
        <w:t>97011450@student.uwtsd.ac.uk</w:t>
      </w:r>
      <w:r w:rsidRPr="00053BF2">
        <w:rPr>
          <w:rFonts w:cs="Times New Roman"/>
          <w:sz w:val="18"/>
          <w:szCs w:val="18"/>
        </w:rPr>
        <w:br/>
        <w:t>BSc Degree Apprenticeship Computing (Computer Networks &amp; Cybersecurity)</w:t>
      </w:r>
      <w:r>
        <w:rPr>
          <w:rFonts w:cs="Times New Roman"/>
          <w:sz w:val="18"/>
          <w:szCs w:val="18"/>
        </w:rPr>
        <w:br/>
      </w:r>
      <w:r w:rsidRPr="00053BF2">
        <w:rPr>
          <w:rFonts w:cs="Times New Roman"/>
          <w:sz w:val="18"/>
          <w:szCs w:val="18"/>
        </w:rPr>
        <w:t>ACCA4024 – Networks and Cyber Security Essentials</w:t>
      </w:r>
    </w:p>
    <w:p w14:paraId="423E4511" w14:textId="32AF0A22" w:rsidR="008177D2" w:rsidRDefault="008177D2" w:rsidP="003D46A5">
      <w:pPr>
        <w:pStyle w:val="Heading1"/>
      </w:pPr>
      <w:bookmarkStart w:id="1" w:name="_Hlk173833564"/>
      <w:r w:rsidRPr="0067473E">
        <w:t>Introduction</w:t>
      </w:r>
    </w:p>
    <w:p w14:paraId="699F6E45" w14:textId="77777777" w:rsidR="0021276E" w:rsidRDefault="00D42607" w:rsidP="00D07E72">
      <w:pPr>
        <w:pStyle w:val="ListParagraph"/>
        <w:spacing w:before="100" w:beforeAutospacing="1" w:after="100" w:afterAutospacing="1" w:line="240" w:lineRule="auto"/>
        <w:ind w:left="288"/>
        <w:rPr>
          <w:rFonts w:eastAsia="Times New Roman" w:cs="Times New Roman"/>
          <w:sz w:val="20"/>
          <w:szCs w:val="20"/>
          <w:lang w:eastAsia="en-GB"/>
        </w:rPr>
      </w:pPr>
      <w:r w:rsidRPr="00D42607">
        <w:rPr>
          <w:rFonts w:eastAsia="Times New Roman" w:cs="Times New Roman"/>
          <w:sz w:val="20"/>
          <w:szCs w:val="20"/>
          <w:lang w:eastAsia="en-GB"/>
        </w:rPr>
        <w:t xml:space="preserve">This report sets out a proposed security framework with analysis and justifications. FinSecure Limited (FSL) policies, have previously, served the business well. Yet, recent events saw several cyber incidents occur in an environment with increasing demand for digital transactions, online client interactions and cloud-based working. </w:t>
      </w:r>
    </w:p>
    <w:p w14:paraId="1950163F" w14:textId="77777777" w:rsidR="0021276E" w:rsidRDefault="0021276E" w:rsidP="00D07E72">
      <w:pPr>
        <w:pStyle w:val="ListParagraph"/>
        <w:spacing w:before="100" w:beforeAutospacing="1" w:after="100" w:afterAutospacing="1" w:line="240" w:lineRule="auto"/>
        <w:ind w:left="288"/>
        <w:rPr>
          <w:rFonts w:eastAsia="Times New Roman" w:cs="Times New Roman"/>
          <w:sz w:val="20"/>
          <w:szCs w:val="20"/>
          <w:lang w:eastAsia="en-GB"/>
        </w:rPr>
      </w:pPr>
    </w:p>
    <w:p w14:paraId="0F8DC5F3" w14:textId="24562EDA" w:rsidR="008177D2" w:rsidRDefault="00D42607" w:rsidP="00D07E72">
      <w:pPr>
        <w:pStyle w:val="ListParagraph"/>
        <w:spacing w:before="100" w:beforeAutospacing="1" w:after="100" w:afterAutospacing="1" w:line="240" w:lineRule="auto"/>
        <w:ind w:left="288"/>
      </w:pPr>
      <w:r w:rsidRPr="00D42607">
        <w:rPr>
          <w:rFonts w:eastAsia="Times New Roman" w:cs="Times New Roman"/>
          <w:sz w:val="20"/>
          <w:szCs w:val="20"/>
          <w:lang w:eastAsia="en-GB"/>
        </w:rPr>
        <w:t>Working practices are changing, internally and for suppliers bringing potential efficiencies, additional opportunities, and additional risks. The recommendations will support FSL manage risks more effectively in dynamic conditions. Through mapping pathways, FSL moves towards a resilient, and secure future.</w:t>
      </w:r>
    </w:p>
    <w:p w14:paraId="4F1B981D" w14:textId="76BB5676" w:rsidR="008177D2" w:rsidRDefault="005E714D" w:rsidP="003D46A5">
      <w:pPr>
        <w:pStyle w:val="Heading1"/>
      </w:pPr>
      <w:r>
        <w:t>C</w:t>
      </w:r>
      <w:r w:rsidRPr="005E714D">
        <w:t xml:space="preserve">ontext </w:t>
      </w:r>
    </w:p>
    <w:p w14:paraId="308B24D8" w14:textId="77777777" w:rsidR="0021276E" w:rsidRDefault="004C1922" w:rsidP="004C1922">
      <w:pPr>
        <w:spacing w:before="100" w:beforeAutospacing="1" w:after="100" w:afterAutospacing="1" w:line="240" w:lineRule="auto"/>
        <w:ind w:left="360"/>
        <w:rPr>
          <w:rFonts w:eastAsia="Times New Roman" w:cs="Times New Roman"/>
          <w:sz w:val="20"/>
          <w:szCs w:val="20"/>
          <w:lang w:eastAsia="en-GB"/>
        </w:rPr>
      </w:pPr>
      <w:r w:rsidRPr="004C1922">
        <w:rPr>
          <w:rFonts w:eastAsia="Times New Roman" w:cs="Times New Roman"/>
          <w:sz w:val="20"/>
          <w:szCs w:val="20"/>
          <w:lang w:eastAsia="en-GB"/>
        </w:rPr>
        <w:t xml:space="preserve">As a medium sized, advisory and wealth management services provider, maintaining a trusted reputation is critical and central to FSL. This includes adherence to UK regulation. </w:t>
      </w:r>
    </w:p>
    <w:p w14:paraId="0C98C2FF" w14:textId="42862D78" w:rsidR="004C1922" w:rsidRPr="004C1922" w:rsidRDefault="004C1922" w:rsidP="004C1922">
      <w:pPr>
        <w:spacing w:before="100" w:beforeAutospacing="1" w:after="100" w:afterAutospacing="1" w:line="240" w:lineRule="auto"/>
        <w:ind w:left="360"/>
        <w:rPr>
          <w:rFonts w:eastAsia="Times New Roman" w:cs="Times New Roman"/>
          <w:sz w:val="20"/>
          <w:szCs w:val="20"/>
          <w:lang w:eastAsia="en-GB"/>
        </w:rPr>
      </w:pPr>
      <w:r w:rsidRPr="004C1922">
        <w:rPr>
          <w:rFonts w:eastAsia="Times New Roman" w:cs="Times New Roman"/>
          <w:sz w:val="20"/>
          <w:szCs w:val="20"/>
          <w:lang w:eastAsia="en-GB"/>
        </w:rPr>
        <w:t>This Board commissioned report explores threats, possible</w:t>
      </w:r>
      <w:r>
        <w:rPr>
          <w:rFonts w:eastAsia="Times New Roman" w:cs="Times New Roman"/>
          <w:sz w:val="20"/>
          <w:szCs w:val="20"/>
          <w:lang w:eastAsia="en-GB"/>
        </w:rPr>
        <w:t xml:space="preserve"> </w:t>
      </w:r>
      <w:r w:rsidRPr="004C1922">
        <w:rPr>
          <w:rFonts w:eastAsia="Times New Roman" w:cs="Times New Roman"/>
          <w:sz w:val="20"/>
          <w:szCs w:val="20"/>
          <w:lang w:eastAsia="en-GB"/>
        </w:rPr>
        <w:t>impacts and provides recommendations.</w:t>
      </w:r>
      <w:r>
        <w:rPr>
          <w:rFonts w:eastAsia="Times New Roman" w:cs="Times New Roman"/>
          <w:sz w:val="20"/>
          <w:szCs w:val="20"/>
          <w:lang w:eastAsia="en-GB"/>
        </w:rPr>
        <w:t xml:space="preserve"> </w:t>
      </w:r>
      <w:r w:rsidRPr="004C1922">
        <w:rPr>
          <w:rFonts w:eastAsia="Times New Roman" w:cs="Times New Roman"/>
          <w:sz w:val="20"/>
          <w:szCs w:val="20"/>
          <w:lang w:eastAsia="en-GB"/>
        </w:rPr>
        <w:t xml:space="preserve">In addition to internal policies, products and procedures, external influences, including regulatory duties, stakeholder expectations, brand reputation and the wider operating environment are considered which help systemically guide how to manage associated risks. </w:t>
      </w:r>
    </w:p>
    <w:p w14:paraId="76995EA8" w14:textId="77777777" w:rsidR="00701844" w:rsidRDefault="004C1922" w:rsidP="004C1922">
      <w:pPr>
        <w:spacing w:before="100" w:beforeAutospacing="1" w:after="100" w:afterAutospacing="1" w:line="240" w:lineRule="auto"/>
        <w:ind w:left="360"/>
        <w:rPr>
          <w:rFonts w:eastAsia="Times New Roman" w:cs="Times New Roman"/>
          <w:sz w:val="20"/>
          <w:szCs w:val="20"/>
          <w:lang w:eastAsia="en-GB"/>
        </w:rPr>
      </w:pPr>
      <w:r w:rsidRPr="004C1922">
        <w:rPr>
          <w:rFonts w:eastAsia="Times New Roman" w:cs="Times New Roman"/>
          <w:sz w:val="20"/>
          <w:szCs w:val="20"/>
          <w:lang w:eastAsia="en-GB"/>
        </w:rPr>
        <w:t>The scope of this report encompasses protecting FSL assets and networks including any non-cyber measures that directly support this goal</w:t>
      </w:r>
      <w:r w:rsidR="008177D2" w:rsidRPr="008177D2">
        <w:rPr>
          <w:rFonts w:eastAsia="Times New Roman" w:cs="Times New Roman"/>
          <w:sz w:val="20"/>
          <w:szCs w:val="20"/>
          <w:lang w:eastAsia="en-GB"/>
        </w:rPr>
        <w:t>.</w:t>
      </w:r>
    </w:p>
    <w:p w14:paraId="74D149B7" w14:textId="7E599AB4" w:rsidR="00701844" w:rsidRDefault="00B674E2" w:rsidP="00CC60CB">
      <w:pPr>
        <w:pStyle w:val="Heading1"/>
      </w:pPr>
      <w:bookmarkStart w:id="2" w:name="_Hlk203973849"/>
      <w:r w:rsidRPr="00B674E2">
        <w:t>Understanding the Threats</w:t>
      </w:r>
    </w:p>
    <w:bookmarkEnd w:id="2"/>
    <w:p w14:paraId="39D025A9" w14:textId="4701BC6E" w:rsidR="008177D2" w:rsidRDefault="008177D2" w:rsidP="004C1922">
      <w:pPr>
        <w:spacing w:before="100" w:beforeAutospacing="1" w:after="100" w:afterAutospacing="1" w:line="240" w:lineRule="auto"/>
        <w:ind w:left="360"/>
        <w:rPr>
          <w:rFonts w:eastAsia="Times New Roman" w:cs="Times New Roman"/>
          <w:sz w:val="20"/>
          <w:szCs w:val="20"/>
          <w:lang w:eastAsia="en-GB"/>
        </w:rPr>
      </w:pPr>
      <w:r w:rsidRPr="008177D2">
        <w:rPr>
          <w:rFonts w:eastAsia="Times New Roman" w:cs="Times New Roman"/>
          <w:sz w:val="20"/>
          <w:szCs w:val="20"/>
          <w:lang w:eastAsia="en-GB"/>
        </w:rPr>
        <w:t xml:space="preserve"> </w:t>
      </w:r>
      <w:r w:rsidR="00D07E72" w:rsidRPr="00D07E72">
        <w:rPr>
          <w:rFonts w:eastAsia="Times New Roman" w:cs="Times New Roman"/>
          <w:sz w:val="20"/>
          <w:szCs w:val="20"/>
          <w:lang w:eastAsia="en-GB"/>
        </w:rPr>
        <w:t xml:space="preserve">Not every threat becomes an incident. Tracking threat trends allows FSL to focus resources on the most likely risks. Using available external trusted resources helps identify relevant threats, </w:t>
      </w:r>
      <w:r w:rsidR="00D07E72" w:rsidRPr="00D07E72">
        <w:rPr>
          <w:rFonts w:eastAsia="Times New Roman" w:cs="Times New Roman"/>
          <w:sz w:val="20"/>
          <w:szCs w:val="20"/>
          <w:lang w:eastAsia="en-GB"/>
        </w:rPr>
        <w:t>shaping effective defences and mitigation against impacts (Fig. 1).</w:t>
      </w:r>
    </w:p>
    <w:p w14:paraId="50072CB1" w14:textId="77777777" w:rsidR="002A7D32" w:rsidRDefault="008121D6" w:rsidP="002A7D32">
      <w:pPr>
        <w:pStyle w:val="SectionH"/>
        <w:keepNext/>
        <w:numPr>
          <w:ilvl w:val="0"/>
          <w:numId w:val="0"/>
        </w:numPr>
        <w:ind w:left="360"/>
        <w:jc w:val="center"/>
      </w:pPr>
      <w:r w:rsidRPr="003C1C1C">
        <w:rPr>
          <w:noProof/>
        </w:rPr>
        <w:drawing>
          <wp:inline distT="0" distB="0" distL="0" distR="0" wp14:anchorId="4F02A1A2" wp14:editId="58B76573">
            <wp:extent cx="2417141" cy="1175034"/>
            <wp:effectExtent l="0" t="0" r="2540" b="6350"/>
            <wp:docPr id="528699417" name="Picture 1" descr="A comparison of a financial fail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699417" name="Picture 1" descr="A comparison of a financial failure&#10;&#10;AI-generated content may be incorrect."/>
                    <pic:cNvPicPr/>
                  </pic:nvPicPr>
                  <pic:blipFill>
                    <a:blip r:embed="rId9"/>
                    <a:stretch>
                      <a:fillRect/>
                    </a:stretch>
                  </pic:blipFill>
                  <pic:spPr>
                    <a:xfrm>
                      <a:off x="0" y="0"/>
                      <a:ext cx="2421943" cy="1177369"/>
                    </a:xfrm>
                    <a:prstGeom prst="rect">
                      <a:avLst/>
                    </a:prstGeom>
                  </pic:spPr>
                </pic:pic>
              </a:graphicData>
            </a:graphic>
          </wp:inline>
        </w:drawing>
      </w:r>
    </w:p>
    <w:p w14:paraId="6558A733" w14:textId="447EB41E" w:rsidR="00C01B3C" w:rsidRDefault="002A7D32" w:rsidP="002A7D32">
      <w:pPr>
        <w:pStyle w:val="Caption"/>
        <w:jc w:val="center"/>
      </w:pPr>
      <w:bookmarkStart w:id="3" w:name="_Toc203973496"/>
      <w:r>
        <w:t xml:space="preserve">Figure </w:t>
      </w:r>
      <w:fldSimple w:instr=" SEQ Figure \* ARABIC ">
        <w:r w:rsidR="00E4680F">
          <w:rPr>
            <w:noProof/>
          </w:rPr>
          <w:t>1</w:t>
        </w:r>
      </w:fldSimple>
      <w:r>
        <w:t xml:space="preserve">: </w:t>
      </w:r>
      <w:r w:rsidRPr="005B606E">
        <w:rPr>
          <w:sz w:val="16"/>
          <w:szCs w:val="16"/>
        </w:rPr>
        <w:t>Range of potential impacts [1]</w:t>
      </w:r>
      <w:bookmarkEnd w:id="3"/>
    </w:p>
    <w:p w14:paraId="215B05A6" w14:textId="73A4398C" w:rsidR="005B606E" w:rsidRDefault="005B606E" w:rsidP="00CC60CB">
      <w:pPr>
        <w:pStyle w:val="Heading2"/>
      </w:pPr>
      <w:r w:rsidRPr="00B674E2">
        <w:t>Threat</w:t>
      </w:r>
      <w:r>
        <w:t xml:space="preserve"> Types</w:t>
      </w:r>
    </w:p>
    <w:p w14:paraId="79ADE255" w14:textId="7C0526F7" w:rsidR="00C01B3C" w:rsidRDefault="009F0831" w:rsidP="004C1922">
      <w:pPr>
        <w:spacing w:before="100" w:beforeAutospacing="1" w:after="100" w:afterAutospacing="1" w:line="240" w:lineRule="auto"/>
        <w:ind w:left="360"/>
        <w:rPr>
          <w:rFonts w:eastAsia="Times New Roman" w:cs="Times New Roman"/>
          <w:sz w:val="20"/>
          <w:szCs w:val="20"/>
          <w:lang w:eastAsia="en-GB"/>
        </w:rPr>
      </w:pPr>
      <w:r w:rsidRPr="009F0831">
        <w:rPr>
          <w:rFonts w:eastAsia="Times New Roman" w:cs="Times New Roman"/>
          <w:sz w:val="20"/>
          <w:szCs w:val="20"/>
          <w:lang w:eastAsia="en-GB"/>
        </w:rPr>
        <w:t>Threats are varied and evolving, however they are generally categorised in some common types (table 1).</w:t>
      </w:r>
    </w:p>
    <w:p w14:paraId="6C9E410B" w14:textId="3C46137E" w:rsidR="00CC60CB" w:rsidRPr="009C259A" w:rsidRDefault="00CC60CB" w:rsidP="00CC60CB">
      <w:pPr>
        <w:pStyle w:val="tablehead"/>
        <w:jc w:val="right"/>
      </w:pPr>
      <w:r>
        <w:t>: : C</w:t>
      </w:r>
      <w:r w:rsidRPr="00575A39">
        <w:t>ISCO definitions of Common Attack Types [</w:t>
      </w:r>
      <w:r>
        <w:t>2</w:t>
      </w:r>
      <w:r w:rsidRPr="008177D2">
        <w:t>]</w:t>
      </w:r>
    </w:p>
    <w:p w14:paraId="631E5FA0" w14:textId="78E71445" w:rsidR="000F4569" w:rsidRDefault="000F4569" w:rsidP="000F4569">
      <w:pPr>
        <w:pStyle w:val="Caption"/>
        <w:keepNext/>
        <w:jc w:val="center"/>
      </w:pPr>
      <w:bookmarkStart w:id="4" w:name="_Toc203973632"/>
      <w:r>
        <w:t xml:space="preserve">Table </w:t>
      </w:r>
      <w:fldSimple w:instr=" SEQ Table \* ARABIC ">
        <w:r w:rsidR="00417C81">
          <w:rPr>
            <w:noProof/>
          </w:rPr>
          <w:t>1</w:t>
        </w:r>
        <w:bookmarkEnd w:id="4"/>
      </w:fldSimple>
    </w:p>
    <w:p w14:paraId="1740A30C" w14:textId="61CC73BB" w:rsidR="00CC60CB" w:rsidRDefault="00CC60CB" w:rsidP="00CC60CB">
      <w:pPr>
        <w:pStyle w:val="Caption"/>
        <w:keepNext/>
        <w:jc w:val="center"/>
      </w:pPr>
      <w:r w:rsidRPr="003C1C1C">
        <w:rPr>
          <w:rFonts w:cs="Times New Roman"/>
          <w:noProof/>
        </w:rPr>
        <w:drawing>
          <wp:inline distT="0" distB="0" distL="0" distR="0" wp14:anchorId="7B80B109" wp14:editId="1089E0B3">
            <wp:extent cx="2640965" cy="1990090"/>
            <wp:effectExtent l="0" t="0" r="6985" b="0"/>
            <wp:docPr id="56690000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00004" name="Picture 1" descr="A table with text on i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640965" cy="1990090"/>
                    </a:xfrm>
                    <a:prstGeom prst="rect">
                      <a:avLst/>
                    </a:prstGeom>
                  </pic:spPr>
                </pic:pic>
              </a:graphicData>
            </a:graphic>
          </wp:inline>
        </w:drawing>
      </w:r>
    </w:p>
    <w:p w14:paraId="0CFC42E3" w14:textId="3911C3A1" w:rsidR="00575A39" w:rsidRDefault="007528E4" w:rsidP="00CC60CB">
      <w:pPr>
        <w:pStyle w:val="SectionH"/>
        <w:numPr>
          <w:ilvl w:val="0"/>
          <w:numId w:val="0"/>
        </w:numPr>
        <w:jc w:val="both"/>
      </w:pPr>
      <w:r w:rsidRPr="007528E4">
        <w:t>he 2024 UK Government Cyber Security Breaches Survey found phishing caused 84% of breaches among affected businesses. Most threats were described as “relatively unsophisticated.” [3] (Fig 2).</w:t>
      </w:r>
    </w:p>
    <w:p w14:paraId="5240531B" w14:textId="77777777" w:rsidR="00E85A3F" w:rsidRDefault="00E85A3F" w:rsidP="009608A7">
      <w:pPr>
        <w:pStyle w:val="SectionH"/>
        <w:keepNext/>
        <w:numPr>
          <w:ilvl w:val="0"/>
          <w:numId w:val="0"/>
        </w:numPr>
      </w:pPr>
      <w:r w:rsidRPr="003C1C1C">
        <w:rPr>
          <w:noProof/>
        </w:rPr>
        <w:lastRenderedPageBreak/>
        <w:drawing>
          <wp:inline distT="0" distB="0" distL="0" distR="0" wp14:anchorId="51F9E70F" wp14:editId="6B7CF0AD">
            <wp:extent cx="2347343" cy="1407381"/>
            <wp:effectExtent l="0" t="0" r="0" b="0"/>
            <wp:docPr id="1874353519" name="Picture 1" descr="A graph of a number of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60341" name="Picture 1" descr="A graph of a number of blocks&#10;&#10;AI-generated content may be incorrect."/>
                    <pic:cNvPicPr/>
                  </pic:nvPicPr>
                  <pic:blipFill>
                    <a:blip r:embed="rId11"/>
                    <a:stretch>
                      <a:fillRect/>
                    </a:stretch>
                  </pic:blipFill>
                  <pic:spPr>
                    <a:xfrm>
                      <a:off x="0" y="0"/>
                      <a:ext cx="2347343" cy="1407381"/>
                    </a:xfrm>
                    <a:prstGeom prst="rect">
                      <a:avLst/>
                    </a:prstGeom>
                  </pic:spPr>
                </pic:pic>
              </a:graphicData>
            </a:graphic>
          </wp:inline>
        </w:drawing>
      </w:r>
    </w:p>
    <w:p w14:paraId="613B7A62" w14:textId="4CBA43D8" w:rsidR="00E85A3F" w:rsidRDefault="00E85A3F" w:rsidP="00E85A3F">
      <w:pPr>
        <w:pStyle w:val="Caption"/>
      </w:pPr>
      <w:bookmarkStart w:id="5" w:name="_Toc203973497"/>
      <w:r>
        <w:t xml:space="preserve">Figure </w:t>
      </w:r>
      <w:fldSimple w:instr=" SEQ Figure \* ARABIC ">
        <w:r w:rsidR="00E4680F">
          <w:rPr>
            <w:noProof/>
          </w:rPr>
          <w:t>2</w:t>
        </w:r>
      </w:fldSimple>
      <w:r w:rsidR="00F14562" w:rsidRPr="00F14562">
        <w:t xml:space="preserve">: </w:t>
      </w:r>
      <w:r w:rsidR="00F14562" w:rsidRPr="00F14562">
        <w:rPr>
          <w:rFonts w:cs="Times New Roman"/>
        </w:rPr>
        <w:t>Key findings</w:t>
      </w:r>
      <w:r w:rsidR="00F14562" w:rsidRPr="003C1C1C">
        <w:rPr>
          <w:rFonts w:cs="Times New Roman"/>
        </w:rPr>
        <w:t xml:space="preserve"> from Cisco report. Figures recorded in millions [4]</w:t>
      </w:r>
      <w:bookmarkEnd w:id="5"/>
    </w:p>
    <w:p w14:paraId="4ED9DE59" w14:textId="482995AB" w:rsidR="002B7205" w:rsidRDefault="002B7205" w:rsidP="00833244">
      <w:pPr>
        <w:pStyle w:val="Heading2"/>
      </w:pPr>
      <w:r>
        <w:t>Threat Actors</w:t>
      </w:r>
      <w:r w:rsidR="004D32C1">
        <w:br/>
      </w:r>
    </w:p>
    <w:p w14:paraId="66E490FD" w14:textId="699B1CAA" w:rsidR="004D32C1" w:rsidRDefault="004D32C1" w:rsidP="00833244">
      <w:pPr>
        <w:pStyle w:val="SectionH"/>
        <w:numPr>
          <w:ilvl w:val="0"/>
          <w:numId w:val="0"/>
        </w:numPr>
        <w:ind w:left="360"/>
        <w:jc w:val="both"/>
      </w:pPr>
      <w:r w:rsidRPr="003C1C1C">
        <w:t>Insiders pose serious risk due to legitimate authorised access. Increased access and technical skill, increases potential harm, through deliberate action or concealment. Damage may also occur through curiosity, negligence, accident or ignorance (Fig. 3). Sending data to personal accounts, attaching incorrect files, opening phishing links etc. While affiliates are technically external, it is recommended they be considered alongside insider threats as access is enabled through insiders.</w:t>
      </w:r>
    </w:p>
    <w:p w14:paraId="787CB14F" w14:textId="77777777" w:rsidR="009608A7" w:rsidRDefault="009608A7" w:rsidP="009608A7">
      <w:pPr>
        <w:pStyle w:val="SectionH"/>
        <w:keepNext/>
        <w:numPr>
          <w:ilvl w:val="0"/>
          <w:numId w:val="0"/>
        </w:numPr>
        <w:jc w:val="both"/>
      </w:pPr>
      <w:r w:rsidRPr="003C1C1C">
        <w:rPr>
          <w:noProof/>
        </w:rPr>
        <w:drawing>
          <wp:inline distT="0" distB="0" distL="0" distR="0" wp14:anchorId="3219461F" wp14:editId="59593BE2">
            <wp:extent cx="2555926" cy="1264257"/>
            <wp:effectExtent l="0" t="0" r="0" b="0"/>
            <wp:docPr id="768698397" name="Picture 1" descr="A close-up of several types of a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698397" name="Picture 1" descr="A close-up of several types of access&#10;&#10;AI-generated content may be incorrect."/>
                    <pic:cNvPicPr/>
                  </pic:nvPicPr>
                  <pic:blipFill>
                    <a:blip r:embed="rId12"/>
                    <a:stretch>
                      <a:fillRect/>
                    </a:stretch>
                  </pic:blipFill>
                  <pic:spPr>
                    <a:xfrm>
                      <a:off x="0" y="0"/>
                      <a:ext cx="2569035" cy="1270741"/>
                    </a:xfrm>
                    <a:prstGeom prst="rect">
                      <a:avLst/>
                    </a:prstGeom>
                  </pic:spPr>
                </pic:pic>
              </a:graphicData>
            </a:graphic>
          </wp:inline>
        </w:drawing>
      </w:r>
    </w:p>
    <w:p w14:paraId="3A085ED7" w14:textId="0379EBFC" w:rsidR="002A7D32" w:rsidRDefault="009608A7" w:rsidP="009608A7">
      <w:pPr>
        <w:pStyle w:val="Caption"/>
      </w:pPr>
      <w:bookmarkStart w:id="6" w:name="_Toc203973498"/>
      <w:r>
        <w:t xml:space="preserve">Figure </w:t>
      </w:r>
      <w:fldSimple w:instr=" SEQ Figure \* ARABIC ">
        <w:r w:rsidR="00E4680F">
          <w:rPr>
            <w:noProof/>
          </w:rPr>
          <w:t>3</w:t>
        </w:r>
      </w:fldSimple>
      <w:r w:rsidR="009A1109">
        <w:t xml:space="preserve">: </w:t>
      </w:r>
      <w:r w:rsidR="009A1109" w:rsidRPr="003C1C1C">
        <w:rPr>
          <w:rFonts w:cs="Times New Roman"/>
        </w:rPr>
        <w:t>Insider threat actors [5][6]</w:t>
      </w:r>
      <w:bookmarkEnd w:id="6"/>
      <w:r w:rsidR="009A1109" w:rsidRPr="003C1C1C">
        <w:rPr>
          <w:rFonts w:cs="Times New Roman"/>
        </w:rPr>
        <w:t xml:space="preserve">  </w:t>
      </w:r>
    </w:p>
    <w:p w14:paraId="155150EB" w14:textId="75E9C012" w:rsidR="00575A39" w:rsidRDefault="00527304" w:rsidP="00527304">
      <w:pPr>
        <w:pStyle w:val="SectionH"/>
        <w:numPr>
          <w:ilvl w:val="0"/>
          <w:numId w:val="0"/>
        </w:numPr>
        <w:jc w:val="both"/>
      </w:pPr>
      <w:r w:rsidRPr="00527304">
        <w:t>Technical controls such as monitoring are essential. A holistic approach should support these focusing on the human centric elements. Non-technical measures such as background checks, access approvals, and a “two-person rule” for high-risk actions improve scrutiny of activity. [7]</w:t>
      </w:r>
    </w:p>
    <w:p w14:paraId="71BA6B83" w14:textId="77777777" w:rsidR="00BA21E7" w:rsidRDefault="00BA21E7" w:rsidP="00BA21E7">
      <w:pPr>
        <w:pStyle w:val="SectionH"/>
        <w:keepNext/>
        <w:numPr>
          <w:ilvl w:val="0"/>
          <w:numId w:val="0"/>
        </w:numPr>
        <w:jc w:val="center"/>
      </w:pPr>
      <w:r w:rsidRPr="003C1C1C">
        <w:rPr>
          <w:noProof/>
        </w:rPr>
        <w:drawing>
          <wp:inline distT="0" distB="0" distL="0" distR="0" wp14:anchorId="553BB41F" wp14:editId="54964580">
            <wp:extent cx="2514517" cy="1001864"/>
            <wp:effectExtent l="0" t="0" r="635" b="8255"/>
            <wp:docPr id="1656737226" name="Picture 1" descr="A diagram of different types of types of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737226" name="Picture 1" descr="A diagram of different types of types of software&#10;&#10;AI-generated content may be incorrect."/>
                    <pic:cNvPicPr/>
                  </pic:nvPicPr>
                  <pic:blipFill>
                    <a:blip r:embed="rId13"/>
                    <a:stretch>
                      <a:fillRect/>
                    </a:stretch>
                  </pic:blipFill>
                  <pic:spPr>
                    <a:xfrm>
                      <a:off x="0" y="0"/>
                      <a:ext cx="2520350" cy="1004188"/>
                    </a:xfrm>
                    <a:prstGeom prst="rect">
                      <a:avLst/>
                    </a:prstGeom>
                  </pic:spPr>
                </pic:pic>
              </a:graphicData>
            </a:graphic>
          </wp:inline>
        </w:drawing>
      </w:r>
    </w:p>
    <w:p w14:paraId="0E3BDCDE" w14:textId="146334AB" w:rsidR="00575A39" w:rsidRDefault="00BA21E7" w:rsidP="00BA21E7">
      <w:pPr>
        <w:pStyle w:val="Caption"/>
        <w:jc w:val="center"/>
      </w:pPr>
      <w:bookmarkStart w:id="7" w:name="_Toc203973499"/>
      <w:r>
        <w:t xml:space="preserve">Figure </w:t>
      </w:r>
      <w:fldSimple w:instr=" SEQ Figure \* ARABIC ">
        <w:r w:rsidR="00E4680F">
          <w:rPr>
            <w:noProof/>
          </w:rPr>
          <w:t>4</w:t>
        </w:r>
      </w:fldSimple>
      <w:r w:rsidR="00F4662B">
        <w:t xml:space="preserve">: </w:t>
      </w:r>
      <w:r w:rsidR="00F4662B" w:rsidRPr="00F4662B">
        <w:rPr>
          <w:rFonts w:cs="Times New Roman"/>
        </w:rPr>
        <w:t>External threat actors [8]</w:t>
      </w:r>
      <w:bookmarkEnd w:id="7"/>
    </w:p>
    <w:p w14:paraId="51D7DC16" w14:textId="77777777" w:rsidR="00575A39" w:rsidRDefault="00575A39" w:rsidP="008177D2">
      <w:pPr>
        <w:pStyle w:val="SectionH"/>
        <w:numPr>
          <w:ilvl w:val="0"/>
          <w:numId w:val="0"/>
        </w:numPr>
        <w:ind w:left="360"/>
        <w:jc w:val="center"/>
      </w:pPr>
    </w:p>
    <w:p w14:paraId="10D3430B" w14:textId="77777777" w:rsidR="00DB28E5" w:rsidRPr="00DB28E5" w:rsidRDefault="00DB28E5" w:rsidP="00DB28E5">
      <w:pPr>
        <w:spacing w:before="100" w:beforeAutospacing="1" w:after="100" w:afterAutospacing="1" w:line="240" w:lineRule="auto"/>
        <w:rPr>
          <w:rFonts w:eastAsia="Times New Roman" w:cs="Times New Roman"/>
          <w:sz w:val="20"/>
          <w:szCs w:val="20"/>
          <w:lang w:eastAsia="en-GB"/>
        </w:rPr>
      </w:pPr>
      <w:r w:rsidRPr="00DB28E5">
        <w:rPr>
          <w:rFonts w:eastAsia="Times New Roman" w:cs="Times New Roman"/>
          <w:sz w:val="20"/>
          <w:szCs w:val="20"/>
          <w:lang w:eastAsia="en-GB"/>
        </w:rPr>
        <w:t xml:space="preserve">The National Cyber Security Centre (NCSC) 2024 report highlights AI and Ransomware, “one of the most pervasive cyber threats to UK organisations” also drawing attention to supply chains meaning that there are risks link via stakeholder suppliers as well as directly. AI may also make it harder for defenders to identify social engineering attacks. [4] </w:t>
      </w:r>
    </w:p>
    <w:p w14:paraId="3B12ECF1" w14:textId="77777777" w:rsidR="00DB28E5" w:rsidRPr="00DB28E5" w:rsidRDefault="00DB28E5" w:rsidP="00DB28E5">
      <w:pPr>
        <w:spacing w:before="100" w:beforeAutospacing="1" w:after="100" w:afterAutospacing="1" w:line="240" w:lineRule="auto"/>
        <w:rPr>
          <w:rFonts w:eastAsia="Times New Roman" w:cs="Times New Roman"/>
          <w:sz w:val="20"/>
          <w:szCs w:val="20"/>
          <w:lang w:eastAsia="en-GB"/>
        </w:rPr>
      </w:pPr>
      <w:r w:rsidRPr="00DB28E5">
        <w:rPr>
          <w:rFonts w:eastAsia="Times New Roman" w:cs="Times New Roman"/>
          <w:sz w:val="20"/>
          <w:szCs w:val="20"/>
          <w:lang w:eastAsia="en-GB"/>
        </w:rPr>
        <w:t>Emerging cybersecurity challenges to focus on include Supply chain attacks, Hacking ‘as -a-service’ AI, connected smart products especially Chinese manufactured. [9]</w:t>
      </w:r>
    </w:p>
    <w:p w14:paraId="6018A8C0" w14:textId="77777777" w:rsidR="00DB28E5" w:rsidRPr="00DB28E5" w:rsidRDefault="00DB28E5" w:rsidP="00DB28E5">
      <w:pPr>
        <w:spacing w:before="100" w:beforeAutospacing="1" w:after="100" w:afterAutospacing="1" w:line="240" w:lineRule="auto"/>
        <w:rPr>
          <w:rFonts w:eastAsia="Times New Roman" w:cs="Times New Roman"/>
          <w:sz w:val="20"/>
          <w:szCs w:val="20"/>
          <w:lang w:eastAsia="en-GB"/>
        </w:rPr>
      </w:pPr>
      <w:r w:rsidRPr="00DB28E5">
        <w:rPr>
          <w:rFonts w:eastAsia="Times New Roman" w:cs="Times New Roman"/>
          <w:sz w:val="20"/>
          <w:szCs w:val="20"/>
          <w:lang w:eastAsia="en-GB"/>
        </w:rPr>
        <w:t xml:space="preserve">AI brings new opportunities and risks, so tools and usage need to be covered by policies and processes to balance risks and maximise benefits.  </w:t>
      </w:r>
    </w:p>
    <w:p w14:paraId="26377DEB" w14:textId="77777777" w:rsidR="00DB28E5" w:rsidRPr="00DB28E5" w:rsidRDefault="00DB28E5" w:rsidP="00DB28E5">
      <w:pPr>
        <w:spacing w:before="100" w:beforeAutospacing="1" w:after="100" w:afterAutospacing="1" w:line="240" w:lineRule="auto"/>
        <w:rPr>
          <w:rFonts w:eastAsia="Times New Roman" w:cs="Times New Roman"/>
          <w:sz w:val="20"/>
          <w:szCs w:val="20"/>
          <w:lang w:eastAsia="en-GB"/>
        </w:rPr>
      </w:pPr>
      <w:r w:rsidRPr="00DB28E5">
        <w:rPr>
          <w:rFonts w:eastAsia="Times New Roman" w:cs="Times New Roman"/>
          <w:sz w:val="20"/>
          <w:szCs w:val="20"/>
          <w:lang w:eastAsia="en-GB"/>
        </w:rPr>
        <w:t xml:space="preserve">Researchers demonstrated in 2024 that Microsoft 365 Copilot could be manipulated into replacing genuine bank details with spoofed ones. E-mail content interfered with AI search functionality, causing it to treat the injected data as a legitimate document recovered by the assistant. In live use, trusted content may lead to financial misdirection and loss. [10] </w:t>
      </w:r>
    </w:p>
    <w:p w14:paraId="6E0FE562" w14:textId="39E65FC3" w:rsidR="00F4662B" w:rsidRDefault="00DB28E5" w:rsidP="00DB28E5">
      <w:pPr>
        <w:spacing w:before="100" w:beforeAutospacing="1" w:after="100" w:afterAutospacing="1" w:line="240" w:lineRule="auto"/>
        <w:rPr>
          <w:rFonts w:eastAsia="Times New Roman" w:cs="Times New Roman"/>
          <w:sz w:val="20"/>
          <w:szCs w:val="20"/>
          <w:lang w:eastAsia="en-GB"/>
        </w:rPr>
      </w:pPr>
      <w:r w:rsidRPr="00DB28E5">
        <w:rPr>
          <w:rFonts w:eastAsia="Times New Roman" w:cs="Times New Roman"/>
          <w:sz w:val="20"/>
          <w:szCs w:val="20"/>
          <w:lang w:eastAsia="en-GB"/>
        </w:rPr>
        <w:t>This example highlights both the need to use intelligence in assessing evolving technological threats and the importance of user awareness, supported by clear policies and procedures for safe system use</w:t>
      </w:r>
    </w:p>
    <w:p w14:paraId="779197A4" w14:textId="77777777" w:rsidR="00124EBE" w:rsidRPr="00124EBE" w:rsidRDefault="00DC35C1" w:rsidP="00124EBE">
      <w:pPr>
        <w:pStyle w:val="Heading2"/>
        <w:jc w:val="both"/>
        <w:rPr>
          <w:rFonts w:eastAsia="Times New Roman"/>
          <w:lang w:eastAsia="en-GB"/>
        </w:rPr>
      </w:pPr>
      <w:r>
        <w:t>T</w:t>
      </w:r>
      <w:r w:rsidRPr="003C1C1C">
        <w:t>actics</w:t>
      </w:r>
    </w:p>
    <w:p w14:paraId="0D56637C" w14:textId="25A2F4AF" w:rsidR="00F4662B" w:rsidRPr="00124EBE" w:rsidRDefault="00DC35C1" w:rsidP="00124EBE">
      <w:pPr>
        <w:pStyle w:val="AbstractH"/>
        <w:rPr>
          <w:i w:val="0"/>
          <w:iCs/>
          <w:sz w:val="20"/>
          <w:szCs w:val="20"/>
        </w:rPr>
      </w:pPr>
      <w:r w:rsidRPr="00124EBE">
        <w:rPr>
          <w:rStyle w:val="AbstractHChar"/>
        </w:rPr>
        <w:br/>
      </w:r>
      <w:r w:rsidR="00536074" w:rsidRPr="00124EBE">
        <w:rPr>
          <w:i w:val="0"/>
          <w:iCs/>
          <w:sz w:val="20"/>
          <w:szCs w:val="20"/>
        </w:rPr>
        <w:t xml:space="preserve">More detailed intelligence can be gathered from the MITRE ATT&amp;CK knowledgebase (Fig. 4) the volume of “Defence Evasion” indicates that awareness and measures to monitor for these techniques is essential. </w:t>
      </w:r>
      <w:r w:rsidR="00536074" w:rsidRPr="00124EBE">
        <w:rPr>
          <w:i w:val="0"/>
          <w:iCs/>
          <w:sz w:val="20"/>
          <w:szCs w:val="20"/>
        </w:rPr>
        <w:br/>
      </w:r>
    </w:p>
    <w:p w14:paraId="6A125B5E" w14:textId="77777777" w:rsidR="00124EBE" w:rsidRDefault="00820681" w:rsidP="00124EBE">
      <w:pPr>
        <w:keepNext/>
      </w:pPr>
      <w:r w:rsidRPr="003C1C1C">
        <w:rPr>
          <w:rFonts w:cs="Times New Roman"/>
          <w:noProof/>
        </w:rPr>
        <w:drawing>
          <wp:inline distT="0" distB="0" distL="0" distR="0" wp14:anchorId="4CDCEBE9" wp14:editId="156CF895">
            <wp:extent cx="2640965" cy="1120409"/>
            <wp:effectExtent l="0" t="0" r="6985" b="3810"/>
            <wp:docPr id="6913887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388770" name="Picture 1" descr="A screenshot of a computer&#10;&#10;AI-generated content may be incorrect."/>
                    <pic:cNvPicPr/>
                  </pic:nvPicPr>
                  <pic:blipFill>
                    <a:blip r:embed="rId14"/>
                    <a:stretch>
                      <a:fillRect/>
                    </a:stretch>
                  </pic:blipFill>
                  <pic:spPr>
                    <a:xfrm>
                      <a:off x="0" y="0"/>
                      <a:ext cx="2640965" cy="1120409"/>
                    </a:xfrm>
                    <a:prstGeom prst="rect">
                      <a:avLst/>
                    </a:prstGeom>
                  </pic:spPr>
                </pic:pic>
              </a:graphicData>
            </a:graphic>
          </wp:inline>
        </w:drawing>
      </w:r>
    </w:p>
    <w:p w14:paraId="51BC972D" w14:textId="232E8BE0" w:rsidR="00296F96" w:rsidRPr="00296F96" w:rsidRDefault="00124EBE" w:rsidP="00296F96">
      <w:pPr>
        <w:pStyle w:val="Caption"/>
        <w:rPr>
          <w:i w:val="0"/>
          <w:iCs w:val="0"/>
          <w:sz w:val="20"/>
          <w:szCs w:val="20"/>
          <w:lang w:val="en-US" w:eastAsia="en-GB"/>
        </w:rPr>
      </w:pPr>
      <w:bookmarkStart w:id="8" w:name="_Toc203973500"/>
      <w:r>
        <w:t xml:space="preserve">Figure </w:t>
      </w:r>
      <w:fldSimple w:instr=" SEQ Figure \* ARABIC ">
        <w:r w:rsidR="00E4680F">
          <w:rPr>
            <w:noProof/>
          </w:rPr>
          <w:t>5</w:t>
        </w:r>
      </w:fldSimple>
      <w:r w:rsidR="00207B51">
        <w:t xml:space="preserve">: </w:t>
      </w:r>
      <w:r w:rsidR="00207B51" w:rsidRPr="00207B51">
        <w:t>ATT&amp;CK Matrix. Shows the variety of attack types and techniques. A recommended intelligence resource. [11]</w:t>
      </w:r>
      <w:r w:rsidR="00296F96">
        <w:br/>
      </w:r>
      <w:r w:rsidR="00296F96">
        <w:br/>
      </w:r>
      <w:r w:rsidR="00296F96" w:rsidRPr="00296F96">
        <w:rPr>
          <w:i w:val="0"/>
          <w:iCs w:val="0"/>
          <w:sz w:val="20"/>
          <w:szCs w:val="20"/>
          <w:lang w:val="en-US" w:eastAsia="en-GB"/>
        </w:rPr>
        <w:t>Common tactics exploit familiar platforms and interactions. Awareness and vigilance are essential.</w:t>
      </w:r>
      <w:bookmarkEnd w:id="8"/>
    </w:p>
    <w:p w14:paraId="4B00816C" w14:textId="77777777" w:rsidR="00296F96" w:rsidRPr="00296F96" w:rsidRDefault="00296F96" w:rsidP="00296F96">
      <w:pPr>
        <w:pStyle w:val="Caption"/>
        <w:rPr>
          <w:i w:val="0"/>
          <w:iCs w:val="0"/>
          <w:sz w:val="20"/>
          <w:szCs w:val="20"/>
          <w:lang w:val="en-US" w:eastAsia="en-GB"/>
        </w:rPr>
      </w:pPr>
    </w:p>
    <w:p w14:paraId="474C04CA" w14:textId="28EBF0AF" w:rsidR="00296F96" w:rsidRPr="00296F96" w:rsidRDefault="00296F96" w:rsidP="00296F96">
      <w:pPr>
        <w:pStyle w:val="Caption"/>
        <w:rPr>
          <w:i w:val="0"/>
          <w:iCs w:val="0"/>
          <w:sz w:val="20"/>
          <w:szCs w:val="20"/>
          <w:lang w:val="en-US" w:eastAsia="en-GB"/>
        </w:rPr>
      </w:pPr>
      <w:r w:rsidRPr="00296F96">
        <w:rPr>
          <w:i w:val="0"/>
          <w:iCs w:val="0"/>
          <w:sz w:val="20"/>
          <w:szCs w:val="20"/>
          <w:lang w:val="en-US" w:eastAsia="en-GB"/>
        </w:rPr>
        <w:lastRenderedPageBreak/>
        <w:t>Social engineering persuades or misleads users into unsafe actions, such as clicking links or disclosing information, without using technical force. Often involves building trust through a false story or persona (pretexting) [12].</w:t>
      </w:r>
    </w:p>
    <w:p w14:paraId="05B2B87C" w14:textId="72FCE4FA" w:rsidR="00820681" w:rsidRPr="00296F96" w:rsidRDefault="00296F96" w:rsidP="00296F96">
      <w:pPr>
        <w:pStyle w:val="Caption"/>
        <w:rPr>
          <w:i w:val="0"/>
          <w:iCs w:val="0"/>
          <w:lang w:val="en-US" w:eastAsia="en-GB"/>
        </w:rPr>
      </w:pPr>
      <w:r w:rsidRPr="00296F96">
        <w:rPr>
          <w:i w:val="0"/>
          <w:iCs w:val="0"/>
          <w:sz w:val="20"/>
          <w:szCs w:val="20"/>
          <w:lang w:val="en-US" w:eastAsia="en-GB"/>
        </w:rPr>
        <w:t>Examples include phishing, malicious links, compromised sites, denial of service, email attachments, social engineering, software exploits, detection evasion, and use of built-in software functions to create remote access backdoors. Cisco recommend Domain Name System (DNS) monitoring, endpoint security, regular patching, backups, user education, and incident response [4]</w:t>
      </w:r>
    </w:p>
    <w:p w14:paraId="27247D46" w14:textId="2BB6BE79" w:rsidR="00296F96" w:rsidRPr="00124EBE" w:rsidRDefault="003402E7" w:rsidP="00296F96">
      <w:pPr>
        <w:pStyle w:val="Heading2"/>
        <w:jc w:val="both"/>
        <w:rPr>
          <w:rFonts w:eastAsia="Times New Roman"/>
          <w:lang w:eastAsia="en-GB"/>
        </w:rPr>
      </w:pPr>
      <w:r>
        <w:t>Enviroment to be protected</w:t>
      </w:r>
    </w:p>
    <w:p w14:paraId="62A8F543" w14:textId="77777777" w:rsidR="006173B1" w:rsidRPr="006173B1" w:rsidRDefault="006173B1" w:rsidP="006173B1">
      <w:pPr>
        <w:spacing w:before="100" w:beforeAutospacing="1" w:after="100" w:afterAutospacing="1" w:line="240" w:lineRule="auto"/>
        <w:rPr>
          <w:rFonts w:eastAsia="Times New Roman" w:cs="Times New Roman"/>
          <w:sz w:val="20"/>
          <w:szCs w:val="20"/>
          <w:lang w:eastAsia="en-GB"/>
        </w:rPr>
      </w:pPr>
      <w:r w:rsidRPr="006173B1">
        <w:rPr>
          <w:rFonts w:eastAsia="Times New Roman" w:cs="Times New Roman"/>
          <w:sz w:val="20"/>
          <w:szCs w:val="20"/>
          <w:lang w:eastAsia="en-GB"/>
        </w:rPr>
        <w:t>Remote working, increased use of cloud services, supply chain access, and personal or smart devices have expanded the digital environment. This increased exposure, introducing new entry points. Common issues include misconfiguration, outdated infrastructure, and limited visibility. These are actively exploited through ransomware and phishing, often made possible by poor segmentation and weak access controls. [13][14]</w:t>
      </w:r>
    </w:p>
    <w:p w14:paraId="254BA46D" w14:textId="57332278" w:rsidR="00F4662B" w:rsidRDefault="006173B1" w:rsidP="006173B1">
      <w:pPr>
        <w:spacing w:before="100" w:beforeAutospacing="1" w:after="100" w:afterAutospacing="1" w:line="240" w:lineRule="auto"/>
        <w:rPr>
          <w:rFonts w:eastAsia="Times New Roman" w:cs="Times New Roman"/>
          <w:sz w:val="20"/>
          <w:szCs w:val="20"/>
          <w:lang w:eastAsia="en-GB"/>
        </w:rPr>
      </w:pPr>
      <w:r w:rsidRPr="006173B1">
        <w:rPr>
          <w:rFonts w:eastAsia="Times New Roman" w:cs="Times New Roman"/>
          <w:sz w:val="20"/>
          <w:szCs w:val="20"/>
          <w:lang w:eastAsia="en-GB"/>
        </w:rPr>
        <w:t>Physical access to systems and critical areas should be controlled through appropriate building access measures. This complements other controls and prevents local compromise.</w:t>
      </w:r>
    </w:p>
    <w:p w14:paraId="7F9B6D76" w14:textId="44AF3F0B" w:rsidR="008F1378" w:rsidRPr="008F1378" w:rsidRDefault="005D2E35" w:rsidP="008B1CC3">
      <w:pPr>
        <w:pStyle w:val="Heading2"/>
        <w:rPr>
          <w:lang w:eastAsia="en-GB"/>
        </w:rPr>
      </w:pPr>
      <w:r w:rsidRPr="008F1378">
        <w:t>Looking ahead – Risks and Measures</w:t>
      </w:r>
      <w:r w:rsidR="008F1378">
        <w:br/>
      </w:r>
    </w:p>
    <w:p w14:paraId="487F6706" w14:textId="4434F6CF" w:rsidR="008F1378" w:rsidRPr="00BE06A7" w:rsidRDefault="008F1378" w:rsidP="008F1378">
      <w:pPr>
        <w:rPr>
          <w:sz w:val="20"/>
          <w:szCs w:val="20"/>
          <w:lang w:val="en-US"/>
        </w:rPr>
      </w:pPr>
      <w:bookmarkStart w:id="9" w:name="_Hlk173819278"/>
      <w:bookmarkStart w:id="10" w:name="_Hlk173819775"/>
      <w:bookmarkEnd w:id="1"/>
      <w:r w:rsidRPr="00BE06A7">
        <w:rPr>
          <w:sz w:val="20"/>
          <w:szCs w:val="20"/>
          <w:lang w:val="en-US"/>
        </w:rPr>
        <w:t xml:space="preserve">Cyber risk results from the likelihood of a threat exploiting vulnerability (Fig. 6). Risk is assessed, recorded, and managed in line with business needs and business appetite. Once assessed, it can be avoided, transferred, accepted, or treated. Controls should work </w:t>
      </w:r>
      <w:proofErr w:type="gramStart"/>
      <w:r w:rsidRPr="00BE06A7">
        <w:rPr>
          <w:sz w:val="20"/>
          <w:szCs w:val="20"/>
          <w:lang w:val="en-US"/>
        </w:rPr>
        <w:t>over time</w:t>
      </w:r>
      <w:proofErr w:type="gramEnd"/>
      <w:r w:rsidRPr="00BE06A7">
        <w:rPr>
          <w:sz w:val="20"/>
          <w:szCs w:val="20"/>
          <w:lang w:val="en-US"/>
        </w:rPr>
        <w:t xml:space="preserve">, with residual risks documented and regularly reviewed. Priorities are identified by combining likelihood and impact. For example, weekly phishing attempts with blocked credential use may be rated “High” likelihood, “Medium” impact [15-16]. </w:t>
      </w:r>
    </w:p>
    <w:p w14:paraId="475E238A" w14:textId="77777777" w:rsidR="00836465" w:rsidRDefault="00836465" w:rsidP="00836465">
      <w:pPr>
        <w:keepNext/>
      </w:pPr>
      <w:r w:rsidRPr="003C1C1C">
        <w:rPr>
          <w:rFonts w:cs="Times New Roman"/>
          <w:noProof/>
        </w:rPr>
        <w:drawing>
          <wp:inline distT="0" distB="0" distL="0" distR="0" wp14:anchorId="254F0950" wp14:editId="64250951">
            <wp:extent cx="1933575" cy="1923858"/>
            <wp:effectExtent l="0" t="0" r="0" b="635"/>
            <wp:docPr id="2093339152" name="Picture 1" descr="A computer security system with dice and a 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339152" name="Picture 1" descr="A computer security system with dice and a lock&#10;&#10;AI-generated content may be incorrect."/>
                    <pic:cNvPicPr/>
                  </pic:nvPicPr>
                  <pic:blipFill>
                    <a:blip r:embed="rId15"/>
                    <a:stretch>
                      <a:fillRect/>
                    </a:stretch>
                  </pic:blipFill>
                  <pic:spPr>
                    <a:xfrm>
                      <a:off x="0" y="0"/>
                      <a:ext cx="1942386" cy="1932625"/>
                    </a:xfrm>
                    <a:prstGeom prst="rect">
                      <a:avLst/>
                    </a:prstGeom>
                  </pic:spPr>
                </pic:pic>
              </a:graphicData>
            </a:graphic>
          </wp:inline>
        </w:drawing>
      </w:r>
    </w:p>
    <w:p w14:paraId="5AA03A4E" w14:textId="06D478E4" w:rsidR="008F1378" w:rsidRPr="008F1378" w:rsidRDefault="00836465" w:rsidP="00836465">
      <w:pPr>
        <w:pStyle w:val="Caption"/>
        <w:rPr>
          <w:lang w:val="en-US"/>
        </w:rPr>
      </w:pPr>
      <w:bookmarkStart w:id="11" w:name="_Toc203973501"/>
      <w:r>
        <w:t xml:space="preserve">Figure </w:t>
      </w:r>
      <w:fldSimple w:instr=" SEQ Figure \* ARABIC ">
        <w:r w:rsidR="00E4680F">
          <w:rPr>
            <w:noProof/>
          </w:rPr>
          <w:t>6</w:t>
        </w:r>
      </w:fldSimple>
      <w:r>
        <w:t xml:space="preserve">: </w:t>
      </w:r>
      <w:r w:rsidRPr="00836465">
        <w:t>Risk  as the likelihood of a vulnerability being exploited by a threat, this helps define what might happen, how and the probability</w:t>
      </w:r>
      <w:bookmarkEnd w:id="11"/>
    </w:p>
    <w:p w14:paraId="171EC58D" w14:textId="430CEC3C" w:rsidR="008F1378" w:rsidRPr="00BE06A7" w:rsidRDefault="008F1378" w:rsidP="008F1378">
      <w:pPr>
        <w:rPr>
          <w:sz w:val="20"/>
          <w:szCs w:val="20"/>
          <w:lang w:val="en-US"/>
        </w:rPr>
      </w:pPr>
      <w:r w:rsidRPr="008F1378">
        <w:rPr>
          <w:lang w:val="en-US"/>
        </w:rPr>
        <w:t xml:space="preserve"> </w:t>
      </w:r>
      <w:r w:rsidRPr="00BE06A7">
        <w:rPr>
          <w:sz w:val="20"/>
          <w:szCs w:val="20"/>
          <w:lang w:val="en-US"/>
        </w:rPr>
        <w:t xml:space="preserve">Incidents can be costly and cause long lasting damage and losses beyond the immediate incident, so risk </w:t>
      </w:r>
      <w:proofErr w:type="gramStart"/>
      <w:r w:rsidRPr="00BE06A7">
        <w:rPr>
          <w:sz w:val="20"/>
          <w:szCs w:val="20"/>
          <w:lang w:val="en-US"/>
        </w:rPr>
        <w:t>need</w:t>
      </w:r>
      <w:proofErr w:type="gramEnd"/>
      <w:r w:rsidRPr="00BE06A7">
        <w:rPr>
          <w:sz w:val="20"/>
          <w:szCs w:val="20"/>
          <w:lang w:val="en-US"/>
        </w:rPr>
        <w:t xml:space="preserve"> to be actively managed. [17] Equifax settled a financial penalty with the Financial Conduct Authority (FCA in 2023 for a 2017 data breach of at £11,164,400 (after 30% reduction agreed). [18] </w:t>
      </w:r>
    </w:p>
    <w:p w14:paraId="56580C21" w14:textId="77777777" w:rsidR="008F1378" w:rsidRPr="00BE06A7" w:rsidRDefault="008F1378" w:rsidP="008F1378">
      <w:pPr>
        <w:rPr>
          <w:sz w:val="20"/>
          <w:szCs w:val="20"/>
          <w:lang w:val="en-US"/>
        </w:rPr>
      </w:pPr>
      <w:r w:rsidRPr="00BE06A7">
        <w:rPr>
          <w:sz w:val="20"/>
          <w:szCs w:val="20"/>
          <w:lang w:val="en-US"/>
        </w:rPr>
        <w:t xml:space="preserve">Risk management also links up with FSL responsibilities under the FCA standards which also cover </w:t>
      </w:r>
      <w:proofErr w:type="gramStart"/>
      <w:r w:rsidRPr="00BE06A7">
        <w:rPr>
          <w:sz w:val="20"/>
          <w:szCs w:val="20"/>
          <w:lang w:val="en-US"/>
        </w:rPr>
        <w:t>controls</w:t>
      </w:r>
      <w:proofErr w:type="gramEnd"/>
      <w:r w:rsidRPr="00BE06A7">
        <w:rPr>
          <w:sz w:val="20"/>
          <w:szCs w:val="20"/>
          <w:lang w:val="en-US"/>
        </w:rPr>
        <w:t xml:space="preserve">, cyber resilience and risk assessment. [19] </w:t>
      </w:r>
    </w:p>
    <w:p w14:paraId="54FC3F1A" w14:textId="77777777" w:rsidR="008F1378" w:rsidRPr="00BE06A7" w:rsidRDefault="008F1378" w:rsidP="008F1378">
      <w:pPr>
        <w:rPr>
          <w:sz w:val="20"/>
          <w:szCs w:val="20"/>
          <w:lang w:val="en-US"/>
        </w:rPr>
      </w:pPr>
      <w:r w:rsidRPr="00BE06A7">
        <w:rPr>
          <w:sz w:val="20"/>
          <w:szCs w:val="20"/>
          <w:lang w:val="en-US"/>
        </w:rPr>
        <w:t xml:space="preserve">Emerging and silent cyber risks [20] may not be fully captured by existing policies, cyber insurance is worth exploring. [21] To ensure value for FSL, detailed research is recommended. German studies have pointed out variation in cover and exclusions. [22] </w:t>
      </w:r>
      <w:proofErr w:type="gramStart"/>
      <w:r w:rsidRPr="00BE06A7">
        <w:rPr>
          <w:sz w:val="20"/>
          <w:szCs w:val="20"/>
          <w:lang w:val="en-US"/>
        </w:rPr>
        <w:t>Therefore</w:t>
      </w:r>
      <w:proofErr w:type="gramEnd"/>
      <w:r w:rsidRPr="00BE06A7">
        <w:rPr>
          <w:sz w:val="20"/>
          <w:szCs w:val="20"/>
          <w:lang w:val="en-US"/>
        </w:rPr>
        <w:t xml:space="preserve"> is recommended to carry out regular research and review of risks. Expanding connected services may introduce unmanaged exposure [23] Exercises such as vulnerability scanning and penetration testing are recommended to assess potential risk and effectiveness of mitigations and measures. [24]</w:t>
      </w:r>
    </w:p>
    <w:p w14:paraId="3CC0101D" w14:textId="77777777" w:rsidR="005165D1" w:rsidRPr="00BE06A7" w:rsidRDefault="008F1378" w:rsidP="008F1378">
      <w:pPr>
        <w:rPr>
          <w:sz w:val="20"/>
          <w:szCs w:val="20"/>
          <w:lang w:val="en-US"/>
        </w:rPr>
      </w:pPr>
      <w:r w:rsidRPr="00BE06A7">
        <w:rPr>
          <w:sz w:val="20"/>
          <w:szCs w:val="20"/>
          <w:lang w:val="en-US"/>
        </w:rPr>
        <w:t xml:space="preserve">The aim is to find a balance (Fig. 7). Preventing access completely secures data but prevents business operation. High tech email filtering may be desirable but leave no budget for crucial monitoring tools. </w:t>
      </w:r>
    </w:p>
    <w:p w14:paraId="612BE6CB" w14:textId="5B5AB6F8" w:rsidR="008F1378" w:rsidRPr="005165D1" w:rsidRDefault="008F1378" w:rsidP="008F1378">
      <w:pPr>
        <w:rPr>
          <w:sz w:val="20"/>
          <w:szCs w:val="20"/>
          <w:lang w:val="en-US"/>
        </w:rPr>
      </w:pPr>
      <w:r w:rsidRPr="00BE06A7">
        <w:rPr>
          <w:sz w:val="20"/>
          <w:szCs w:val="20"/>
          <w:lang w:val="en-US"/>
        </w:rPr>
        <w:t xml:space="preserve">Others in the business that may be impacted by risks should be involved or consulted in risk assessment. This will help inform this balance and capture operational business </w:t>
      </w:r>
      <w:r w:rsidR="00594D36" w:rsidRPr="00BE06A7">
        <w:rPr>
          <w:sz w:val="20"/>
          <w:szCs w:val="20"/>
          <w:lang w:val="en-US"/>
        </w:rPr>
        <w:t>needs</w:t>
      </w:r>
      <w:r w:rsidRPr="005165D1">
        <w:rPr>
          <w:sz w:val="20"/>
          <w:szCs w:val="20"/>
          <w:lang w:val="en-US"/>
        </w:rPr>
        <w:t xml:space="preserve">. </w:t>
      </w:r>
    </w:p>
    <w:p w14:paraId="595FC1F6" w14:textId="77777777" w:rsidR="005165D1" w:rsidRDefault="00B37239" w:rsidP="005165D1">
      <w:pPr>
        <w:keepNext/>
      </w:pPr>
      <w:r w:rsidRPr="003C1C1C">
        <w:rPr>
          <w:rFonts w:cs="Times New Roman"/>
          <w:noProof/>
        </w:rPr>
        <w:lastRenderedPageBreak/>
        <w:drawing>
          <wp:inline distT="0" distB="0" distL="0" distR="0" wp14:anchorId="12E66414" wp14:editId="2B9A2158">
            <wp:extent cx="1732915" cy="1621620"/>
            <wp:effectExtent l="0" t="0" r="635" b="0"/>
            <wp:docPr id="154225860" name="Picture 1" descr="A blue triang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5860" name="Picture 1" descr="A blue triangle with black text&#10;&#10;AI-generated content may be incorrect."/>
                    <pic:cNvPicPr/>
                  </pic:nvPicPr>
                  <pic:blipFill rotWithShape="1">
                    <a:blip r:embed="rId16"/>
                    <a:srcRect l="8780" t="10157" r="8024" b="6980"/>
                    <a:stretch>
                      <a:fillRect/>
                    </a:stretch>
                  </pic:blipFill>
                  <pic:spPr bwMode="auto">
                    <a:xfrm>
                      <a:off x="0" y="0"/>
                      <a:ext cx="1742489" cy="1630579"/>
                    </a:xfrm>
                    <a:prstGeom prst="rect">
                      <a:avLst/>
                    </a:prstGeom>
                    <a:ln>
                      <a:noFill/>
                    </a:ln>
                    <a:extLst>
                      <a:ext uri="{53640926-AAD7-44D8-BBD7-CCE9431645EC}">
                        <a14:shadowObscured xmlns:a14="http://schemas.microsoft.com/office/drawing/2010/main"/>
                      </a:ext>
                    </a:extLst>
                  </pic:spPr>
                </pic:pic>
              </a:graphicData>
            </a:graphic>
          </wp:inline>
        </w:drawing>
      </w:r>
    </w:p>
    <w:p w14:paraId="6C41F227" w14:textId="1AB86E26" w:rsidR="008F1378" w:rsidRPr="008F1378" w:rsidRDefault="005165D1" w:rsidP="005165D1">
      <w:pPr>
        <w:pStyle w:val="Caption"/>
        <w:rPr>
          <w:lang w:val="en-US"/>
        </w:rPr>
      </w:pPr>
      <w:bookmarkStart w:id="12" w:name="_Toc203973502"/>
      <w:r>
        <w:t xml:space="preserve">Figure </w:t>
      </w:r>
      <w:fldSimple w:instr=" SEQ Figure \* ARABIC ">
        <w:r w:rsidR="00E4680F">
          <w:rPr>
            <w:noProof/>
          </w:rPr>
          <w:t>7</w:t>
        </w:r>
      </w:fldSimple>
      <w:r w:rsidRPr="005165D1">
        <w:t>: Balance between Confidentiality, Availability and Integrity</w:t>
      </w:r>
      <w:bookmarkEnd w:id="12"/>
    </w:p>
    <w:p w14:paraId="38F3BE66" w14:textId="77777777" w:rsidR="008F1378" w:rsidRPr="008F1378" w:rsidRDefault="008F1378" w:rsidP="008F1378">
      <w:pPr>
        <w:rPr>
          <w:lang w:val="en-US"/>
        </w:rPr>
      </w:pPr>
      <w:r w:rsidRPr="008F1378">
        <w:rPr>
          <w:lang w:val="en-US"/>
        </w:rPr>
        <w:t xml:space="preserve"> </w:t>
      </w:r>
    </w:p>
    <w:p w14:paraId="67970FCE" w14:textId="77777777" w:rsidR="005165D1" w:rsidRDefault="005165D1" w:rsidP="005165D1">
      <w:pPr>
        <w:keepNext/>
      </w:pPr>
      <w:r w:rsidRPr="003C1C1C">
        <w:rPr>
          <w:rFonts w:cs="Times New Roman"/>
          <w:noProof/>
        </w:rPr>
        <w:drawing>
          <wp:inline distT="0" distB="0" distL="0" distR="0" wp14:anchorId="27893512" wp14:editId="55C5BBFE">
            <wp:extent cx="1892410" cy="1787525"/>
            <wp:effectExtent l="0" t="0" r="0" b="3175"/>
            <wp:docPr id="587116615" name="Picture 1" descr="A cube with blue lab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116615" name="Picture 1" descr="A cube with blue labels&#10;&#10;AI-generated content may be incorrect."/>
                    <pic:cNvPicPr/>
                  </pic:nvPicPr>
                  <pic:blipFill rotWithShape="1">
                    <a:blip r:embed="rId17"/>
                    <a:srcRect l="7777" t="3848" r="4076" b="-18"/>
                    <a:stretch>
                      <a:fillRect/>
                    </a:stretch>
                  </pic:blipFill>
                  <pic:spPr bwMode="auto">
                    <a:xfrm>
                      <a:off x="0" y="0"/>
                      <a:ext cx="1914746" cy="1808623"/>
                    </a:xfrm>
                    <a:prstGeom prst="rect">
                      <a:avLst/>
                    </a:prstGeom>
                    <a:ln>
                      <a:noFill/>
                    </a:ln>
                    <a:extLst>
                      <a:ext uri="{53640926-AAD7-44D8-BBD7-CCE9431645EC}">
                        <a14:shadowObscured xmlns:a14="http://schemas.microsoft.com/office/drawing/2010/main"/>
                      </a:ext>
                    </a:extLst>
                  </pic:spPr>
                </pic:pic>
              </a:graphicData>
            </a:graphic>
          </wp:inline>
        </w:drawing>
      </w:r>
    </w:p>
    <w:p w14:paraId="0F0B2001" w14:textId="3556B8BA" w:rsidR="008F1378" w:rsidRPr="008F1378" w:rsidRDefault="005165D1" w:rsidP="005165D1">
      <w:pPr>
        <w:pStyle w:val="Caption"/>
        <w:rPr>
          <w:lang w:val="en-US"/>
        </w:rPr>
      </w:pPr>
      <w:bookmarkStart w:id="13" w:name="_Toc203973503"/>
      <w:r>
        <w:t xml:space="preserve">Figure </w:t>
      </w:r>
      <w:fldSimple w:instr=" SEQ Figure \* ARABIC ">
        <w:r w:rsidR="00E4680F">
          <w:rPr>
            <w:noProof/>
          </w:rPr>
          <w:t>8</w:t>
        </w:r>
      </w:fldSimple>
      <w:r w:rsidRPr="005165D1">
        <w:t>: A McCumber Cube builds on CIA and assists in considering where and when data should be protected.</w:t>
      </w:r>
      <w:bookmarkEnd w:id="13"/>
    </w:p>
    <w:p w14:paraId="1502918F" w14:textId="77777777" w:rsidR="008F1378" w:rsidRPr="005165D1" w:rsidRDefault="008F1378" w:rsidP="008F1378">
      <w:pPr>
        <w:rPr>
          <w:sz w:val="20"/>
          <w:szCs w:val="20"/>
          <w:lang w:val="en-US"/>
        </w:rPr>
      </w:pPr>
      <w:r w:rsidRPr="005165D1">
        <w:rPr>
          <w:sz w:val="20"/>
          <w:szCs w:val="20"/>
          <w:lang w:val="en-US"/>
        </w:rPr>
        <w:t xml:space="preserve">From here </w:t>
      </w:r>
      <w:proofErr w:type="gramStart"/>
      <w:r w:rsidRPr="005165D1">
        <w:rPr>
          <w:sz w:val="20"/>
          <w:szCs w:val="20"/>
          <w:lang w:val="en-US"/>
        </w:rPr>
        <w:t>polices</w:t>
      </w:r>
      <w:proofErr w:type="gramEnd"/>
      <w:r w:rsidRPr="005165D1">
        <w:rPr>
          <w:sz w:val="20"/>
          <w:szCs w:val="20"/>
          <w:lang w:val="en-US"/>
        </w:rPr>
        <w:t xml:space="preserve"> can define intent and should align with overall business aims as cyber security supports and defends the core functions of the business.</w:t>
      </w:r>
    </w:p>
    <w:p w14:paraId="1B0F768C" w14:textId="77777777" w:rsidR="008F1378" w:rsidRDefault="008F1378" w:rsidP="00594D36">
      <w:pPr>
        <w:pStyle w:val="Heading1"/>
      </w:pPr>
      <w:r w:rsidRPr="008F1378">
        <w:t>Policy, define and align</w:t>
      </w:r>
    </w:p>
    <w:p w14:paraId="2BBBB646" w14:textId="77777777" w:rsidR="008F1378" w:rsidRPr="008F1378" w:rsidRDefault="008F1378" w:rsidP="008F1378">
      <w:pPr>
        <w:rPr>
          <w:lang w:val="en-US"/>
        </w:rPr>
      </w:pPr>
      <w:r w:rsidRPr="00125E24">
        <w:rPr>
          <w:rStyle w:val="AbstractHChar"/>
          <w:i w:val="0"/>
          <w:iCs/>
          <w:sz w:val="20"/>
          <w:szCs w:val="20"/>
          <w:lang w:val="en-US"/>
        </w:rPr>
        <w:t>Security policies set the rules, responsibilities, and process expectations that support secure working across the organisation. They set out technical and procedural requirements, such as access rights, password rules, encryption, and how incidents should be reported or escalated. Enforcing these reduces the risk of data breaches and unauthorised access. Compliance ensures policies are followed, and supports secure asset management, contract oversight, and prevention of internal misuse. Regular audit identifies weaknesses in how policies are applied, supports continuous</w:t>
      </w:r>
      <w:r w:rsidRPr="005165D1">
        <w:rPr>
          <w:rStyle w:val="AbstractHChar"/>
          <w:lang w:val="en-US"/>
        </w:rPr>
        <w:t xml:space="preserve"> </w:t>
      </w:r>
      <w:r w:rsidRPr="005165D1">
        <w:rPr>
          <w:rStyle w:val="AbstractHChar"/>
          <w:sz w:val="20"/>
          <w:szCs w:val="20"/>
          <w:lang w:val="en-US"/>
        </w:rPr>
        <w:t>improvement, and keeps risk management effective. As</w:t>
      </w:r>
      <w:r w:rsidRPr="005165D1">
        <w:rPr>
          <w:sz w:val="20"/>
          <w:szCs w:val="20"/>
          <w:lang w:val="en-US"/>
        </w:rPr>
        <w:t xml:space="preserve"> threats and technologies change, audit and review ensure policies remain relevant and risks stay within acceptable limits [25].</w:t>
      </w:r>
    </w:p>
    <w:p w14:paraId="5B4C6FDF" w14:textId="77777777" w:rsidR="008F1378" w:rsidRPr="008F1378" w:rsidRDefault="008F1378" w:rsidP="008F1378">
      <w:pPr>
        <w:rPr>
          <w:lang w:val="en-US"/>
        </w:rPr>
      </w:pPr>
    </w:p>
    <w:p w14:paraId="1E6CB30D" w14:textId="77777777" w:rsidR="008F1378" w:rsidRPr="008F1378" w:rsidRDefault="008F1378" w:rsidP="008F1378">
      <w:pPr>
        <w:rPr>
          <w:lang w:val="en-US"/>
        </w:rPr>
      </w:pPr>
    </w:p>
    <w:p w14:paraId="4B1DC8EC" w14:textId="77777777" w:rsidR="008F1378" w:rsidRPr="008F1378" w:rsidRDefault="008F1378" w:rsidP="008F1378">
      <w:pPr>
        <w:rPr>
          <w:lang w:val="en-US"/>
        </w:rPr>
      </w:pPr>
    </w:p>
    <w:p w14:paraId="50B1DF59" w14:textId="77777777" w:rsidR="008F1378" w:rsidRPr="008F1378" w:rsidRDefault="008F1378" w:rsidP="008F1378">
      <w:pPr>
        <w:rPr>
          <w:lang w:val="en-US"/>
        </w:rPr>
      </w:pPr>
    </w:p>
    <w:p w14:paraId="52D23C76" w14:textId="77777777" w:rsidR="008F1378" w:rsidRPr="008F1378" w:rsidRDefault="008F1378" w:rsidP="00125E24">
      <w:pPr>
        <w:pStyle w:val="Heading2"/>
      </w:pPr>
      <w:r w:rsidRPr="008F1378">
        <w:t>Compliance and guidance</w:t>
      </w:r>
    </w:p>
    <w:p w14:paraId="009580DE" w14:textId="44860D5B" w:rsidR="008F1378" w:rsidRPr="00125E24" w:rsidRDefault="008F1378" w:rsidP="008F1378">
      <w:pPr>
        <w:rPr>
          <w:sz w:val="20"/>
          <w:szCs w:val="20"/>
          <w:lang w:val="en-US"/>
        </w:rPr>
      </w:pPr>
      <w:r w:rsidRPr="00125E24">
        <w:rPr>
          <w:sz w:val="20"/>
          <w:szCs w:val="20"/>
          <w:lang w:val="en-US"/>
        </w:rPr>
        <w:t xml:space="preserve">As seen with Equifax, non-compliance can incur fines.  Meeting legal obligations may also increase security and build trust with stakeholders. Guidance and Frameworks can give advice and structure to planning and policies. It is recommended FSL policy refers to those in table 2. </w:t>
      </w:r>
    </w:p>
    <w:p w14:paraId="0AD46C67" w14:textId="64D58DC3" w:rsidR="00CC60CB" w:rsidRDefault="00CC60CB" w:rsidP="00CC60CB">
      <w:pPr>
        <w:pStyle w:val="Caption"/>
        <w:keepNext/>
      </w:pPr>
      <w:bookmarkStart w:id="14" w:name="_Toc203973633"/>
      <w:r>
        <w:t xml:space="preserve">Table </w:t>
      </w:r>
      <w:fldSimple w:instr=" SEQ Table \* ARABIC ">
        <w:r w:rsidR="00417C81">
          <w:rPr>
            <w:noProof/>
          </w:rPr>
          <w:t>2</w:t>
        </w:r>
      </w:fldSimple>
      <w:r w:rsidR="00594D36">
        <w:t xml:space="preserve">: </w:t>
      </w:r>
      <w:r w:rsidR="00594D36" w:rsidRPr="00594D36">
        <w:t>Relevant legislation, frameworks and guidance [26-33].</w:t>
      </w:r>
      <w:bookmarkEnd w:id="14"/>
    </w:p>
    <w:p w14:paraId="6CFA18A2" w14:textId="0F8DFF56" w:rsidR="008F1378" w:rsidRPr="008F1378" w:rsidRDefault="00A350AD" w:rsidP="008F1378">
      <w:pPr>
        <w:rPr>
          <w:lang w:val="en-US"/>
        </w:rPr>
      </w:pPr>
      <w:r w:rsidRPr="003C1C1C">
        <w:rPr>
          <w:rFonts w:eastAsia="Times New Roman" w:cs="Times New Roman"/>
          <w:noProof/>
          <w:color w:val="000000"/>
          <w:sz w:val="22"/>
          <w:lang w:eastAsia="en-GB"/>
        </w:rPr>
        <w:drawing>
          <wp:inline distT="0" distB="0" distL="0" distR="0" wp14:anchorId="403C10D5" wp14:editId="5B3E6105">
            <wp:extent cx="2640965" cy="2243870"/>
            <wp:effectExtent l="0" t="0" r="6985" b="4445"/>
            <wp:docPr id="1844541349" name="Picture 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41349" name="Picture 1" descr="A table of information&#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40965" cy="2243870"/>
                    </a:xfrm>
                    <a:prstGeom prst="rect">
                      <a:avLst/>
                    </a:prstGeom>
                  </pic:spPr>
                </pic:pic>
              </a:graphicData>
            </a:graphic>
          </wp:inline>
        </w:drawing>
      </w:r>
    </w:p>
    <w:p w14:paraId="4687ECA7" w14:textId="77777777" w:rsidR="008F1378" w:rsidRPr="00843AD7" w:rsidRDefault="008F1378" w:rsidP="00843AD7">
      <w:pPr>
        <w:spacing w:line="276" w:lineRule="auto"/>
        <w:rPr>
          <w:sz w:val="20"/>
          <w:szCs w:val="20"/>
          <w:lang w:val="en-US"/>
        </w:rPr>
      </w:pPr>
      <w:r w:rsidRPr="00843AD7">
        <w:rPr>
          <w:sz w:val="20"/>
          <w:szCs w:val="20"/>
          <w:lang w:val="en-US"/>
        </w:rPr>
        <w:t xml:space="preserve">Resources such as NCSC, Government publications and professional organisations like Deloitte can assist with regular review and keeping up to date with regulations in development. Making use of Frameworks such as Cyber Essentials [31] can assist with establishing and reviewing organisational policies and processes. </w:t>
      </w:r>
    </w:p>
    <w:p w14:paraId="609C0F4C" w14:textId="77777777" w:rsidR="00CC60CB" w:rsidRDefault="00CC60CB" w:rsidP="00CC60CB">
      <w:pPr>
        <w:keepNext/>
      </w:pPr>
      <w:r w:rsidRPr="003C1C1C">
        <w:rPr>
          <w:rFonts w:cs="Times New Roman"/>
          <w:noProof/>
        </w:rPr>
        <w:drawing>
          <wp:inline distT="0" distB="0" distL="0" distR="0" wp14:anchorId="27704849" wp14:editId="33876EF0">
            <wp:extent cx="2329732" cy="1524847"/>
            <wp:effectExtent l="0" t="0" r="0" b="0"/>
            <wp:docPr id="20001445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144542" name="Picture 1" descr="A screenshot of a computer&#10;&#10;AI-generated content may be incorrect."/>
                    <pic:cNvPicPr/>
                  </pic:nvPicPr>
                  <pic:blipFill>
                    <a:blip r:embed="rId19"/>
                    <a:stretch>
                      <a:fillRect/>
                    </a:stretch>
                  </pic:blipFill>
                  <pic:spPr>
                    <a:xfrm>
                      <a:off x="0" y="0"/>
                      <a:ext cx="2333334" cy="1527204"/>
                    </a:xfrm>
                    <a:prstGeom prst="rect">
                      <a:avLst/>
                    </a:prstGeom>
                  </pic:spPr>
                </pic:pic>
              </a:graphicData>
            </a:graphic>
          </wp:inline>
        </w:drawing>
      </w:r>
    </w:p>
    <w:p w14:paraId="678EA5F2" w14:textId="506C8251" w:rsidR="008F1378" w:rsidRDefault="00CC60CB" w:rsidP="00CC60CB">
      <w:pPr>
        <w:pStyle w:val="Caption"/>
      </w:pPr>
      <w:bookmarkStart w:id="15" w:name="_Toc203973504"/>
      <w:r>
        <w:t xml:space="preserve">Figure </w:t>
      </w:r>
      <w:fldSimple w:instr=" SEQ Figure \* ARABIC ">
        <w:r w:rsidR="00E4680F">
          <w:rPr>
            <w:noProof/>
          </w:rPr>
          <w:t>9</w:t>
        </w:r>
      </w:fldSimple>
      <w:r w:rsidR="003E7128">
        <w:t xml:space="preserve">: </w:t>
      </w:r>
      <w:r w:rsidR="003E7128" w:rsidRPr="003E7128">
        <w:t>Shows the upcoming volumes and prominence in regulation around AI that will require forward planning by FSL. [34].</w:t>
      </w:r>
      <w:bookmarkEnd w:id="15"/>
    </w:p>
    <w:p w14:paraId="61B8E58D" w14:textId="77777777" w:rsidR="003E7128" w:rsidRDefault="003E7128" w:rsidP="003E7128">
      <w:pPr>
        <w:rPr>
          <w:lang w:val="en-US"/>
        </w:rPr>
      </w:pPr>
    </w:p>
    <w:p w14:paraId="4B855B74" w14:textId="77777777" w:rsidR="008B1CC3" w:rsidRPr="003E7128" w:rsidRDefault="008B1CC3" w:rsidP="003E7128">
      <w:pPr>
        <w:rPr>
          <w:lang w:val="en-US"/>
        </w:rPr>
      </w:pPr>
    </w:p>
    <w:p w14:paraId="51246353" w14:textId="77777777" w:rsidR="008F1378" w:rsidRPr="008F1378" w:rsidRDefault="008F1378" w:rsidP="003E7128">
      <w:pPr>
        <w:pStyle w:val="Heading1"/>
      </w:pPr>
      <w:r w:rsidRPr="008F1378">
        <w:lastRenderedPageBreak/>
        <w:t>Proposed Policies</w:t>
      </w:r>
    </w:p>
    <w:p w14:paraId="23AD6446" w14:textId="77777777" w:rsidR="008F1378" w:rsidRPr="008F1378" w:rsidRDefault="008F1378" w:rsidP="008F1378">
      <w:pPr>
        <w:rPr>
          <w:lang w:val="en-US"/>
        </w:rPr>
      </w:pPr>
      <w:r w:rsidRPr="000B41BD">
        <w:rPr>
          <w:sz w:val="20"/>
          <w:szCs w:val="20"/>
          <w:lang w:val="en-US"/>
        </w:rPr>
        <w:t>Each policy should set out its purpose, who it applies to, and how it supports risk reduction. This helps staff understand expectations and sets a clear line of accountability. Security is strengthened by more holistic design, control, and behaviours</w:t>
      </w:r>
      <w:r w:rsidRPr="008F1378">
        <w:rPr>
          <w:lang w:val="en-US"/>
        </w:rPr>
        <w:t>.</w:t>
      </w:r>
    </w:p>
    <w:p w14:paraId="1BC27F58" w14:textId="68E5B328" w:rsidR="000F4569" w:rsidRDefault="000F4569" w:rsidP="000F4569">
      <w:pPr>
        <w:pStyle w:val="Caption"/>
        <w:keepNext/>
      </w:pPr>
      <w:bookmarkStart w:id="16" w:name="_Toc203973634"/>
      <w:r>
        <w:t xml:space="preserve">Table </w:t>
      </w:r>
      <w:fldSimple w:instr=" SEQ Table \* ARABIC ">
        <w:r w:rsidR="00417C81">
          <w:rPr>
            <w:noProof/>
          </w:rPr>
          <w:t>3</w:t>
        </w:r>
      </w:fldSimple>
      <w:r w:rsidR="00D47ED7">
        <w:t xml:space="preserve">: </w:t>
      </w:r>
      <w:r w:rsidR="00D47ED7" w:rsidRPr="003C1C1C">
        <w:rPr>
          <w:rFonts w:cs="Times New Roman"/>
          <w:b/>
          <w:bCs/>
        </w:rPr>
        <w:t>Proposed policy framework for FSL</w:t>
      </w:r>
      <w:bookmarkEnd w:id="16"/>
    </w:p>
    <w:p w14:paraId="0B004CEA" w14:textId="11A0FB3B" w:rsidR="008F1378" w:rsidRDefault="000F4569" w:rsidP="008F1378">
      <w:pPr>
        <w:rPr>
          <w:lang w:val="en-US"/>
        </w:rPr>
      </w:pPr>
      <w:r w:rsidRPr="003C1C1C">
        <w:rPr>
          <w:rFonts w:cs="Times New Roman"/>
          <w:noProof/>
        </w:rPr>
        <w:drawing>
          <wp:inline distT="0" distB="0" distL="0" distR="0" wp14:anchorId="1676F210" wp14:editId="60955081">
            <wp:extent cx="2640965" cy="3036340"/>
            <wp:effectExtent l="0" t="0" r="6985" b="0"/>
            <wp:docPr id="350079162" name="Picture 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79162" name="Picture 1" descr="A table of information&#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40965" cy="3036340"/>
                    </a:xfrm>
                    <a:prstGeom prst="rect">
                      <a:avLst/>
                    </a:prstGeom>
                  </pic:spPr>
                </pic:pic>
              </a:graphicData>
            </a:graphic>
          </wp:inline>
        </w:drawing>
      </w:r>
    </w:p>
    <w:p w14:paraId="0223DADA" w14:textId="77777777" w:rsidR="008B1CC3" w:rsidRPr="008F1378" w:rsidRDefault="008B1CC3" w:rsidP="008F1378">
      <w:pPr>
        <w:rPr>
          <w:lang w:val="en-US"/>
        </w:rPr>
      </w:pPr>
    </w:p>
    <w:p w14:paraId="25936B6D" w14:textId="77777777" w:rsidR="008F1378" w:rsidRPr="008F1378" w:rsidRDefault="008F1378" w:rsidP="00D47ED7">
      <w:pPr>
        <w:pStyle w:val="Heading1"/>
      </w:pPr>
      <w:r w:rsidRPr="008F1378">
        <w:t>Mitigation Measures</w:t>
      </w:r>
    </w:p>
    <w:p w14:paraId="71733E44" w14:textId="77777777" w:rsidR="008F1378" w:rsidRPr="000C28E6" w:rsidRDefault="008F1378" w:rsidP="008F1378">
      <w:pPr>
        <w:rPr>
          <w:sz w:val="20"/>
          <w:szCs w:val="20"/>
          <w:lang w:val="en-US"/>
        </w:rPr>
      </w:pPr>
      <w:r w:rsidRPr="000C28E6">
        <w:rPr>
          <w:sz w:val="20"/>
          <w:szCs w:val="20"/>
          <w:lang w:val="en-US"/>
        </w:rPr>
        <w:t>A layered control approach is recommended, using recognised standards and practical measures to address identified threats. ISO/IEC 27002:2022 outlines four types of controls: preventive, detective, corrective, and compensating [33]. These should be selected and applied according to the organisations current risk assessment and reviewed regularly.</w:t>
      </w:r>
    </w:p>
    <w:p w14:paraId="11C8A8DA" w14:textId="3209C537" w:rsidR="000B41BD" w:rsidRPr="000C28E6" w:rsidRDefault="000B41BD" w:rsidP="000B41BD">
      <w:pPr>
        <w:pStyle w:val="Caption"/>
        <w:keepNext/>
        <w:rPr>
          <w:sz w:val="20"/>
          <w:szCs w:val="20"/>
        </w:rPr>
      </w:pPr>
      <w:bookmarkStart w:id="17" w:name="_Toc203973635"/>
      <w:r w:rsidRPr="000C28E6">
        <w:rPr>
          <w:sz w:val="20"/>
          <w:szCs w:val="20"/>
        </w:rPr>
        <w:t xml:space="preserve">Table </w:t>
      </w:r>
      <w:r w:rsidRPr="000C28E6">
        <w:rPr>
          <w:sz w:val="20"/>
          <w:szCs w:val="20"/>
        </w:rPr>
        <w:fldChar w:fldCharType="begin"/>
      </w:r>
      <w:r w:rsidRPr="000C28E6">
        <w:rPr>
          <w:sz w:val="20"/>
          <w:szCs w:val="20"/>
        </w:rPr>
        <w:instrText xml:space="preserve"> SEQ Table \* ARABIC </w:instrText>
      </w:r>
      <w:r w:rsidRPr="000C28E6">
        <w:rPr>
          <w:sz w:val="20"/>
          <w:szCs w:val="20"/>
        </w:rPr>
        <w:fldChar w:fldCharType="separate"/>
      </w:r>
      <w:r w:rsidR="00417C81">
        <w:rPr>
          <w:noProof/>
          <w:sz w:val="20"/>
          <w:szCs w:val="20"/>
        </w:rPr>
        <w:t>4</w:t>
      </w:r>
      <w:r w:rsidRPr="000C28E6">
        <w:rPr>
          <w:sz w:val="20"/>
          <w:szCs w:val="20"/>
        </w:rPr>
        <w:fldChar w:fldCharType="end"/>
      </w:r>
      <w:r w:rsidRPr="000C28E6">
        <w:rPr>
          <w:sz w:val="20"/>
          <w:szCs w:val="20"/>
        </w:rPr>
        <w:t xml:space="preserve">: </w:t>
      </w:r>
      <w:r w:rsidRPr="000C28E6">
        <w:rPr>
          <w:sz w:val="20"/>
          <w:szCs w:val="20"/>
          <w:lang w:val="en-US"/>
        </w:rPr>
        <w:t>Measures in the form of controls to manage risk [33]</w:t>
      </w:r>
      <w:bookmarkEnd w:id="17"/>
    </w:p>
    <w:p w14:paraId="6D28BBA0" w14:textId="26D6044A" w:rsidR="008F1378" w:rsidRPr="000C28E6" w:rsidRDefault="000B41BD" w:rsidP="008F1378">
      <w:pPr>
        <w:rPr>
          <w:sz w:val="20"/>
          <w:szCs w:val="20"/>
          <w:lang w:val="en-US"/>
        </w:rPr>
      </w:pPr>
      <w:r w:rsidRPr="000C28E6">
        <w:rPr>
          <w:rFonts w:cs="Times New Roman"/>
          <w:noProof/>
          <w:sz w:val="20"/>
          <w:szCs w:val="20"/>
        </w:rPr>
        <w:drawing>
          <wp:inline distT="0" distB="0" distL="0" distR="0" wp14:anchorId="7B6F4AF1" wp14:editId="2558F3FF">
            <wp:extent cx="2640965" cy="1981480"/>
            <wp:effectExtent l="0" t="0" r="6985" b="0"/>
            <wp:docPr id="1080423233" name="Picture 1" descr="A blue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23233" name="Picture 1" descr="A blue and white document with tex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40965" cy="1981480"/>
                    </a:xfrm>
                    <a:prstGeom prst="rect">
                      <a:avLst/>
                    </a:prstGeom>
                  </pic:spPr>
                </pic:pic>
              </a:graphicData>
            </a:graphic>
          </wp:inline>
        </w:drawing>
      </w:r>
    </w:p>
    <w:p w14:paraId="479D04A6" w14:textId="77777777" w:rsidR="008F1378" w:rsidRPr="000C28E6" w:rsidRDefault="008F1378" w:rsidP="008F1378">
      <w:pPr>
        <w:rPr>
          <w:sz w:val="20"/>
          <w:szCs w:val="20"/>
          <w:lang w:val="en-US"/>
        </w:rPr>
      </w:pPr>
      <w:r w:rsidRPr="000C28E6">
        <w:rPr>
          <w:sz w:val="20"/>
          <w:szCs w:val="20"/>
          <w:lang w:val="en-US"/>
        </w:rPr>
        <w:t xml:space="preserve">Preventive controls such as MFA and encryption reduce the chance of compromise. Detective controls, including logging, monitoring, and alerting tools, enable early identification of suspicious </w:t>
      </w:r>
      <w:proofErr w:type="spellStart"/>
      <w:r w:rsidRPr="000C28E6">
        <w:rPr>
          <w:sz w:val="20"/>
          <w:szCs w:val="20"/>
          <w:lang w:val="en-US"/>
        </w:rPr>
        <w:t>behaviour</w:t>
      </w:r>
      <w:proofErr w:type="spellEnd"/>
      <w:r w:rsidRPr="000C28E6">
        <w:rPr>
          <w:sz w:val="20"/>
          <w:szCs w:val="20"/>
          <w:lang w:val="en-US"/>
        </w:rPr>
        <w:t>. Corrective controls e.g. tested recovery plans, backup processes, and response playbooks help restore systems and isolate further impact. Where gaps exist, compensating controls such as awareness programmes or insurance can help reduce risk. Together, these controls should work in layers across organisational, technological, people, and physical domains (</w:t>
      </w:r>
      <w:proofErr w:type="spellStart"/>
      <w:r w:rsidRPr="000C28E6">
        <w:rPr>
          <w:sz w:val="20"/>
          <w:szCs w:val="20"/>
          <w:lang w:val="en-US"/>
        </w:rPr>
        <w:t>defence</w:t>
      </w:r>
      <w:proofErr w:type="spellEnd"/>
      <w:r w:rsidRPr="000C28E6">
        <w:rPr>
          <w:sz w:val="20"/>
          <w:szCs w:val="20"/>
          <w:lang w:val="en-US"/>
        </w:rPr>
        <w:t>-in-depth) [35] to support resilience and maintain proportionality with risk.</w:t>
      </w:r>
    </w:p>
    <w:p w14:paraId="317A0BD1" w14:textId="4FC8F553" w:rsidR="008F1378" w:rsidRPr="000C28E6" w:rsidRDefault="008F1378" w:rsidP="008F1378">
      <w:pPr>
        <w:rPr>
          <w:sz w:val="20"/>
          <w:szCs w:val="20"/>
          <w:lang w:val="en-US"/>
        </w:rPr>
      </w:pPr>
      <w:r w:rsidRPr="000C28E6">
        <w:rPr>
          <w:sz w:val="20"/>
          <w:szCs w:val="20"/>
          <w:lang w:val="en-US"/>
        </w:rPr>
        <w:t>The control types can be seen applied, within groups in table 5.</w:t>
      </w:r>
    </w:p>
    <w:p w14:paraId="47F5B4C3" w14:textId="5BD72B0E" w:rsidR="00F8043E" w:rsidRDefault="00F8043E" w:rsidP="00F8043E">
      <w:pPr>
        <w:pStyle w:val="Caption"/>
        <w:keepNext/>
      </w:pPr>
      <w:bookmarkStart w:id="18" w:name="_Toc203973636"/>
      <w:r>
        <w:t xml:space="preserve">Table </w:t>
      </w:r>
      <w:fldSimple w:instr=" SEQ Table \* ARABIC ">
        <w:r w:rsidR="00417C81">
          <w:rPr>
            <w:noProof/>
          </w:rPr>
          <w:t>5</w:t>
        </w:r>
      </w:fldSimple>
      <w:r>
        <w:t xml:space="preserve">: </w:t>
      </w:r>
      <w:r w:rsidRPr="00F8043E">
        <w:t>Improving Cyber Resilience. cybersecurity Best Practice Testing (CBEST) review findings mapped to related control types [36-37]</w:t>
      </w:r>
      <w:bookmarkEnd w:id="18"/>
    </w:p>
    <w:p w14:paraId="16B89852" w14:textId="3C64A1B0" w:rsidR="008F1378" w:rsidRPr="008F1378" w:rsidRDefault="00F8043E" w:rsidP="00F8043E">
      <w:pPr>
        <w:pStyle w:val="Caption"/>
        <w:rPr>
          <w:lang w:val="en-US"/>
        </w:rPr>
      </w:pPr>
      <w:r w:rsidRPr="003C1C1C">
        <w:rPr>
          <w:rFonts w:cs="Times New Roman"/>
          <w:noProof/>
          <w:sz w:val="24"/>
          <w:szCs w:val="24"/>
        </w:rPr>
        <w:drawing>
          <wp:inline distT="0" distB="0" distL="0" distR="0" wp14:anchorId="0D6E212C" wp14:editId="376BC310">
            <wp:extent cx="2640965" cy="3481272"/>
            <wp:effectExtent l="0" t="0" r="6985" b="5080"/>
            <wp:docPr id="104262474" name="Picture 1"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62474" name="Picture 1" descr="A white sheet of paper with black tex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2640965" cy="3481272"/>
                    </a:xfrm>
                    <a:prstGeom prst="rect">
                      <a:avLst/>
                    </a:prstGeom>
                  </pic:spPr>
                </pic:pic>
              </a:graphicData>
            </a:graphic>
          </wp:inline>
        </w:drawing>
      </w:r>
    </w:p>
    <w:p w14:paraId="313C13BA" w14:textId="77777777" w:rsidR="008F1378" w:rsidRPr="008F1378" w:rsidRDefault="008F1378" w:rsidP="00DE3609">
      <w:pPr>
        <w:pStyle w:val="Heading1"/>
      </w:pPr>
      <w:r w:rsidRPr="008F1378">
        <w:t>Monitoring and Response</w:t>
      </w:r>
    </w:p>
    <w:p w14:paraId="33814E77" w14:textId="77777777" w:rsidR="008F1378" w:rsidRPr="00DE3609" w:rsidRDefault="008F1378" w:rsidP="008F1378">
      <w:pPr>
        <w:rPr>
          <w:rFonts w:cs="Times New Roman"/>
          <w:sz w:val="20"/>
          <w:szCs w:val="20"/>
          <w:lang w:val="en-US"/>
        </w:rPr>
      </w:pPr>
      <w:r w:rsidRPr="00DE3609">
        <w:rPr>
          <w:rFonts w:cs="Times New Roman"/>
          <w:sz w:val="20"/>
          <w:szCs w:val="20"/>
          <w:lang w:val="en-US"/>
        </w:rPr>
        <w:t>Monitoring detects unauthorised or unusual activity across systems, files, and network traffic. As systems expand, especially with Internet of Things (IoT), high volumes of data can lead to missed threats if logging rules are unclear. Overloaded firewalls and Intrusion Detection Systems (IDS) are also less effective when overwhelmed by high traffic volume and variety [38].</w:t>
      </w:r>
    </w:p>
    <w:p w14:paraId="02ABF2DE" w14:textId="77777777" w:rsidR="008F1378" w:rsidRPr="00DE3609" w:rsidRDefault="008F1378" w:rsidP="008F1378">
      <w:pPr>
        <w:rPr>
          <w:rFonts w:cs="Times New Roman"/>
          <w:sz w:val="20"/>
          <w:szCs w:val="20"/>
          <w:lang w:val="en-US"/>
        </w:rPr>
      </w:pPr>
      <w:r w:rsidRPr="00DE3609">
        <w:rPr>
          <w:rFonts w:cs="Times New Roman"/>
          <w:sz w:val="20"/>
          <w:szCs w:val="20"/>
          <w:lang w:val="en-US"/>
        </w:rPr>
        <w:t xml:space="preserve">Endpoint Detection and Response (EDR) improves detection accuracy across devices, speeds up isolation, and reduces false positives [39]. Logs </w:t>
      </w:r>
      <w:r w:rsidRPr="00DE3609">
        <w:rPr>
          <w:rFonts w:cs="Times New Roman"/>
          <w:sz w:val="20"/>
          <w:szCs w:val="20"/>
          <w:lang w:val="en-US"/>
        </w:rPr>
        <w:lastRenderedPageBreak/>
        <w:t>showing time, source, and type of activity support detection, investigation, and recovery. Audit trails allow review of actions taken, supporting post-incident analysis.</w:t>
      </w:r>
    </w:p>
    <w:p w14:paraId="643A4E93" w14:textId="77777777" w:rsidR="008F1378" w:rsidRPr="00DE3609" w:rsidRDefault="008F1378" w:rsidP="008F1378">
      <w:pPr>
        <w:rPr>
          <w:rFonts w:cs="Times New Roman"/>
          <w:sz w:val="20"/>
          <w:szCs w:val="20"/>
          <w:lang w:val="en-US"/>
        </w:rPr>
      </w:pPr>
      <w:r w:rsidRPr="00DE3609">
        <w:rPr>
          <w:rFonts w:cs="Times New Roman"/>
          <w:sz w:val="20"/>
          <w:szCs w:val="20"/>
          <w:lang w:val="en-US"/>
        </w:rPr>
        <w:t xml:space="preserve">Alerts from monitoring are </w:t>
      </w:r>
      <w:proofErr w:type="gramStart"/>
      <w:r w:rsidRPr="00DE3609">
        <w:rPr>
          <w:rFonts w:cs="Times New Roman"/>
          <w:sz w:val="20"/>
          <w:szCs w:val="20"/>
          <w:lang w:val="en-US"/>
        </w:rPr>
        <w:t>passed</w:t>
      </w:r>
      <w:proofErr w:type="gramEnd"/>
      <w:r w:rsidRPr="00DE3609">
        <w:rPr>
          <w:rFonts w:cs="Times New Roman"/>
          <w:sz w:val="20"/>
          <w:szCs w:val="20"/>
          <w:lang w:val="en-US"/>
        </w:rPr>
        <w:t xml:space="preserve"> to the Security Operations Centre members (SOC) for triage. These are categorised by severity and impact, helping teams focus on what poses the greatest risk. This avoids wasted effort on low-level events and ensures higher-risk activity is acted on quickly. An incident is any event that disrupts or threatens normal service or system operation. The aim of the process is to mitigate impact and maintain service levels. [40] Communication processes and roles </w:t>
      </w:r>
    </w:p>
    <w:p w14:paraId="18D4BA07" w14:textId="77777777" w:rsidR="008F1378" w:rsidRPr="00DE3609" w:rsidRDefault="008F1378" w:rsidP="008F1378">
      <w:pPr>
        <w:rPr>
          <w:rFonts w:cs="Times New Roman"/>
          <w:sz w:val="20"/>
          <w:szCs w:val="20"/>
          <w:lang w:val="en-US"/>
        </w:rPr>
      </w:pPr>
      <w:r w:rsidRPr="00DE3609">
        <w:rPr>
          <w:rFonts w:cs="Times New Roman"/>
          <w:sz w:val="20"/>
          <w:szCs w:val="20"/>
          <w:lang w:val="en-US"/>
        </w:rPr>
        <w:t xml:space="preserve">Monitoring and incident response involves continuous and circular process aimed at improvement and updating (Fig. 10). </w:t>
      </w:r>
    </w:p>
    <w:p w14:paraId="42566590" w14:textId="77777777" w:rsidR="00084123" w:rsidRDefault="00084123" w:rsidP="00084123">
      <w:pPr>
        <w:keepNext/>
      </w:pPr>
      <w:r w:rsidRPr="003C1C1C">
        <w:rPr>
          <w:rFonts w:cs="Times New Roman"/>
          <w:noProof/>
          <w:szCs w:val="24"/>
        </w:rPr>
        <w:drawing>
          <wp:inline distT="0" distB="0" distL="0" distR="0" wp14:anchorId="7E68DAB5" wp14:editId="73A7DE6A">
            <wp:extent cx="2640965" cy="1255819"/>
            <wp:effectExtent l="0" t="0" r="6985" b="1905"/>
            <wp:docPr id="2140457400" name="Picture 1" descr="A diagram of a lif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57400" name="Picture 1" descr="A diagram of a life cycle&#10;&#10;AI-generated content may be incorrect."/>
                    <pic:cNvPicPr/>
                  </pic:nvPicPr>
                  <pic:blipFill>
                    <a:blip r:embed="rId23"/>
                    <a:stretch>
                      <a:fillRect/>
                    </a:stretch>
                  </pic:blipFill>
                  <pic:spPr>
                    <a:xfrm>
                      <a:off x="0" y="0"/>
                      <a:ext cx="2640965" cy="1255819"/>
                    </a:xfrm>
                    <a:prstGeom prst="rect">
                      <a:avLst/>
                    </a:prstGeom>
                  </pic:spPr>
                </pic:pic>
              </a:graphicData>
            </a:graphic>
          </wp:inline>
        </w:drawing>
      </w:r>
    </w:p>
    <w:p w14:paraId="33F158D7" w14:textId="2A753311" w:rsidR="008F1378" w:rsidRPr="00DE3609" w:rsidRDefault="00084123" w:rsidP="00084123">
      <w:pPr>
        <w:pStyle w:val="Caption"/>
        <w:rPr>
          <w:rFonts w:cs="Times New Roman"/>
          <w:sz w:val="20"/>
          <w:szCs w:val="20"/>
          <w:lang w:val="en-US"/>
        </w:rPr>
      </w:pPr>
      <w:bookmarkStart w:id="19" w:name="_Toc203973505"/>
      <w:r>
        <w:t xml:space="preserve">Figure </w:t>
      </w:r>
      <w:fldSimple w:instr=" SEQ Figure \* ARABIC ">
        <w:r w:rsidR="00E4680F">
          <w:rPr>
            <w:noProof/>
          </w:rPr>
          <w:t>10</w:t>
        </w:r>
      </w:fldSimple>
      <w:r>
        <w:t xml:space="preserve">: </w:t>
      </w:r>
      <w:r w:rsidRPr="00084123">
        <w:t>Incident management purpose and process (National Institute of Standards and Technology (NIST)  [41-42]</w:t>
      </w:r>
      <w:bookmarkEnd w:id="19"/>
      <w:r w:rsidRPr="00084123">
        <w:t xml:space="preserve">  </w:t>
      </w:r>
    </w:p>
    <w:p w14:paraId="36A4D65C" w14:textId="228DF9AF" w:rsidR="008F1378" w:rsidRPr="00DE3609" w:rsidRDefault="008F1378" w:rsidP="008F1378">
      <w:pPr>
        <w:rPr>
          <w:rFonts w:cs="Times New Roman"/>
          <w:sz w:val="20"/>
          <w:szCs w:val="20"/>
          <w:lang w:val="en-US"/>
        </w:rPr>
      </w:pPr>
      <w:r w:rsidRPr="00DE3609">
        <w:rPr>
          <w:rFonts w:cs="Times New Roman"/>
          <w:sz w:val="20"/>
          <w:szCs w:val="20"/>
          <w:lang w:val="en-US"/>
        </w:rPr>
        <w:t xml:space="preserve"> Response plans must define roles, escalation points, and agreed actions. Playbooks (incident guidance) support consistent handling. Post-incident reviews help capture lessons and improve future readiness.</w:t>
      </w:r>
    </w:p>
    <w:p w14:paraId="2A0168CB" w14:textId="77777777" w:rsidR="008F1378" w:rsidRPr="00DE3609" w:rsidRDefault="008F1378" w:rsidP="008F1378">
      <w:pPr>
        <w:rPr>
          <w:rFonts w:cs="Times New Roman"/>
          <w:sz w:val="20"/>
          <w:szCs w:val="20"/>
          <w:lang w:val="en-US"/>
        </w:rPr>
      </w:pPr>
      <w:r w:rsidRPr="00DE3609">
        <w:rPr>
          <w:rFonts w:cs="Times New Roman"/>
          <w:sz w:val="20"/>
          <w:szCs w:val="20"/>
          <w:lang w:val="en-US"/>
        </w:rPr>
        <w:t xml:space="preserve">Activities can support effective incident management (Fig. 11). These support readiness, reduce handling delays, and ensure processes remain fit for purpose. </w:t>
      </w:r>
    </w:p>
    <w:p w14:paraId="131DEAD2" w14:textId="12D73183" w:rsidR="008F1378" w:rsidRPr="00DE3609" w:rsidRDefault="008F1378" w:rsidP="00811F21">
      <w:pPr>
        <w:pStyle w:val="Caption"/>
        <w:rPr>
          <w:rFonts w:cs="Times New Roman"/>
          <w:sz w:val="20"/>
          <w:szCs w:val="20"/>
          <w:lang w:val="en-US"/>
        </w:rPr>
      </w:pPr>
      <w:r w:rsidRPr="00DE3609">
        <w:rPr>
          <w:rFonts w:cs="Times New Roman"/>
          <w:sz w:val="20"/>
          <w:szCs w:val="20"/>
          <w:lang w:val="en-US"/>
        </w:rPr>
        <w:t xml:space="preserve"> </w:t>
      </w:r>
      <w:bookmarkStart w:id="20" w:name="_Toc203973506"/>
      <w:r w:rsidR="00811F21" w:rsidRPr="003C1C1C">
        <w:rPr>
          <w:rFonts w:cs="Times New Roman"/>
          <w:noProof/>
          <w:sz w:val="24"/>
          <w:szCs w:val="24"/>
        </w:rPr>
        <w:drawing>
          <wp:inline distT="0" distB="0" distL="0" distR="0" wp14:anchorId="3D8E6E3A" wp14:editId="00825B35">
            <wp:extent cx="2640965" cy="1392613"/>
            <wp:effectExtent l="0" t="0" r="6985" b="0"/>
            <wp:docPr id="786570735" name="Picture 1" descr="A close-up of several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570735" name="Picture 1" descr="A close-up of several words&#10;&#10;AI-generated content may be incorrect."/>
                    <pic:cNvPicPr/>
                  </pic:nvPicPr>
                  <pic:blipFill>
                    <a:blip r:embed="rId24"/>
                    <a:stretch>
                      <a:fillRect/>
                    </a:stretch>
                  </pic:blipFill>
                  <pic:spPr>
                    <a:xfrm>
                      <a:off x="0" y="0"/>
                      <a:ext cx="2640965" cy="1392613"/>
                    </a:xfrm>
                    <a:prstGeom prst="rect">
                      <a:avLst/>
                    </a:prstGeom>
                  </pic:spPr>
                </pic:pic>
              </a:graphicData>
            </a:graphic>
          </wp:inline>
        </w:drawing>
      </w:r>
      <w:r w:rsidR="00811F21">
        <w:t xml:space="preserve">Figure </w:t>
      </w:r>
      <w:fldSimple w:instr=" SEQ Figure \* ARABIC ">
        <w:r w:rsidR="00E4680F">
          <w:rPr>
            <w:noProof/>
          </w:rPr>
          <w:t>11</w:t>
        </w:r>
      </w:fldSimple>
      <w:r w:rsidR="00811F21">
        <w:t xml:space="preserve">: </w:t>
      </w:r>
      <w:r w:rsidR="00811F21" w:rsidRPr="00811F21">
        <w:t>Important aspects of Incident Management. [43]</w:t>
      </w:r>
      <w:bookmarkEnd w:id="20"/>
    </w:p>
    <w:p w14:paraId="5A30B22E" w14:textId="77777777" w:rsidR="00EF16BE" w:rsidRDefault="00EF16BE" w:rsidP="008F1378">
      <w:pPr>
        <w:rPr>
          <w:rFonts w:cs="Times New Roman"/>
          <w:sz w:val="20"/>
          <w:szCs w:val="20"/>
          <w:lang w:val="en-US"/>
        </w:rPr>
      </w:pPr>
    </w:p>
    <w:p w14:paraId="7449B6CF" w14:textId="77777777" w:rsidR="00EF16BE" w:rsidRDefault="00EF16BE" w:rsidP="008F1378">
      <w:pPr>
        <w:rPr>
          <w:rFonts w:cs="Times New Roman"/>
          <w:sz w:val="20"/>
          <w:szCs w:val="20"/>
          <w:lang w:val="en-US"/>
        </w:rPr>
      </w:pPr>
    </w:p>
    <w:p w14:paraId="70B15185" w14:textId="19307D75" w:rsidR="008F1378" w:rsidRPr="00DE3609" w:rsidRDefault="008F1378" w:rsidP="008F1378">
      <w:pPr>
        <w:rPr>
          <w:rFonts w:cs="Times New Roman"/>
          <w:sz w:val="20"/>
          <w:szCs w:val="20"/>
          <w:lang w:val="en-US"/>
        </w:rPr>
      </w:pPr>
      <w:r w:rsidRPr="00DE3609">
        <w:rPr>
          <w:rFonts w:cs="Times New Roman"/>
          <w:sz w:val="20"/>
          <w:szCs w:val="20"/>
          <w:lang w:val="en-US"/>
        </w:rPr>
        <w:t>Please refer to Annex A for detail on the process. Table 6 outlines a plan to be implemented promptly, then maintained through regular review as part of circular improvement and good practice.</w:t>
      </w:r>
    </w:p>
    <w:p w14:paraId="29418366" w14:textId="7E3C7FB2" w:rsidR="002410CC" w:rsidRDefault="002410CC" w:rsidP="002410CC">
      <w:pPr>
        <w:pStyle w:val="Caption"/>
        <w:keepNext/>
      </w:pPr>
      <w:bookmarkStart w:id="21" w:name="_Toc203973637"/>
      <w:r>
        <w:t xml:space="preserve">Table </w:t>
      </w:r>
      <w:fldSimple w:instr=" SEQ Table \* ARABIC ">
        <w:r w:rsidR="00417C81">
          <w:rPr>
            <w:noProof/>
          </w:rPr>
          <w:t>6</w:t>
        </w:r>
      </w:fldSimple>
      <w:r>
        <w:t xml:space="preserve">: </w:t>
      </w:r>
      <w:r w:rsidRPr="002410CC">
        <w:t>Proposed ongoing monitoring and Incident Management plan. [44]</w:t>
      </w:r>
      <w:bookmarkEnd w:id="21"/>
    </w:p>
    <w:p w14:paraId="796A446D" w14:textId="09C3640E" w:rsidR="008F1378" w:rsidRPr="00DE3609" w:rsidRDefault="002410CC" w:rsidP="008F1378">
      <w:pPr>
        <w:rPr>
          <w:rFonts w:cs="Times New Roman"/>
          <w:sz w:val="20"/>
          <w:szCs w:val="20"/>
          <w:lang w:val="en-US"/>
        </w:rPr>
      </w:pPr>
      <w:r w:rsidRPr="003C1C1C">
        <w:rPr>
          <w:rFonts w:cs="Times New Roman"/>
          <w:noProof/>
          <w:szCs w:val="24"/>
        </w:rPr>
        <w:drawing>
          <wp:inline distT="0" distB="0" distL="0" distR="0" wp14:anchorId="13FF8041" wp14:editId="6EC077F0">
            <wp:extent cx="2640965" cy="1447933"/>
            <wp:effectExtent l="0" t="0" r="6985" b="0"/>
            <wp:docPr id="19941065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106563" name="Picture 1" descr="A screenshot of a computer&#10;&#10;AI-generated content may be incorrect."/>
                    <pic:cNvPicPr/>
                  </pic:nvPicPr>
                  <pic:blipFill>
                    <a:blip r:embed="rId25"/>
                    <a:stretch>
                      <a:fillRect/>
                    </a:stretch>
                  </pic:blipFill>
                  <pic:spPr>
                    <a:xfrm>
                      <a:off x="0" y="0"/>
                      <a:ext cx="2640965" cy="1447933"/>
                    </a:xfrm>
                    <a:prstGeom prst="rect">
                      <a:avLst/>
                    </a:prstGeom>
                  </pic:spPr>
                </pic:pic>
              </a:graphicData>
            </a:graphic>
          </wp:inline>
        </w:drawing>
      </w:r>
    </w:p>
    <w:p w14:paraId="7CCFFFC2" w14:textId="77777777" w:rsidR="008F1378" w:rsidRDefault="008F1378" w:rsidP="002410CC">
      <w:pPr>
        <w:pStyle w:val="Heading1"/>
      </w:pPr>
      <w:r w:rsidRPr="00DE3609">
        <w:t xml:space="preserve">Secure mindsets and application, training FSL. </w:t>
      </w:r>
    </w:p>
    <w:p w14:paraId="04830A6E" w14:textId="77777777" w:rsidR="008F1378" w:rsidRPr="00DE3609" w:rsidRDefault="008F1378" w:rsidP="008F1378">
      <w:pPr>
        <w:rPr>
          <w:rFonts w:cs="Times New Roman"/>
          <w:sz w:val="20"/>
          <w:szCs w:val="20"/>
          <w:lang w:val="en-US"/>
        </w:rPr>
      </w:pPr>
      <w:r w:rsidRPr="00DE3609">
        <w:rPr>
          <w:rFonts w:cs="Times New Roman"/>
          <w:sz w:val="20"/>
          <w:szCs w:val="20"/>
          <w:lang w:val="en-US"/>
        </w:rPr>
        <w:t>The most advanced technical controls are ineffective without an informed workforce.  FSL therefore adopts a continuous‑learning approach:</w:t>
      </w:r>
    </w:p>
    <w:p w14:paraId="3233E332" w14:textId="77777777" w:rsidR="008F1378" w:rsidRPr="00DE3609" w:rsidRDefault="008F1378" w:rsidP="008F1378">
      <w:pPr>
        <w:rPr>
          <w:rFonts w:cs="Times New Roman"/>
          <w:sz w:val="20"/>
          <w:szCs w:val="20"/>
          <w:lang w:val="en-US"/>
        </w:rPr>
      </w:pPr>
      <w:r w:rsidRPr="00DE3609">
        <w:rPr>
          <w:rFonts w:cs="Times New Roman"/>
          <w:sz w:val="20"/>
          <w:szCs w:val="20"/>
          <w:lang w:val="en-US"/>
        </w:rPr>
        <w:t xml:space="preserve">As FSL policies are tailored to organisational drivers and specific risk appetite, new staff will require security training that explains and supports the policies. This will help clarify and build understanding before they interact with the controls and processes informed by the policies.  </w:t>
      </w:r>
    </w:p>
    <w:p w14:paraId="0B9FC8B6" w14:textId="77777777" w:rsidR="008F1378" w:rsidRPr="00DE3609" w:rsidRDefault="008F1378" w:rsidP="008F1378">
      <w:pPr>
        <w:rPr>
          <w:rFonts w:cs="Times New Roman"/>
          <w:sz w:val="20"/>
          <w:szCs w:val="20"/>
          <w:lang w:val="en-US"/>
        </w:rPr>
      </w:pPr>
      <w:r w:rsidRPr="00DE3609">
        <w:rPr>
          <w:rFonts w:cs="Times New Roman"/>
          <w:sz w:val="20"/>
          <w:szCs w:val="20"/>
          <w:lang w:val="en-US"/>
        </w:rPr>
        <w:t xml:space="preserve">Recommended approaches </w:t>
      </w:r>
      <w:proofErr w:type="gramStart"/>
      <w:r w:rsidRPr="00DE3609">
        <w:rPr>
          <w:rFonts w:cs="Times New Roman"/>
          <w:sz w:val="20"/>
          <w:szCs w:val="20"/>
          <w:lang w:val="en-US"/>
        </w:rPr>
        <w:t>an activities</w:t>
      </w:r>
      <w:proofErr w:type="gramEnd"/>
      <w:r w:rsidRPr="00DE3609">
        <w:rPr>
          <w:rFonts w:cs="Times New Roman"/>
          <w:sz w:val="20"/>
          <w:szCs w:val="20"/>
          <w:lang w:val="en-US"/>
        </w:rPr>
        <w:t xml:space="preserve"> are set out and described in table 7.</w:t>
      </w:r>
    </w:p>
    <w:p w14:paraId="0BE3B5E7" w14:textId="77777777" w:rsidR="008F1378" w:rsidRPr="00DE3609" w:rsidRDefault="008F1378" w:rsidP="008F1378">
      <w:pPr>
        <w:rPr>
          <w:rFonts w:cs="Times New Roman"/>
          <w:sz w:val="20"/>
          <w:szCs w:val="20"/>
          <w:lang w:val="en-US"/>
        </w:rPr>
      </w:pPr>
      <w:r w:rsidRPr="00DE3609">
        <w:rPr>
          <w:rFonts w:cs="Times New Roman"/>
          <w:sz w:val="20"/>
          <w:szCs w:val="20"/>
          <w:lang w:val="en-US"/>
        </w:rPr>
        <w:t xml:space="preserve">As policies and threats can change it is recommended that an annual refresher be given to staff. If there are significant changes or threats between </w:t>
      </w:r>
      <w:proofErr w:type="gramStart"/>
      <w:r w:rsidRPr="00DE3609">
        <w:rPr>
          <w:rFonts w:cs="Times New Roman"/>
          <w:sz w:val="20"/>
          <w:szCs w:val="20"/>
          <w:lang w:val="en-US"/>
        </w:rPr>
        <w:t>this</w:t>
      </w:r>
      <w:proofErr w:type="gramEnd"/>
      <w:r w:rsidRPr="00DE3609">
        <w:rPr>
          <w:rFonts w:cs="Times New Roman"/>
          <w:sz w:val="20"/>
          <w:szCs w:val="20"/>
          <w:lang w:val="en-US"/>
        </w:rPr>
        <w:t xml:space="preserve"> additional awareness activities and training should happen as soon as feasible. </w:t>
      </w:r>
    </w:p>
    <w:p w14:paraId="39C612D8" w14:textId="77777777" w:rsidR="008F1378" w:rsidRPr="00DE3609" w:rsidRDefault="008F1378" w:rsidP="008F1378">
      <w:pPr>
        <w:rPr>
          <w:rFonts w:cs="Times New Roman"/>
          <w:sz w:val="20"/>
          <w:szCs w:val="20"/>
          <w:lang w:val="en-US"/>
        </w:rPr>
      </w:pPr>
      <w:r w:rsidRPr="00DE3609">
        <w:rPr>
          <w:rFonts w:cs="Times New Roman"/>
          <w:sz w:val="20"/>
          <w:szCs w:val="20"/>
          <w:lang w:val="en-US"/>
        </w:rPr>
        <w:t xml:space="preserve">Using a variety of techniques and approaches in training is recommended to suit different learning styles and make the content engaging. </w:t>
      </w:r>
      <w:proofErr w:type="gramStart"/>
      <w:r w:rsidRPr="00DE3609">
        <w:rPr>
          <w:rFonts w:cs="Times New Roman"/>
          <w:sz w:val="20"/>
          <w:szCs w:val="20"/>
          <w:lang w:val="en-US"/>
        </w:rPr>
        <w:t>To build</w:t>
      </w:r>
      <w:proofErr w:type="gramEnd"/>
      <w:r w:rsidRPr="00DE3609">
        <w:rPr>
          <w:rFonts w:cs="Times New Roman"/>
          <w:sz w:val="20"/>
          <w:szCs w:val="20"/>
          <w:lang w:val="en-US"/>
        </w:rPr>
        <w:t xml:space="preserve"> security mindsets and culture engagement is key. Breaking down information, making it relatable to the working environment and not overwhelming with technical </w:t>
      </w:r>
      <w:proofErr w:type="gramStart"/>
      <w:r w:rsidRPr="00DE3609">
        <w:rPr>
          <w:rFonts w:cs="Times New Roman"/>
          <w:sz w:val="20"/>
          <w:szCs w:val="20"/>
          <w:lang w:val="en-US"/>
        </w:rPr>
        <w:t>detail</w:t>
      </w:r>
      <w:proofErr w:type="gramEnd"/>
      <w:r w:rsidRPr="00DE3609">
        <w:rPr>
          <w:rFonts w:cs="Times New Roman"/>
          <w:sz w:val="20"/>
          <w:szCs w:val="20"/>
          <w:lang w:val="en-US"/>
        </w:rPr>
        <w:t xml:space="preserve"> is recommended. Using </w:t>
      </w:r>
      <w:proofErr w:type="gramStart"/>
      <w:r w:rsidRPr="00DE3609">
        <w:rPr>
          <w:rFonts w:cs="Times New Roman"/>
          <w:sz w:val="20"/>
          <w:szCs w:val="20"/>
          <w:lang w:val="en-US"/>
        </w:rPr>
        <w:t>text based</w:t>
      </w:r>
      <w:proofErr w:type="gramEnd"/>
      <w:r w:rsidRPr="00DE3609">
        <w:rPr>
          <w:rFonts w:cs="Times New Roman"/>
          <w:sz w:val="20"/>
          <w:szCs w:val="20"/>
          <w:lang w:val="en-US"/>
        </w:rPr>
        <w:t xml:space="preserve"> and game-based training is also recommended to have </w:t>
      </w:r>
      <w:proofErr w:type="gramStart"/>
      <w:r w:rsidRPr="00DE3609">
        <w:rPr>
          <w:rFonts w:cs="Times New Roman"/>
          <w:sz w:val="20"/>
          <w:szCs w:val="20"/>
          <w:lang w:val="en-US"/>
        </w:rPr>
        <w:t>positive</w:t>
      </w:r>
      <w:proofErr w:type="gramEnd"/>
      <w:r w:rsidRPr="00DE3609">
        <w:rPr>
          <w:rFonts w:cs="Times New Roman"/>
          <w:sz w:val="20"/>
          <w:szCs w:val="20"/>
          <w:lang w:val="en-US"/>
        </w:rPr>
        <w:t xml:space="preserve"> impact on long term habits and behaviours. [45]</w:t>
      </w:r>
    </w:p>
    <w:p w14:paraId="1EBB0AFD" w14:textId="45B9E4E0" w:rsidR="00417C81" w:rsidRDefault="00417C81" w:rsidP="00417C81">
      <w:pPr>
        <w:pStyle w:val="Caption"/>
        <w:keepNext/>
      </w:pPr>
      <w:bookmarkStart w:id="22" w:name="_Toc203973638"/>
      <w:r>
        <w:lastRenderedPageBreak/>
        <w:t xml:space="preserve">Table </w:t>
      </w:r>
      <w:fldSimple w:instr=" SEQ Table \* ARABIC ">
        <w:r>
          <w:rPr>
            <w:noProof/>
          </w:rPr>
          <w:t>7</w:t>
        </w:r>
      </w:fldSimple>
      <w:r>
        <w:t xml:space="preserve">: </w:t>
      </w:r>
      <w:r w:rsidRPr="00417C81">
        <w:t>Plan of action for FSL training programme.[45-46]</w:t>
      </w:r>
      <w:bookmarkEnd w:id="22"/>
    </w:p>
    <w:p w14:paraId="7ECDBD95" w14:textId="2C83CA5E" w:rsidR="008F1378" w:rsidRPr="00DE3609" w:rsidRDefault="00417C81" w:rsidP="008F1378">
      <w:pPr>
        <w:rPr>
          <w:rFonts w:cs="Times New Roman"/>
          <w:sz w:val="20"/>
          <w:szCs w:val="20"/>
          <w:lang w:val="en-US"/>
        </w:rPr>
      </w:pPr>
      <w:r w:rsidRPr="003C1C1C">
        <w:rPr>
          <w:rFonts w:cs="Times New Roman"/>
          <w:noProof/>
          <w:szCs w:val="24"/>
        </w:rPr>
        <w:drawing>
          <wp:inline distT="0" distB="0" distL="0" distR="0" wp14:anchorId="56F74433" wp14:editId="35309F38">
            <wp:extent cx="2640965" cy="2980627"/>
            <wp:effectExtent l="0" t="0" r="6985" b="0"/>
            <wp:docPr id="543405445" name="Picture 1" descr="A table of informationa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05445" name="Picture 1" descr="A table of informational tex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40965" cy="2980627"/>
                    </a:xfrm>
                    <a:prstGeom prst="rect">
                      <a:avLst/>
                    </a:prstGeom>
                  </pic:spPr>
                </pic:pic>
              </a:graphicData>
            </a:graphic>
          </wp:inline>
        </w:drawing>
      </w:r>
    </w:p>
    <w:p w14:paraId="1B57E23E" w14:textId="77777777" w:rsidR="008F1378" w:rsidRPr="00FA0961" w:rsidRDefault="008F1378" w:rsidP="00417C81">
      <w:pPr>
        <w:pStyle w:val="Heading1"/>
      </w:pPr>
      <w:r w:rsidRPr="00FA0961">
        <w:t>Conclusion</w:t>
      </w:r>
    </w:p>
    <w:p w14:paraId="2F5EB53D" w14:textId="77777777" w:rsidR="008F1378" w:rsidRDefault="008F1378" w:rsidP="008F1378">
      <w:pPr>
        <w:rPr>
          <w:rFonts w:cs="Times New Roman"/>
          <w:sz w:val="20"/>
          <w:szCs w:val="20"/>
          <w:lang w:val="en-US"/>
        </w:rPr>
      </w:pPr>
      <w:r w:rsidRPr="00FA0961">
        <w:rPr>
          <w:rFonts w:cs="Times New Roman"/>
          <w:sz w:val="20"/>
          <w:szCs w:val="20"/>
          <w:lang w:val="en-US"/>
        </w:rPr>
        <w:t xml:space="preserve">The evolving operating environment for FSL requires an adaptive, layered approach to build cyber resilience. Awareness of relevant threats is key supported by a clear framework of policies, controls, and staff-focused actions that reflect </w:t>
      </w:r>
      <w:proofErr w:type="gramStart"/>
      <w:r w:rsidRPr="00FA0961">
        <w:rPr>
          <w:rFonts w:cs="Times New Roman"/>
          <w:sz w:val="20"/>
          <w:szCs w:val="20"/>
          <w:lang w:val="en-US"/>
        </w:rPr>
        <w:t>industry</w:t>
      </w:r>
      <w:proofErr w:type="gramEnd"/>
      <w:r w:rsidRPr="00FA0961">
        <w:rPr>
          <w:rFonts w:cs="Times New Roman"/>
          <w:sz w:val="20"/>
          <w:szCs w:val="20"/>
          <w:lang w:val="en-US"/>
        </w:rPr>
        <w:t xml:space="preserve"> best practice and regulatory expectations. By embedding these measures, FSL can enhance its operational resilience, reduce incident likelihood, and protect its clients, assets and reputation in an increasingly dynamic digital operating environment. </w:t>
      </w:r>
    </w:p>
    <w:p w14:paraId="64703DB6" w14:textId="1E84F73D" w:rsidR="0016340F" w:rsidRDefault="00E4680F" w:rsidP="00E4680F">
      <w:pPr>
        <w:pStyle w:val="Heading1"/>
        <w:rPr>
          <w:rStyle w:val="Heading2Char"/>
        </w:rPr>
      </w:pPr>
      <w:r w:rsidRPr="00E4680F">
        <w:t>appendices</w:t>
      </w:r>
    </w:p>
    <w:p w14:paraId="7E0ABF65" w14:textId="77777777" w:rsidR="005F7BC5" w:rsidRPr="005F7BC5" w:rsidRDefault="004209DD" w:rsidP="00205BD3">
      <w:pPr>
        <w:pStyle w:val="Heading2"/>
      </w:pPr>
      <w:r w:rsidRPr="00787373">
        <w:rPr>
          <w:rStyle w:val="Heading2Char"/>
        </w:rPr>
        <w:t>Appendi</w:t>
      </w:r>
      <w:r>
        <w:rPr>
          <w:rStyle w:val="Heading2Char"/>
        </w:rPr>
        <w:t>x</w:t>
      </w:r>
      <w:r w:rsidR="00E4680F">
        <w:rPr>
          <w:rStyle w:val="Heading2Char"/>
        </w:rPr>
        <w:t xml:space="preserve"> A</w:t>
      </w:r>
      <w:r w:rsidRPr="00787373">
        <w:rPr>
          <w:rStyle w:val="Heading2Char"/>
        </w:rPr>
        <w:t xml:space="preserve"> </w:t>
      </w:r>
      <w:r w:rsidRPr="00787373">
        <w:br/>
      </w:r>
      <w:r w:rsidRPr="00787373">
        <w:br/>
      </w:r>
    </w:p>
    <w:p w14:paraId="38CB0D89" w14:textId="37D14B2B" w:rsidR="004209DD" w:rsidRPr="00787373" w:rsidRDefault="004209DD" w:rsidP="005F7BC5">
      <w:pPr>
        <w:pStyle w:val="Heading2"/>
        <w:numPr>
          <w:ilvl w:val="0"/>
          <w:numId w:val="0"/>
        </w:numPr>
      </w:pPr>
      <w:r w:rsidRPr="005F7BC5">
        <w:rPr>
          <w:i w:val="0"/>
        </w:rPr>
        <w:t>PowerPoint file “Cyber Resilience at FSL uploaded separately</w:t>
      </w:r>
      <w:r w:rsidR="005F7BC5">
        <w:rPr>
          <w:i w:val="0"/>
        </w:rPr>
        <w:br/>
      </w:r>
    </w:p>
    <w:p w14:paraId="0E610A26" w14:textId="37BA3EA3" w:rsidR="00E4680F" w:rsidRDefault="004209DD" w:rsidP="00E4680F">
      <w:pPr>
        <w:keepNext/>
        <w:spacing w:line="360" w:lineRule="auto"/>
      </w:pPr>
      <w:r w:rsidRPr="00787373">
        <w:rPr>
          <w:rFonts w:cs="Times New Roman"/>
          <w:noProof/>
        </w:rPr>
        <w:drawing>
          <wp:inline distT="0" distB="0" distL="0" distR="0" wp14:anchorId="30AA9137" wp14:editId="0CA479C0">
            <wp:extent cx="1371600" cy="775457"/>
            <wp:effectExtent l="0" t="0" r="0" b="5715"/>
            <wp:docPr id="83175795" name="Picture 1" descr="A blue and pink network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75795" name="Picture 1" descr="A blue and pink network pattern&#10;&#10;AI-generated content may be incorrect."/>
                    <pic:cNvPicPr/>
                  </pic:nvPicPr>
                  <pic:blipFill>
                    <a:blip r:embed="rId27"/>
                    <a:stretch>
                      <a:fillRect/>
                    </a:stretch>
                  </pic:blipFill>
                  <pic:spPr>
                    <a:xfrm>
                      <a:off x="0" y="0"/>
                      <a:ext cx="1385038" cy="783054"/>
                    </a:xfrm>
                    <a:prstGeom prst="rect">
                      <a:avLst/>
                    </a:prstGeom>
                  </pic:spPr>
                </pic:pic>
              </a:graphicData>
            </a:graphic>
          </wp:inline>
        </w:drawing>
      </w:r>
    </w:p>
    <w:p w14:paraId="60D3022E" w14:textId="21C700C1" w:rsidR="004209DD" w:rsidRDefault="00E4680F" w:rsidP="00E4680F">
      <w:pPr>
        <w:pStyle w:val="Caption"/>
        <w:rPr>
          <w:rFonts w:cs="Times New Roman"/>
        </w:rPr>
      </w:pPr>
      <w:r>
        <w:t xml:space="preserve">Figure </w:t>
      </w:r>
      <w:fldSimple w:instr=" SEQ Figure \* ARABIC ">
        <w:r>
          <w:rPr>
            <w:noProof/>
          </w:rPr>
          <w:t>12</w:t>
        </w:r>
      </w:fldSimple>
      <w:r>
        <w:t xml:space="preserve">: </w:t>
      </w:r>
      <w:r w:rsidRPr="00787373">
        <w:rPr>
          <w:rFonts w:cs="Times New Roman"/>
        </w:rPr>
        <w:t>Screenshot Appendix A cover page</w:t>
      </w:r>
    </w:p>
    <w:p w14:paraId="191E37C0" w14:textId="77777777" w:rsidR="005F7BC5" w:rsidRPr="005F7BC5" w:rsidRDefault="005F7BC5" w:rsidP="005F7BC5"/>
    <w:p w14:paraId="11F1F963" w14:textId="77777777" w:rsidR="005F7BC5" w:rsidRPr="00787373" w:rsidRDefault="005F7BC5" w:rsidP="005F7BC5">
      <w:pPr>
        <w:pStyle w:val="Heading2"/>
        <w:rPr>
          <w:rStyle w:val="Heading2Char"/>
        </w:rPr>
      </w:pPr>
      <w:r w:rsidRPr="00787373">
        <w:rPr>
          <w:rStyle w:val="Heading2Char"/>
        </w:rPr>
        <w:t>Appendix B</w:t>
      </w:r>
    </w:p>
    <w:p w14:paraId="0AF8F3BB" w14:textId="77777777" w:rsidR="005F7BC5" w:rsidRPr="005F7BC5" w:rsidRDefault="005F7BC5" w:rsidP="005F7BC5">
      <w:pPr>
        <w:rPr>
          <w:rFonts w:cs="Times New Roman"/>
          <w:i/>
          <w:iCs/>
          <w:sz w:val="22"/>
        </w:rPr>
      </w:pPr>
      <w:r w:rsidRPr="005F7BC5">
        <w:rPr>
          <w:rStyle w:val="Heading2Char"/>
          <w:i w:val="0"/>
          <w:iCs w:val="0"/>
        </w:rPr>
        <w:t xml:space="preserve">Excel file ‘Cyber Assignment Figures </w:t>
      </w:r>
      <w:r w:rsidRPr="005F7BC5">
        <w:rPr>
          <w:rFonts w:cs="Times New Roman"/>
          <w:i/>
          <w:iCs/>
          <w:sz w:val="20"/>
          <w:szCs w:val="20"/>
        </w:rPr>
        <w:t>uploaded separately</w:t>
      </w:r>
      <w:r w:rsidRPr="005F7BC5">
        <w:rPr>
          <w:rFonts w:cs="Times New Roman"/>
          <w:i/>
          <w:iCs/>
          <w:sz w:val="22"/>
        </w:rPr>
        <w:t>.</w:t>
      </w:r>
    </w:p>
    <w:p w14:paraId="21420078" w14:textId="4A2E67BC" w:rsidR="005856AF" w:rsidRPr="005F7BC5" w:rsidRDefault="005F7BC5" w:rsidP="005F7BC5">
      <w:pPr>
        <w:rPr>
          <w:rFonts w:cs="Times New Roman"/>
          <w:sz w:val="20"/>
          <w:szCs w:val="20"/>
          <w:lang w:val="en-US"/>
        </w:rPr>
      </w:pPr>
      <w:r w:rsidRPr="005F7BC5">
        <w:rPr>
          <w:rFonts w:cs="Times New Roman"/>
          <w:sz w:val="20"/>
          <w:szCs w:val="20"/>
        </w:rPr>
        <w:t xml:space="preserve">Document contains </w:t>
      </w:r>
      <w:r w:rsidRPr="005F7BC5">
        <w:rPr>
          <w:rFonts w:cs="Times New Roman"/>
          <w:sz w:val="20"/>
          <w:szCs w:val="20"/>
        </w:rPr>
        <w:t>tables and images from report.</w:t>
      </w:r>
    </w:p>
    <w:p w14:paraId="5BA1E475" w14:textId="77777777" w:rsidR="005856AF" w:rsidRPr="00FA0961" w:rsidRDefault="005856AF" w:rsidP="008F1378">
      <w:pPr>
        <w:rPr>
          <w:rFonts w:cs="Times New Roman"/>
          <w:sz w:val="20"/>
          <w:szCs w:val="20"/>
          <w:lang w:val="en-US"/>
        </w:rPr>
      </w:pPr>
    </w:p>
    <w:p w14:paraId="07FD142C" w14:textId="19E6311C" w:rsidR="00D00A01" w:rsidRPr="00FA0961" w:rsidRDefault="00FA0961" w:rsidP="00FA0961">
      <w:pPr>
        <w:pStyle w:val="Subtitle"/>
        <w:rPr>
          <w:rStyle w:val="SubtleReference"/>
          <w:rFonts w:ascii="Times New Roman" w:hAnsi="Times New Roman" w:cs="Times New Roman"/>
          <w:sz w:val="20"/>
          <w:szCs w:val="20"/>
        </w:rPr>
      </w:pPr>
      <w:r w:rsidRPr="00FA0961">
        <w:rPr>
          <w:rStyle w:val="SubtleReference"/>
          <w:rFonts w:ascii="Times New Roman" w:hAnsi="Times New Roman" w:cs="Times New Roman"/>
          <w:sz w:val="20"/>
          <w:szCs w:val="20"/>
        </w:rPr>
        <w:t>Table of Figures</w:t>
      </w:r>
    </w:p>
    <w:p w14:paraId="3E94F974" w14:textId="6F6B5F3C" w:rsidR="00FA0961" w:rsidRPr="00FA0961" w:rsidRDefault="00FA0961">
      <w:pPr>
        <w:pStyle w:val="TableofFigures"/>
        <w:tabs>
          <w:tab w:val="right" w:leader="dot" w:pos="4149"/>
        </w:tabs>
        <w:rPr>
          <w:rFonts w:cs="Times New Roman"/>
          <w:noProof/>
          <w:sz w:val="20"/>
          <w:szCs w:val="20"/>
        </w:rPr>
      </w:pPr>
      <w:r w:rsidRPr="00FA0961">
        <w:rPr>
          <w:rFonts w:cs="Times New Roman"/>
          <w:sz w:val="20"/>
          <w:szCs w:val="20"/>
          <w:lang w:val="en-US"/>
        </w:rPr>
        <w:fldChar w:fldCharType="begin"/>
      </w:r>
      <w:r w:rsidRPr="00FA0961">
        <w:rPr>
          <w:rFonts w:cs="Times New Roman"/>
          <w:sz w:val="20"/>
          <w:szCs w:val="20"/>
          <w:lang w:val="en-US"/>
        </w:rPr>
        <w:instrText xml:space="preserve"> TOC \h \z \c "Figure" </w:instrText>
      </w:r>
      <w:r w:rsidRPr="00FA0961">
        <w:rPr>
          <w:rFonts w:cs="Times New Roman"/>
          <w:sz w:val="20"/>
          <w:szCs w:val="20"/>
          <w:lang w:val="en-US"/>
        </w:rPr>
        <w:fldChar w:fldCharType="separate"/>
      </w:r>
      <w:hyperlink w:anchor="_Toc203973496" w:history="1">
        <w:r w:rsidRPr="00FA0961">
          <w:rPr>
            <w:rStyle w:val="Hyperlink"/>
            <w:rFonts w:cs="Times New Roman"/>
            <w:noProof/>
            <w:sz w:val="20"/>
            <w:szCs w:val="20"/>
          </w:rPr>
          <w:t>Figure 1: Range of potential impacts [1]</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_Toc203973496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1</w:t>
        </w:r>
        <w:r w:rsidRPr="00FA0961">
          <w:rPr>
            <w:rFonts w:cs="Times New Roman"/>
            <w:noProof/>
            <w:webHidden/>
            <w:sz w:val="20"/>
            <w:szCs w:val="20"/>
          </w:rPr>
          <w:fldChar w:fldCharType="end"/>
        </w:r>
      </w:hyperlink>
    </w:p>
    <w:p w14:paraId="74329B79" w14:textId="5531E5B6" w:rsidR="00FA0961" w:rsidRPr="00FA0961" w:rsidRDefault="00FA0961">
      <w:pPr>
        <w:pStyle w:val="TableofFigures"/>
        <w:tabs>
          <w:tab w:val="right" w:leader="dot" w:pos="4149"/>
        </w:tabs>
        <w:rPr>
          <w:rFonts w:cs="Times New Roman"/>
          <w:noProof/>
          <w:sz w:val="20"/>
          <w:szCs w:val="20"/>
        </w:rPr>
      </w:pPr>
      <w:hyperlink w:anchor="_Toc203973497" w:history="1">
        <w:r w:rsidRPr="00FA0961">
          <w:rPr>
            <w:rStyle w:val="Hyperlink"/>
            <w:rFonts w:cs="Times New Roman"/>
            <w:noProof/>
            <w:sz w:val="20"/>
            <w:szCs w:val="20"/>
          </w:rPr>
          <w:t>Figure 2: Key findings from Cisco report. Figures recorded in millions [4]</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_Toc203973497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2</w:t>
        </w:r>
        <w:r w:rsidRPr="00FA0961">
          <w:rPr>
            <w:rFonts w:cs="Times New Roman"/>
            <w:noProof/>
            <w:webHidden/>
            <w:sz w:val="20"/>
            <w:szCs w:val="20"/>
          </w:rPr>
          <w:fldChar w:fldCharType="end"/>
        </w:r>
      </w:hyperlink>
    </w:p>
    <w:p w14:paraId="548363F9" w14:textId="04B6207F" w:rsidR="00FA0961" w:rsidRPr="00FA0961" w:rsidRDefault="00FA0961">
      <w:pPr>
        <w:pStyle w:val="TableofFigures"/>
        <w:tabs>
          <w:tab w:val="right" w:leader="dot" w:pos="4149"/>
        </w:tabs>
        <w:rPr>
          <w:rFonts w:cs="Times New Roman"/>
          <w:noProof/>
          <w:sz w:val="20"/>
          <w:szCs w:val="20"/>
        </w:rPr>
      </w:pPr>
      <w:hyperlink w:anchor="_Toc203973498" w:history="1">
        <w:r w:rsidRPr="00FA0961">
          <w:rPr>
            <w:rStyle w:val="Hyperlink"/>
            <w:rFonts w:cs="Times New Roman"/>
            <w:noProof/>
            <w:sz w:val="20"/>
            <w:szCs w:val="20"/>
          </w:rPr>
          <w:t>Figure 3: Insider threat actors [5][6]</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_Toc203973498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2</w:t>
        </w:r>
        <w:r w:rsidRPr="00FA0961">
          <w:rPr>
            <w:rFonts w:cs="Times New Roman"/>
            <w:noProof/>
            <w:webHidden/>
            <w:sz w:val="20"/>
            <w:szCs w:val="20"/>
          </w:rPr>
          <w:fldChar w:fldCharType="end"/>
        </w:r>
      </w:hyperlink>
    </w:p>
    <w:p w14:paraId="4F9F1A67" w14:textId="337CAE2D" w:rsidR="00FA0961" w:rsidRPr="00FA0961" w:rsidRDefault="00FA0961">
      <w:pPr>
        <w:pStyle w:val="TableofFigures"/>
        <w:tabs>
          <w:tab w:val="right" w:leader="dot" w:pos="4149"/>
        </w:tabs>
        <w:rPr>
          <w:rFonts w:cs="Times New Roman"/>
          <w:noProof/>
          <w:sz w:val="20"/>
          <w:szCs w:val="20"/>
        </w:rPr>
      </w:pPr>
      <w:hyperlink w:anchor="_Toc203973499" w:history="1">
        <w:r w:rsidRPr="00FA0961">
          <w:rPr>
            <w:rStyle w:val="Hyperlink"/>
            <w:rFonts w:cs="Times New Roman"/>
            <w:noProof/>
            <w:sz w:val="20"/>
            <w:szCs w:val="20"/>
          </w:rPr>
          <w:t>Figure 4: External threat actors [8]</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_Toc203973499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2</w:t>
        </w:r>
        <w:r w:rsidRPr="00FA0961">
          <w:rPr>
            <w:rFonts w:cs="Times New Roman"/>
            <w:noProof/>
            <w:webHidden/>
            <w:sz w:val="20"/>
            <w:szCs w:val="20"/>
          </w:rPr>
          <w:fldChar w:fldCharType="end"/>
        </w:r>
      </w:hyperlink>
    </w:p>
    <w:p w14:paraId="25C4BE2E" w14:textId="216E0388" w:rsidR="00FA0961" w:rsidRPr="00FA0961" w:rsidRDefault="00FA0961">
      <w:pPr>
        <w:pStyle w:val="TableofFigures"/>
        <w:tabs>
          <w:tab w:val="right" w:leader="dot" w:pos="4149"/>
        </w:tabs>
        <w:rPr>
          <w:rFonts w:cs="Times New Roman"/>
          <w:noProof/>
          <w:sz w:val="20"/>
          <w:szCs w:val="20"/>
        </w:rPr>
      </w:pPr>
      <w:hyperlink w:anchor="_Toc203973500" w:history="1">
        <w:r w:rsidRPr="00FA0961">
          <w:rPr>
            <w:rStyle w:val="Hyperlink"/>
            <w:rFonts w:cs="Times New Roman"/>
            <w:noProof/>
            <w:sz w:val="20"/>
            <w:szCs w:val="20"/>
          </w:rPr>
          <w:t xml:space="preserve">Figure 5: ATT&amp;CK Matrix. Shows the variety of attack types and techniques. A recommended intelligence resource. [11]  </w:t>
        </w:r>
        <w:r w:rsidRPr="00FA0961">
          <w:rPr>
            <w:rStyle w:val="Hyperlink"/>
            <w:rFonts w:cs="Times New Roman"/>
            <w:noProof/>
            <w:sz w:val="20"/>
            <w:szCs w:val="20"/>
            <w:lang w:val="en-US" w:eastAsia="en-GB"/>
          </w:rPr>
          <w:t>Common tactics exploit familiar platforms and interactions. Awareness and vigilance are essential.</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_Toc203973500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2</w:t>
        </w:r>
        <w:r w:rsidRPr="00FA0961">
          <w:rPr>
            <w:rFonts w:cs="Times New Roman"/>
            <w:noProof/>
            <w:webHidden/>
            <w:sz w:val="20"/>
            <w:szCs w:val="20"/>
          </w:rPr>
          <w:fldChar w:fldCharType="end"/>
        </w:r>
      </w:hyperlink>
    </w:p>
    <w:p w14:paraId="07C0BF9C" w14:textId="150A0008" w:rsidR="00FA0961" w:rsidRPr="00FA0961" w:rsidRDefault="00FA0961">
      <w:pPr>
        <w:pStyle w:val="TableofFigures"/>
        <w:tabs>
          <w:tab w:val="right" w:leader="dot" w:pos="4149"/>
        </w:tabs>
        <w:rPr>
          <w:rFonts w:cs="Times New Roman"/>
          <w:noProof/>
          <w:sz w:val="20"/>
          <w:szCs w:val="20"/>
        </w:rPr>
      </w:pPr>
      <w:hyperlink w:anchor="_Toc203973501" w:history="1">
        <w:r w:rsidRPr="00FA0961">
          <w:rPr>
            <w:rStyle w:val="Hyperlink"/>
            <w:rFonts w:cs="Times New Roman"/>
            <w:noProof/>
            <w:sz w:val="20"/>
            <w:szCs w:val="20"/>
          </w:rPr>
          <w:t>Figure 6: Risk  as the likelihood of a vulnerability being exploited by a threat, this helps define what might happen, how and the probability</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_Toc203973501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3</w:t>
        </w:r>
        <w:r w:rsidRPr="00FA0961">
          <w:rPr>
            <w:rFonts w:cs="Times New Roman"/>
            <w:noProof/>
            <w:webHidden/>
            <w:sz w:val="20"/>
            <w:szCs w:val="20"/>
          </w:rPr>
          <w:fldChar w:fldCharType="end"/>
        </w:r>
      </w:hyperlink>
    </w:p>
    <w:p w14:paraId="08836F6F" w14:textId="6A6A5E21" w:rsidR="00FA0961" w:rsidRPr="00FA0961" w:rsidRDefault="00FA0961">
      <w:pPr>
        <w:pStyle w:val="TableofFigures"/>
        <w:tabs>
          <w:tab w:val="right" w:leader="dot" w:pos="4149"/>
        </w:tabs>
        <w:rPr>
          <w:rFonts w:cs="Times New Roman"/>
          <w:noProof/>
          <w:sz w:val="20"/>
          <w:szCs w:val="20"/>
        </w:rPr>
      </w:pPr>
      <w:hyperlink w:anchor="_Toc203973502" w:history="1">
        <w:r w:rsidRPr="00FA0961">
          <w:rPr>
            <w:rStyle w:val="Hyperlink"/>
            <w:rFonts w:cs="Times New Roman"/>
            <w:noProof/>
            <w:sz w:val="20"/>
            <w:szCs w:val="20"/>
          </w:rPr>
          <w:t>Figure 7: Balance between Confidentiality, Availability and Integrity</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_Toc203973502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4</w:t>
        </w:r>
        <w:r w:rsidRPr="00FA0961">
          <w:rPr>
            <w:rFonts w:cs="Times New Roman"/>
            <w:noProof/>
            <w:webHidden/>
            <w:sz w:val="20"/>
            <w:szCs w:val="20"/>
          </w:rPr>
          <w:fldChar w:fldCharType="end"/>
        </w:r>
      </w:hyperlink>
    </w:p>
    <w:p w14:paraId="3556ABCC" w14:textId="4CA65891" w:rsidR="00FA0961" w:rsidRPr="00FA0961" w:rsidRDefault="00FA0961">
      <w:pPr>
        <w:pStyle w:val="TableofFigures"/>
        <w:tabs>
          <w:tab w:val="right" w:leader="dot" w:pos="4149"/>
        </w:tabs>
        <w:rPr>
          <w:rFonts w:cs="Times New Roman"/>
          <w:noProof/>
          <w:sz w:val="20"/>
          <w:szCs w:val="20"/>
        </w:rPr>
      </w:pPr>
      <w:hyperlink w:anchor="_Toc203973503" w:history="1">
        <w:r w:rsidRPr="00FA0961">
          <w:rPr>
            <w:rStyle w:val="Hyperlink"/>
            <w:rFonts w:cs="Times New Roman"/>
            <w:noProof/>
            <w:sz w:val="20"/>
            <w:szCs w:val="20"/>
          </w:rPr>
          <w:t>Figure 8: A McCumber Cube builds on CIA and assists in considering where and when data should be protected.</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_Toc203973503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4</w:t>
        </w:r>
        <w:r w:rsidRPr="00FA0961">
          <w:rPr>
            <w:rFonts w:cs="Times New Roman"/>
            <w:noProof/>
            <w:webHidden/>
            <w:sz w:val="20"/>
            <w:szCs w:val="20"/>
          </w:rPr>
          <w:fldChar w:fldCharType="end"/>
        </w:r>
      </w:hyperlink>
    </w:p>
    <w:p w14:paraId="59098CF8" w14:textId="3CCB862E" w:rsidR="00FA0961" w:rsidRPr="00FA0961" w:rsidRDefault="00FA0961">
      <w:pPr>
        <w:pStyle w:val="TableofFigures"/>
        <w:tabs>
          <w:tab w:val="right" w:leader="dot" w:pos="4149"/>
        </w:tabs>
        <w:rPr>
          <w:rFonts w:cs="Times New Roman"/>
          <w:noProof/>
          <w:sz w:val="20"/>
          <w:szCs w:val="20"/>
        </w:rPr>
      </w:pPr>
      <w:hyperlink w:anchor="_Toc203973504" w:history="1">
        <w:r w:rsidRPr="00FA0961">
          <w:rPr>
            <w:rStyle w:val="Hyperlink"/>
            <w:rFonts w:cs="Times New Roman"/>
            <w:noProof/>
            <w:sz w:val="20"/>
            <w:szCs w:val="20"/>
          </w:rPr>
          <w:t>Figure 9: Shows the upcoming volumes and prominence in regulation around AI that will require forward planning by FSL. [34].</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_Toc203973504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4</w:t>
        </w:r>
        <w:r w:rsidRPr="00FA0961">
          <w:rPr>
            <w:rFonts w:cs="Times New Roman"/>
            <w:noProof/>
            <w:webHidden/>
            <w:sz w:val="20"/>
            <w:szCs w:val="20"/>
          </w:rPr>
          <w:fldChar w:fldCharType="end"/>
        </w:r>
      </w:hyperlink>
    </w:p>
    <w:p w14:paraId="5E71FA75" w14:textId="55BB0039" w:rsidR="00FA0961" w:rsidRPr="00FA0961" w:rsidRDefault="00FA0961">
      <w:pPr>
        <w:pStyle w:val="TableofFigures"/>
        <w:tabs>
          <w:tab w:val="right" w:leader="dot" w:pos="4149"/>
        </w:tabs>
        <w:rPr>
          <w:rFonts w:cs="Times New Roman"/>
          <w:noProof/>
          <w:sz w:val="20"/>
          <w:szCs w:val="20"/>
        </w:rPr>
      </w:pPr>
      <w:hyperlink w:anchor="_Toc203973505" w:history="1">
        <w:r w:rsidRPr="00FA0961">
          <w:rPr>
            <w:rStyle w:val="Hyperlink"/>
            <w:rFonts w:cs="Times New Roman"/>
            <w:noProof/>
            <w:sz w:val="20"/>
            <w:szCs w:val="20"/>
          </w:rPr>
          <w:t>Figure 10: Incident management purpose and process (National Institute of Standards and Technology (NIST)  [41-42]</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_Toc203973505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6</w:t>
        </w:r>
        <w:r w:rsidRPr="00FA0961">
          <w:rPr>
            <w:rFonts w:cs="Times New Roman"/>
            <w:noProof/>
            <w:webHidden/>
            <w:sz w:val="20"/>
            <w:szCs w:val="20"/>
          </w:rPr>
          <w:fldChar w:fldCharType="end"/>
        </w:r>
      </w:hyperlink>
    </w:p>
    <w:p w14:paraId="55A237B7" w14:textId="69085D4C" w:rsidR="00FA0961" w:rsidRPr="00FA0961" w:rsidRDefault="00FA0961">
      <w:pPr>
        <w:pStyle w:val="TableofFigures"/>
        <w:tabs>
          <w:tab w:val="right" w:leader="dot" w:pos="4149"/>
        </w:tabs>
        <w:rPr>
          <w:rFonts w:cs="Times New Roman"/>
          <w:noProof/>
          <w:sz w:val="20"/>
          <w:szCs w:val="20"/>
        </w:rPr>
      </w:pPr>
      <w:hyperlink w:anchor="_Toc203973506" w:history="1">
        <w:r w:rsidRPr="00FA0961">
          <w:rPr>
            <w:rStyle w:val="Hyperlink"/>
            <w:rFonts w:cs="Times New Roman"/>
            <w:noProof/>
            <w:sz w:val="20"/>
            <w:szCs w:val="20"/>
          </w:rPr>
          <w:t>Figure 11: Important aspects of Incident Management. [43]</w:t>
        </w:r>
        <w:r w:rsidRPr="00FA0961">
          <w:rPr>
            <w:rFonts w:cs="Times New Roman"/>
            <w:noProof/>
            <w:webHidden/>
            <w:sz w:val="20"/>
            <w:szCs w:val="20"/>
          </w:rPr>
          <w:tab/>
        </w:r>
        <w:r w:rsidRPr="00FA0961">
          <w:rPr>
            <w:rFonts w:cs="Times New Roman"/>
            <w:noProof/>
            <w:webHidden/>
            <w:sz w:val="20"/>
            <w:szCs w:val="20"/>
          </w:rPr>
          <w:fldChar w:fldCharType="begin"/>
        </w:r>
        <w:r w:rsidRPr="00FA0961">
          <w:rPr>
            <w:rFonts w:cs="Times New Roman"/>
            <w:noProof/>
            <w:webHidden/>
            <w:sz w:val="20"/>
            <w:szCs w:val="20"/>
          </w:rPr>
          <w:instrText xml:space="preserve"> PAGEREF _Toc203973506 \h </w:instrText>
        </w:r>
        <w:r w:rsidRPr="00FA0961">
          <w:rPr>
            <w:rFonts w:cs="Times New Roman"/>
            <w:noProof/>
            <w:webHidden/>
            <w:sz w:val="20"/>
            <w:szCs w:val="20"/>
          </w:rPr>
        </w:r>
        <w:r w:rsidRPr="00FA0961">
          <w:rPr>
            <w:rFonts w:cs="Times New Roman"/>
            <w:noProof/>
            <w:webHidden/>
            <w:sz w:val="20"/>
            <w:szCs w:val="20"/>
          </w:rPr>
          <w:fldChar w:fldCharType="separate"/>
        </w:r>
        <w:r w:rsidRPr="00FA0961">
          <w:rPr>
            <w:rFonts w:cs="Times New Roman"/>
            <w:noProof/>
            <w:webHidden/>
            <w:sz w:val="20"/>
            <w:szCs w:val="20"/>
          </w:rPr>
          <w:t>6</w:t>
        </w:r>
        <w:r w:rsidRPr="00FA0961">
          <w:rPr>
            <w:rFonts w:cs="Times New Roman"/>
            <w:noProof/>
            <w:webHidden/>
            <w:sz w:val="20"/>
            <w:szCs w:val="20"/>
          </w:rPr>
          <w:fldChar w:fldCharType="end"/>
        </w:r>
      </w:hyperlink>
    </w:p>
    <w:p w14:paraId="55994C1C" w14:textId="4B403FD2" w:rsidR="00D00A01" w:rsidRDefault="00FA0961" w:rsidP="0025345C">
      <w:pPr>
        <w:rPr>
          <w:rFonts w:cs="Times New Roman"/>
          <w:sz w:val="20"/>
          <w:szCs w:val="20"/>
          <w:lang w:val="en-US"/>
        </w:rPr>
      </w:pPr>
      <w:r w:rsidRPr="00FA0961">
        <w:rPr>
          <w:rFonts w:cs="Times New Roman"/>
          <w:sz w:val="20"/>
          <w:szCs w:val="20"/>
          <w:lang w:val="en-US"/>
        </w:rPr>
        <w:fldChar w:fldCharType="end"/>
      </w:r>
    </w:p>
    <w:p w14:paraId="57A8A594" w14:textId="73BEDA86" w:rsidR="00FA0961" w:rsidRPr="00FA0961" w:rsidRDefault="00FA0961">
      <w:pPr>
        <w:pStyle w:val="TableofFigures"/>
        <w:tabs>
          <w:tab w:val="right" w:leader="dot" w:pos="4149"/>
        </w:tabs>
        <w:rPr>
          <w:rFonts w:asciiTheme="minorHAnsi" w:hAnsiTheme="minorHAnsi"/>
          <w:noProof/>
          <w:kern w:val="2"/>
          <w:sz w:val="18"/>
          <w:szCs w:val="18"/>
          <w:lang w:eastAsia="en-GB"/>
          <w14:ligatures w14:val="standardContextual"/>
        </w:rPr>
      </w:pPr>
      <w:r>
        <w:rPr>
          <w:lang w:val="en-US"/>
        </w:rPr>
        <w:fldChar w:fldCharType="begin"/>
      </w:r>
      <w:r>
        <w:rPr>
          <w:lang w:val="en-US"/>
        </w:rPr>
        <w:instrText xml:space="preserve"> TOC \h \z \c "Table" </w:instrText>
      </w:r>
      <w:r>
        <w:rPr>
          <w:lang w:val="en-US"/>
        </w:rPr>
        <w:fldChar w:fldCharType="separate"/>
      </w:r>
      <w:hyperlink w:anchor="_Toc203973632" w:history="1">
        <w:r w:rsidRPr="00FA0961">
          <w:rPr>
            <w:rStyle w:val="Hyperlink"/>
            <w:noProof/>
            <w:sz w:val="18"/>
            <w:szCs w:val="18"/>
          </w:rPr>
          <w:t>Table 1</w:t>
        </w:r>
        <w:r w:rsidRPr="00FA0961">
          <w:rPr>
            <w:noProof/>
            <w:webHidden/>
            <w:sz w:val="18"/>
            <w:szCs w:val="18"/>
          </w:rPr>
          <w:tab/>
        </w:r>
        <w:r w:rsidRPr="00FA0961">
          <w:rPr>
            <w:noProof/>
            <w:webHidden/>
            <w:sz w:val="18"/>
            <w:szCs w:val="18"/>
          </w:rPr>
          <w:fldChar w:fldCharType="begin"/>
        </w:r>
        <w:r w:rsidRPr="00FA0961">
          <w:rPr>
            <w:noProof/>
            <w:webHidden/>
            <w:sz w:val="18"/>
            <w:szCs w:val="18"/>
          </w:rPr>
          <w:instrText xml:space="preserve"> PAGEREF _Toc203973632 \h </w:instrText>
        </w:r>
        <w:r w:rsidRPr="00FA0961">
          <w:rPr>
            <w:noProof/>
            <w:webHidden/>
            <w:sz w:val="18"/>
            <w:szCs w:val="18"/>
          </w:rPr>
        </w:r>
        <w:r w:rsidRPr="00FA0961">
          <w:rPr>
            <w:noProof/>
            <w:webHidden/>
            <w:sz w:val="18"/>
            <w:szCs w:val="18"/>
          </w:rPr>
          <w:fldChar w:fldCharType="separate"/>
        </w:r>
        <w:r w:rsidRPr="00FA0961">
          <w:rPr>
            <w:noProof/>
            <w:webHidden/>
            <w:sz w:val="18"/>
            <w:szCs w:val="18"/>
          </w:rPr>
          <w:t>1</w:t>
        </w:r>
        <w:r w:rsidRPr="00FA0961">
          <w:rPr>
            <w:noProof/>
            <w:webHidden/>
            <w:sz w:val="18"/>
            <w:szCs w:val="18"/>
          </w:rPr>
          <w:fldChar w:fldCharType="end"/>
        </w:r>
      </w:hyperlink>
    </w:p>
    <w:p w14:paraId="7BE5021E" w14:textId="4A135F29" w:rsidR="00FA0961" w:rsidRPr="00FA0961" w:rsidRDefault="00FA0961">
      <w:pPr>
        <w:pStyle w:val="TableofFigures"/>
        <w:tabs>
          <w:tab w:val="right" w:leader="dot" w:pos="4149"/>
        </w:tabs>
        <w:rPr>
          <w:rFonts w:asciiTheme="minorHAnsi" w:hAnsiTheme="minorHAnsi"/>
          <w:noProof/>
          <w:kern w:val="2"/>
          <w:sz w:val="18"/>
          <w:szCs w:val="18"/>
          <w:lang w:eastAsia="en-GB"/>
          <w14:ligatures w14:val="standardContextual"/>
        </w:rPr>
      </w:pPr>
      <w:hyperlink w:anchor="_Toc203973633" w:history="1">
        <w:r w:rsidRPr="00FA0961">
          <w:rPr>
            <w:rStyle w:val="Hyperlink"/>
            <w:noProof/>
            <w:sz w:val="18"/>
            <w:szCs w:val="18"/>
          </w:rPr>
          <w:t>Table 2: Relevant legislation, frameworks and guidance [26-33].</w:t>
        </w:r>
        <w:r w:rsidRPr="00FA0961">
          <w:rPr>
            <w:noProof/>
            <w:webHidden/>
            <w:sz w:val="18"/>
            <w:szCs w:val="18"/>
          </w:rPr>
          <w:tab/>
        </w:r>
        <w:r w:rsidRPr="00FA0961">
          <w:rPr>
            <w:noProof/>
            <w:webHidden/>
            <w:sz w:val="18"/>
            <w:szCs w:val="18"/>
          </w:rPr>
          <w:fldChar w:fldCharType="begin"/>
        </w:r>
        <w:r w:rsidRPr="00FA0961">
          <w:rPr>
            <w:noProof/>
            <w:webHidden/>
            <w:sz w:val="18"/>
            <w:szCs w:val="18"/>
          </w:rPr>
          <w:instrText xml:space="preserve"> PAGEREF _Toc203973633 \h </w:instrText>
        </w:r>
        <w:r w:rsidRPr="00FA0961">
          <w:rPr>
            <w:noProof/>
            <w:webHidden/>
            <w:sz w:val="18"/>
            <w:szCs w:val="18"/>
          </w:rPr>
        </w:r>
        <w:r w:rsidRPr="00FA0961">
          <w:rPr>
            <w:noProof/>
            <w:webHidden/>
            <w:sz w:val="18"/>
            <w:szCs w:val="18"/>
          </w:rPr>
          <w:fldChar w:fldCharType="separate"/>
        </w:r>
        <w:r w:rsidRPr="00FA0961">
          <w:rPr>
            <w:noProof/>
            <w:webHidden/>
            <w:sz w:val="18"/>
            <w:szCs w:val="18"/>
          </w:rPr>
          <w:t>4</w:t>
        </w:r>
        <w:r w:rsidRPr="00FA0961">
          <w:rPr>
            <w:noProof/>
            <w:webHidden/>
            <w:sz w:val="18"/>
            <w:szCs w:val="18"/>
          </w:rPr>
          <w:fldChar w:fldCharType="end"/>
        </w:r>
      </w:hyperlink>
    </w:p>
    <w:p w14:paraId="1B8F338F" w14:textId="19E25D8F" w:rsidR="00FA0961" w:rsidRPr="00FA0961" w:rsidRDefault="00FA0961">
      <w:pPr>
        <w:pStyle w:val="TableofFigures"/>
        <w:tabs>
          <w:tab w:val="right" w:leader="dot" w:pos="4149"/>
        </w:tabs>
        <w:rPr>
          <w:rFonts w:asciiTheme="minorHAnsi" w:hAnsiTheme="minorHAnsi"/>
          <w:noProof/>
          <w:kern w:val="2"/>
          <w:sz w:val="18"/>
          <w:szCs w:val="18"/>
          <w:lang w:eastAsia="en-GB"/>
          <w14:ligatures w14:val="standardContextual"/>
        </w:rPr>
      </w:pPr>
      <w:hyperlink w:anchor="_Toc203973634" w:history="1">
        <w:r w:rsidRPr="00FA0961">
          <w:rPr>
            <w:rStyle w:val="Hyperlink"/>
            <w:noProof/>
            <w:sz w:val="18"/>
            <w:szCs w:val="18"/>
          </w:rPr>
          <w:t xml:space="preserve">Table 3: </w:t>
        </w:r>
        <w:r w:rsidRPr="00FA0961">
          <w:rPr>
            <w:rStyle w:val="Hyperlink"/>
            <w:rFonts w:cs="Times New Roman"/>
            <w:b/>
            <w:bCs/>
            <w:noProof/>
            <w:sz w:val="18"/>
            <w:szCs w:val="18"/>
          </w:rPr>
          <w:t>Proposed policy framework for FSL</w:t>
        </w:r>
        <w:r w:rsidRPr="00FA0961">
          <w:rPr>
            <w:noProof/>
            <w:webHidden/>
            <w:sz w:val="18"/>
            <w:szCs w:val="18"/>
          </w:rPr>
          <w:tab/>
        </w:r>
        <w:r w:rsidRPr="00FA0961">
          <w:rPr>
            <w:noProof/>
            <w:webHidden/>
            <w:sz w:val="18"/>
            <w:szCs w:val="18"/>
          </w:rPr>
          <w:fldChar w:fldCharType="begin"/>
        </w:r>
        <w:r w:rsidRPr="00FA0961">
          <w:rPr>
            <w:noProof/>
            <w:webHidden/>
            <w:sz w:val="18"/>
            <w:szCs w:val="18"/>
          </w:rPr>
          <w:instrText xml:space="preserve"> PAGEREF _Toc203973634 \h </w:instrText>
        </w:r>
        <w:r w:rsidRPr="00FA0961">
          <w:rPr>
            <w:noProof/>
            <w:webHidden/>
            <w:sz w:val="18"/>
            <w:szCs w:val="18"/>
          </w:rPr>
        </w:r>
        <w:r w:rsidRPr="00FA0961">
          <w:rPr>
            <w:noProof/>
            <w:webHidden/>
            <w:sz w:val="18"/>
            <w:szCs w:val="18"/>
          </w:rPr>
          <w:fldChar w:fldCharType="separate"/>
        </w:r>
        <w:r w:rsidRPr="00FA0961">
          <w:rPr>
            <w:noProof/>
            <w:webHidden/>
            <w:sz w:val="18"/>
            <w:szCs w:val="18"/>
          </w:rPr>
          <w:t>5</w:t>
        </w:r>
        <w:r w:rsidRPr="00FA0961">
          <w:rPr>
            <w:noProof/>
            <w:webHidden/>
            <w:sz w:val="18"/>
            <w:szCs w:val="18"/>
          </w:rPr>
          <w:fldChar w:fldCharType="end"/>
        </w:r>
      </w:hyperlink>
    </w:p>
    <w:p w14:paraId="5FB9B5C3" w14:textId="5C966037" w:rsidR="00FA0961" w:rsidRPr="00FA0961" w:rsidRDefault="00FA0961">
      <w:pPr>
        <w:pStyle w:val="TableofFigures"/>
        <w:tabs>
          <w:tab w:val="right" w:leader="dot" w:pos="4149"/>
        </w:tabs>
        <w:rPr>
          <w:rFonts w:asciiTheme="minorHAnsi" w:hAnsiTheme="minorHAnsi"/>
          <w:noProof/>
          <w:kern w:val="2"/>
          <w:sz w:val="18"/>
          <w:szCs w:val="18"/>
          <w:lang w:eastAsia="en-GB"/>
          <w14:ligatures w14:val="standardContextual"/>
        </w:rPr>
      </w:pPr>
      <w:hyperlink w:anchor="_Toc203973635" w:history="1">
        <w:r w:rsidRPr="00FA0961">
          <w:rPr>
            <w:rStyle w:val="Hyperlink"/>
            <w:noProof/>
            <w:sz w:val="18"/>
            <w:szCs w:val="18"/>
          </w:rPr>
          <w:t xml:space="preserve">Table 4: </w:t>
        </w:r>
        <w:r w:rsidRPr="00FA0961">
          <w:rPr>
            <w:rStyle w:val="Hyperlink"/>
            <w:noProof/>
            <w:sz w:val="18"/>
            <w:szCs w:val="18"/>
            <w:lang w:val="en-US"/>
          </w:rPr>
          <w:t>Measures in the form of controls to manage risk [33]</w:t>
        </w:r>
        <w:r w:rsidRPr="00FA0961">
          <w:rPr>
            <w:noProof/>
            <w:webHidden/>
            <w:sz w:val="18"/>
            <w:szCs w:val="18"/>
          </w:rPr>
          <w:tab/>
        </w:r>
        <w:r w:rsidRPr="00FA0961">
          <w:rPr>
            <w:noProof/>
            <w:webHidden/>
            <w:sz w:val="18"/>
            <w:szCs w:val="18"/>
          </w:rPr>
          <w:fldChar w:fldCharType="begin"/>
        </w:r>
        <w:r w:rsidRPr="00FA0961">
          <w:rPr>
            <w:noProof/>
            <w:webHidden/>
            <w:sz w:val="18"/>
            <w:szCs w:val="18"/>
          </w:rPr>
          <w:instrText xml:space="preserve"> PAGEREF _Toc203973635 \h </w:instrText>
        </w:r>
        <w:r w:rsidRPr="00FA0961">
          <w:rPr>
            <w:noProof/>
            <w:webHidden/>
            <w:sz w:val="18"/>
            <w:szCs w:val="18"/>
          </w:rPr>
        </w:r>
        <w:r w:rsidRPr="00FA0961">
          <w:rPr>
            <w:noProof/>
            <w:webHidden/>
            <w:sz w:val="18"/>
            <w:szCs w:val="18"/>
          </w:rPr>
          <w:fldChar w:fldCharType="separate"/>
        </w:r>
        <w:r w:rsidRPr="00FA0961">
          <w:rPr>
            <w:noProof/>
            <w:webHidden/>
            <w:sz w:val="18"/>
            <w:szCs w:val="18"/>
          </w:rPr>
          <w:t>5</w:t>
        </w:r>
        <w:r w:rsidRPr="00FA0961">
          <w:rPr>
            <w:noProof/>
            <w:webHidden/>
            <w:sz w:val="18"/>
            <w:szCs w:val="18"/>
          </w:rPr>
          <w:fldChar w:fldCharType="end"/>
        </w:r>
      </w:hyperlink>
    </w:p>
    <w:p w14:paraId="727ED83F" w14:textId="6CE2E5EC" w:rsidR="00FA0961" w:rsidRPr="00FA0961" w:rsidRDefault="00FA0961">
      <w:pPr>
        <w:pStyle w:val="TableofFigures"/>
        <w:tabs>
          <w:tab w:val="right" w:leader="dot" w:pos="4149"/>
        </w:tabs>
        <w:rPr>
          <w:rFonts w:asciiTheme="minorHAnsi" w:hAnsiTheme="minorHAnsi"/>
          <w:noProof/>
          <w:kern w:val="2"/>
          <w:sz w:val="18"/>
          <w:szCs w:val="18"/>
          <w:lang w:eastAsia="en-GB"/>
          <w14:ligatures w14:val="standardContextual"/>
        </w:rPr>
      </w:pPr>
      <w:hyperlink w:anchor="_Toc203973636" w:history="1">
        <w:r w:rsidRPr="00FA0961">
          <w:rPr>
            <w:rStyle w:val="Hyperlink"/>
            <w:noProof/>
            <w:sz w:val="18"/>
            <w:szCs w:val="18"/>
          </w:rPr>
          <w:t>Table 5: Improving Cyber Resilience. cybersecurity Best Practice Testing (CBEST) review findings mapped to related control types [36-37]</w:t>
        </w:r>
        <w:r w:rsidRPr="00FA0961">
          <w:rPr>
            <w:noProof/>
            <w:webHidden/>
            <w:sz w:val="18"/>
            <w:szCs w:val="18"/>
          </w:rPr>
          <w:tab/>
        </w:r>
        <w:r w:rsidRPr="00FA0961">
          <w:rPr>
            <w:noProof/>
            <w:webHidden/>
            <w:sz w:val="18"/>
            <w:szCs w:val="18"/>
          </w:rPr>
          <w:fldChar w:fldCharType="begin"/>
        </w:r>
        <w:r w:rsidRPr="00FA0961">
          <w:rPr>
            <w:noProof/>
            <w:webHidden/>
            <w:sz w:val="18"/>
            <w:szCs w:val="18"/>
          </w:rPr>
          <w:instrText xml:space="preserve"> PAGEREF _Toc203973636 \h </w:instrText>
        </w:r>
        <w:r w:rsidRPr="00FA0961">
          <w:rPr>
            <w:noProof/>
            <w:webHidden/>
            <w:sz w:val="18"/>
            <w:szCs w:val="18"/>
          </w:rPr>
        </w:r>
        <w:r w:rsidRPr="00FA0961">
          <w:rPr>
            <w:noProof/>
            <w:webHidden/>
            <w:sz w:val="18"/>
            <w:szCs w:val="18"/>
          </w:rPr>
          <w:fldChar w:fldCharType="separate"/>
        </w:r>
        <w:r w:rsidRPr="00FA0961">
          <w:rPr>
            <w:noProof/>
            <w:webHidden/>
            <w:sz w:val="18"/>
            <w:szCs w:val="18"/>
          </w:rPr>
          <w:t>5</w:t>
        </w:r>
        <w:r w:rsidRPr="00FA0961">
          <w:rPr>
            <w:noProof/>
            <w:webHidden/>
            <w:sz w:val="18"/>
            <w:szCs w:val="18"/>
          </w:rPr>
          <w:fldChar w:fldCharType="end"/>
        </w:r>
      </w:hyperlink>
    </w:p>
    <w:p w14:paraId="073AE3FF" w14:textId="01385372" w:rsidR="00FA0961" w:rsidRPr="00FA0961" w:rsidRDefault="00FA0961">
      <w:pPr>
        <w:pStyle w:val="TableofFigures"/>
        <w:tabs>
          <w:tab w:val="right" w:leader="dot" w:pos="4149"/>
        </w:tabs>
        <w:rPr>
          <w:rFonts w:asciiTheme="minorHAnsi" w:hAnsiTheme="minorHAnsi"/>
          <w:noProof/>
          <w:kern w:val="2"/>
          <w:sz w:val="18"/>
          <w:szCs w:val="18"/>
          <w:lang w:eastAsia="en-GB"/>
          <w14:ligatures w14:val="standardContextual"/>
        </w:rPr>
      </w:pPr>
      <w:hyperlink w:anchor="_Toc203973637" w:history="1">
        <w:r w:rsidRPr="00FA0961">
          <w:rPr>
            <w:rStyle w:val="Hyperlink"/>
            <w:noProof/>
            <w:sz w:val="18"/>
            <w:szCs w:val="18"/>
          </w:rPr>
          <w:t>Table 6: Proposed ongoing monitoring and Incident Management plan. [44]</w:t>
        </w:r>
        <w:r w:rsidRPr="00FA0961">
          <w:rPr>
            <w:noProof/>
            <w:webHidden/>
            <w:sz w:val="18"/>
            <w:szCs w:val="18"/>
          </w:rPr>
          <w:tab/>
        </w:r>
        <w:r w:rsidRPr="00FA0961">
          <w:rPr>
            <w:noProof/>
            <w:webHidden/>
            <w:sz w:val="18"/>
            <w:szCs w:val="18"/>
          </w:rPr>
          <w:fldChar w:fldCharType="begin"/>
        </w:r>
        <w:r w:rsidRPr="00FA0961">
          <w:rPr>
            <w:noProof/>
            <w:webHidden/>
            <w:sz w:val="18"/>
            <w:szCs w:val="18"/>
          </w:rPr>
          <w:instrText xml:space="preserve"> PAGEREF _Toc203973637 \h </w:instrText>
        </w:r>
        <w:r w:rsidRPr="00FA0961">
          <w:rPr>
            <w:noProof/>
            <w:webHidden/>
            <w:sz w:val="18"/>
            <w:szCs w:val="18"/>
          </w:rPr>
        </w:r>
        <w:r w:rsidRPr="00FA0961">
          <w:rPr>
            <w:noProof/>
            <w:webHidden/>
            <w:sz w:val="18"/>
            <w:szCs w:val="18"/>
          </w:rPr>
          <w:fldChar w:fldCharType="separate"/>
        </w:r>
        <w:r w:rsidRPr="00FA0961">
          <w:rPr>
            <w:noProof/>
            <w:webHidden/>
            <w:sz w:val="18"/>
            <w:szCs w:val="18"/>
          </w:rPr>
          <w:t>6</w:t>
        </w:r>
        <w:r w:rsidRPr="00FA0961">
          <w:rPr>
            <w:noProof/>
            <w:webHidden/>
            <w:sz w:val="18"/>
            <w:szCs w:val="18"/>
          </w:rPr>
          <w:fldChar w:fldCharType="end"/>
        </w:r>
      </w:hyperlink>
    </w:p>
    <w:p w14:paraId="794971E5" w14:textId="56F1BDDB" w:rsidR="00FA0961" w:rsidRPr="00FA0961" w:rsidRDefault="00FA0961">
      <w:pPr>
        <w:pStyle w:val="TableofFigures"/>
        <w:tabs>
          <w:tab w:val="right" w:leader="dot" w:pos="4149"/>
        </w:tabs>
        <w:rPr>
          <w:rFonts w:asciiTheme="minorHAnsi" w:hAnsiTheme="minorHAnsi"/>
          <w:noProof/>
          <w:kern w:val="2"/>
          <w:sz w:val="18"/>
          <w:szCs w:val="18"/>
          <w:lang w:eastAsia="en-GB"/>
          <w14:ligatures w14:val="standardContextual"/>
        </w:rPr>
      </w:pPr>
      <w:hyperlink w:anchor="_Toc203973638" w:history="1">
        <w:r w:rsidRPr="00FA0961">
          <w:rPr>
            <w:rStyle w:val="Hyperlink"/>
            <w:noProof/>
            <w:sz w:val="18"/>
            <w:szCs w:val="18"/>
          </w:rPr>
          <w:t>Table 7: Plan of action for FSL training programme.[45-46]</w:t>
        </w:r>
        <w:r w:rsidRPr="00FA0961">
          <w:rPr>
            <w:noProof/>
            <w:webHidden/>
            <w:sz w:val="18"/>
            <w:szCs w:val="18"/>
          </w:rPr>
          <w:tab/>
        </w:r>
        <w:r w:rsidRPr="00FA0961">
          <w:rPr>
            <w:noProof/>
            <w:webHidden/>
            <w:sz w:val="18"/>
            <w:szCs w:val="18"/>
          </w:rPr>
          <w:fldChar w:fldCharType="begin"/>
        </w:r>
        <w:r w:rsidRPr="00FA0961">
          <w:rPr>
            <w:noProof/>
            <w:webHidden/>
            <w:sz w:val="18"/>
            <w:szCs w:val="18"/>
          </w:rPr>
          <w:instrText xml:space="preserve"> PAGEREF _Toc203973638 \h </w:instrText>
        </w:r>
        <w:r w:rsidRPr="00FA0961">
          <w:rPr>
            <w:noProof/>
            <w:webHidden/>
            <w:sz w:val="18"/>
            <w:szCs w:val="18"/>
          </w:rPr>
        </w:r>
        <w:r w:rsidRPr="00FA0961">
          <w:rPr>
            <w:noProof/>
            <w:webHidden/>
            <w:sz w:val="18"/>
            <w:szCs w:val="18"/>
          </w:rPr>
          <w:fldChar w:fldCharType="separate"/>
        </w:r>
        <w:r w:rsidRPr="00FA0961">
          <w:rPr>
            <w:noProof/>
            <w:webHidden/>
            <w:sz w:val="18"/>
            <w:szCs w:val="18"/>
          </w:rPr>
          <w:t>7</w:t>
        </w:r>
        <w:r w:rsidRPr="00FA0961">
          <w:rPr>
            <w:noProof/>
            <w:webHidden/>
            <w:sz w:val="18"/>
            <w:szCs w:val="18"/>
          </w:rPr>
          <w:fldChar w:fldCharType="end"/>
        </w:r>
      </w:hyperlink>
    </w:p>
    <w:p w14:paraId="10C9B262" w14:textId="11A34A3E" w:rsidR="00D00A01" w:rsidRDefault="00FA0961" w:rsidP="0025345C">
      <w:pPr>
        <w:rPr>
          <w:lang w:val="en-US"/>
        </w:rPr>
      </w:pPr>
      <w:r>
        <w:rPr>
          <w:lang w:val="en-US"/>
        </w:rPr>
        <w:fldChar w:fldCharType="end"/>
      </w:r>
    </w:p>
    <w:p w14:paraId="441CBC87" w14:textId="6BB1C76B" w:rsidR="0025345C" w:rsidRPr="00FA0961" w:rsidRDefault="00FA0961" w:rsidP="0025345C">
      <w:pPr>
        <w:rPr>
          <w:rStyle w:val="SubtleReference"/>
        </w:rPr>
      </w:pPr>
      <w:r>
        <w:rPr>
          <w:rStyle w:val="SubtleReference"/>
        </w:rPr>
        <w:t>References</w:t>
      </w:r>
    </w:p>
    <w:p w14:paraId="2746C1D3" w14:textId="18FED45B" w:rsidR="00880CA3" w:rsidRPr="00DE3609" w:rsidRDefault="00DF553B" w:rsidP="00E12EAE">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[1] H. Li, Y. Wu, D. Cao, and Y. Wang, “Organizational mindfulness towards digital transformation as a prerequisite of information processing capability to achieve market agility,” Journal of business research, vol. 122, pp. 700–712, 2021, doi: 10.1016/j.jbusres.2019.10.036</w:t>
      </w:r>
    </w:p>
    <w:p w14:paraId="44DCA7A1"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[2] The National Archives, “Data Protection Act 2018”, legislation.gov.uk. [Online] Available:   </w:t>
      </w:r>
      <w:hyperlink r:id="rId28" w:history="1">
        <w:r w:rsidRPr="00DE3609">
          <w:rPr>
            <w:rFonts w:eastAsia="Times New Roman" w:cs="Times New Roman"/>
            <w:sz w:val="18"/>
            <w:szCs w:val="18"/>
            <w:lang w:eastAsia="en-GB"/>
          </w:rPr>
          <w:t>https://www.legislation.gov.uk/ukpga/2018/12/contents/enacted</w:t>
        </w:r>
      </w:hyperlink>
      <w:r w:rsidRPr="00DE3609">
        <w:rPr>
          <w:rFonts w:eastAsia="Times New Roman" w:cs="Times New Roman"/>
          <w:sz w:val="18"/>
          <w:szCs w:val="18"/>
          <w:lang w:eastAsia="en-GB"/>
        </w:rPr>
        <w:t xml:space="preserve">  pub </w:t>
      </w:r>
      <w:proofErr w:type="gramStart"/>
      <w:r w:rsidRPr="00DE3609">
        <w:rPr>
          <w:rFonts w:eastAsia="Times New Roman" w:cs="Times New Roman"/>
          <w:sz w:val="18"/>
          <w:szCs w:val="18"/>
          <w:lang w:eastAsia="en-GB"/>
        </w:rPr>
        <w:t>The</w:t>
      </w:r>
      <w:proofErr w:type="gramEnd"/>
      <w:r w:rsidRPr="00DE3609">
        <w:rPr>
          <w:rFonts w:eastAsia="Times New Roman" w:cs="Times New Roman"/>
          <w:sz w:val="18"/>
          <w:szCs w:val="18"/>
          <w:lang w:eastAsia="en-GB"/>
        </w:rPr>
        <w:t xml:space="preserve"> national archives [Accessed Jun 16, 2024]</w:t>
      </w:r>
    </w:p>
    <w:p w14:paraId="48535401" w14:textId="03B0A534"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[3] The National Archives, “Data Protection Act 2018”, legislation.gov.uk. [Online] Available:   </w:t>
      </w:r>
      <w:hyperlink r:id="rId29" w:history="1">
        <w:r w:rsidRPr="00DE3609">
          <w:rPr>
            <w:rFonts w:eastAsia="Times New Roman" w:cs="Times New Roman"/>
            <w:sz w:val="18"/>
            <w:szCs w:val="18"/>
            <w:lang w:eastAsia="en-GB"/>
          </w:rPr>
          <w:t>https://www.legislation.gov.uk/ukpga/2018/12/contents/enacted</w:t>
        </w:r>
      </w:hyperlink>
      <w:r w:rsidRPr="00DE3609">
        <w:rPr>
          <w:rFonts w:eastAsia="Times New Roman" w:cs="Times New Roman"/>
          <w:sz w:val="18"/>
          <w:szCs w:val="18"/>
          <w:lang w:eastAsia="en-GB"/>
        </w:rPr>
        <w:t xml:space="preserve">  pub </w:t>
      </w:r>
      <w:proofErr w:type="gramStart"/>
      <w:r w:rsidRPr="00DE3609">
        <w:rPr>
          <w:rFonts w:eastAsia="Times New Roman" w:cs="Times New Roman"/>
          <w:sz w:val="18"/>
          <w:szCs w:val="18"/>
          <w:lang w:eastAsia="en-GB"/>
        </w:rPr>
        <w:t>The</w:t>
      </w:r>
      <w:proofErr w:type="gramEnd"/>
      <w:r w:rsidRPr="00DE3609">
        <w:rPr>
          <w:rFonts w:eastAsia="Times New Roman" w:cs="Times New Roman"/>
          <w:sz w:val="18"/>
          <w:szCs w:val="18"/>
          <w:lang w:eastAsia="en-GB"/>
        </w:rPr>
        <w:t xml:space="preserve"> national archives </w:t>
      </w:r>
      <w:bookmarkStart w:id="23" w:name="_Hlk173841565"/>
      <w:r w:rsidRPr="00DE3609">
        <w:rPr>
          <w:rFonts w:eastAsia="Times New Roman" w:cs="Times New Roman"/>
          <w:sz w:val="18"/>
          <w:szCs w:val="18"/>
          <w:lang w:eastAsia="en-GB"/>
        </w:rPr>
        <w:t>[Accessed Jun 16, 2024]</w:t>
      </w:r>
      <w:bookmarkEnd w:id="23"/>
    </w:p>
    <w:p w14:paraId="73756208"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 xml:space="preserve">[4] </w:t>
      </w:r>
      <w:r w:rsidRPr="00DE3609">
        <w:rPr>
          <w:rFonts w:eastAsia="Times New Roman" w:cs="Times New Roman"/>
          <w:sz w:val="18"/>
          <w:szCs w:val="18"/>
          <w:lang w:eastAsia="en-GB"/>
        </w:rPr>
        <w:t>PCI Security Standards Council, “PCI DSS: v4.0?”, pcisecuritystandards.org, (</w:t>
      </w:r>
      <w:proofErr w:type="gramStart"/>
      <w:r w:rsidRPr="00DE3609">
        <w:rPr>
          <w:rFonts w:eastAsia="Times New Roman" w:cs="Times New Roman"/>
          <w:sz w:val="18"/>
          <w:szCs w:val="18"/>
          <w:lang w:eastAsia="en-GB"/>
        </w:rPr>
        <w:t>Mar,</w:t>
      </w:r>
      <w:proofErr w:type="gramEnd"/>
      <w:r w:rsidRPr="00DE3609">
        <w:rPr>
          <w:rFonts w:eastAsia="Times New Roman" w:cs="Times New Roman"/>
          <w:sz w:val="18"/>
          <w:szCs w:val="18"/>
          <w:lang w:eastAsia="en-GB"/>
        </w:rPr>
        <w:t xml:space="preserve"> 2022) [Online] Available: https://www.codecademy.com/resources/blog/kernel/ </w:t>
      </w:r>
      <w:bookmarkStart w:id="24" w:name="_Hlk173841732"/>
      <w:r w:rsidRPr="00DE3609">
        <w:rPr>
          <w:rFonts w:eastAsia="Times New Roman" w:cs="Times New Roman"/>
          <w:sz w:val="18"/>
          <w:szCs w:val="18"/>
          <w:lang w:eastAsia="en-GB"/>
        </w:rPr>
        <w:t>[Accessed Jun 16, 2024]</w:t>
      </w:r>
      <w:bookmarkEnd w:id="24"/>
    </w:p>
    <w:p w14:paraId="00817643" w14:textId="38C3F46B" w:rsidR="00DF553B" w:rsidRPr="00DE3609" w:rsidRDefault="00DF553B" w:rsidP="00DF553B">
      <w:pPr>
        <w:spacing w:before="100" w:beforeAutospacing="1" w:after="100" w:afterAutospacing="1" w:line="240" w:lineRule="auto"/>
        <w:rPr>
          <w:rFonts w:eastAsia="Times New Roman" w:cs="Times New Roman"/>
          <w:sz w:val="18"/>
          <w:szCs w:val="18"/>
          <w:lang w:eastAsia="en-GB"/>
        </w:rPr>
      </w:pPr>
      <w:bookmarkStart w:id="25" w:name="_Hlk173841978"/>
      <w:r w:rsidRPr="00DE3609">
        <w:rPr>
          <w:rFonts w:eastAsia="Times New Roman" w:cs="Times New Roman"/>
          <w:smallCaps/>
          <w:sz w:val="18"/>
          <w:szCs w:val="18"/>
          <w:lang w:eastAsia="en-GB"/>
        </w:rPr>
        <w:t xml:space="preserve">[5] </w:t>
      </w:r>
      <w:r w:rsidRPr="00DE3609">
        <w:rPr>
          <w:rFonts w:eastAsia="Times New Roman" w:cs="Times New Roman"/>
          <w:sz w:val="18"/>
          <w:szCs w:val="18"/>
          <w:lang w:eastAsia="en-GB"/>
        </w:rPr>
        <w:t>ISO, “ISO/IEC 27000 family”, iso.org,[Online] Available:  https://www.iso.org/standard/iso-iec-27000-family [Accessed Jun 16, 2024]</w:t>
      </w:r>
    </w:p>
    <w:bookmarkEnd w:id="25"/>
    <w:p w14:paraId="3B596312" w14:textId="52FDC609"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[6] NCSC, “Cyber Essentials Overview”, ncsc.gov.uk, [Online] Available: https://www.ncsc.gov.uk/cyberessentials/overview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7, 2024]</w:t>
      </w:r>
    </w:p>
    <w:p w14:paraId="3A5C22CB" w14:textId="0E7826BE"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 xml:space="preserve">[7] </w:t>
      </w:r>
      <w:r w:rsidRPr="00DE3609">
        <w:rPr>
          <w:rFonts w:eastAsia="Times New Roman" w:cs="Times New Roman"/>
          <w:sz w:val="18"/>
          <w:szCs w:val="18"/>
          <w:lang w:eastAsia="en-GB"/>
        </w:rPr>
        <w:t>ISO, “ISO/IEC 27017:2015”, iso.org,[Online] Available: https://www.iso.org/standard/43757.html [Accessed Jun 16, 2024]</w:t>
      </w:r>
    </w:p>
    <w:p w14:paraId="2A3C3A39"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bookmarkStart w:id="26" w:name="_Hlk173842007"/>
      <w:r w:rsidRPr="00DE3609">
        <w:rPr>
          <w:rFonts w:eastAsia="Times New Roman" w:cs="Times New Roman"/>
          <w:smallCaps/>
          <w:sz w:val="18"/>
          <w:szCs w:val="18"/>
          <w:lang w:eastAsia="en-GB"/>
        </w:rPr>
        <w:t xml:space="preserve">[8] </w:t>
      </w:r>
      <w:r w:rsidRPr="00DE3609">
        <w:rPr>
          <w:rFonts w:eastAsia="Times New Roman" w:cs="Times New Roman"/>
          <w:sz w:val="18"/>
          <w:szCs w:val="18"/>
          <w:lang w:eastAsia="en-GB"/>
        </w:rPr>
        <w:t xml:space="preserve">ISO, “ISO/IEC 27003:2017”, </w:t>
      </w:r>
      <w:bookmarkStart w:id="27" w:name="_Hlk173842377"/>
      <w:r w:rsidRPr="00DE3609">
        <w:rPr>
          <w:rFonts w:eastAsia="Times New Roman" w:cs="Times New Roman"/>
          <w:sz w:val="18"/>
          <w:szCs w:val="18"/>
          <w:lang w:eastAsia="en-GB"/>
        </w:rPr>
        <w:t>iso.org</w:t>
      </w:r>
      <w:bookmarkEnd w:id="27"/>
      <w:r w:rsidRPr="00DE3609">
        <w:rPr>
          <w:rFonts w:eastAsia="Times New Roman" w:cs="Times New Roman"/>
          <w:sz w:val="18"/>
          <w:szCs w:val="18"/>
          <w:lang w:eastAsia="en-GB"/>
        </w:rPr>
        <w:t xml:space="preserve">,[Online] Available: https://www.iso.org/standard/63417.html </w:t>
      </w:r>
      <w:bookmarkStart w:id="28" w:name="_Hlk173842399"/>
      <w:r w:rsidRPr="00DE3609">
        <w:rPr>
          <w:rFonts w:eastAsia="Times New Roman" w:cs="Times New Roman"/>
          <w:sz w:val="18"/>
          <w:szCs w:val="18"/>
          <w:lang w:eastAsia="en-GB"/>
        </w:rPr>
        <w:t>[Accessed Jun 16, 2024]</w:t>
      </w:r>
      <w:bookmarkEnd w:id="28"/>
    </w:p>
    <w:p w14:paraId="2F732AC8"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bookmarkStart w:id="29" w:name="_Hlk173842428"/>
      <w:bookmarkEnd w:id="26"/>
      <w:r w:rsidRPr="00DE3609">
        <w:rPr>
          <w:rFonts w:eastAsia="Times New Roman" w:cs="Times New Roman"/>
          <w:sz w:val="18"/>
          <w:szCs w:val="18"/>
          <w:lang w:eastAsia="en-GB"/>
        </w:rPr>
        <w:t>[9] ISO, “ISO/IEC 27000:2018(</w:t>
      </w:r>
      <w:proofErr w:type="spellStart"/>
      <w:r w:rsidRPr="00DE3609">
        <w:rPr>
          <w:rFonts w:eastAsia="Times New Roman" w:cs="Times New Roman"/>
          <w:sz w:val="18"/>
          <w:szCs w:val="18"/>
          <w:lang w:eastAsia="en-GB"/>
        </w:rPr>
        <w:t>en</w:t>
      </w:r>
      <w:proofErr w:type="spellEnd"/>
      <w:r w:rsidRPr="00DE3609">
        <w:rPr>
          <w:rFonts w:eastAsia="Times New Roman" w:cs="Times New Roman"/>
          <w:sz w:val="18"/>
          <w:szCs w:val="18"/>
          <w:lang w:eastAsia="en-GB"/>
        </w:rPr>
        <w:t>)”, iso.org, [Online] Available: https://www.codecademy.com/resources/blog/kernel/ [Accessed Jul 13, 2024]</w:t>
      </w:r>
    </w:p>
    <w:bookmarkEnd w:id="29"/>
    <w:p w14:paraId="375AF37D"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[10] </w:t>
      </w:r>
      <w:r w:rsidRPr="00DE3609">
        <w:rPr>
          <w:rFonts w:eastAsia="Times New Roman" w:cs="Times New Roman"/>
          <w:sz w:val="18"/>
          <w:szCs w:val="18"/>
          <w:lang w:eastAsia="en-GB"/>
        </w:rPr>
        <w:t xml:space="preserve">K. </w:t>
      </w:r>
      <w:proofErr w:type="spellStart"/>
      <w:r w:rsidRPr="00DE3609">
        <w:rPr>
          <w:rFonts w:eastAsia="Times New Roman" w:cs="Times New Roman"/>
          <w:sz w:val="18"/>
          <w:szCs w:val="18"/>
          <w:lang w:eastAsia="en-GB"/>
        </w:rPr>
        <w:t>Razikin</w:t>
      </w:r>
      <w:proofErr w:type="spellEnd"/>
      <w:r w:rsidRPr="00DE3609">
        <w:rPr>
          <w:rFonts w:eastAsia="Times New Roman" w:cs="Times New Roman"/>
          <w:sz w:val="18"/>
          <w:szCs w:val="18"/>
          <w:lang w:eastAsia="en-GB"/>
        </w:rPr>
        <w:t xml:space="preserve"> and B. </w:t>
      </w:r>
      <w:proofErr w:type="spellStart"/>
      <w:r w:rsidRPr="00DE3609">
        <w:rPr>
          <w:rFonts w:eastAsia="Times New Roman" w:cs="Times New Roman"/>
          <w:sz w:val="18"/>
          <w:szCs w:val="18"/>
          <w:lang w:eastAsia="en-GB"/>
        </w:rPr>
        <w:t>Soewito</w:t>
      </w:r>
      <w:proofErr w:type="spellEnd"/>
      <w:r w:rsidRPr="00DE3609">
        <w:rPr>
          <w:rFonts w:eastAsia="Times New Roman" w:cs="Times New Roman"/>
          <w:sz w:val="18"/>
          <w:szCs w:val="18"/>
          <w:lang w:eastAsia="en-GB"/>
        </w:rPr>
        <w:t>, “Cybersecurity decision support model to designing information technology security system based on risk analysis and cybersecurity framework,” Egyptian informatics journal, vol. 23, no. 3, pp. 383–404, 2022, doi: 10.1016/j.eij.2022.03.001. p383</w:t>
      </w:r>
    </w:p>
    <w:p w14:paraId="1E68C7E5"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[11] </w:t>
      </w:r>
      <w:r w:rsidRPr="00DE3609">
        <w:rPr>
          <w:rFonts w:eastAsia="Times New Roman" w:cs="Times New Roman"/>
          <w:sz w:val="18"/>
          <w:szCs w:val="18"/>
          <w:lang w:eastAsia="en-GB"/>
        </w:rPr>
        <w:t>M. Suorsa, &amp; P. Helo, “Information security failures identified and measured – ISO/IEC 27001:2013 controls ranked based on GDPR penalty case analysis,” Information Security Journal: A Global Perspective, vol. 33, no. 3, pp. 285–306, 2023, doi: 10.1080/19393555.2023.2270984</w:t>
      </w:r>
    </w:p>
    <w:p w14:paraId="72C65228"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[12] IBM, “Cost of a Data Breach Report 2024”, ibm.com, [Online] Available: https://www.ibm.com/reports/data-breach?utm_content=SRCWW&amp;p1=Search&amp;p4=43700075239447581&amp;p5=e&amp;p9=58700008280240525&amp;gad_source=1&amp;gclid=Cj0KCQjwtZK1BhDuARIsAAy2Vzs6L9xmXPcHVBYIk6E5-Lg9ADcs0in37H4UIMjrIUtdTmMfVbo5MZQaAlVEEALw_wcB&amp;gclsrc=aw.ds [Accessed Jun 23, 2024]</w:t>
      </w:r>
    </w:p>
    <w:p w14:paraId="20A15CE4" w14:textId="4F1A1994"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[13] NCSC, “Cyber Essentials Overview”, ncsc.gov.uk, [Online] Available: https://www.ncsc.gov.uk/cyberessentials/overview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7, 2024]</w:t>
      </w:r>
    </w:p>
    <w:p w14:paraId="7CEE335B" w14:textId="457CA48B"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 xml:space="preserve">[14] </w:t>
      </w:r>
      <w:r w:rsidRPr="00DE3609">
        <w:rPr>
          <w:rFonts w:eastAsia="Times New Roman" w:cs="Times New Roman"/>
          <w:sz w:val="18"/>
          <w:szCs w:val="18"/>
          <w:lang w:eastAsia="en-GB"/>
        </w:rPr>
        <w:t xml:space="preserve"> H. E. Amin et al, "An Integrated Approach to Cyber Risk Management with Cyber Threat Intelligence Framework to Secure Critical Infrastructure," Journal of Cybersecurity and Privacy, vol. 4, (2), pp. 357, 2024. </w:t>
      </w:r>
    </w:p>
    <w:p w14:paraId="16F7830D"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[15]</w:t>
      </w:r>
      <w:r w:rsidRPr="00DE3609">
        <w:rPr>
          <w:rFonts w:eastAsia="Times New Roman" w:cs="Times New Roman"/>
          <w:sz w:val="18"/>
          <w:szCs w:val="18"/>
          <w:lang w:eastAsia="en-GB"/>
        </w:rPr>
        <w:t xml:space="preserve"> A. </w:t>
      </w:r>
      <w:proofErr w:type="spellStart"/>
      <w:r w:rsidRPr="00DE3609">
        <w:rPr>
          <w:rFonts w:eastAsia="Times New Roman" w:cs="Times New Roman"/>
          <w:sz w:val="18"/>
          <w:szCs w:val="18"/>
          <w:lang w:eastAsia="en-GB"/>
        </w:rPr>
        <w:t>Mughaid</w:t>
      </w:r>
      <w:proofErr w:type="spellEnd"/>
      <w:r w:rsidRPr="00DE3609">
        <w:rPr>
          <w:rFonts w:eastAsia="Times New Roman" w:cs="Times New Roman"/>
          <w:sz w:val="18"/>
          <w:szCs w:val="18"/>
          <w:lang w:eastAsia="en-GB"/>
        </w:rPr>
        <w:t xml:space="preserve">, I. Obeidat, L. </w:t>
      </w:r>
      <w:proofErr w:type="spellStart"/>
      <w:r w:rsidRPr="00DE3609">
        <w:rPr>
          <w:rFonts w:eastAsia="Times New Roman" w:cs="Times New Roman"/>
          <w:sz w:val="18"/>
          <w:szCs w:val="18"/>
          <w:lang w:eastAsia="en-GB"/>
        </w:rPr>
        <w:t>Abualigah</w:t>
      </w:r>
      <w:proofErr w:type="spellEnd"/>
      <w:r w:rsidRPr="00DE3609">
        <w:rPr>
          <w:rFonts w:eastAsia="Times New Roman" w:cs="Times New Roman"/>
          <w:sz w:val="18"/>
          <w:szCs w:val="18"/>
          <w:lang w:eastAsia="en-GB"/>
        </w:rPr>
        <w:t xml:space="preserve">, S. Alzubi, M. S. Daoud, and H. </w:t>
      </w:r>
      <w:proofErr w:type="spellStart"/>
      <w:r w:rsidRPr="00DE3609">
        <w:rPr>
          <w:rFonts w:eastAsia="Times New Roman" w:cs="Times New Roman"/>
          <w:sz w:val="18"/>
          <w:szCs w:val="18"/>
          <w:lang w:eastAsia="en-GB"/>
        </w:rPr>
        <w:t>Migdady</w:t>
      </w:r>
      <w:proofErr w:type="spellEnd"/>
      <w:r w:rsidRPr="00DE3609">
        <w:rPr>
          <w:rFonts w:eastAsia="Times New Roman" w:cs="Times New Roman"/>
          <w:sz w:val="18"/>
          <w:szCs w:val="18"/>
          <w:lang w:eastAsia="en-GB"/>
        </w:rPr>
        <w:t xml:space="preserve">, </w:t>
      </w:r>
    </w:p>
    <w:p w14:paraId="65CD1267" w14:textId="4B73079A"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z w:val="18"/>
          <w:szCs w:val="18"/>
          <w:lang w:eastAsia="en-GB"/>
        </w:rPr>
        <w:t xml:space="preserve">“Intelligent cybersecurity approach for data protection in cloud </w:t>
      </w:r>
      <w:proofErr w:type="gramStart"/>
      <w:r w:rsidRPr="00DE3609">
        <w:rPr>
          <w:rFonts w:eastAsia="Times New Roman" w:cs="Times New Roman"/>
          <w:sz w:val="18"/>
          <w:szCs w:val="18"/>
          <w:lang w:eastAsia="en-GB"/>
        </w:rPr>
        <w:t>computing based</w:t>
      </w:r>
      <w:proofErr w:type="gramEnd"/>
      <w:r w:rsidRPr="00DE3609">
        <w:rPr>
          <w:rFonts w:eastAsia="Times New Roman" w:cs="Times New Roman"/>
          <w:sz w:val="18"/>
          <w:szCs w:val="18"/>
          <w:lang w:eastAsia="en-GB"/>
        </w:rPr>
        <w:t xml:space="preserve"> Internet of Things,” International journal of information security, vol. 23, no. 3, pp. 2123–2137, 2024, doi: 10.1007/s10207-024-00832-0.</w:t>
      </w:r>
    </w:p>
    <w:p w14:paraId="023DA1B1" w14:textId="5AF7399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16] NCSC, “Device Security Guidance”. ncsc.gov.uk, [Online] Available: https://www.ncsc.gov.uk/collection/device-security-guidance/infrastructure/enterprise-authentication-policy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7, 2024]</w:t>
      </w:r>
    </w:p>
    <w:p w14:paraId="3463AF3E"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[17] </w:t>
      </w:r>
      <w:r w:rsidRPr="00DE3609">
        <w:rPr>
          <w:rFonts w:eastAsia="Times New Roman" w:cs="Times New Roman"/>
          <w:sz w:val="18"/>
          <w:szCs w:val="18"/>
          <w:lang w:eastAsia="en-GB"/>
        </w:rPr>
        <w:t xml:space="preserve">K. </w:t>
      </w:r>
      <w:proofErr w:type="spellStart"/>
      <w:r w:rsidRPr="00DE3609">
        <w:rPr>
          <w:rFonts w:eastAsia="Times New Roman" w:cs="Times New Roman"/>
          <w:sz w:val="18"/>
          <w:szCs w:val="18"/>
          <w:lang w:eastAsia="en-GB"/>
        </w:rPr>
        <w:t>Jawaharrani</w:t>
      </w:r>
      <w:proofErr w:type="spellEnd"/>
      <w:r w:rsidRPr="00DE3609">
        <w:rPr>
          <w:rFonts w:eastAsia="Times New Roman" w:cs="Times New Roman"/>
          <w:sz w:val="18"/>
          <w:szCs w:val="18"/>
          <w:lang w:eastAsia="en-GB"/>
        </w:rPr>
        <w:t>, R. S. Lekshmi, G. Nirmala, and K. Dheenadhayalan, "Role of CISO - Cyber Security &amp; Risk Management," 2023 International Conference on Advances in Computing, Communication and Applied Informatics (ACCAI), Chennai, India, 2023, pp. 1-5, doi: 10.1109/ACCAI58221.2023.10200017.</w:t>
      </w:r>
    </w:p>
    <w:p w14:paraId="48E4887E"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[18] </w:t>
      </w:r>
      <w:r w:rsidRPr="00DE3609">
        <w:rPr>
          <w:rFonts w:eastAsia="Times New Roman" w:cs="Times New Roman"/>
          <w:sz w:val="18"/>
          <w:szCs w:val="18"/>
          <w:lang w:eastAsia="en-GB"/>
        </w:rPr>
        <w:t xml:space="preserve">S. Perera, X. Jin, A. </w:t>
      </w:r>
      <w:proofErr w:type="spellStart"/>
      <w:r w:rsidRPr="00DE3609">
        <w:rPr>
          <w:rFonts w:eastAsia="Times New Roman" w:cs="Times New Roman"/>
          <w:sz w:val="18"/>
          <w:szCs w:val="18"/>
          <w:lang w:eastAsia="en-GB"/>
        </w:rPr>
        <w:t>Maurushat</w:t>
      </w:r>
      <w:proofErr w:type="spellEnd"/>
      <w:r w:rsidRPr="00DE3609">
        <w:rPr>
          <w:rFonts w:eastAsia="Times New Roman" w:cs="Times New Roman"/>
          <w:sz w:val="18"/>
          <w:szCs w:val="18"/>
          <w:lang w:eastAsia="en-GB"/>
        </w:rPr>
        <w:t>, and D.-G. J. Opoku, “Factors Affecting Reputational Damage to Organisations Due to Cyberattacks,” Informatics (Basel), vol. 9, no. 1, pp. 28-, 2022, doi: 10.3390/informatics9010028. Page 13 (derived from tables 4, 5, 6,)</w:t>
      </w:r>
    </w:p>
    <w:p w14:paraId="4DCB3E9E"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[19] </w:t>
      </w:r>
      <w:r w:rsidRPr="00DE3609">
        <w:rPr>
          <w:rFonts w:eastAsia="Times New Roman" w:cs="Times New Roman"/>
          <w:sz w:val="18"/>
          <w:szCs w:val="18"/>
          <w:lang w:eastAsia="en-GB"/>
        </w:rPr>
        <w:t>A. S. and S. D., “Understanding insiders in cloud adopted organizations: A survey on taxonomies, incident analysis, defensive solutions, challenges,” Future generation computer systems, vol. 158, pp. 427–446, 2024, doi: 10.1016/j.future.2024.04.033.</w:t>
      </w:r>
    </w:p>
    <w:p w14:paraId="5F400B69" w14:textId="05323B7C"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[20] </w:t>
      </w:r>
      <w:proofErr w:type="spellStart"/>
      <w:r w:rsidRPr="00DE3609">
        <w:rPr>
          <w:rFonts w:eastAsia="Times New Roman" w:cs="Times New Roman"/>
          <w:sz w:val="18"/>
          <w:szCs w:val="18"/>
          <w:lang w:eastAsia="en-GB"/>
        </w:rPr>
        <w:t>Codecademy</w:t>
      </w:r>
      <w:proofErr w:type="spellEnd"/>
      <w:r w:rsidRPr="00DE3609">
        <w:rPr>
          <w:rFonts w:eastAsia="Times New Roman" w:cs="Times New Roman"/>
          <w:sz w:val="18"/>
          <w:szCs w:val="18"/>
          <w:lang w:eastAsia="en-GB"/>
        </w:rPr>
        <w:t xml:space="preserve"> Team, “About Cyber Essentials?”, talosintelligence.com, [Online] Available: https://talosintelligence.com/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24, 2024]</w:t>
      </w:r>
    </w:p>
    <w:p w14:paraId="0EF592A5"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[21] Microsoft, “Security Update Guide” microsoft.com, [Online] Available: https://msrc.microsoft.com/update-guide/vulnerability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24, 2024]</w:t>
      </w:r>
    </w:p>
    <w:p w14:paraId="05D81E2C"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[22] </w:t>
      </w:r>
      <w:r w:rsidRPr="00DE3609">
        <w:rPr>
          <w:rFonts w:eastAsia="Times New Roman" w:cs="Times New Roman"/>
          <w:sz w:val="18"/>
          <w:szCs w:val="18"/>
          <w:lang w:eastAsia="en-GB"/>
        </w:rPr>
        <w:t>A. Jeyaraj, A. Zadeh, and V. Sethi, “Cybersecurity Threats and Organisational Response: Textual Analysis and Panel Regression,” Journal of Business Analytics, vol. 4, no. 1, pp. 26–39, 2021. doi: 10.1080/2573234X.2020.1863750. – pages 27-29</w:t>
      </w:r>
    </w:p>
    <w:p w14:paraId="37A7A947" w14:textId="56969520" w:rsidR="00DF553B" w:rsidRPr="00DE3609" w:rsidRDefault="00DF553B" w:rsidP="00DF553B">
      <w:pPr>
        <w:spacing w:before="100" w:beforeAutospacing="1" w:after="100" w:afterAutospacing="1" w:line="240" w:lineRule="auto"/>
        <w:rPr>
          <w:rFonts w:eastAsia="Times New Roman" w:cs="Times New Roman"/>
          <w:sz w:val="18"/>
          <w:szCs w:val="18"/>
          <w:lang w:eastAsia="en-GB"/>
        </w:rPr>
      </w:pPr>
      <w:bookmarkStart w:id="30" w:name="_Hlk173843340"/>
      <w:r w:rsidRPr="00DE3609">
        <w:rPr>
          <w:rFonts w:eastAsia="Times New Roman" w:cs="Times New Roman"/>
          <w:sz w:val="18"/>
          <w:szCs w:val="18"/>
          <w:lang w:eastAsia="en-GB"/>
        </w:rPr>
        <w:t xml:space="preserve">[23] Financial Times, “London hospitals declare critical incident after </w:t>
      </w:r>
      <w:proofErr w:type="spellStart"/>
      <w:r w:rsidRPr="00DE3609">
        <w:rPr>
          <w:rFonts w:eastAsia="Times New Roman" w:cs="Times New Roman"/>
          <w:sz w:val="18"/>
          <w:szCs w:val="18"/>
          <w:lang w:eastAsia="en-GB"/>
        </w:rPr>
        <w:t>cyber attack</w:t>
      </w:r>
      <w:proofErr w:type="spellEnd"/>
      <w:r w:rsidRPr="00DE3609">
        <w:rPr>
          <w:rFonts w:eastAsia="Times New Roman" w:cs="Times New Roman"/>
          <w:sz w:val="18"/>
          <w:szCs w:val="18"/>
          <w:lang w:eastAsia="en-GB"/>
        </w:rPr>
        <w:t xml:space="preserve">” ft.com, [Online] Available: https://www.ft.com/content/64ac2bd3-7bff-4323-9263-c70fa0b6ca51 [Accessed </w:t>
      </w:r>
      <w:proofErr w:type="gramStart"/>
      <w:r w:rsidRPr="00DE3609">
        <w:rPr>
          <w:rFonts w:eastAsia="Times New Roman" w:cs="Times New Roman"/>
          <w:sz w:val="18"/>
          <w:szCs w:val="18"/>
          <w:lang w:eastAsia="en-GB"/>
        </w:rPr>
        <w:t>Jun,</w:t>
      </w:r>
      <w:proofErr w:type="gramEnd"/>
      <w:r w:rsidRPr="00DE3609">
        <w:rPr>
          <w:rFonts w:eastAsia="Times New Roman" w:cs="Times New Roman"/>
          <w:sz w:val="18"/>
          <w:szCs w:val="18"/>
          <w:lang w:eastAsia="en-GB"/>
        </w:rPr>
        <w:t xml:space="preserve"> 15, 2024]</w:t>
      </w:r>
    </w:p>
    <w:bookmarkEnd w:id="30"/>
    <w:p w14:paraId="3117F936"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[24] Synnovis “Security Update Guide” synnovis.co.uk, [Online] Available: https://www.synnovis.co.uk/news-and-press/synnovis-cyberattack [Accessed </w:t>
      </w:r>
      <w:proofErr w:type="gramStart"/>
      <w:r w:rsidRPr="00DE3609">
        <w:rPr>
          <w:rFonts w:eastAsia="Times New Roman" w:cs="Times New Roman"/>
          <w:sz w:val="18"/>
          <w:szCs w:val="18"/>
          <w:lang w:eastAsia="en-GB"/>
        </w:rPr>
        <w:t>Jun,</w:t>
      </w:r>
      <w:proofErr w:type="gramEnd"/>
      <w:r w:rsidRPr="00DE3609">
        <w:rPr>
          <w:rFonts w:eastAsia="Times New Roman" w:cs="Times New Roman"/>
          <w:sz w:val="18"/>
          <w:szCs w:val="18"/>
          <w:lang w:eastAsia="en-GB"/>
        </w:rPr>
        <w:t xml:space="preserve"> 15, 2024]</w:t>
      </w:r>
    </w:p>
    <w:p w14:paraId="760EE544"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 xml:space="preserve">[25] </w:t>
      </w:r>
      <w:r w:rsidRPr="00DE3609">
        <w:rPr>
          <w:rFonts w:eastAsia="Times New Roman" w:cs="Times New Roman"/>
          <w:sz w:val="18"/>
          <w:szCs w:val="18"/>
          <w:lang w:eastAsia="en-GB"/>
        </w:rPr>
        <w:t xml:space="preserve">R. Pereira, J. B. de Vasconcelos, Á. Rocha, and I. S. Bianchi, “Business process management heuristics in IT </w:t>
      </w:r>
      <w:r w:rsidRPr="00DE3609">
        <w:rPr>
          <w:rFonts w:eastAsia="Times New Roman" w:cs="Times New Roman"/>
          <w:sz w:val="18"/>
          <w:szCs w:val="18"/>
          <w:lang w:eastAsia="en-GB"/>
        </w:rPr>
        <w:lastRenderedPageBreak/>
        <w:t>service management: a case study for incident management,” Computational and mathematical organization theory, vol. 27, no. 3, pp. 264–301, 2021, doi: 10.1007/s10588-021-09331-2.</w:t>
      </w:r>
    </w:p>
    <w:p w14:paraId="0261E456" w14:textId="7E16B513"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 xml:space="preserve">[26] </w:t>
      </w:r>
      <w:r w:rsidRPr="00DE3609">
        <w:rPr>
          <w:rFonts w:eastAsia="Times New Roman" w:cs="Times New Roman"/>
          <w:sz w:val="18"/>
          <w:szCs w:val="18"/>
          <w:lang w:eastAsia="en-GB"/>
        </w:rPr>
        <w:t>[L] M. Thangavelu, V. Krishnaswamy, and M. Sharma, “Impact of comprehensive information security awareness and cognitive characteristics on security incident management – an empirical study,” Computers &amp; security, vol. 109, pp. 102401-, 2021, doi: 10.1016/j.cose.2021.102401</w:t>
      </w:r>
    </w:p>
    <w:p w14:paraId="2E739FDC"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 xml:space="preserve">[27] </w:t>
      </w:r>
      <w:r w:rsidRPr="00DE3609">
        <w:rPr>
          <w:rFonts w:eastAsia="Times New Roman" w:cs="Times New Roman"/>
          <w:sz w:val="18"/>
          <w:szCs w:val="18"/>
          <w:lang w:eastAsia="en-GB"/>
        </w:rPr>
        <w:t xml:space="preserve">Radu </w:t>
      </w:r>
      <w:proofErr w:type="spellStart"/>
      <w:r w:rsidRPr="00DE3609">
        <w:rPr>
          <w:rFonts w:eastAsia="Times New Roman" w:cs="Times New Roman"/>
          <w:sz w:val="18"/>
          <w:szCs w:val="18"/>
          <w:lang w:eastAsia="en-GB"/>
        </w:rPr>
        <w:t>Moisescu</w:t>
      </w:r>
      <w:proofErr w:type="spellEnd"/>
      <w:r w:rsidRPr="00DE3609">
        <w:rPr>
          <w:rFonts w:eastAsia="Times New Roman" w:cs="Times New Roman"/>
          <w:sz w:val="18"/>
          <w:szCs w:val="18"/>
          <w:lang w:eastAsia="en-GB"/>
        </w:rPr>
        <w:t xml:space="preserve"> and Aurel – Mihail </w:t>
      </w:r>
      <w:proofErr w:type="spellStart"/>
      <w:r w:rsidRPr="00DE3609">
        <w:rPr>
          <w:rFonts w:eastAsia="Times New Roman" w:cs="Times New Roman"/>
          <w:sz w:val="18"/>
          <w:szCs w:val="18"/>
          <w:lang w:eastAsia="en-GB"/>
        </w:rPr>
        <w:t>Țîțu</w:t>
      </w:r>
      <w:proofErr w:type="spellEnd"/>
      <w:r w:rsidRPr="00DE3609">
        <w:rPr>
          <w:rFonts w:eastAsia="Times New Roman" w:cs="Times New Roman"/>
          <w:sz w:val="18"/>
          <w:szCs w:val="18"/>
          <w:lang w:eastAsia="en-GB"/>
        </w:rPr>
        <w:t>, “Improving intellectual property data security at the organizational level as a result of streamlining quality management,” Journal of Research and Innovation for Sustainable Society, vol. 6, no. 1, pp. 88–97, 2024, doi: 10.33727/JRISS.2024.1.11:88-97.</w:t>
      </w:r>
    </w:p>
    <w:p w14:paraId="43008A86"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[28] </w:t>
      </w:r>
      <w:r w:rsidRPr="00DE3609">
        <w:rPr>
          <w:rFonts w:eastAsia="Times New Roman" w:cs="Times New Roman"/>
          <w:sz w:val="18"/>
          <w:szCs w:val="18"/>
          <w:lang w:eastAsia="en-GB"/>
        </w:rPr>
        <w:t xml:space="preserve">S. N, G. T, R. S. R, A. </w:t>
      </w:r>
      <w:proofErr w:type="spellStart"/>
      <w:r w:rsidRPr="00DE3609">
        <w:rPr>
          <w:rFonts w:eastAsia="Times New Roman" w:cs="Times New Roman"/>
          <w:sz w:val="18"/>
          <w:szCs w:val="18"/>
          <w:lang w:eastAsia="en-GB"/>
        </w:rPr>
        <w:t>Sungheetha</w:t>
      </w:r>
      <w:proofErr w:type="spellEnd"/>
      <w:r w:rsidRPr="00DE3609">
        <w:rPr>
          <w:rFonts w:eastAsia="Times New Roman" w:cs="Times New Roman"/>
          <w:sz w:val="18"/>
          <w:szCs w:val="18"/>
          <w:lang w:eastAsia="en-GB"/>
        </w:rPr>
        <w:t xml:space="preserve">, C. R, and S. </w:t>
      </w:r>
      <w:proofErr w:type="spellStart"/>
      <w:r w:rsidRPr="00DE3609">
        <w:rPr>
          <w:rFonts w:eastAsia="Times New Roman" w:cs="Times New Roman"/>
          <w:sz w:val="18"/>
          <w:szCs w:val="18"/>
          <w:lang w:eastAsia="en-GB"/>
        </w:rPr>
        <w:t>Hamsanandhini</w:t>
      </w:r>
      <w:proofErr w:type="spellEnd"/>
      <w:r w:rsidRPr="00DE3609">
        <w:rPr>
          <w:rFonts w:eastAsia="Times New Roman" w:cs="Times New Roman"/>
          <w:sz w:val="18"/>
          <w:szCs w:val="18"/>
          <w:lang w:eastAsia="en-GB"/>
        </w:rPr>
        <w:t>, "Secured and Optimized Application Delivery Service in Public Cloud," 2024 4th International Conference on Innovative Practices in Technology and Management (ICIPTM),</w:t>
      </w:r>
    </w:p>
    <w:p w14:paraId="52491F8F"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[29] </w:t>
      </w:r>
      <w:r w:rsidRPr="00DE3609">
        <w:rPr>
          <w:rFonts w:eastAsia="Times New Roman" w:cs="Times New Roman"/>
          <w:sz w:val="18"/>
          <w:szCs w:val="18"/>
          <w:lang w:eastAsia="en-GB"/>
        </w:rPr>
        <w:t xml:space="preserve">P. T. </w:t>
      </w:r>
      <w:proofErr w:type="spellStart"/>
      <w:r w:rsidRPr="00DE3609">
        <w:rPr>
          <w:rFonts w:eastAsia="Times New Roman" w:cs="Times New Roman"/>
          <w:sz w:val="18"/>
          <w:szCs w:val="18"/>
          <w:lang w:eastAsia="en-GB"/>
        </w:rPr>
        <w:t>Kalpeshkumar</w:t>
      </w:r>
      <w:proofErr w:type="spellEnd"/>
      <w:r w:rsidRPr="00DE3609">
        <w:rPr>
          <w:rFonts w:eastAsia="Times New Roman" w:cs="Times New Roman"/>
          <w:sz w:val="18"/>
          <w:szCs w:val="18"/>
          <w:lang w:eastAsia="en-GB"/>
        </w:rPr>
        <w:t xml:space="preserve">, S. Patel, K. </w:t>
      </w:r>
      <w:proofErr w:type="spellStart"/>
      <w:r w:rsidRPr="00DE3609">
        <w:rPr>
          <w:rFonts w:eastAsia="Times New Roman" w:cs="Times New Roman"/>
          <w:sz w:val="18"/>
          <w:szCs w:val="18"/>
          <w:lang w:eastAsia="en-GB"/>
        </w:rPr>
        <w:t>Krimilkumar</w:t>
      </w:r>
      <w:proofErr w:type="spellEnd"/>
      <w:r w:rsidRPr="00DE3609">
        <w:rPr>
          <w:rFonts w:eastAsia="Times New Roman" w:cs="Times New Roman"/>
          <w:sz w:val="18"/>
          <w:szCs w:val="18"/>
          <w:lang w:eastAsia="en-GB"/>
        </w:rPr>
        <w:t xml:space="preserve">, B. D. </w:t>
      </w:r>
      <w:proofErr w:type="spellStart"/>
      <w:r w:rsidRPr="00DE3609">
        <w:rPr>
          <w:rFonts w:eastAsia="Times New Roman" w:cs="Times New Roman"/>
          <w:sz w:val="18"/>
          <w:szCs w:val="18"/>
          <w:lang w:eastAsia="en-GB"/>
        </w:rPr>
        <w:t>Anilbhai</w:t>
      </w:r>
      <w:proofErr w:type="spellEnd"/>
      <w:r w:rsidRPr="00DE3609">
        <w:rPr>
          <w:rFonts w:eastAsia="Times New Roman" w:cs="Times New Roman"/>
          <w:sz w:val="18"/>
          <w:szCs w:val="18"/>
          <w:lang w:eastAsia="en-GB"/>
        </w:rPr>
        <w:t>, A. Patel, and A. Nayak, "Navigating the Cloudscape: Framework and Strategies for Seamless Migration to the Cloud," 2024 3rd International Conference on Applied Artificial Intelligence and Computing (ICAAIC), Salem, India, 2024, pp. 1298-1302, doi: 10.1109/ICAAIC.2024.00050.</w:t>
      </w:r>
    </w:p>
    <w:p w14:paraId="706B7599"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 xml:space="preserve">[30] </w:t>
      </w:r>
      <w:r w:rsidRPr="00DE3609">
        <w:rPr>
          <w:rFonts w:eastAsia="Times New Roman" w:cs="Times New Roman"/>
          <w:sz w:val="18"/>
          <w:szCs w:val="18"/>
          <w:lang w:eastAsia="en-GB"/>
        </w:rPr>
        <w:t>V. Bhatia, S. Choudhary and K. R. Ramkumar "A Comparative Study on Various Intrusion Detection Techniques Using Machine Learning and Neural Network," presented at the 2020 8th International Conference on Reliability, Infocom Technologies and Optimization (ICRITO), Noida, India, 2020, pp. 232-236, doi: 10.1109/ICRITO48877.2020.9198008.</w:t>
      </w:r>
    </w:p>
    <w:p w14:paraId="426EC475" w14:textId="197DEC8F"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[31] C. Fan, N. M. </w:t>
      </w:r>
      <w:proofErr w:type="spellStart"/>
      <w:r w:rsidRPr="00DE3609">
        <w:rPr>
          <w:rFonts w:eastAsia="Times New Roman" w:cs="Times New Roman"/>
          <w:sz w:val="18"/>
          <w:szCs w:val="18"/>
          <w:lang w:eastAsia="en-GB"/>
        </w:rPr>
        <w:t>Kaliyamurthy</w:t>
      </w:r>
      <w:proofErr w:type="spellEnd"/>
      <w:r w:rsidRPr="00DE3609">
        <w:rPr>
          <w:rFonts w:eastAsia="Times New Roman" w:cs="Times New Roman"/>
          <w:sz w:val="18"/>
          <w:szCs w:val="18"/>
          <w:lang w:eastAsia="en-GB"/>
        </w:rPr>
        <w:t>, S. Chen, H. Jiang, Y. Zhou, and C. Campbell, “Detection of DDoS Attacks in Software Defined Networking Using Entropy,” 2021.</w:t>
      </w:r>
    </w:p>
    <w:p w14:paraId="1FEF79E0" w14:textId="3DA35988" w:rsidR="00DF553B" w:rsidRPr="00DE3609" w:rsidRDefault="00DF553B" w:rsidP="00E12EAE">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[32] B. J. Saunders, P. Kisanga, G. H. S. Carvalho, and I. </w:t>
      </w:r>
      <w:proofErr w:type="spellStart"/>
      <w:r w:rsidRPr="00DE3609">
        <w:rPr>
          <w:rFonts w:eastAsia="Times New Roman" w:cs="Times New Roman"/>
          <w:sz w:val="18"/>
          <w:szCs w:val="18"/>
          <w:lang w:eastAsia="en-GB"/>
        </w:rPr>
        <w:t>Woungang</w:t>
      </w:r>
      <w:proofErr w:type="spellEnd"/>
      <w:r w:rsidRPr="00DE3609">
        <w:rPr>
          <w:rFonts w:eastAsia="Times New Roman" w:cs="Times New Roman"/>
          <w:sz w:val="18"/>
          <w:szCs w:val="18"/>
          <w:lang w:eastAsia="en-GB"/>
        </w:rPr>
        <w:t>, “A Graph Convolutional Networks-Based DDoS Detection Model,” in 2024 IEEE International Systems Conference (SysCon), IEEE, 2024, pp. 1–5. doi: 10.1109/SysCon61195.2024.10553611.</w:t>
      </w:r>
    </w:p>
    <w:bookmarkEnd w:id="9"/>
    <w:bookmarkEnd w:id="10"/>
    <w:p w14:paraId="07CBC48B" w14:textId="5E8F1A71" w:rsidR="006412D6"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[33] M. A. </w:t>
      </w:r>
      <w:proofErr w:type="spellStart"/>
      <w:r w:rsidRPr="00DE3609">
        <w:rPr>
          <w:rFonts w:eastAsia="Times New Roman" w:cs="Times New Roman"/>
          <w:sz w:val="18"/>
          <w:szCs w:val="18"/>
          <w:lang w:eastAsia="en-GB"/>
        </w:rPr>
        <w:t>Hossain,Working</w:t>
      </w:r>
      <w:proofErr w:type="spellEnd"/>
      <w:r w:rsidRPr="00DE3609">
        <w:rPr>
          <w:rFonts w:eastAsia="Times New Roman" w:cs="Times New Roman"/>
          <w:sz w:val="18"/>
          <w:szCs w:val="18"/>
          <w:lang w:eastAsia="en-GB"/>
        </w:rPr>
        <w:t xml:space="preserve"> Principle of IDPS” researchgate.net, [Online] Available: https://www.researchgate.net/publication/348269149_SDN_based_Intrusion_Detection_and_Prevention_Systems_using_Manufacturer_Usage_Description_A_Survey/figures?lo=1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9, 2024]</w:t>
      </w:r>
    </w:p>
    <w:p w14:paraId="5A71B799"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[34] </w:t>
      </w:r>
      <w:r w:rsidRPr="00DE3609">
        <w:rPr>
          <w:rFonts w:eastAsia="Times New Roman" w:cs="Times New Roman"/>
          <w:sz w:val="18"/>
          <w:szCs w:val="18"/>
          <w:lang w:eastAsia="en-GB"/>
        </w:rPr>
        <w:t xml:space="preserve">M. Hristov, M. </w:t>
      </w:r>
      <w:proofErr w:type="spellStart"/>
      <w:r w:rsidRPr="00DE3609">
        <w:rPr>
          <w:rFonts w:eastAsia="Times New Roman" w:cs="Times New Roman"/>
          <w:sz w:val="18"/>
          <w:szCs w:val="18"/>
          <w:lang w:eastAsia="en-GB"/>
        </w:rPr>
        <w:t>Nenova</w:t>
      </w:r>
      <w:proofErr w:type="spellEnd"/>
      <w:r w:rsidRPr="00DE3609">
        <w:rPr>
          <w:rFonts w:eastAsia="Times New Roman" w:cs="Times New Roman"/>
          <w:sz w:val="18"/>
          <w:szCs w:val="18"/>
          <w:lang w:eastAsia="en-GB"/>
        </w:rPr>
        <w:t xml:space="preserve">, G. Iliev and D. </w:t>
      </w:r>
      <w:proofErr w:type="spellStart"/>
      <w:r w:rsidRPr="00DE3609">
        <w:rPr>
          <w:rFonts w:eastAsia="Times New Roman" w:cs="Times New Roman"/>
          <w:sz w:val="18"/>
          <w:szCs w:val="18"/>
          <w:lang w:eastAsia="en-GB"/>
        </w:rPr>
        <w:t>Avresky</w:t>
      </w:r>
      <w:proofErr w:type="spellEnd"/>
      <w:r w:rsidRPr="00DE3609">
        <w:rPr>
          <w:rFonts w:eastAsia="Times New Roman" w:cs="Times New Roman"/>
          <w:sz w:val="18"/>
          <w:szCs w:val="18"/>
          <w:lang w:eastAsia="en-GB"/>
        </w:rPr>
        <w:t>, "Implementation of Splunk Enterprise SIEM for Improved Security Posture," presented at the 2021 IEEE 20th International Symposium on Network Computing and Applications (NCA), Boston, MA, USA, 2021, pp 1-5 doi: 10.1109/NCA53618.2021.9685977.</w:t>
      </w:r>
    </w:p>
    <w:p w14:paraId="7B2AD50C" w14:textId="5550CC24"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 xml:space="preserve">[35] </w:t>
      </w:r>
      <w:r w:rsidRPr="00DE3609">
        <w:rPr>
          <w:rFonts w:eastAsia="Times New Roman" w:cs="Times New Roman"/>
          <w:sz w:val="18"/>
          <w:szCs w:val="18"/>
          <w:lang w:eastAsia="en-GB"/>
        </w:rPr>
        <w:t xml:space="preserve">T. Krüger, L. Faulhaber, L. </w:t>
      </w:r>
      <w:proofErr w:type="spellStart"/>
      <w:r w:rsidRPr="00DE3609">
        <w:rPr>
          <w:rFonts w:eastAsia="Times New Roman" w:cs="Times New Roman"/>
          <w:sz w:val="18"/>
          <w:szCs w:val="18"/>
          <w:lang w:eastAsia="en-GB"/>
        </w:rPr>
        <w:t>Hermerschmidt</w:t>
      </w:r>
      <w:proofErr w:type="spellEnd"/>
      <w:r w:rsidRPr="00DE3609">
        <w:rPr>
          <w:rFonts w:eastAsia="Times New Roman" w:cs="Times New Roman"/>
          <w:sz w:val="18"/>
          <w:szCs w:val="18"/>
          <w:lang w:eastAsia="en-GB"/>
        </w:rPr>
        <w:t xml:space="preserve">, S. </w:t>
      </w:r>
      <w:proofErr w:type="spellStart"/>
      <w:r w:rsidRPr="00DE3609">
        <w:rPr>
          <w:rFonts w:eastAsia="Times New Roman" w:cs="Times New Roman"/>
          <w:sz w:val="18"/>
          <w:szCs w:val="18"/>
          <w:lang w:eastAsia="en-GB"/>
        </w:rPr>
        <w:t>Mödersheim</w:t>
      </w:r>
      <w:proofErr w:type="spellEnd"/>
      <w:r w:rsidRPr="00DE3609">
        <w:rPr>
          <w:rFonts w:eastAsia="Times New Roman" w:cs="Times New Roman"/>
          <w:sz w:val="18"/>
          <w:szCs w:val="18"/>
          <w:lang w:eastAsia="en-GB"/>
        </w:rPr>
        <w:t xml:space="preserve">, "Securing Your Crypto-API Usage Through Tool Support </w:t>
      </w:r>
      <w:r w:rsidRPr="00DE3609">
        <w:rPr>
          <w:rFonts w:eastAsia="Times New Roman" w:cs="Times New Roman"/>
          <w:sz w:val="18"/>
          <w:szCs w:val="18"/>
          <w:lang w:eastAsia="en-GB"/>
        </w:rPr>
        <w:tab/>
        <w:t>- A Usability Study," in Proc. 2023 IEEE Secure Development Conference, San Diego, CA, USA, 2023, pp. 1-8, doi: 10.1109/SecureDev.2023.1234567.</w:t>
      </w:r>
    </w:p>
    <w:p w14:paraId="76D537D2" w14:textId="201A44D1"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[36] </w:t>
      </w:r>
      <w:r w:rsidRPr="00DE3609">
        <w:rPr>
          <w:rFonts w:eastAsia="Times New Roman" w:cs="Times New Roman"/>
          <w:sz w:val="18"/>
          <w:szCs w:val="18"/>
          <w:lang w:eastAsia="en-GB"/>
        </w:rPr>
        <w:t xml:space="preserve">S. D. </w:t>
      </w:r>
      <w:proofErr w:type="spellStart"/>
      <w:r w:rsidRPr="00DE3609">
        <w:rPr>
          <w:rFonts w:eastAsia="Times New Roman" w:cs="Times New Roman"/>
          <w:sz w:val="18"/>
          <w:szCs w:val="18"/>
          <w:lang w:eastAsia="en-GB"/>
        </w:rPr>
        <w:t>Çakmakçı</w:t>
      </w:r>
      <w:proofErr w:type="spellEnd"/>
      <w:r w:rsidRPr="00DE3609">
        <w:rPr>
          <w:rFonts w:eastAsia="Times New Roman" w:cs="Times New Roman"/>
          <w:sz w:val="18"/>
          <w:szCs w:val="18"/>
          <w:lang w:eastAsia="en-GB"/>
        </w:rPr>
        <w:t xml:space="preserve">, H. </w:t>
      </w:r>
      <w:proofErr w:type="spellStart"/>
      <w:r w:rsidRPr="00DE3609">
        <w:rPr>
          <w:rFonts w:eastAsia="Times New Roman" w:cs="Times New Roman"/>
          <w:sz w:val="18"/>
          <w:szCs w:val="18"/>
          <w:lang w:eastAsia="en-GB"/>
        </w:rPr>
        <w:t>Hutschenreuter</w:t>
      </w:r>
      <w:proofErr w:type="spellEnd"/>
      <w:r w:rsidRPr="00DE3609">
        <w:rPr>
          <w:rFonts w:eastAsia="Times New Roman" w:cs="Times New Roman"/>
          <w:sz w:val="18"/>
          <w:szCs w:val="18"/>
          <w:lang w:eastAsia="en-GB"/>
        </w:rPr>
        <w:t xml:space="preserve">, C. Maeder and T. </w:t>
      </w:r>
      <w:proofErr w:type="spellStart"/>
      <w:r w:rsidRPr="00DE3609">
        <w:rPr>
          <w:rFonts w:eastAsia="Times New Roman" w:cs="Times New Roman"/>
          <w:sz w:val="18"/>
          <w:szCs w:val="18"/>
          <w:lang w:eastAsia="en-GB"/>
        </w:rPr>
        <w:t>Kemmerich</w:t>
      </w:r>
      <w:proofErr w:type="spellEnd"/>
      <w:r w:rsidRPr="00DE3609">
        <w:rPr>
          <w:rFonts w:eastAsia="Times New Roman" w:cs="Times New Roman"/>
          <w:sz w:val="18"/>
          <w:szCs w:val="18"/>
          <w:lang w:eastAsia="en-GB"/>
        </w:rPr>
        <w:t xml:space="preserve">, "A Framework </w:t>
      </w:r>
      <w:proofErr w:type="gramStart"/>
      <w:r w:rsidRPr="00DE3609">
        <w:rPr>
          <w:rFonts w:eastAsia="Times New Roman" w:cs="Times New Roman"/>
          <w:sz w:val="18"/>
          <w:szCs w:val="18"/>
          <w:lang w:eastAsia="en-GB"/>
        </w:rPr>
        <w:t>For</w:t>
      </w:r>
      <w:proofErr w:type="gramEnd"/>
      <w:r w:rsidRPr="00DE3609">
        <w:rPr>
          <w:rFonts w:eastAsia="Times New Roman" w:cs="Times New Roman"/>
          <w:sz w:val="18"/>
          <w:szCs w:val="18"/>
          <w:lang w:eastAsia="en-GB"/>
        </w:rPr>
        <w:t xml:space="preserve"> Intelligent DDoS Attack Detection and Response using SIEM and Ontology," </w:t>
      </w:r>
      <w:r w:rsidRPr="00DE3609">
        <w:rPr>
          <w:rFonts w:eastAsia="Times New Roman" w:cs="Times New Roman"/>
          <w:i/>
          <w:iCs/>
          <w:sz w:val="18"/>
          <w:szCs w:val="18"/>
          <w:lang w:eastAsia="en-GB"/>
        </w:rPr>
        <w:t>2021 IEEE International Conference on Communications Workshops (ICC Workshops)</w:t>
      </w:r>
      <w:r w:rsidRPr="00DE3609">
        <w:rPr>
          <w:rFonts w:eastAsia="Times New Roman" w:cs="Times New Roman"/>
          <w:sz w:val="18"/>
          <w:szCs w:val="18"/>
          <w:lang w:eastAsia="en-GB"/>
        </w:rPr>
        <w:t xml:space="preserve">, Montreal, QC, Canada, 2021, pp. 1-6, doi: 10.1109/ICCWorkshops50388.2021.9473869. p6  </w:t>
      </w:r>
    </w:p>
    <w:p w14:paraId="5812F16F"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[37] </w:t>
      </w:r>
      <w:r w:rsidRPr="00DE3609">
        <w:rPr>
          <w:rFonts w:eastAsia="Times New Roman" w:cs="Times New Roman"/>
          <w:sz w:val="18"/>
          <w:szCs w:val="18"/>
          <w:lang w:eastAsia="en-GB"/>
        </w:rPr>
        <w:t xml:space="preserve">S. M. Z. U. Rashid, A. Haq, S. T. Hasan, M. H. </w:t>
      </w:r>
      <w:proofErr w:type="spellStart"/>
      <w:r w:rsidRPr="00DE3609">
        <w:rPr>
          <w:rFonts w:eastAsia="Times New Roman" w:cs="Times New Roman"/>
          <w:sz w:val="18"/>
          <w:szCs w:val="18"/>
          <w:lang w:eastAsia="en-GB"/>
        </w:rPr>
        <w:t>Furhad</w:t>
      </w:r>
      <w:proofErr w:type="spellEnd"/>
      <w:r w:rsidRPr="00DE3609">
        <w:rPr>
          <w:rFonts w:eastAsia="Times New Roman" w:cs="Times New Roman"/>
          <w:sz w:val="18"/>
          <w:szCs w:val="18"/>
          <w:lang w:eastAsia="en-GB"/>
        </w:rPr>
        <w:t>, M. Ahmed, and A. B. Ullah, “Faking smart industry: exploring cyber-threat landscape deploying cloud-based honeypot,” Wireless networks, vol. 30, no. 5, pp. 4527–4541</w:t>
      </w:r>
    </w:p>
    <w:p w14:paraId="2E4B20EB"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[38] </w:t>
      </w:r>
      <w:r w:rsidRPr="00DE3609">
        <w:rPr>
          <w:rFonts w:eastAsia="Times New Roman" w:cs="Times New Roman"/>
          <w:sz w:val="18"/>
          <w:szCs w:val="18"/>
          <w:lang w:eastAsia="en-GB"/>
        </w:rPr>
        <w:t>U. Bartwal, S. Mukhopadhyay, R. Negi, and S. Shukla, "Security Orchestration, Automation, and Response Engine for Deployment of Behavioural Honeypots," 2022 IEEE Conference on Dependable and Secure Computing (DSC), Edinburgh, United Kingdom, 2022, pp. 1-8,</w:t>
      </w:r>
    </w:p>
    <w:p w14:paraId="247468A8"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[39] </w:t>
      </w:r>
      <w:r w:rsidRPr="00DE3609">
        <w:rPr>
          <w:rFonts w:eastAsia="Times New Roman" w:cs="Times New Roman"/>
          <w:sz w:val="18"/>
          <w:szCs w:val="18"/>
          <w:lang w:eastAsia="en-GB"/>
        </w:rPr>
        <w:t>N. Nagy et al., “Quantum Honeypots,” Entropy (Basel, Switzerland), vol. 25, no. 10, pp. 1461-, 2023, doi: 10.3390/e25101461.</w:t>
      </w:r>
    </w:p>
    <w:p w14:paraId="703AC7C5" w14:textId="5F3F917A" w:rsidR="00AA2367"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[40] M. E. Whitman and H. J. </w:t>
      </w:r>
      <w:proofErr w:type="spellStart"/>
      <w:r w:rsidRPr="00DE3609">
        <w:rPr>
          <w:rFonts w:eastAsia="Times New Roman" w:cs="Times New Roman"/>
          <w:sz w:val="18"/>
          <w:szCs w:val="18"/>
          <w:lang w:eastAsia="en-GB"/>
        </w:rPr>
        <w:t>Mattord</w:t>
      </w:r>
      <w:proofErr w:type="spellEnd"/>
      <w:r w:rsidRPr="00DE3609">
        <w:rPr>
          <w:rFonts w:eastAsia="Times New Roman" w:cs="Times New Roman"/>
          <w:sz w:val="18"/>
          <w:szCs w:val="18"/>
          <w:lang w:eastAsia="en-GB"/>
        </w:rPr>
        <w:t>, Principles of information security, Seventh edition. Boston, MA: Cengage, 2022.</w:t>
      </w:r>
    </w:p>
    <w:p w14:paraId="79E94108" w14:textId="104DF57A" w:rsidR="00715C42"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 xml:space="preserve">[41] </w:t>
      </w:r>
      <w:r w:rsidRPr="00DE3609">
        <w:rPr>
          <w:rFonts w:eastAsia="Times New Roman" w:cs="Times New Roman"/>
          <w:sz w:val="18"/>
          <w:szCs w:val="18"/>
          <w:lang w:eastAsia="en-GB"/>
        </w:rPr>
        <w:t>C. Rohith and G. Kaur, "A Comprehensive Study on Malware Detection and Prevention Techniques used by Anti-Virus," </w:t>
      </w:r>
      <w:r w:rsidRPr="00DE3609">
        <w:rPr>
          <w:rFonts w:eastAsia="Times New Roman" w:cs="Times New Roman"/>
          <w:i/>
          <w:iCs/>
          <w:sz w:val="18"/>
          <w:szCs w:val="18"/>
          <w:lang w:eastAsia="en-GB"/>
        </w:rPr>
        <w:t>2021 2nd International Conference on Intelligent Engineering and Management (ICIEM)</w:t>
      </w:r>
      <w:r w:rsidRPr="00DE3609">
        <w:rPr>
          <w:rFonts w:eastAsia="Times New Roman" w:cs="Times New Roman"/>
          <w:sz w:val="18"/>
          <w:szCs w:val="18"/>
          <w:lang w:eastAsia="en-GB"/>
        </w:rPr>
        <w:t>, London, United Kingdom, 2021, pp. 429-434, doi: 10.1109/ICIEM51511.2021.9445322.</w:t>
      </w:r>
    </w:p>
    <w:p w14:paraId="4B934F05" w14:textId="6D4B4AEE"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mallCaps/>
          <w:sz w:val="18"/>
          <w:szCs w:val="18"/>
          <w:lang w:eastAsia="en-GB"/>
        </w:rPr>
        <w:t xml:space="preserve">[42] </w:t>
      </w:r>
      <w:r w:rsidRPr="00DE3609">
        <w:rPr>
          <w:rFonts w:eastAsia="Times New Roman" w:cs="Times New Roman"/>
          <w:sz w:val="18"/>
          <w:szCs w:val="18"/>
          <w:lang w:eastAsia="en-GB"/>
        </w:rPr>
        <w:t xml:space="preserve">M. Botacin, "GPThreats-3: Is Automatic Malware Generation a </w:t>
      </w:r>
      <w:proofErr w:type="gramStart"/>
      <w:r w:rsidRPr="00DE3609">
        <w:rPr>
          <w:rFonts w:eastAsia="Times New Roman" w:cs="Times New Roman"/>
          <w:sz w:val="18"/>
          <w:szCs w:val="18"/>
          <w:lang w:eastAsia="en-GB"/>
        </w:rPr>
        <w:t>Threat?,</w:t>
      </w:r>
      <w:proofErr w:type="gramEnd"/>
      <w:r w:rsidRPr="00DE3609">
        <w:rPr>
          <w:rFonts w:eastAsia="Times New Roman" w:cs="Times New Roman"/>
          <w:sz w:val="18"/>
          <w:szCs w:val="18"/>
          <w:lang w:eastAsia="en-GB"/>
        </w:rPr>
        <w:t>" </w:t>
      </w:r>
      <w:r w:rsidRPr="00DE3609">
        <w:rPr>
          <w:rFonts w:eastAsia="Times New Roman" w:cs="Times New Roman"/>
          <w:i/>
          <w:iCs/>
          <w:sz w:val="18"/>
          <w:szCs w:val="18"/>
          <w:lang w:eastAsia="en-GB"/>
        </w:rPr>
        <w:t>2023 IEEE Security and Privacy Workshops (SPW)</w:t>
      </w:r>
      <w:r w:rsidRPr="00DE3609">
        <w:rPr>
          <w:rFonts w:eastAsia="Times New Roman" w:cs="Times New Roman"/>
          <w:sz w:val="18"/>
          <w:szCs w:val="18"/>
          <w:lang w:eastAsia="en-GB"/>
        </w:rPr>
        <w:t>, San Francisco, CA, USA, 2023, pp. 238-254, doi: 10.1109/SPW59333.2023.00027.</w:t>
      </w:r>
    </w:p>
    <w:p w14:paraId="6A4B0CA2"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mallCaps/>
          <w:sz w:val="18"/>
          <w:szCs w:val="18"/>
          <w:lang w:eastAsia="en-GB"/>
        </w:rPr>
        <w:t xml:space="preserve">[43] </w:t>
      </w:r>
      <w:r w:rsidRPr="00DE3609">
        <w:rPr>
          <w:rFonts w:eastAsia="Times New Roman" w:cs="Times New Roman"/>
          <w:sz w:val="18"/>
          <w:szCs w:val="18"/>
          <w:lang w:eastAsia="en-GB"/>
        </w:rPr>
        <w:t xml:space="preserve">E. </w:t>
      </w:r>
      <w:proofErr w:type="spellStart"/>
      <w:r w:rsidRPr="00DE3609">
        <w:rPr>
          <w:rFonts w:eastAsia="Times New Roman" w:cs="Times New Roman"/>
          <w:sz w:val="18"/>
          <w:szCs w:val="18"/>
          <w:lang w:eastAsia="en-GB"/>
        </w:rPr>
        <w:t>Chikohora</w:t>
      </w:r>
      <w:proofErr w:type="spellEnd"/>
      <w:r w:rsidRPr="00DE3609">
        <w:rPr>
          <w:rFonts w:eastAsia="Times New Roman" w:cs="Times New Roman"/>
          <w:sz w:val="18"/>
          <w:szCs w:val="18"/>
          <w:lang w:eastAsia="en-GB"/>
        </w:rPr>
        <w:t xml:space="preserve"> and L. </w:t>
      </w:r>
      <w:proofErr w:type="spellStart"/>
      <w:r w:rsidRPr="00DE3609">
        <w:rPr>
          <w:rFonts w:eastAsia="Times New Roman" w:cs="Times New Roman"/>
          <w:sz w:val="18"/>
          <w:szCs w:val="18"/>
          <w:lang w:eastAsia="en-GB"/>
        </w:rPr>
        <w:t>Mogomeli</w:t>
      </w:r>
      <w:proofErr w:type="spellEnd"/>
      <w:r w:rsidRPr="00DE3609">
        <w:rPr>
          <w:rFonts w:eastAsia="Times New Roman" w:cs="Times New Roman"/>
          <w:sz w:val="18"/>
          <w:szCs w:val="18"/>
          <w:lang w:eastAsia="en-GB"/>
        </w:rPr>
        <w:t>, "A Study on the Impact of Network Vulnerability Scanners on Network Security," 2021 3rd International Multidisciplinary Information Technology and Engineering Conference (IMITEC), Windhoek, Namibia, 2021, pp. 1-4, doi: 10.1109/IMITEC52926.2021.9714598.</w:t>
      </w:r>
    </w:p>
    <w:p w14:paraId="7D3EB8F8" w14:textId="08E92069"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[44] T. Zhang, H. Huang, Y. Lu, K. Zhu, and J. Zhao, “State-Sensitive Black-Box Web Application Scanning for Cross-Site Scripting Vulnerability Detection,” Applied sciences, vol. 13, no. 16, pp. 9212-, 2023, doi: 10.3390/app13169212.</w:t>
      </w:r>
    </w:p>
    <w:p w14:paraId="5E30203A"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[45] T. Krüger, L. Faulhaber, L. </w:t>
      </w:r>
      <w:proofErr w:type="spellStart"/>
      <w:r w:rsidRPr="00DE3609">
        <w:rPr>
          <w:rFonts w:eastAsia="Times New Roman" w:cs="Times New Roman"/>
          <w:sz w:val="18"/>
          <w:szCs w:val="18"/>
          <w:lang w:eastAsia="en-GB"/>
        </w:rPr>
        <w:t>Hermerschmidt</w:t>
      </w:r>
      <w:proofErr w:type="spellEnd"/>
      <w:r w:rsidRPr="00DE3609">
        <w:rPr>
          <w:rFonts w:eastAsia="Times New Roman" w:cs="Times New Roman"/>
          <w:sz w:val="18"/>
          <w:szCs w:val="18"/>
          <w:lang w:eastAsia="en-GB"/>
        </w:rPr>
        <w:t xml:space="preserve">, and S. </w:t>
      </w:r>
      <w:proofErr w:type="spellStart"/>
      <w:r w:rsidRPr="00DE3609">
        <w:rPr>
          <w:rFonts w:eastAsia="Times New Roman" w:cs="Times New Roman"/>
          <w:sz w:val="18"/>
          <w:szCs w:val="18"/>
          <w:lang w:eastAsia="en-GB"/>
        </w:rPr>
        <w:t>Mödersheim</w:t>
      </w:r>
      <w:proofErr w:type="spellEnd"/>
      <w:r w:rsidRPr="00DE3609">
        <w:rPr>
          <w:rFonts w:eastAsia="Times New Roman" w:cs="Times New Roman"/>
          <w:sz w:val="18"/>
          <w:szCs w:val="18"/>
          <w:lang w:eastAsia="en-GB"/>
        </w:rPr>
        <w:t xml:space="preserve">, "Witcher: A Novel Web Vulnerability </w:t>
      </w:r>
      <w:r w:rsidRPr="00DE3609">
        <w:rPr>
          <w:rFonts w:eastAsia="Times New Roman" w:cs="Times New Roman"/>
          <w:sz w:val="18"/>
          <w:szCs w:val="18"/>
          <w:lang w:eastAsia="en-GB"/>
        </w:rPr>
        <w:lastRenderedPageBreak/>
        <w:t>Discovery Framework," presented at the 2023 IEEE Symposium on Security and Privacy (SP), San Francisco, CA, USA, May 21-25, 2023. Available: doi: 10.1109/SP46215.2023.10179317.</w:t>
      </w:r>
    </w:p>
    <w:p w14:paraId="4F4C9DC7"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[46] M. Li, Y. Yang, G. Chen, M. Yan, and Y. Zhang, “SoK: Understanding Design Choices and Pitfalls of Trusted Execution Environments,” in Proceedings of the 19th ACM Asia Conference on Computer and Communications Security, New York, NY, USA: ACM, 2024, pp. 1600–1616. doi: 10.1145/3634737.3644993.</w:t>
      </w:r>
    </w:p>
    <w:p w14:paraId="302D800B"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[47] T. Kulik et al., “A Survey of Practical Formal Methods for Security,” 2022, doi: 10.1145/3522582.</w:t>
      </w:r>
    </w:p>
    <w:p w14:paraId="6570D37B" w14:textId="018F6FE2"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[48] S. Hare, "Fallout from the CrowdStrike Global IT Outage," BBC Breakfast, N. </w:t>
      </w:r>
      <w:proofErr w:type="spellStart"/>
      <w:r w:rsidRPr="00DE3609">
        <w:rPr>
          <w:rFonts w:eastAsia="Times New Roman" w:cs="Times New Roman"/>
          <w:sz w:val="18"/>
          <w:szCs w:val="18"/>
          <w:lang w:eastAsia="en-GB"/>
        </w:rPr>
        <w:t>Munchetty</w:t>
      </w:r>
      <w:proofErr w:type="spellEnd"/>
      <w:r w:rsidRPr="00DE3609">
        <w:rPr>
          <w:rFonts w:eastAsia="Times New Roman" w:cs="Times New Roman"/>
          <w:sz w:val="18"/>
          <w:szCs w:val="18"/>
          <w:lang w:eastAsia="en-GB"/>
        </w:rPr>
        <w:t xml:space="preserve"> and C. </w:t>
      </w:r>
      <w:proofErr w:type="spellStart"/>
      <w:r w:rsidRPr="00DE3609">
        <w:rPr>
          <w:rFonts w:eastAsia="Times New Roman" w:cs="Times New Roman"/>
          <w:sz w:val="18"/>
          <w:szCs w:val="18"/>
          <w:lang w:eastAsia="en-GB"/>
        </w:rPr>
        <w:t>Stayt</w:t>
      </w:r>
      <w:proofErr w:type="spellEnd"/>
      <w:r w:rsidRPr="00DE3609">
        <w:rPr>
          <w:rFonts w:eastAsia="Times New Roman" w:cs="Times New Roman"/>
          <w:sz w:val="18"/>
          <w:szCs w:val="18"/>
          <w:lang w:eastAsia="en-GB"/>
        </w:rPr>
        <w:t>, 20 Jul. 2024. [Online]. Available: https://www.bbc.co.uk/iplayer/episode/m0021c4d/breakfast-20072024.</w:t>
      </w:r>
    </w:p>
    <w:p w14:paraId="0836F2DF" w14:textId="03549D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[49] NCSC, “10 Steps to Cyber Security?”, ncsc.gov.uk, [Online] Available: https://www.ncsc.gov.uk/collection/10-steps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28, 2024]</w:t>
      </w:r>
    </w:p>
    <w:p w14:paraId="1F77AFC0"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[50] - QA Ltd., “BCS Certificate in Information Security Management Principles (CISMP),” Remote Course, V6.0 PDF notes, QA Ltd., based on BCS CISMP 3rd edition, Jan.–Mar. 2024.</w:t>
      </w:r>
    </w:p>
    <w:p w14:paraId="147036A2"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[51] - </w:t>
      </w:r>
      <w:bookmarkStart w:id="31" w:name="_Hlk173829738"/>
      <w:r w:rsidRPr="00DE3609">
        <w:rPr>
          <w:rFonts w:eastAsia="Times New Roman" w:cs="Times New Roman"/>
          <w:sz w:val="18"/>
          <w:szCs w:val="18"/>
          <w:lang w:eastAsia="en-GB"/>
        </w:rPr>
        <w:t>A. Taylor, D. Alexander, A. Finch, D. Sutton, and A. Taylor, Information Security Management Principles, 3rd ed., Swindon, U.K.: BCS, The Chartered Institute for IT, 2020.</w:t>
      </w:r>
      <w:bookmarkEnd w:id="31"/>
    </w:p>
    <w:p w14:paraId="71FB49FF"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[52] ISO/IEC 27002:2013, "Information technology — Security techniques — Code of practice for information security controls," ISO, 2013.</w:t>
      </w:r>
    </w:p>
    <w:p w14:paraId="306A8E51" w14:textId="72FF56EA"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[53] </w:t>
      </w:r>
      <w:bookmarkStart w:id="32" w:name="_Hlk173843220"/>
      <w:r w:rsidRPr="00DE3609">
        <w:rPr>
          <w:rFonts w:eastAsia="Times New Roman" w:cs="Times New Roman"/>
          <w:sz w:val="18"/>
          <w:szCs w:val="18"/>
          <w:lang w:eastAsia="en-GB"/>
        </w:rPr>
        <w:t xml:space="preserve">[2] </w:t>
      </w:r>
      <w:bookmarkStart w:id="33" w:name="_Hlk173844385"/>
      <w:r w:rsidRPr="00DE3609">
        <w:rPr>
          <w:rFonts w:eastAsia="Times New Roman" w:cs="Times New Roman"/>
          <w:sz w:val="18"/>
          <w:szCs w:val="18"/>
          <w:lang w:eastAsia="en-GB"/>
        </w:rPr>
        <w:t xml:space="preserve">ISO, “ISO/ IEC 27005:2022”. www.iso.org, [Online] Available: https://iso.org/standard/80585.html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20, 2024]</w:t>
      </w:r>
      <w:bookmarkEnd w:id="33"/>
    </w:p>
    <w:bookmarkEnd w:id="32"/>
    <w:p w14:paraId="64B607C2" w14:textId="52D2DA65"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[54] ISO, “ISO 31000:2018 - Risk management A practical guide”. iso.org, [Online] Available: https://www.iso.org/publication/PUB100464.html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20, 2024]</w:t>
      </w:r>
    </w:p>
    <w:p w14:paraId="1637EAA6"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[55] ICO, “Overview – Data Protection and the EU”. ico.org, [Online] Available: https://ico.org.uk/for-organisations/data-protection-and-the-eu/overview-data-protection-and-the-eu/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20, 2024]</w:t>
      </w:r>
    </w:p>
    <w:p w14:paraId="4DBB5FEE"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[56] Department for Science Innovation and Technology, “Cyber security breaches survey 2024”. </w:t>
      </w:r>
      <w:proofErr w:type="spellStart"/>
      <w:r w:rsidRPr="00DE3609">
        <w:rPr>
          <w:rFonts w:eastAsia="Times New Roman" w:cs="Times New Roman"/>
          <w:sz w:val="18"/>
          <w:szCs w:val="18"/>
          <w:lang w:eastAsia="en-GB"/>
        </w:rPr>
        <w:t>gov,uk</w:t>
      </w:r>
      <w:proofErr w:type="spellEnd"/>
      <w:r w:rsidRPr="00DE3609">
        <w:rPr>
          <w:rFonts w:eastAsia="Times New Roman" w:cs="Times New Roman"/>
          <w:sz w:val="18"/>
          <w:szCs w:val="18"/>
          <w:lang w:eastAsia="en-GB"/>
        </w:rPr>
        <w:t>, (</w:t>
      </w:r>
      <w:proofErr w:type="gramStart"/>
      <w:r w:rsidRPr="00DE3609">
        <w:rPr>
          <w:rFonts w:eastAsia="Times New Roman" w:cs="Times New Roman"/>
          <w:sz w:val="18"/>
          <w:szCs w:val="18"/>
          <w:lang w:eastAsia="en-GB"/>
        </w:rPr>
        <w:t>Apr,</w:t>
      </w:r>
      <w:proofErr w:type="gramEnd"/>
      <w:r w:rsidRPr="00DE3609">
        <w:rPr>
          <w:rFonts w:eastAsia="Times New Roman" w:cs="Times New Roman"/>
          <w:sz w:val="18"/>
          <w:szCs w:val="18"/>
          <w:lang w:eastAsia="en-GB"/>
        </w:rPr>
        <w:t xml:space="preserve"> 9, 2024) [Online] https://www.gov.uk/government/statistics/cyber-security-breaches-survey-2024/cyber-security-breaches-survey-2024#chapter-3-approaches-to-cyber-security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25, 2024]</w:t>
      </w:r>
    </w:p>
    <w:p w14:paraId="25B3C3A4"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r w:rsidRPr="00DE3609">
        <w:rPr>
          <w:rFonts w:eastAsia="Times New Roman" w:cs="Times New Roman"/>
          <w:sz w:val="18"/>
          <w:szCs w:val="18"/>
          <w:lang w:eastAsia="en-GB"/>
        </w:rPr>
        <w:t xml:space="preserve">[57] [2] NIST, “Security and Privacy Controls for Information Systems and Organizations”, nist.gov, (Dec 19, 2023) [Online] Available: https://csrc.nist.gov/pubs/sp/800/53/r5/upd1/final#:~:text=This%20publication%20provides%20a%20catalog,human%20errors%2C%20natural%20disasters%2C%20structural/ [Accessed </w:t>
      </w:r>
      <w:proofErr w:type="gramStart"/>
      <w:r w:rsidRPr="00DE3609">
        <w:rPr>
          <w:rFonts w:eastAsia="Times New Roman" w:cs="Times New Roman"/>
          <w:sz w:val="18"/>
          <w:szCs w:val="18"/>
          <w:lang w:eastAsia="en-GB"/>
        </w:rPr>
        <w:t>Jun,</w:t>
      </w:r>
      <w:proofErr w:type="gramEnd"/>
      <w:r w:rsidRPr="00DE3609">
        <w:rPr>
          <w:rFonts w:eastAsia="Times New Roman" w:cs="Times New Roman"/>
          <w:sz w:val="18"/>
          <w:szCs w:val="18"/>
          <w:lang w:eastAsia="en-GB"/>
        </w:rPr>
        <w:t xml:space="preserve"> 20, 2024]</w:t>
      </w:r>
    </w:p>
    <w:p w14:paraId="568A6E4B"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bookmarkStart w:id="34" w:name="_Hlk173844949"/>
      <w:r w:rsidRPr="00DE3609">
        <w:rPr>
          <w:rFonts w:eastAsia="Times New Roman" w:cs="Times New Roman"/>
          <w:sz w:val="18"/>
          <w:szCs w:val="18"/>
          <w:lang w:eastAsia="en-GB"/>
        </w:rPr>
        <w:t xml:space="preserve">[58] European Commission, “Ethics guidelines for trustworthy AI”, ec.europa.eu, (Apr 08, 2019) [Online] Available: https://digital-strategy.ec.europa.eu/en/library/ethics-guidelines-trustworthy-ai [Accessed </w:t>
      </w:r>
      <w:proofErr w:type="gramStart"/>
      <w:r w:rsidRPr="00DE3609">
        <w:rPr>
          <w:rFonts w:eastAsia="Times New Roman" w:cs="Times New Roman"/>
          <w:sz w:val="18"/>
          <w:szCs w:val="18"/>
          <w:lang w:eastAsia="en-GB"/>
        </w:rPr>
        <w:t>Jul,</w:t>
      </w:r>
      <w:proofErr w:type="gramEnd"/>
      <w:r w:rsidRPr="00DE3609">
        <w:rPr>
          <w:rFonts w:eastAsia="Times New Roman" w:cs="Times New Roman"/>
          <w:sz w:val="18"/>
          <w:szCs w:val="18"/>
          <w:lang w:eastAsia="en-GB"/>
        </w:rPr>
        <w:t xml:space="preserve"> 28, 2024]</w:t>
      </w:r>
    </w:p>
    <w:bookmarkEnd w:id="34"/>
    <w:p w14:paraId="0DD8F203" w14:textId="77777777" w:rsidR="00DF553B" w:rsidRPr="00DE3609" w:rsidRDefault="00DF553B" w:rsidP="00DF553B">
      <w:pPr>
        <w:spacing w:before="100" w:beforeAutospacing="1" w:after="100" w:afterAutospacing="1" w:line="240" w:lineRule="auto"/>
        <w:rPr>
          <w:rFonts w:eastAsia="Times New Roman" w:cs="Times New Roman"/>
          <w:smallCaps/>
          <w:sz w:val="18"/>
          <w:szCs w:val="18"/>
          <w:lang w:eastAsia="en-GB"/>
        </w:rPr>
      </w:pPr>
      <w:r w:rsidRPr="00DE3609">
        <w:rPr>
          <w:rFonts w:eastAsia="Times New Roman" w:cs="Times New Roman"/>
          <w:sz w:val="18"/>
          <w:szCs w:val="18"/>
          <w:lang w:eastAsia="en-GB"/>
        </w:rPr>
        <w:t xml:space="preserve">[59] - G. Gray et al., “Assessing aeromedical risk: a three-dimensional risk matrix approach,” Heart (British Cardiac Society), vol. 105, no. </w:t>
      </w:r>
      <w:proofErr w:type="spellStart"/>
      <w:r w:rsidRPr="00DE3609">
        <w:rPr>
          <w:rFonts w:eastAsia="Times New Roman" w:cs="Times New Roman"/>
          <w:sz w:val="18"/>
          <w:szCs w:val="18"/>
          <w:lang w:eastAsia="en-GB"/>
        </w:rPr>
        <w:t>Suppl</w:t>
      </w:r>
      <w:proofErr w:type="spellEnd"/>
      <w:r w:rsidRPr="00DE3609">
        <w:rPr>
          <w:rFonts w:eastAsia="Times New Roman" w:cs="Times New Roman"/>
          <w:sz w:val="18"/>
          <w:szCs w:val="18"/>
          <w:lang w:eastAsia="en-GB"/>
        </w:rPr>
        <w:t xml:space="preserve"> 1, pp. s9–s16, 2019, doi: 10.1136/heartjnl-2018-313052</w:t>
      </w:r>
    </w:p>
    <w:p w14:paraId="397FAC21" w14:textId="7C652817" w:rsidR="00DF553B" w:rsidRPr="00DE3609" w:rsidRDefault="00DF553B" w:rsidP="00DF553B">
      <w:pPr>
        <w:spacing w:before="100" w:beforeAutospacing="1" w:after="100" w:afterAutospacing="1" w:line="240" w:lineRule="auto"/>
        <w:rPr>
          <w:rFonts w:eastAsia="Times New Roman"/>
          <w:smallCaps/>
          <w:sz w:val="18"/>
          <w:szCs w:val="18"/>
          <w:lang w:eastAsia="en-GB"/>
        </w:rPr>
      </w:pPr>
    </w:p>
    <w:p w14:paraId="44B2A4FC" w14:textId="77777777" w:rsidR="00DF553B" w:rsidRPr="00DE3609" w:rsidRDefault="00DF553B" w:rsidP="00DF553B">
      <w:pPr>
        <w:spacing w:before="100" w:beforeAutospacing="1" w:after="100" w:afterAutospacing="1" w:line="240" w:lineRule="auto"/>
        <w:rPr>
          <w:rFonts w:eastAsia="Times New Roman"/>
          <w:smallCaps/>
          <w:sz w:val="18"/>
          <w:szCs w:val="18"/>
          <w:lang w:eastAsia="en-GB"/>
        </w:rPr>
      </w:pPr>
    </w:p>
    <w:p w14:paraId="6422A097" w14:textId="77777777" w:rsidR="00DF553B" w:rsidRPr="00DE3609" w:rsidRDefault="00DF553B" w:rsidP="00DF553B">
      <w:pPr>
        <w:spacing w:before="100" w:beforeAutospacing="1" w:after="100" w:afterAutospacing="1" w:line="240" w:lineRule="auto"/>
        <w:rPr>
          <w:rFonts w:eastAsia="Times New Roman" w:cs="Times New Roman"/>
          <w:sz w:val="18"/>
          <w:szCs w:val="18"/>
          <w:lang w:eastAsia="en-GB"/>
        </w:rPr>
      </w:pPr>
    </w:p>
    <w:sectPr w:rsidR="00DF553B" w:rsidRPr="00DE3609" w:rsidSect="00DD068B">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A95F0" w14:textId="77777777" w:rsidR="0004202A" w:rsidRDefault="0004202A" w:rsidP="003357D0">
      <w:pPr>
        <w:spacing w:after="0" w:line="240" w:lineRule="auto"/>
      </w:pPr>
      <w:r>
        <w:separator/>
      </w:r>
    </w:p>
  </w:endnote>
  <w:endnote w:type="continuationSeparator" w:id="0">
    <w:p w14:paraId="72571E33" w14:textId="77777777" w:rsidR="0004202A" w:rsidRDefault="0004202A" w:rsidP="00335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2013535"/>
      <w:docPartObj>
        <w:docPartGallery w:val="Page Numbers (Bottom of Page)"/>
        <w:docPartUnique/>
      </w:docPartObj>
    </w:sdtPr>
    <w:sdtEndPr/>
    <w:sdtContent>
      <w:p w14:paraId="0A66B1C1" w14:textId="326C200B" w:rsidR="003357D0" w:rsidRDefault="003357D0">
        <w:pPr>
          <w:pStyle w:val="Footer"/>
          <w:jc w:val="right"/>
        </w:pPr>
        <w:r>
          <w:fldChar w:fldCharType="begin"/>
        </w:r>
        <w:r>
          <w:instrText>PAGE   \* MERGEFORMAT</w:instrText>
        </w:r>
        <w:r>
          <w:fldChar w:fldCharType="separate"/>
        </w:r>
        <w:r>
          <w:t>2</w:t>
        </w:r>
        <w:r>
          <w:fldChar w:fldCharType="end"/>
        </w:r>
      </w:p>
    </w:sdtContent>
  </w:sdt>
  <w:p w14:paraId="7892E2F3" w14:textId="77777777" w:rsidR="003357D0" w:rsidRDefault="003357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C06E6" w14:textId="77777777" w:rsidR="0004202A" w:rsidRDefault="0004202A" w:rsidP="003357D0">
      <w:pPr>
        <w:spacing w:after="0" w:line="240" w:lineRule="auto"/>
      </w:pPr>
      <w:r>
        <w:separator/>
      </w:r>
    </w:p>
  </w:footnote>
  <w:footnote w:type="continuationSeparator" w:id="0">
    <w:p w14:paraId="156C312D" w14:textId="77777777" w:rsidR="0004202A" w:rsidRDefault="0004202A" w:rsidP="00335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A7F5E"/>
    <w:multiLevelType w:val="hybridMultilevel"/>
    <w:tmpl w:val="1D3E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86186C"/>
    <w:multiLevelType w:val="hybridMultilevel"/>
    <w:tmpl w:val="34EE16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89603E"/>
    <w:multiLevelType w:val="multilevel"/>
    <w:tmpl w:val="165E9CF4"/>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837"/>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5"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A76973"/>
    <w:multiLevelType w:val="hybridMultilevel"/>
    <w:tmpl w:val="1A266B00"/>
    <w:lvl w:ilvl="0" w:tplc="5B1252A0">
      <w:start w:val="1"/>
      <w:numFmt w:val="decimal"/>
      <w:pStyle w:val="SubSubH"/>
      <w:lvlText w:val="%1)"/>
      <w:lvlJc w:val="left"/>
      <w:pPr>
        <w:ind w:left="-360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1440" w:hanging="360"/>
      </w:pPr>
    </w:lvl>
    <w:lvl w:ilvl="4" w:tplc="08090019" w:tentative="1">
      <w:start w:val="1"/>
      <w:numFmt w:val="lowerLetter"/>
      <w:lvlText w:val="%5."/>
      <w:lvlJc w:val="left"/>
      <w:pPr>
        <w:ind w:left="-720" w:hanging="360"/>
      </w:pPr>
    </w:lvl>
    <w:lvl w:ilvl="5" w:tplc="0809001B" w:tentative="1">
      <w:start w:val="1"/>
      <w:numFmt w:val="lowerRoman"/>
      <w:lvlText w:val="%6."/>
      <w:lvlJc w:val="right"/>
      <w:pPr>
        <w:ind w:left="0" w:hanging="180"/>
      </w:pPr>
    </w:lvl>
    <w:lvl w:ilvl="6" w:tplc="0809000F" w:tentative="1">
      <w:start w:val="1"/>
      <w:numFmt w:val="decimal"/>
      <w:lvlText w:val="%7."/>
      <w:lvlJc w:val="left"/>
      <w:pPr>
        <w:ind w:left="720" w:hanging="360"/>
      </w:pPr>
    </w:lvl>
    <w:lvl w:ilvl="7" w:tplc="08090019" w:tentative="1">
      <w:start w:val="1"/>
      <w:numFmt w:val="lowerLetter"/>
      <w:lvlText w:val="%8."/>
      <w:lvlJc w:val="left"/>
      <w:pPr>
        <w:ind w:left="1440" w:hanging="360"/>
      </w:pPr>
    </w:lvl>
    <w:lvl w:ilvl="8" w:tplc="0809001B" w:tentative="1">
      <w:start w:val="1"/>
      <w:numFmt w:val="lowerRoman"/>
      <w:lvlText w:val="%9."/>
      <w:lvlJc w:val="right"/>
      <w:pPr>
        <w:ind w:left="2160" w:hanging="180"/>
      </w:pPr>
    </w:lvl>
  </w:abstractNum>
  <w:abstractNum w:abstractNumId="7" w15:restartNumberingAfterBreak="0">
    <w:nsid w:val="62FF1FCA"/>
    <w:multiLevelType w:val="hybridMultilevel"/>
    <w:tmpl w:val="F8EE44E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D32DA8"/>
    <w:multiLevelType w:val="singleLevel"/>
    <w:tmpl w:val="166470C2"/>
    <w:lvl w:ilvl="0">
      <w:start w:val="1"/>
      <w:numFmt w:val="upperRoman"/>
      <w:pStyle w:val="tablehead"/>
      <w:lvlText w:val="TABLE %1. "/>
      <w:lvlJc w:val="left"/>
      <w:pPr>
        <w:tabs>
          <w:tab w:val="num" w:pos="5758"/>
        </w:tabs>
      </w:pPr>
      <w:rPr>
        <w:rFonts w:ascii="Times New Roman" w:hAnsi="Times New Roman" w:cs="Times New Roman" w:hint="default"/>
        <w:b w:val="0"/>
        <w:bCs w:val="0"/>
        <w:i w:val="0"/>
        <w:iCs w:val="0"/>
        <w:sz w:val="16"/>
        <w:szCs w:val="16"/>
      </w:rPr>
    </w:lvl>
  </w:abstractNum>
  <w:num w:numId="1" w16cid:durableId="1747721996">
    <w:abstractNumId w:val="3"/>
  </w:num>
  <w:num w:numId="2" w16cid:durableId="1014188549">
    <w:abstractNumId w:val="5"/>
  </w:num>
  <w:num w:numId="3" w16cid:durableId="758019231">
    <w:abstractNumId w:val="6"/>
  </w:num>
  <w:num w:numId="4" w16cid:durableId="1717311438">
    <w:abstractNumId w:val="7"/>
  </w:num>
  <w:num w:numId="5" w16cid:durableId="134227590">
    <w:abstractNumId w:val="8"/>
  </w:num>
  <w:num w:numId="6" w16cid:durableId="1874222744">
    <w:abstractNumId w:val="1"/>
  </w:num>
  <w:num w:numId="7" w16cid:durableId="1389189830">
    <w:abstractNumId w:val="3"/>
  </w:num>
  <w:num w:numId="8" w16cid:durableId="1094131960">
    <w:abstractNumId w:val="6"/>
    <w:lvlOverride w:ilvl="0">
      <w:startOverride w:val="1"/>
    </w:lvlOverride>
  </w:num>
  <w:num w:numId="9" w16cid:durableId="357924846">
    <w:abstractNumId w:val="6"/>
    <w:lvlOverride w:ilvl="0">
      <w:startOverride w:val="1"/>
    </w:lvlOverride>
  </w:num>
  <w:num w:numId="10" w16cid:durableId="392586815">
    <w:abstractNumId w:val="4"/>
  </w:num>
  <w:num w:numId="11" w16cid:durableId="1820262646">
    <w:abstractNumId w:val="6"/>
    <w:lvlOverride w:ilvl="0">
      <w:startOverride w:val="1"/>
    </w:lvlOverride>
  </w:num>
  <w:num w:numId="12" w16cid:durableId="521474432">
    <w:abstractNumId w:val="6"/>
    <w:lvlOverride w:ilvl="0">
      <w:startOverride w:val="1"/>
    </w:lvlOverride>
  </w:num>
  <w:num w:numId="13" w16cid:durableId="1120222232">
    <w:abstractNumId w:val="2"/>
  </w:num>
  <w:num w:numId="14" w16cid:durableId="2072458488">
    <w:abstractNumId w:val="3"/>
    <w:lvlOverride w:ilvl="0">
      <w:startOverride w:val="1"/>
    </w:lvlOverride>
  </w:num>
  <w:num w:numId="15" w16cid:durableId="1172449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0213"/>
    <w:rsid w:val="00026A99"/>
    <w:rsid w:val="0004202A"/>
    <w:rsid w:val="00053BF2"/>
    <w:rsid w:val="0006259F"/>
    <w:rsid w:val="00084123"/>
    <w:rsid w:val="00084E6D"/>
    <w:rsid w:val="00091347"/>
    <w:rsid w:val="00091E20"/>
    <w:rsid w:val="000B41BD"/>
    <w:rsid w:val="000C28E6"/>
    <w:rsid w:val="000D331C"/>
    <w:rsid w:val="000D47E5"/>
    <w:rsid w:val="000D7C0A"/>
    <w:rsid w:val="000E062C"/>
    <w:rsid w:val="000E06EC"/>
    <w:rsid w:val="000E2BC9"/>
    <w:rsid w:val="000F4569"/>
    <w:rsid w:val="001126C6"/>
    <w:rsid w:val="0011639A"/>
    <w:rsid w:val="00124EBE"/>
    <w:rsid w:val="00125E24"/>
    <w:rsid w:val="001437BA"/>
    <w:rsid w:val="00150DEB"/>
    <w:rsid w:val="001530CE"/>
    <w:rsid w:val="001553CF"/>
    <w:rsid w:val="0016340F"/>
    <w:rsid w:val="001708DB"/>
    <w:rsid w:val="001A2A20"/>
    <w:rsid w:val="001B1C32"/>
    <w:rsid w:val="001B31B1"/>
    <w:rsid w:val="001C4AFE"/>
    <w:rsid w:val="001E6ADE"/>
    <w:rsid w:val="001F3A7A"/>
    <w:rsid w:val="002024D4"/>
    <w:rsid w:val="00207B51"/>
    <w:rsid w:val="0021276E"/>
    <w:rsid w:val="002158BA"/>
    <w:rsid w:val="002410CC"/>
    <w:rsid w:val="0025345C"/>
    <w:rsid w:val="002566F9"/>
    <w:rsid w:val="0027320E"/>
    <w:rsid w:val="002837CC"/>
    <w:rsid w:val="00285904"/>
    <w:rsid w:val="00285FD2"/>
    <w:rsid w:val="00296F96"/>
    <w:rsid w:val="002A7D32"/>
    <w:rsid w:val="002B7205"/>
    <w:rsid w:val="002C063A"/>
    <w:rsid w:val="002C5C1E"/>
    <w:rsid w:val="002C7F87"/>
    <w:rsid w:val="002E74F9"/>
    <w:rsid w:val="002F1BF1"/>
    <w:rsid w:val="00313DA8"/>
    <w:rsid w:val="003357D0"/>
    <w:rsid w:val="0033648D"/>
    <w:rsid w:val="003402E7"/>
    <w:rsid w:val="0035205F"/>
    <w:rsid w:val="003637C3"/>
    <w:rsid w:val="00391A1D"/>
    <w:rsid w:val="003B6B25"/>
    <w:rsid w:val="003D1C4C"/>
    <w:rsid w:val="003D46A5"/>
    <w:rsid w:val="003E7128"/>
    <w:rsid w:val="003F7AC5"/>
    <w:rsid w:val="00413ACF"/>
    <w:rsid w:val="00417C81"/>
    <w:rsid w:val="004209DD"/>
    <w:rsid w:val="00444FA7"/>
    <w:rsid w:val="004555CD"/>
    <w:rsid w:val="00456288"/>
    <w:rsid w:val="00485796"/>
    <w:rsid w:val="004A3133"/>
    <w:rsid w:val="004B5AE9"/>
    <w:rsid w:val="004C1922"/>
    <w:rsid w:val="004D32C1"/>
    <w:rsid w:val="005019B4"/>
    <w:rsid w:val="005111D8"/>
    <w:rsid w:val="005165D1"/>
    <w:rsid w:val="00517CCD"/>
    <w:rsid w:val="00527304"/>
    <w:rsid w:val="00536074"/>
    <w:rsid w:val="00540317"/>
    <w:rsid w:val="00546777"/>
    <w:rsid w:val="00572C58"/>
    <w:rsid w:val="00574A9B"/>
    <w:rsid w:val="00575A39"/>
    <w:rsid w:val="0058071F"/>
    <w:rsid w:val="005856AF"/>
    <w:rsid w:val="00587426"/>
    <w:rsid w:val="00594D36"/>
    <w:rsid w:val="005B0F40"/>
    <w:rsid w:val="005B4028"/>
    <w:rsid w:val="005B606E"/>
    <w:rsid w:val="005C0198"/>
    <w:rsid w:val="005C488F"/>
    <w:rsid w:val="005C760E"/>
    <w:rsid w:val="005D2E35"/>
    <w:rsid w:val="005E714D"/>
    <w:rsid w:val="005F17FC"/>
    <w:rsid w:val="005F5B3A"/>
    <w:rsid w:val="005F68DA"/>
    <w:rsid w:val="005F7BC5"/>
    <w:rsid w:val="006173B1"/>
    <w:rsid w:val="006354BC"/>
    <w:rsid w:val="006412D6"/>
    <w:rsid w:val="006526A2"/>
    <w:rsid w:val="00666BC9"/>
    <w:rsid w:val="00672579"/>
    <w:rsid w:val="0067473E"/>
    <w:rsid w:val="006831F1"/>
    <w:rsid w:val="006A24E4"/>
    <w:rsid w:val="006B0774"/>
    <w:rsid w:val="006B41E5"/>
    <w:rsid w:val="006C4D43"/>
    <w:rsid w:val="006D4E5A"/>
    <w:rsid w:val="006F0864"/>
    <w:rsid w:val="006F4A24"/>
    <w:rsid w:val="006F781A"/>
    <w:rsid w:val="00701844"/>
    <w:rsid w:val="00705147"/>
    <w:rsid w:val="00715C42"/>
    <w:rsid w:val="0074797D"/>
    <w:rsid w:val="007528E4"/>
    <w:rsid w:val="007C3916"/>
    <w:rsid w:val="007D0217"/>
    <w:rsid w:val="007D0855"/>
    <w:rsid w:val="007D6C9C"/>
    <w:rsid w:val="007F10CA"/>
    <w:rsid w:val="00811F21"/>
    <w:rsid w:val="008121D6"/>
    <w:rsid w:val="008177D2"/>
    <w:rsid w:val="00820681"/>
    <w:rsid w:val="00833244"/>
    <w:rsid w:val="00833C5A"/>
    <w:rsid w:val="00836465"/>
    <w:rsid w:val="00840A35"/>
    <w:rsid w:val="00843AD7"/>
    <w:rsid w:val="008639FE"/>
    <w:rsid w:val="00867A4C"/>
    <w:rsid w:val="008744F0"/>
    <w:rsid w:val="00876B95"/>
    <w:rsid w:val="008803AE"/>
    <w:rsid w:val="00880CA3"/>
    <w:rsid w:val="00890112"/>
    <w:rsid w:val="008B1CC3"/>
    <w:rsid w:val="008B45B8"/>
    <w:rsid w:val="008B4777"/>
    <w:rsid w:val="008F05A3"/>
    <w:rsid w:val="008F1378"/>
    <w:rsid w:val="008F58B2"/>
    <w:rsid w:val="008F69E2"/>
    <w:rsid w:val="009011D6"/>
    <w:rsid w:val="00952A24"/>
    <w:rsid w:val="009608A7"/>
    <w:rsid w:val="00992603"/>
    <w:rsid w:val="009A1109"/>
    <w:rsid w:val="009D5881"/>
    <w:rsid w:val="009E5638"/>
    <w:rsid w:val="009F0831"/>
    <w:rsid w:val="009F084D"/>
    <w:rsid w:val="00A06193"/>
    <w:rsid w:val="00A313A8"/>
    <w:rsid w:val="00A31F26"/>
    <w:rsid w:val="00A350AD"/>
    <w:rsid w:val="00A35450"/>
    <w:rsid w:val="00A52B06"/>
    <w:rsid w:val="00A672F0"/>
    <w:rsid w:val="00AA2367"/>
    <w:rsid w:val="00AB2B29"/>
    <w:rsid w:val="00AB68E3"/>
    <w:rsid w:val="00AC0FC2"/>
    <w:rsid w:val="00AC6B41"/>
    <w:rsid w:val="00AD6085"/>
    <w:rsid w:val="00B02713"/>
    <w:rsid w:val="00B1189E"/>
    <w:rsid w:val="00B37239"/>
    <w:rsid w:val="00B4285B"/>
    <w:rsid w:val="00B47C41"/>
    <w:rsid w:val="00B61B21"/>
    <w:rsid w:val="00B67248"/>
    <w:rsid w:val="00B67468"/>
    <w:rsid w:val="00B674E2"/>
    <w:rsid w:val="00B750D3"/>
    <w:rsid w:val="00BA21E7"/>
    <w:rsid w:val="00BB0F85"/>
    <w:rsid w:val="00BE06A7"/>
    <w:rsid w:val="00C01B3C"/>
    <w:rsid w:val="00C3011B"/>
    <w:rsid w:val="00C311D2"/>
    <w:rsid w:val="00C32C0F"/>
    <w:rsid w:val="00C34DD8"/>
    <w:rsid w:val="00C53E8D"/>
    <w:rsid w:val="00CB300D"/>
    <w:rsid w:val="00CC60CB"/>
    <w:rsid w:val="00CD2586"/>
    <w:rsid w:val="00CF57EB"/>
    <w:rsid w:val="00D00A01"/>
    <w:rsid w:val="00D07E72"/>
    <w:rsid w:val="00D2536B"/>
    <w:rsid w:val="00D42607"/>
    <w:rsid w:val="00D47ED7"/>
    <w:rsid w:val="00D532B2"/>
    <w:rsid w:val="00D671D0"/>
    <w:rsid w:val="00D74570"/>
    <w:rsid w:val="00D80C95"/>
    <w:rsid w:val="00D843FE"/>
    <w:rsid w:val="00D86293"/>
    <w:rsid w:val="00D86917"/>
    <w:rsid w:val="00D91BEB"/>
    <w:rsid w:val="00DB28E5"/>
    <w:rsid w:val="00DC35C1"/>
    <w:rsid w:val="00DD068B"/>
    <w:rsid w:val="00DD2BA1"/>
    <w:rsid w:val="00DE22DD"/>
    <w:rsid w:val="00DE3609"/>
    <w:rsid w:val="00DF14E0"/>
    <w:rsid w:val="00DF3CE5"/>
    <w:rsid w:val="00DF553B"/>
    <w:rsid w:val="00E05904"/>
    <w:rsid w:val="00E12EAE"/>
    <w:rsid w:val="00E1637E"/>
    <w:rsid w:val="00E21A8D"/>
    <w:rsid w:val="00E4680F"/>
    <w:rsid w:val="00E51610"/>
    <w:rsid w:val="00E76AC9"/>
    <w:rsid w:val="00E77D00"/>
    <w:rsid w:val="00E84AF9"/>
    <w:rsid w:val="00E85A3F"/>
    <w:rsid w:val="00E85F0F"/>
    <w:rsid w:val="00EA29DE"/>
    <w:rsid w:val="00EA5F13"/>
    <w:rsid w:val="00EB5DF9"/>
    <w:rsid w:val="00EF16BE"/>
    <w:rsid w:val="00F14562"/>
    <w:rsid w:val="00F4662B"/>
    <w:rsid w:val="00F57417"/>
    <w:rsid w:val="00F76FEB"/>
    <w:rsid w:val="00F8043E"/>
    <w:rsid w:val="00F83349"/>
    <w:rsid w:val="00F9199C"/>
    <w:rsid w:val="00FA0961"/>
    <w:rsid w:val="00FA1C48"/>
    <w:rsid w:val="00FB26C8"/>
    <w:rsid w:val="00FB6313"/>
    <w:rsid w:val="00FE7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DF553B"/>
    <w:pPr>
      <w:jc w:val="both"/>
    </w:pPr>
    <w:rPr>
      <w:rFonts w:ascii="Times New Roman" w:eastAsiaTheme="minorEastAsia" w:hAnsi="Times New Roman"/>
      <w:sz w:val="24"/>
    </w:rPr>
  </w:style>
  <w:style w:type="paragraph" w:styleId="Heading1">
    <w:name w:val="heading 1"/>
    <w:basedOn w:val="Normal"/>
    <w:next w:val="Normal"/>
    <w:link w:val="Heading1Char"/>
    <w:qFormat/>
    <w:rsid w:val="002E74F9"/>
    <w:pPr>
      <w:keepNext/>
      <w:keepLines/>
      <w:numPr>
        <w:numId w:val="10"/>
      </w:numPr>
      <w:tabs>
        <w:tab w:val="left" w:pos="216"/>
      </w:tabs>
      <w:spacing w:before="160" w:after="80" w:line="240" w:lineRule="auto"/>
      <w:ind w:firstLine="0"/>
      <w:jc w:val="center"/>
      <w:outlineLvl w:val="0"/>
    </w:pPr>
    <w:rPr>
      <w:rFonts w:eastAsia="SimSun" w:cs="Times New Roman"/>
      <w:smallCaps/>
      <w:noProof/>
      <w:sz w:val="20"/>
      <w:szCs w:val="20"/>
      <w:lang w:val="en-US"/>
    </w:rPr>
  </w:style>
  <w:style w:type="paragraph" w:styleId="Heading2">
    <w:name w:val="heading 2"/>
    <w:basedOn w:val="Normal"/>
    <w:next w:val="Normal"/>
    <w:link w:val="Heading2Char"/>
    <w:qFormat/>
    <w:rsid w:val="002E74F9"/>
    <w:pPr>
      <w:keepNext/>
      <w:keepLines/>
      <w:numPr>
        <w:ilvl w:val="1"/>
        <w:numId w:val="10"/>
      </w:numPr>
      <w:tabs>
        <w:tab w:val="clear" w:pos="360"/>
        <w:tab w:val="num" w:pos="288"/>
      </w:tabs>
      <w:spacing w:before="120" w:after="60" w:line="240" w:lineRule="auto"/>
      <w:jc w:val="left"/>
      <w:outlineLvl w:val="1"/>
    </w:pPr>
    <w:rPr>
      <w:rFonts w:eastAsia="SimSun" w:cs="Times New Roman"/>
      <w:i/>
      <w:iCs/>
      <w:noProof/>
      <w:sz w:val="20"/>
      <w:szCs w:val="20"/>
      <w:lang w:val="en-US"/>
    </w:rPr>
  </w:style>
  <w:style w:type="paragraph" w:styleId="Heading3">
    <w:name w:val="heading 3"/>
    <w:basedOn w:val="Normal"/>
    <w:next w:val="Normal"/>
    <w:link w:val="Heading3Char"/>
    <w:qFormat/>
    <w:rsid w:val="002E74F9"/>
    <w:pPr>
      <w:numPr>
        <w:ilvl w:val="2"/>
        <w:numId w:val="10"/>
      </w:numPr>
      <w:spacing w:after="0" w:line="240" w:lineRule="exact"/>
      <w:ind w:firstLine="288"/>
      <w:outlineLvl w:val="2"/>
    </w:pPr>
    <w:rPr>
      <w:rFonts w:eastAsia="SimSun" w:cs="Times New Roman"/>
      <w:i/>
      <w:iCs/>
      <w:noProof/>
      <w:sz w:val="20"/>
      <w:szCs w:val="20"/>
      <w:lang w:val="en-US"/>
    </w:rPr>
  </w:style>
  <w:style w:type="paragraph" w:styleId="Heading4">
    <w:name w:val="heading 4"/>
    <w:basedOn w:val="Normal"/>
    <w:next w:val="Normal"/>
    <w:link w:val="Heading4Char"/>
    <w:qFormat/>
    <w:rsid w:val="002E74F9"/>
    <w:pPr>
      <w:numPr>
        <w:ilvl w:val="3"/>
        <w:numId w:val="10"/>
      </w:numPr>
      <w:tabs>
        <w:tab w:val="clear" w:pos="837"/>
        <w:tab w:val="left" w:pos="720"/>
      </w:tabs>
      <w:spacing w:before="40" w:after="40" w:line="240" w:lineRule="auto"/>
      <w:ind w:firstLine="504"/>
      <w:outlineLvl w:val="3"/>
    </w:pPr>
    <w:rPr>
      <w:rFonts w:eastAsia="SimSun" w:cs="Times New Roman"/>
      <w:i/>
      <w:iCs/>
      <w:noProof/>
      <w:sz w:val="20"/>
      <w:szCs w:val="20"/>
      <w:lang w:val="en-US"/>
    </w:rPr>
  </w:style>
  <w:style w:type="paragraph" w:styleId="Heading5">
    <w:name w:val="heading 5"/>
    <w:basedOn w:val="Normal"/>
    <w:next w:val="Normal"/>
    <w:link w:val="Heading5Char"/>
    <w:uiPriority w:val="9"/>
    <w:semiHidden/>
    <w:unhideWhenUsed/>
    <w:qFormat/>
    <w:rsid w:val="009D588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Keywords">
    <w:name w:val="Keywords"/>
    <w:basedOn w:val="Normal"/>
    <w:qFormat/>
    <w:rsid w:val="008F69E2"/>
    <w:pPr>
      <w:spacing w:after="120" w:line="240" w:lineRule="auto"/>
      <w:ind w:firstLine="274"/>
    </w:pPr>
    <w:rPr>
      <w:rFonts w:eastAsia="SimSun" w:cs="Times New Roman"/>
      <w:b/>
      <w:bCs/>
      <w:i/>
      <w:sz w:val="18"/>
      <w:szCs w:val="18"/>
      <w:lang w:val="en-US"/>
    </w:rPr>
  </w:style>
  <w:style w:type="paragraph" w:customStyle="1" w:styleId="tablehead">
    <w:name w:val="table head"/>
    <w:rsid w:val="008177D2"/>
    <w:pPr>
      <w:numPr>
        <w:numId w:val="5"/>
      </w:numPr>
      <w:spacing w:before="240" w:after="120" w:line="216" w:lineRule="auto"/>
      <w:jc w:val="center"/>
    </w:pPr>
    <w:rPr>
      <w:rFonts w:ascii="Times New Roman" w:eastAsia="SimSun" w:hAnsi="Times New Roman" w:cs="Times New Roman"/>
      <w:smallCaps/>
      <w:noProof/>
      <w:sz w:val="16"/>
      <w:szCs w:val="16"/>
      <w:lang w:val="en-US"/>
    </w:rPr>
  </w:style>
  <w:style w:type="paragraph" w:styleId="Caption">
    <w:name w:val="caption"/>
    <w:basedOn w:val="Normal"/>
    <w:next w:val="Normal"/>
    <w:uiPriority w:val="35"/>
    <w:unhideWhenUsed/>
    <w:qFormat/>
    <w:rsid w:val="008177D2"/>
    <w:pPr>
      <w:spacing w:after="200" w:line="240" w:lineRule="auto"/>
    </w:pPr>
    <w:rPr>
      <w:i/>
      <w:iCs/>
      <w:color w:val="44546A" w:themeColor="text2"/>
      <w:sz w:val="18"/>
      <w:szCs w:val="18"/>
    </w:rPr>
  </w:style>
  <w:style w:type="paragraph" w:styleId="NormalWeb">
    <w:name w:val="Normal (Web)"/>
    <w:basedOn w:val="Normal"/>
    <w:uiPriority w:val="99"/>
    <w:unhideWhenUsed/>
    <w:rsid w:val="00E05904"/>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3357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7D0"/>
    <w:rPr>
      <w:rFonts w:ascii="Times New Roman" w:eastAsiaTheme="minorEastAsia" w:hAnsi="Times New Roman"/>
      <w:sz w:val="24"/>
    </w:rPr>
  </w:style>
  <w:style w:type="paragraph" w:styleId="Footer">
    <w:name w:val="footer"/>
    <w:basedOn w:val="Normal"/>
    <w:link w:val="FooterChar"/>
    <w:uiPriority w:val="99"/>
    <w:unhideWhenUsed/>
    <w:rsid w:val="003357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7D0"/>
    <w:rPr>
      <w:rFonts w:ascii="Times New Roman" w:eastAsiaTheme="minorEastAsia" w:hAnsi="Times New Roman"/>
      <w:sz w:val="24"/>
    </w:rPr>
  </w:style>
  <w:style w:type="character" w:customStyle="1" w:styleId="Heading1Char">
    <w:name w:val="Heading 1 Char"/>
    <w:basedOn w:val="DefaultParagraphFont"/>
    <w:link w:val="Heading1"/>
    <w:uiPriority w:val="9"/>
    <w:rsid w:val="002E74F9"/>
    <w:rPr>
      <w:rFonts w:ascii="Times New Roman" w:eastAsia="SimSun" w:hAnsi="Times New Roman" w:cs="Times New Roman"/>
      <w:smallCaps/>
      <w:noProof/>
      <w:sz w:val="20"/>
      <w:szCs w:val="20"/>
      <w:lang w:val="en-US"/>
    </w:rPr>
  </w:style>
  <w:style w:type="character" w:customStyle="1" w:styleId="Heading2Char">
    <w:name w:val="Heading 2 Char"/>
    <w:basedOn w:val="DefaultParagraphFont"/>
    <w:link w:val="Heading2"/>
    <w:uiPriority w:val="9"/>
    <w:rsid w:val="002E74F9"/>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2E74F9"/>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2E74F9"/>
    <w:rPr>
      <w:rFonts w:ascii="Times New Roman" w:eastAsia="SimSun" w:hAnsi="Times New Roman" w:cs="Times New Roman"/>
      <w:i/>
      <w:iCs/>
      <w:noProof/>
      <w:sz w:val="20"/>
      <w:szCs w:val="20"/>
      <w:lang w:val="en-US"/>
    </w:rPr>
  </w:style>
  <w:style w:type="paragraph" w:customStyle="1" w:styleId="equation">
    <w:name w:val="equation"/>
    <w:basedOn w:val="Normal"/>
    <w:rsid w:val="001A2A20"/>
    <w:pPr>
      <w:tabs>
        <w:tab w:val="center" w:pos="2520"/>
        <w:tab w:val="right" w:pos="5040"/>
      </w:tabs>
      <w:spacing w:before="240" w:after="240" w:line="216" w:lineRule="auto"/>
      <w:jc w:val="center"/>
    </w:pPr>
    <w:rPr>
      <w:rFonts w:ascii="Symbol" w:eastAsia="SimSun" w:hAnsi="Symbol" w:cs="Symbol"/>
      <w:sz w:val="20"/>
      <w:szCs w:val="20"/>
      <w:lang w:val="en-US"/>
    </w:rPr>
  </w:style>
  <w:style w:type="paragraph" w:styleId="BodyText">
    <w:name w:val="Body Text"/>
    <w:basedOn w:val="Normal"/>
    <w:link w:val="BodyTextChar"/>
    <w:rsid w:val="006F4A24"/>
    <w:pPr>
      <w:tabs>
        <w:tab w:val="left" w:pos="288"/>
      </w:tabs>
      <w:spacing w:after="120" w:line="228" w:lineRule="auto"/>
      <w:ind w:firstLine="288"/>
    </w:pPr>
    <w:rPr>
      <w:rFonts w:eastAsia="SimSun" w:cs="Times New Roman"/>
      <w:spacing w:val="-1"/>
      <w:sz w:val="20"/>
      <w:szCs w:val="20"/>
      <w:lang w:val="x-none" w:eastAsia="x-none"/>
    </w:rPr>
  </w:style>
  <w:style w:type="character" w:customStyle="1" w:styleId="BodyTextChar">
    <w:name w:val="Body Text Char"/>
    <w:basedOn w:val="DefaultParagraphFont"/>
    <w:link w:val="BodyText"/>
    <w:rsid w:val="006F4A24"/>
    <w:rPr>
      <w:rFonts w:ascii="Times New Roman" w:eastAsia="SimSun" w:hAnsi="Times New Roman" w:cs="Times New Roman"/>
      <w:spacing w:val="-1"/>
      <w:sz w:val="20"/>
      <w:szCs w:val="20"/>
      <w:lang w:val="x-none" w:eastAsia="x-none"/>
    </w:rPr>
  </w:style>
  <w:style w:type="paragraph" w:customStyle="1" w:styleId="bulletlist">
    <w:name w:val="bullet list"/>
    <w:basedOn w:val="BodyText"/>
    <w:rsid w:val="006F4A24"/>
    <w:pPr>
      <w:numPr>
        <w:numId w:val="13"/>
      </w:numPr>
      <w:tabs>
        <w:tab w:val="clear" w:pos="648"/>
      </w:tabs>
      <w:ind w:left="576" w:hanging="288"/>
    </w:pPr>
  </w:style>
  <w:style w:type="character" w:customStyle="1" w:styleId="Heading5Char">
    <w:name w:val="Heading 5 Char"/>
    <w:basedOn w:val="DefaultParagraphFont"/>
    <w:link w:val="Heading5"/>
    <w:uiPriority w:val="9"/>
    <w:semiHidden/>
    <w:rsid w:val="009D5881"/>
    <w:rPr>
      <w:rFonts w:asciiTheme="majorHAnsi" w:eastAsiaTheme="majorEastAsia" w:hAnsiTheme="majorHAnsi" w:cstheme="majorBidi"/>
      <w:color w:val="2F5496" w:themeColor="accent1" w:themeShade="BF"/>
      <w:sz w:val="24"/>
    </w:rPr>
  </w:style>
  <w:style w:type="character" w:styleId="IntenseReference">
    <w:name w:val="Intense Reference"/>
    <w:basedOn w:val="DefaultParagraphFont"/>
    <w:uiPriority w:val="32"/>
    <w:qFormat/>
    <w:rsid w:val="00DF553B"/>
    <w:rPr>
      <w:b/>
      <w:bCs/>
      <w:smallCaps/>
      <w:color w:val="2F5496" w:themeColor="accent1" w:themeShade="BF"/>
      <w:spacing w:val="5"/>
    </w:rPr>
  </w:style>
  <w:style w:type="character" w:customStyle="1" w:styleId="normaltextrun">
    <w:name w:val="normaltextrun"/>
    <w:basedOn w:val="DefaultParagraphFont"/>
    <w:rsid w:val="00DF553B"/>
  </w:style>
  <w:style w:type="character" w:styleId="FollowedHyperlink">
    <w:name w:val="FollowedHyperlink"/>
    <w:basedOn w:val="DefaultParagraphFont"/>
    <w:uiPriority w:val="99"/>
    <w:semiHidden/>
    <w:unhideWhenUsed/>
    <w:rsid w:val="00DF553B"/>
    <w:rPr>
      <w:color w:val="954F72" w:themeColor="followedHyperlink"/>
      <w:u w:val="single"/>
    </w:rPr>
  </w:style>
  <w:style w:type="character" w:styleId="Emphasis">
    <w:name w:val="Emphasis"/>
    <w:basedOn w:val="DefaultParagraphFont"/>
    <w:uiPriority w:val="20"/>
    <w:qFormat/>
    <w:rsid w:val="00DF553B"/>
    <w:rPr>
      <w:i/>
      <w:iCs/>
    </w:rPr>
  </w:style>
  <w:style w:type="paragraph" w:styleId="TableofFigures">
    <w:name w:val="table of figures"/>
    <w:basedOn w:val="Normal"/>
    <w:next w:val="Normal"/>
    <w:uiPriority w:val="99"/>
    <w:unhideWhenUsed/>
    <w:rsid w:val="00FA0961"/>
    <w:pPr>
      <w:spacing w:after="0"/>
    </w:pPr>
  </w:style>
  <w:style w:type="character" w:styleId="SubtleReference">
    <w:name w:val="Subtle Reference"/>
    <w:basedOn w:val="DefaultParagraphFont"/>
    <w:uiPriority w:val="31"/>
    <w:qFormat/>
    <w:rsid w:val="00FA0961"/>
    <w:rPr>
      <w:smallCaps/>
      <w:color w:val="5A5A5A" w:themeColor="text1" w:themeTint="A5"/>
    </w:rPr>
  </w:style>
  <w:style w:type="paragraph" w:styleId="Subtitle">
    <w:name w:val="Subtitle"/>
    <w:basedOn w:val="Normal"/>
    <w:next w:val="Normal"/>
    <w:link w:val="SubtitleChar"/>
    <w:uiPriority w:val="11"/>
    <w:qFormat/>
    <w:rsid w:val="00FA0961"/>
    <w:pPr>
      <w:numPr>
        <w:ilvl w:val="1"/>
      </w:numPr>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FA0961"/>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888092">
      <w:bodyDiv w:val="1"/>
      <w:marLeft w:val="0"/>
      <w:marRight w:val="0"/>
      <w:marTop w:val="0"/>
      <w:marBottom w:val="0"/>
      <w:divBdr>
        <w:top w:val="none" w:sz="0" w:space="0" w:color="auto"/>
        <w:left w:val="none" w:sz="0" w:space="0" w:color="auto"/>
        <w:bottom w:val="none" w:sz="0" w:space="0" w:color="auto"/>
        <w:right w:val="none" w:sz="0" w:space="0" w:color="auto"/>
      </w:divBdr>
    </w:div>
    <w:div w:id="149803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legislation.gov.uk/ukpga/2018/12/contents/enact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legislation.gov.uk/ukpga/2018/12/contents/enacted"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F8492-C25E-41B6-9ED4-24E689B0D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4860</Words>
  <Characters>27708</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Modern policies to meet modern threats</dc:subject>
  <dc:creator>Mark Vaughan</dc:creator>
  <cp:keywords/>
  <dc:description/>
  <cp:lastModifiedBy>Zoe Clark</cp:lastModifiedBy>
  <cp:revision>11</cp:revision>
  <dcterms:created xsi:type="dcterms:W3CDTF">2025-07-21T06:03:00Z</dcterms:created>
  <dcterms:modified xsi:type="dcterms:W3CDTF">2025-07-21T06:27:00Z</dcterms:modified>
</cp:coreProperties>
</file>