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36360" w14:textId="77777777" w:rsidR="00862EA4" w:rsidRDefault="00862EA4" w:rsidP="00862EA4"/>
    <w:sdt>
      <w:sdtPr>
        <w:rPr>
          <w:rFonts w:ascii="Arial" w:hAnsi="Arial" w:cs="Arial"/>
        </w:rPr>
        <w:id w:val="109172438"/>
        <w:docPartObj>
          <w:docPartGallery w:val="Cover Pages"/>
          <w:docPartUnique/>
        </w:docPartObj>
      </w:sdtPr>
      <w:sdtEndPr/>
      <w:sdtContent>
        <w:p w14:paraId="4288543C" w14:textId="77777777" w:rsidR="00862EA4" w:rsidRPr="00E31DD6" w:rsidRDefault="00862EA4" w:rsidP="00862EA4">
          <w:pPr>
            <w:spacing w:line="360" w:lineRule="auto"/>
            <w:jc w:val="both"/>
            <w:rPr>
              <w:rFonts w:ascii="Arial" w:hAnsi="Arial" w:cs="Arial"/>
            </w:rPr>
          </w:pPr>
        </w:p>
        <w:p w14:paraId="03144D07" w14:textId="77777777" w:rsidR="00862EA4" w:rsidRPr="00E31DD6" w:rsidRDefault="00862EA4" w:rsidP="00862EA4">
          <w:pPr>
            <w:spacing w:line="360" w:lineRule="auto"/>
            <w:jc w:val="both"/>
            <w:rPr>
              <w:rFonts w:ascii="Arial" w:hAnsi="Arial" w:cs="Arial"/>
              <w:b/>
              <w:bCs/>
            </w:rPr>
          </w:pPr>
          <w:r w:rsidRPr="00E31DD6">
            <w:rPr>
              <w:rFonts w:ascii="Arial" w:hAnsi="Arial" w:cs="Arial"/>
              <w:noProof/>
            </w:rPr>
            <w:drawing>
              <wp:inline distT="0" distB="0" distL="85723" distR="85723" wp14:anchorId="2D5E8F10" wp14:editId="1FA325C4">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5"/>
                        <a:stretch>
                          <a:fillRect/>
                        </a:stretch>
                      </pic:blipFill>
                      <pic:spPr>
                        <a:xfrm>
                          <a:off x="0" y="0"/>
                          <a:ext cx="2650417" cy="969560"/>
                        </a:xfrm>
                        <a:prstGeom prst="rect">
                          <a:avLst/>
                        </a:prstGeom>
                        <a:noFill/>
                        <a:ln w="12700" cap="flat" cmpd="sng">
                          <a:noFill/>
                          <a:prstDash val="solid"/>
                          <a:miter/>
                        </a:ln>
                      </pic:spPr>
                    </pic:pic>
                  </a:graphicData>
                </a:graphic>
              </wp:inline>
            </w:drawing>
          </w:r>
        </w:p>
        <w:p w14:paraId="3CDBC71B" w14:textId="77777777" w:rsidR="00862EA4" w:rsidRPr="00E31DD6" w:rsidRDefault="00862EA4" w:rsidP="00862EA4">
          <w:pPr>
            <w:spacing w:line="360" w:lineRule="auto"/>
            <w:jc w:val="both"/>
            <w:rPr>
              <w:rFonts w:ascii="Arial" w:hAnsi="Arial" w:cs="Arial"/>
              <w:b/>
              <w:bCs/>
            </w:rPr>
          </w:pPr>
        </w:p>
        <w:p w14:paraId="56722E2D" w14:textId="77777777" w:rsidR="00862EA4" w:rsidRDefault="00862EA4" w:rsidP="00862EA4">
          <w:pPr>
            <w:spacing w:line="360" w:lineRule="auto"/>
            <w:jc w:val="both"/>
            <w:rPr>
              <w:rFonts w:ascii="Arial" w:hAnsi="Arial" w:cs="Arial"/>
              <w:b/>
              <w:bCs/>
            </w:rPr>
          </w:pPr>
        </w:p>
        <w:p w14:paraId="75625D3F" w14:textId="77777777" w:rsidR="00862EA4" w:rsidRPr="00E31DD6" w:rsidRDefault="00862EA4" w:rsidP="00862EA4">
          <w:pPr>
            <w:spacing w:line="360" w:lineRule="auto"/>
            <w:jc w:val="both"/>
            <w:rPr>
              <w:rFonts w:ascii="Arial" w:hAnsi="Arial" w:cs="Arial"/>
              <w:b/>
              <w:bCs/>
            </w:rPr>
          </w:pPr>
        </w:p>
        <w:p w14:paraId="59A01F1D" w14:textId="77777777" w:rsidR="00862EA4" w:rsidRPr="00E31DD6" w:rsidRDefault="00862EA4" w:rsidP="00862EA4">
          <w:pPr>
            <w:spacing w:line="360" w:lineRule="auto"/>
            <w:jc w:val="both"/>
            <w:rPr>
              <w:rFonts w:ascii="Arial" w:hAnsi="Arial" w:cs="Arial"/>
              <w:b/>
              <w:bCs/>
            </w:rPr>
          </w:pPr>
        </w:p>
        <w:p w14:paraId="6ED684A8" w14:textId="77777777" w:rsidR="00862EA4" w:rsidRDefault="00862EA4" w:rsidP="00862EA4">
          <w:pPr>
            <w:spacing w:line="360" w:lineRule="auto"/>
            <w:jc w:val="center"/>
            <w:rPr>
              <w:rFonts w:ascii="Arial" w:hAnsi="Arial" w:cs="Arial"/>
              <w:b/>
            </w:rPr>
          </w:pPr>
          <w:r w:rsidRPr="007106CD">
            <w:rPr>
              <w:rFonts w:ascii="Arial" w:hAnsi="Arial" w:cs="Arial"/>
              <w:b/>
            </w:rPr>
            <w:t>Health Care System Organisation and Leadership</w:t>
          </w:r>
        </w:p>
        <w:p w14:paraId="36AC1B2A" w14:textId="77777777" w:rsidR="00862EA4" w:rsidRPr="00FA6883" w:rsidRDefault="00862EA4" w:rsidP="00862EA4">
          <w:pPr>
            <w:spacing w:line="360" w:lineRule="auto"/>
            <w:jc w:val="center"/>
            <w:rPr>
              <w:rFonts w:ascii="Arial" w:hAnsi="Arial" w:cs="Arial"/>
            </w:rPr>
          </w:pPr>
          <w:r w:rsidRPr="00FA6883">
            <w:rPr>
              <w:rFonts w:ascii="Arial" w:hAnsi="Arial" w:cs="Arial"/>
              <w:b/>
            </w:rPr>
            <w:t>Case Study Analysis Report</w:t>
          </w:r>
        </w:p>
        <w:p w14:paraId="039AF719" w14:textId="77777777" w:rsidR="00862EA4" w:rsidRPr="004457CC" w:rsidRDefault="00862EA4" w:rsidP="00862EA4">
          <w:pPr>
            <w:spacing w:line="360" w:lineRule="auto"/>
            <w:jc w:val="center"/>
            <w:rPr>
              <w:rFonts w:ascii="Arial" w:hAnsi="Arial" w:cs="Arial"/>
              <w:sz w:val="28"/>
              <w:szCs w:val="28"/>
            </w:rPr>
          </w:pPr>
        </w:p>
        <w:p w14:paraId="6B062F94" w14:textId="77777777" w:rsidR="00862EA4" w:rsidRPr="007B0C15" w:rsidRDefault="00862EA4" w:rsidP="00862EA4">
          <w:pPr>
            <w:spacing w:line="360" w:lineRule="auto"/>
            <w:jc w:val="both"/>
            <w:rPr>
              <w:rFonts w:ascii="Arial" w:hAnsi="Arial" w:cs="Arial"/>
            </w:rPr>
          </w:pPr>
        </w:p>
        <w:p w14:paraId="675C3521" w14:textId="77777777" w:rsidR="00862EA4" w:rsidRPr="007B0C15" w:rsidRDefault="00862EA4" w:rsidP="00862EA4">
          <w:pPr>
            <w:spacing w:line="360" w:lineRule="auto"/>
            <w:jc w:val="both"/>
            <w:rPr>
              <w:rFonts w:ascii="Arial" w:hAnsi="Arial" w:cs="Arial"/>
            </w:rPr>
          </w:pPr>
        </w:p>
        <w:p w14:paraId="576F1046" w14:textId="77777777" w:rsidR="00862EA4" w:rsidRPr="007B0C15" w:rsidRDefault="00862EA4" w:rsidP="00862EA4">
          <w:pPr>
            <w:spacing w:line="360" w:lineRule="auto"/>
            <w:jc w:val="both"/>
            <w:rPr>
              <w:rFonts w:ascii="Arial" w:hAnsi="Arial" w:cs="Arial"/>
            </w:rPr>
          </w:pPr>
        </w:p>
        <w:p w14:paraId="5AD02CBD" w14:textId="77777777" w:rsidR="00862EA4" w:rsidRPr="007B0C15" w:rsidRDefault="00F03DA5" w:rsidP="00862EA4">
          <w:pPr>
            <w:spacing w:line="360" w:lineRule="auto"/>
            <w:jc w:val="both"/>
            <w:rPr>
              <w:rFonts w:ascii="Arial" w:hAnsi="Arial" w:cs="Arial"/>
            </w:rPr>
          </w:pPr>
        </w:p>
      </w:sdtContent>
    </w:sdt>
    <w:p w14:paraId="7F512A4B" w14:textId="77777777" w:rsidR="00862EA4" w:rsidRPr="007B0C15" w:rsidRDefault="00862EA4" w:rsidP="00862EA4">
      <w:pPr>
        <w:rPr>
          <w:rFonts w:ascii="Arial" w:hAnsi="Arial" w:cs="Arial"/>
        </w:rPr>
      </w:pPr>
      <w:r w:rsidRPr="007B0C15">
        <w:rPr>
          <w:rFonts w:ascii="Arial" w:hAnsi="Arial" w:cs="Arial"/>
          <w:b/>
          <w:bCs/>
        </w:rPr>
        <w:t>Programme:</w:t>
      </w:r>
      <w:r w:rsidRPr="007B0C15">
        <w:rPr>
          <w:rFonts w:ascii="Arial" w:hAnsi="Arial" w:cs="Arial"/>
        </w:rPr>
        <w:t xml:space="preserve"> </w:t>
      </w:r>
      <w:r w:rsidRPr="007B0C15">
        <w:rPr>
          <w:rFonts w:ascii="Arial" w:hAnsi="Arial" w:cs="Arial"/>
          <w:b/>
          <w:bCs/>
        </w:rPr>
        <w:t>MSc Public Health and Social Care in Practice</w:t>
      </w:r>
    </w:p>
    <w:p w14:paraId="67D08511" w14:textId="06CC05D8" w:rsidR="00862EA4" w:rsidRPr="007B0C15" w:rsidRDefault="00862EA4" w:rsidP="00862EA4">
      <w:pPr>
        <w:rPr>
          <w:rFonts w:ascii="Arial" w:hAnsi="Arial" w:cs="Arial"/>
        </w:rPr>
      </w:pPr>
      <w:r w:rsidRPr="007B0C15">
        <w:rPr>
          <w:rFonts w:ascii="Arial" w:hAnsi="Arial" w:cs="Arial"/>
          <w:b/>
          <w:bCs/>
        </w:rPr>
        <w:t>Module name:</w:t>
      </w:r>
      <w:r w:rsidRPr="007B0C15">
        <w:rPr>
          <w:rFonts w:ascii="Arial" w:hAnsi="Arial" w:cs="Arial"/>
        </w:rPr>
        <w:t xml:space="preserve"> </w:t>
      </w:r>
      <w:r w:rsidRPr="007B0C15">
        <w:rPr>
          <w:rFonts w:ascii="Arial" w:hAnsi="Arial" w:cs="Arial"/>
          <w:b/>
          <w:sz w:val="22"/>
          <w:szCs w:val="22"/>
        </w:rPr>
        <w:t>Health Care System Organisation and Leadership</w:t>
      </w:r>
    </w:p>
    <w:p w14:paraId="458DC6E6" w14:textId="5BA96DF5" w:rsidR="00862EA4" w:rsidRPr="007B0C15" w:rsidRDefault="00862EA4" w:rsidP="00862EA4">
      <w:pPr>
        <w:rPr>
          <w:rFonts w:ascii="Arial" w:hAnsi="Arial" w:cs="Arial"/>
          <w:b/>
          <w:bCs/>
        </w:rPr>
      </w:pPr>
      <w:r w:rsidRPr="007B0C15">
        <w:rPr>
          <w:rFonts w:ascii="Arial" w:hAnsi="Arial" w:cs="Arial"/>
          <w:b/>
          <w:bCs/>
        </w:rPr>
        <w:t>Module code: LCHS7002</w:t>
      </w:r>
    </w:p>
    <w:p w14:paraId="6B144AB5" w14:textId="062E84EB" w:rsidR="00862EA4" w:rsidRPr="007B0C15" w:rsidRDefault="00862EA4" w:rsidP="00862EA4">
      <w:pPr>
        <w:rPr>
          <w:rFonts w:ascii="Arial" w:hAnsi="Arial" w:cs="Arial"/>
          <w:b/>
          <w:bCs/>
        </w:rPr>
      </w:pPr>
      <w:r w:rsidRPr="007B0C15">
        <w:rPr>
          <w:rFonts w:ascii="Arial" w:hAnsi="Arial" w:cs="Arial"/>
          <w:b/>
          <w:bCs/>
        </w:rPr>
        <w:t>Student name: MISHA GIRISHBHAI PATEL</w:t>
      </w:r>
    </w:p>
    <w:p w14:paraId="0482E3D7" w14:textId="2A5DC5F9" w:rsidR="00862EA4" w:rsidRPr="007B0C15" w:rsidRDefault="00862EA4" w:rsidP="00862EA4">
      <w:pPr>
        <w:rPr>
          <w:rFonts w:ascii="Arial" w:hAnsi="Arial" w:cs="Arial"/>
          <w:b/>
          <w:bCs/>
        </w:rPr>
      </w:pPr>
      <w:r w:rsidRPr="007B0C15">
        <w:rPr>
          <w:rFonts w:ascii="Arial" w:hAnsi="Arial" w:cs="Arial"/>
          <w:b/>
          <w:bCs/>
        </w:rPr>
        <w:t xml:space="preserve">Student ID: </w:t>
      </w:r>
      <w:r w:rsidR="007B0C15" w:rsidRPr="007B0C15">
        <w:rPr>
          <w:rFonts w:ascii="Arial" w:hAnsi="Arial" w:cs="Arial"/>
          <w:b/>
          <w:bCs/>
          <w:lang w:val="en-US"/>
        </w:rPr>
        <w:t>2540912</w:t>
      </w:r>
    </w:p>
    <w:p w14:paraId="2C6B59BE" w14:textId="2972B595" w:rsidR="00862EA4" w:rsidRPr="007B0C15" w:rsidRDefault="00862EA4" w:rsidP="00862EA4">
      <w:pPr>
        <w:rPr>
          <w:rFonts w:ascii="Arial" w:hAnsi="Arial" w:cs="Arial"/>
        </w:rPr>
      </w:pPr>
      <w:r w:rsidRPr="007B0C15">
        <w:rPr>
          <w:rFonts w:ascii="Arial" w:hAnsi="Arial" w:cs="Arial"/>
          <w:b/>
          <w:bCs/>
        </w:rPr>
        <w:t>Lecturer:</w:t>
      </w:r>
      <w:r w:rsidRPr="007B0C15">
        <w:rPr>
          <w:rFonts w:ascii="Arial" w:hAnsi="Arial" w:cs="Arial"/>
        </w:rPr>
        <w:t xml:space="preserve"> </w:t>
      </w:r>
      <w:r w:rsidR="007B0C15" w:rsidRPr="007B0C15">
        <w:rPr>
          <w:rFonts w:ascii="Arial" w:hAnsi="Arial" w:cs="Arial"/>
          <w:b/>
          <w:bCs/>
        </w:rPr>
        <w:t>Pascal Navelle</w:t>
      </w:r>
    </w:p>
    <w:p w14:paraId="6D662144" w14:textId="77777777" w:rsidR="00540C7A" w:rsidRDefault="00540C7A" w:rsidP="00090593">
      <w:pPr>
        <w:spacing w:line="240" w:lineRule="auto"/>
        <w:rPr>
          <w:rFonts w:ascii="Arial" w:hAnsi="Arial" w:cs="Arial"/>
          <w:sz w:val="16"/>
          <w:szCs w:val="16"/>
        </w:rPr>
      </w:pPr>
    </w:p>
    <w:p w14:paraId="4CBC40E0" w14:textId="77777777" w:rsidR="00540C7A" w:rsidRDefault="00540C7A" w:rsidP="00090593">
      <w:pPr>
        <w:spacing w:line="240" w:lineRule="auto"/>
        <w:rPr>
          <w:rFonts w:ascii="Arial" w:hAnsi="Arial" w:cs="Arial"/>
          <w:sz w:val="16"/>
          <w:szCs w:val="16"/>
        </w:rPr>
      </w:pPr>
    </w:p>
    <w:p w14:paraId="59D9A60B" w14:textId="77777777" w:rsidR="00540C7A" w:rsidRDefault="00540C7A" w:rsidP="00090593">
      <w:pPr>
        <w:spacing w:line="240" w:lineRule="auto"/>
        <w:rPr>
          <w:rFonts w:ascii="Arial" w:hAnsi="Arial" w:cs="Arial"/>
          <w:sz w:val="16"/>
          <w:szCs w:val="16"/>
        </w:rPr>
      </w:pPr>
    </w:p>
    <w:p w14:paraId="5CE31C6D" w14:textId="77777777" w:rsidR="007F3BA4" w:rsidRDefault="007F3BA4" w:rsidP="00090593">
      <w:pPr>
        <w:spacing w:line="240" w:lineRule="auto"/>
        <w:rPr>
          <w:rFonts w:ascii="Arial" w:hAnsi="Arial" w:cs="Arial"/>
          <w:sz w:val="16"/>
          <w:szCs w:val="16"/>
        </w:rPr>
      </w:pPr>
    </w:p>
    <w:p w14:paraId="22DC202D" w14:textId="7F4A3513" w:rsidR="00090593" w:rsidRPr="00540C7A" w:rsidRDefault="00090593" w:rsidP="00090593">
      <w:pPr>
        <w:spacing w:line="240" w:lineRule="auto"/>
        <w:rPr>
          <w:rFonts w:ascii="Arial" w:hAnsi="Arial" w:cs="Arial"/>
          <w:b/>
          <w:bCs/>
          <w:sz w:val="22"/>
          <w:szCs w:val="22"/>
        </w:rPr>
      </w:pPr>
      <w:r w:rsidRPr="00540C7A">
        <w:rPr>
          <w:rFonts w:ascii="Arial" w:hAnsi="Arial" w:cs="Arial"/>
          <w:b/>
          <w:bCs/>
          <w:noProof/>
          <w:sz w:val="22"/>
          <w:szCs w:val="22"/>
        </w:rPr>
        <w:drawing>
          <wp:inline distT="0" distB="0" distL="0" distR="0" wp14:anchorId="23B99D81" wp14:editId="5951BCF1">
            <wp:extent cx="7620" cy="7620"/>
            <wp:effectExtent l="0" t="0" r="0" b="0"/>
            <wp:docPr id="10261150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18D37442" w14:textId="77777777" w:rsidR="00540C7A" w:rsidRPr="00540C7A" w:rsidRDefault="00540C7A" w:rsidP="00090593">
      <w:pPr>
        <w:spacing w:line="240" w:lineRule="auto"/>
        <w:rPr>
          <w:rFonts w:ascii="Arial" w:hAnsi="Arial" w:cs="Arial"/>
          <w:b/>
          <w:bCs/>
          <w:sz w:val="22"/>
          <w:szCs w:val="22"/>
        </w:rPr>
      </w:pPr>
      <w:r w:rsidRPr="00540C7A">
        <w:rPr>
          <w:rFonts w:ascii="Arial" w:hAnsi="Arial" w:cs="Arial"/>
          <w:b/>
          <w:bCs/>
          <w:sz w:val="22"/>
          <w:szCs w:val="22"/>
        </w:rPr>
        <w:lastRenderedPageBreak/>
        <w:t>INDEX</w:t>
      </w:r>
    </w:p>
    <w:p w14:paraId="125937BF" w14:textId="6B3CDC11"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SECTION 1: INTRODUCTION</w:t>
      </w:r>
    </w:p>
    <w:p w14:paraId="03BC646B"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1.1 Background and Purpose of the Chosen Case Study 1.2 Defining Leadership in Health and Social Care 1.3 Centralisation, Decentralisation, and Core Leadership Theories 1.4 Strategic Importance of Leadership Selection and Report Outline</w:t>
      </w:r>
    </w:p>
    <w:p w14:paraId="6D652207"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SECTION 2: MAIN BODY AND ANALYSIS</w:t>
      </w:r>
    </w:p>
    <w:p w14:paraId="5BD7597B"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2a. Identifying the Problem and Setting the System Context</w:t>
      </w:r>
    </w:p>
    <w:p w14:paraId="6F90B619"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Clinical Problem Identification and Systemic Context</w:t>
      </w:r>
    </w:p>
    <w:p w14:paraId="1DA6C4EF"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Systems Thinking: Swiss Cheese Model &amp; Vincent’s Clinical Risk Framework</w:t>
      </w:r>
    </w:p>
    <w:p w14:paraId="21DDD560"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Rich Picture Model (System Pressures → Governance → Work Environment → Communication → Human Factors → Active Failure → Catastrophic Outcome)</w:t>
      </w:r>
    </w:p>
    <w:p w14:paraId="564F8177"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Global Statistical Evidence (WHO)</w:t>
      </w:r>
    </w:p>
    <w:p w14:paraId="432697E9"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National Statistical Evidence (NHS England, CQC, NRLS)</w:t>
      </w:r>
    </w:p>
    <w:p w14:paraId="3A9E8BC7"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Organisational Statistical Evidence</w:t>
      </w:r>
    </w:p>
    <w:p w14:paraId="6F652BBB"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Systems Weaknesses Across Governance Levels</w:t>
      </w:r>
    </w:p>
    <w:p w14:paraId="174B87FE" w14:textId="77777777" w:rsidR="00090593" w:rsidRPr="00090593" w:rsidRDefault="00090593" w:rsidP="00090593">
      <w:pPr>
        <w:numPr>
          <w:ilvl w:val="1"/>
          <w:numId w:val="17"/>
        </w:numPr>
        <w:spacing w:line="240" w:lineRule="auto"/>
        <w:rPr>
          <w:rFonts w:ascii="Arial" w:hAnsi="Arial" w:cs="Arial"/>
          <w:sz w:val="18"/>
          <w:szCs w:val="18"/>
        </w:rPr>
      </w:pPr>
      <w:r w:rsidRPr="00090593">
        <w:rPr>
          <w:rFonts w:ascii="Arial" w:hAnsi="Arial" w:cs="Arial"/>
          <w:sz w:val="18"/>
          <w:szCs w:val="18"/>
        </w:rPr>
        <w:t>Local Governance Failures</w:t>
      </w:r>
    </w:p>
    <w:p w14:paraId="47ACD3D8" w14:textId="77777777" w:rsidR="00090593" w:rsidRPr="00090593" w:rsidRDefault="00090593" w:rsidP="00090593">
      <w:pPr>
        <w:numPr>
          <w:ilvl w:val="1"/>
          <w:numId w:val="17"/>
        </w:numPr>
        <w:spacing w:line="240" w:lineRule="auto"/>
        <w:rPr>
          <w:rFonts w:ascii="Arial" w:hAnsi="Arial" w:cs="Arial"/>
          <w:sz w:val="18"/>
          <w:szCs w:val="18"/>
        </w:rPr>
      </w:pPr>
      <w:r w:rsidRPr="00090593">
        <w:rPr>
          <w:rFonts w:ascii="Arial" w:hAnsi="Arial" w:cs="Arial"/>
          <w:sz w:val="18"/>
          <w:szCs w:val="18"/>
        </w:rPr>
        <w:t>Regional Governance Failures</w:t>
      </w:r>
    </w:p>
    <w:p w14:paraId="4C47E4A1" w14:textId="77777777" w:rsidR="00090593" w:rsidRPr="00090593" w:rsidRDefault="00090593" w:rsidP="00090593">
      <w:pPr>
        <w:numPr>
          <w:ilvl w:val="1"/>
          <w:numId w:val="17"/>
        </w:numPr>
        <w:spacing w:line="240" w:lineRule="auto"/>
        <w:rPr>
          <w:rFonts w:ascii="Arial" w:hAnsi="Arial" w:cs="Arial"/>
          <w:sz w:val="18"/>
          <w:szCs w:val="18"/>
        </w:rPr>
      </w:pPr>
      <w:r w:rsidRPr="00090593">
        <w:rPr>
          <w:rFonts w:ascii="Arial" w:hAnsi="Arial" w:cs="Arial"/>
          <w:sz w:val="18"/>
          <w:szCs w:val="18"/>
        </w:rPr>
        <w:t>National Governance Failures</w:t>
      </w:r>
    </w:p>
    <w:p w14:paraId="7D1AC22F" w14:textId="77777777" w:rsidR="00090593" w:rsidRPr="00090593" w:rsidRDefault="00090593" w:rsidP="00090593">
      <w:pPr>
        <w:numPr>
          <w:ilvl w:val="0"/>
          <w:numId w:val="17"/>
        </w:numPr>
        <w:spacing w:line="240" w:lineRule="auto"/>
        <w:rPr>
          <w:rFonts w:ascii="Arial" w:hAnsi="Arial" w:cs="Arial"/>
          <w:sz w:val="18"/>
          <w:szCs w:val="18"/>
        </w:rPr>
      </w:pPr>
      <w:r w:rsidRPr="00090593">
        <w:rPr>
          <w:rFonts w:ascii="Arial" w:hAnsi="Arial" w:cs="Arial"/>
          <w:sz w:val="18"/>
          <w:szCs w:val="18"/>
        </w:rPr>
        <w:t>Underlying Operational Challenges (Bed Occupancy, Cognitive Load, Alert Fatigue)</w:t>
      </w:r>
    </w:p>
    <w:p w14:paraId="06989324"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2b. Centralisation or Decentralisation within the Case Study</w:t>
      </w:r>
    </w:p>
    <w:p w14:paraId="26518E8B"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Structural Analysis of the Case Study Organisation</w:t>
      </w:r>
    </w:p>
    <w:p w14:paraId="21D62265"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TABLE 1: Comparative Evaluation of Centralisation vs. Decentralisation</w:t>
      </w:r>
    </w:p>
    <w:p w14:paraId="2EF24380"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Centralised Systems</w:t>
      </w:r>
    </w:p>
    <w:p w14:paraId="1F1451EE"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Characteristics</w:t>
      </w:r>
    </w:p>
    <w:p w14:paraId="6997D56D"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Advantages</w:t>
      </w:r>
    </w:p>
    <w:p w14:paraId="00E398C2"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Disadvantages</w:t>
      </w:r>
    </w:p>
    <w:p w14:paraId="3667FC01"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Case Evidence</w:t>
      </w:r>
    </w:p>
    <w:p w14:paraId="4E3B8EAD"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Decentralised Systems</w:t>
      </w:r>
    </w:p>
    <w:p w14:paraId="5DDD5FC2"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Characteristics</w:t>
      </w:r>
    </w:p>
    <w:p w14:paraId="10AF784F"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Advantages</w:t>
      </w:r>
    </w:p>
    <w:p w14:paraId="36A73894"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Disadvantages</w:t>
      </w:r>
    </w:p>
    <w:p w14:paraId="4832635A"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Case Evidence</w:t>
      </w:r>
    </w:p>
    <w:p w14:paraId="501A4883"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Critical Analysis of System Structure</w:t>
      </w:r>
    </w:p>
    <w:p w14:paraId="1B5CBB1C"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Impact on Crisis Management</w:t>
      </w:r>
    </w:p>
    <w:p w14:paraId="4F82DBC4"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Impact on Decision-Making</w:t>
      </w:r>
    </w:p>
    <w:p w14:paraId="6A35C9B0" w14:textId="77777777" w:rsidR="00090593" w:rsidRPr="00090593" w:rsidRDefault="00090593" w:rsidP="00090593">
      <w:pPr>
        <w:numPr>
          <w:ilvl w:val="1"/>
          <w:numId w:val="18"/>
        </w:numPr>
        <w:spacing w:line="240" w:lineRule="auto"/>
        <w:rPr>
          <w:rFonts w:ascii="Arial" w:hAnsi="Arial" w:cs="Arial"/>
          <w:sz w:val="18"/>
          <w:szCs w:val="18"/>
        </w:rPr>
      </w:pPr>
      <w:r w:rsidRPr="00090593">
        <w:rPr>
          <w:rFonts w:ascii="Arial" w:hAnsi="Arial" w:cs="Arial"/>
          <w:sz w:val="18"/>
          <w:szCs w:val="18"/>
        </w:rPr>
        <w:t>Impact on Accountability</w:t>
      </w:r>
    </w:p>
    <w:p w14:paraId="2C875CD3" w14:textId="77777777" w:rsidR="00090593" w:rsidRPr="00090593" w:rsidRDefault="00090593" w:rsidP="00090593">
      <w:pPr>
        <w:numPr>
          <w:ilvl w:val="0"/>
          <w:numId w:val="18"/>
        </w:numPr>
        <w:spacing w:line="240" w:lineRule="auto"/>
        <w:rPr>
          <w:rFonts w:ascii="Arial" w:hAnsi="Arial" w:cs="Arial"/>
          <w:sz w:val="18"/>
          <w:szCs w:val="18"/>
        </w:rPr>
      </w:pPr>
      <w:r w:rsidRPr="00090593">
        <w:rPr>
          <w:rFonts w:ascii="Arial" w:hAnsi="Arial" w:cs="Arial"/>
          <w:sz w:val="18"/>
          <w:szCs w:val="18"/>
        </w:rPr>
        <w:t>Safety Performance Metrics (Medication Reconciliation, Handover Verification, Procedure Delay Management)</w:t>
      </w:r>
    </w:p>
    <w:p w14:paraId="6000D61A"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lastRenderedPageBreak/>
        <w:t>2c. Leadership Theories and Application to the Case Study</w:t>
      </w:r>
    </w:p>
    <w:p w14:paraId="1B22A047"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TABLE 2: Theoretical Critique of Leadership Styles in Patient Safety</w:t>
      </w:r>
    </w:p>
    <w:p w14:paraId="1A6B8ECC"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Transactional Leadership</w:t>
      </w:r>
    </w:p>
    <w:p w14:paraId="2B51FB22"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Management-by-Exception</w:t>
      </w:r>
    </w:p>
    <w:p w14:paraId="031C04B9"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Punitive Culture</w:t>
      </w:r>
    </w:p>
    <w:p w14:paraId="64EDD79D"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Impact on Near-Miss Reporting</w:t>
      </w:r>
    </w:p>
    <w:p w14:paraId="13759AE6"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Transformational Leadership</w:t>
      </w:r>
    </w:p>
    <w:p w14:paraId="21C43383"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Absence of Vision, Coaching, Intellectual Stimulation</w:t>
      </w:r>
    </w:p>
    <w:p w14:paraId="7EF8E6C7"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Impact on Motivation and Safety Compliance</w:t>
      </w:r>
    </w:p>
    <w:p w14:paraId="2DBA575B"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Situational Leadership</w:t>
      </w:r>
    </w:p>
    <w:p w14:paraId="60B609A9"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Failure to Adapt to High-Risk, High-Volume Environment</w:t>
      </w:r>
    </w:p>
    <w:p w14:paraId="429D7CCC"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Distributed / Servant Leadership</w:t>
      </w:r>
    </w:p>
    <w:p w14:paraId="2EC9873C"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Disempowerment of Frontline Staff</w:t>
      </w:r>
    </w:p>
    <w:p w14:paraId="0455DC92"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Psychological Safety Breakdown</w:t>
      </w:r>
    </w:p>
    <w:p w14:paraId="6CFB835C" w14:textId="77777777" w:rsidR="00090593" w:rsidRPr="00090593" w:rsidRDefault="00090593" w:rsidP="00090593">
      <w:pPr>
        <w:numPr>
          <w:ilvl w:val="0"/>
          <w:numId w:val="19"/>
        </w:numPr>
        <w:spacing w:line="240" w:lineRule="auto"/>
        <w:rPr>
          <w:rFonts w:ascii="Arial" w:hAnsi="Arial" w:cs="Arial"/>
          <w:sz w:val="18"/>
          <w:szCs w:val="18"/>
        </w:rPr>
      </w:pPr>
      <w:r w:rsidRPr="00090593">
        <w:rPr>
          <w:rFonts w:ascii="Arial" w:hAnsi="Arial" w:cs="Arial"/>
          <w:sz w:val="18"/>
          <w:szCs w:val="18"/>
        </w:rPr>
        <w:t>Reactive vs. Proactive Leadership</w:t>
      </w:r>
    </w:p>
    <w:p w14:paraId="07EB54B7"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Crisis Management vs. Continuous Improvement</w:t>
      </w:r>
    </w:p>
    <w:p w14:paraId="6A1DA05B" w14:textId="77777777" w:rsidR="00090593" w:rsidRPr="00090593" w:rsidRDefault="00090593" w:rsidP="00090593">
      <w:pPr>
        <w:numPr>
          <w:ilvl w:val="1"/>
          <w:numId w:val="19"/>
        </w:numPr>
        <w:spacing w:line="240" w:lineRule="auto"/>
        <w:rPr>
          <w:rFonts w:ascii="Arial" w:hAnsi="Arial" w:cs="Arial"/>
          <w:sz w:val="18"/>
          <w:szCs w:val="18"/>
        </w:rPr>
      </w:pPr>
      <w:r w:rsidRPr="00090593">
        <w:rPr>
          <w:rFonts w:ascii="Arial" w:hAnsi="Arial" w:cs="Arial"/>
          <w:sz w:val="18"/>
          <w:szCs w:val="18"/>
        </w:rPr>
        <w:t>Data-Driven Leadership Gaps</w:t>
      </w:r>
    </w:p>
    <w:p w14:paraId="0D9DC5E3"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2d. Improvement and Lessons Learned</w:t>
      </w:r>
    </w:p>
    <w:p w14:paraId="78BD4E7B" w14:textId="77777777" w:rsidR="00090593" w:rsidRPr="00090593" w:rsidRDefault="00090593" w:rsidP="00090593">
      <w:pPr>
        <w:numPr>
          <w:ilvl w:val="0"/>
          <w:numId w:val="20"/>
        </w:numPr>
        <w:spacing w:line="240" w:lineRule="auto"/>
        <w:rPr>
          <w:rFonts w:ascii="Arial" w:hAnsi="Arial" w:cs="Arial"/>
          <w:sz w:val="18"/>
          <w:szCs w:val="18"/>
        </w:rPr>
      </w:pPr>
      <w:r w:rsidRPr="00090593">
        <w:rPr>
          <w:rFonts w:ascii="Arial" w:hAnsi="Arial" w:cs="Arial"/>
          <w:sz w:val="18"/>
          <w:szCs w:val="18"/>
        </w:rPr>
        <w:t>FIGURE 2: Vertical Systemic Causal Loop Flow</w:t>
      </w:r>
      <w:r w:rsidRPr="00090593">
        <w:rPr>
          <w:rFonts w:ascii="Arial" w:hAnsi="Arial" w:cs="Arial"/>
          <w:sz w:val="18"/>
          <w:szCs w:val="18"/>
        </w:rPr>
        <w:noBreakHyphen/>
        <w:t>Chart</w:t>
      </w:r>
    </w:p>
    <w:p w14:paraId="1178CDA8" w14:textId="77777777" w:rsidR="00090593" w:rsidRPr="00090593" w:rsidRDefault="00090593" w:rsidP="00090593">
      <w:pPr>
        <w:numPr>
          <w:ilvl w:val="0"/>
          <w:numId w:val="20"/>
        </w:numPr>
        <w:spacing w:line="240" w:lineRule="auto"/>
        <w:rPr>
          <w:rFonts w:ascii="Arial" w:hAnsi="Arial" w:cs="Arial"/>
          <w:sz w:val="18"/>
          <w:szCs w:val="18"/>
        </w:rPr>
      </w:pPr>
      <w:r w:rsidRPr="00090593">
        <w:rPr>
          <w:rFonts w:ascii="Arial" w:hAnsi="Arial" w:cs="Arial"/>
          <w:sz w:val="18"/>
          <w:szCs w:val="18"/>
        </w:rPr>
        <w:t>Missed Opportunities</w:t>
      </w:r>
    </w:p>
    <w:p w14:paraId="62765B01"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 xml:space="preserve">Missed Opportunity 1: </w:t>
      </w:r>
      <w:proofErr w:type="spellStart"/>
      <w:r w:rsidRPr="00090593">
        <w:rPr>
          <w:rFonts w:ascii="Arial" w:hAnsi="Arial" w:cs="Arial"/>
          <w:sz w:val="18"/>
          <w:szCs w:val="18"/>
        </w:rPr>
        <w:t>ePMA</w:t>
      </w:r>
      <w:proofErr w:type="spellEnd"/>
      <w:r w:rsidRPr="00090593">
        <w:rPr>
          <w:rFonts w:ascii="Arial" w:hAnsi="Arial" w:cs="Arial"/>
          <w:sz w:val="18"/>
          <w:szCs w:val="18"/>
        </w:rPr>
        <w:t xml:space="preserve"> Safety Net</w:t>
      </w:r>
    </w:p>
    <w:p w14:paraId="718E1F4F"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Missed Opportunity 2: Daily Pharmacy Reconciliation</w:t>
      </w:r>
    </w:p>
    <w:p w14:paraId="745413C1"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Missed Opportunity 3: Post-Procedure Re-initiation Checklist</w:t>
      </w:r>
    </w:p>
    <w:p w14:paraId="5886CF45" w14:textId="77777777" w:rsidR="00090593" w:rsidRPr="00090593" w:rsidRDefault="00090593" w:rsidP="00090593">
      <w:pPr>
        <w:numPr>
          <w:ilvl w:val="0"/>
          <w:numId w:val="20"/>
        </w:numPr>
        <w:spacing w:line="240" w:lineRule="auto"/>
        <w:rPr>
          <w:rFonts w:ascii="Arial" w:hAnsi="Arial" w:cs="Arial"/>
          <w:sz w:val="18"/>
          <w:szCs w:val="18"/>
        </w:rPr>
      </w:pPr>
      <w:r w:rsidRPr="00090593">
        <w:rPr>
          <w:rFonts w:ascii="Arial" w:hAnsi="Arial" w:cs="Arial"/>
          <w:sz w:val="18"/>
          <w:szCs w:val="18"/>
        </w:rPr>
        <w:t>Synthesis of System Structure, Leadership Style, and Feedback Loops</w:t>
      </w:r>
    </w:p>
    <w:p w14:paraId="46CA6328" w14:textId="77777777" w:rsidR="00090593" w:rsidRPr="00090593" w:rsidRDefault="00090593" w:rsidP="00090593">
      <w:pPr>
        <w:numPr>
          <w:ilvl w:val="0"/>
          <w:numId w:val="20"/>
        </w:numPr>
        <w:spacing w:line="240" w:lineRule="auto"/>
        <w:rPr>
          <w:rFonts w:ascii="Arial" w:hAnsi="Arial" w:cs="Arial"/>
          <w:sz w:val="18"/>
          <w:szCs w:val="18"/>
        </w:rPr>
      </w:pPr>
      <w:r w:rsidRPr="00090593">
        <w:rPr>
          <w:rFonts w:ascii="Arial" w:hAnsi="Arial" w:cs="Arial"/>
          <w:sz w:val="18"/>
          <w:szCs w:val="18"/>
        </w:rPr>
        <w:t>Generalisable Lessons for Healthcare Organisations</w:t>
      </w:r>
    </w:p>
    <w:p w14:paraId="5D4ACE3F"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High-Alert Drug Omissions as System Failures</w:t>
      </w:r>
    </w:p>
    <w:p w14:paraId="19D72320"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Mandatory Standardisation of Medication Reconciliation</w:t>
      </w:r>
    </w:p>
    <w:p w14:paraId="6D6B4D1A"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Cultivation of Just Culture</w:t>
      </w:r>
    </w:p>
    <w:p w14:paraId="4879CD6A" w14:textId="77777777" w:rsidR="00090593" w:rsidRPr="00090593" w:rsidRDefault="00090593" w:rsidP="00090593">
      <w:pPr>
        <w:numPr>
          <w:ilvl w:val="1"/>
          <w:numId w:val="20"/>
        </w:numPr>
        <w:spacing w:line="240" w:lineRule="auto"/>
        <w:rPr>
          <w:rFonts w:ascii="Arial" w:hAnsi="Arial" w:cs="Arial"/>
          <w:sz w:val="18"/>
          <w:szCs w:val="18"/>
        </w:rPr>
      </w:pPr>
      <w:r w:rsidRPr="00090593">
        <w:rPr>
          <w:rFonts w:ascii="Arial" w:hAnsi="Arial" w:cs="Arial"/>
          <w:sz w:val="18"/>
          <w:szCs w:val="18"/>
        </w:rPr>
        <w:t>Data-Driven Continuous Improvement and Co-Production</w:t>
      </w:r>
    </w:p>
    <w:p w14:paraId="03CA35CD"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t>SECTION 3: RECOMMENDATIONS</w:t>
      </w:r>
    </w:p>
    <w:p w14:paraId="7F7EA839" w14:textId="77777777" w:rsidR="00090593" w:rsidRPr="00090593" w:rsidRDefault="00090593" w:rsidP="00090593">
      <w:pPr>
        <w:numPr>
          <w:ilvl w:val="0"/>
          <w:numId w:val="21"/>
        </w:numPr>
        <w:spacing w:line="240" w:lineRule="auto"/>
        <w:rPr>
          <w:rFonts w:ascii="Arial" w:hAnsi="Arial" w:cs="Arial"/>
          <w:sz w:val="18"/>
          <w:szCs w:val="18"/>
        </w:rPr>
      </w:pPr>
      <w:r w:rsidRPr="00090593">
        <w:rPr>
          <w:rFonts w:ascii="Arial" w:hAnsi="Arial" w:cs="Arial"/>
          <w:sz w:val="18"/>
          <w:szCs w:val="18"/>
        </w:rPr>
        <w:t>Strategic Recommendations for Transforming the Hospital into a High Reliability Organisation</w:t>
      </w:r>
    </w:p>
    <w:p w14:paraId="3908A019" w14:textId="77777777" w:rsidR="00090593" w:rsidRPr="00090593" w:rsidRDefault="00090593" w:rsidP="00090593">
      <w:pPr>
        <w:numPr>
          <w:ilvl w:val="0"/>
          <w:numId w:val="21"/>
        </w:numPr>
        <w:spacing w:line="240" w:lineRule="auto"/>
        <w:rPr>
          <w:rFonts w:ascii="Arial" w:hAnsi="Arial" w:cs="Arial"/>
          <w:sz w:val="18"/>
          <w:szCs w:val="18"/>
        </w:rPr>
      </w:pPr>
      <w:r w:rsidRPr="00090593">
        <w:rPr>
          <w:rFonts w:ascii="Arial" w:hAnsi="Arial" w:cs="Arial"/>
          <w:sz w:val="18"/>
          <w:szCs w:val="18"/>
        </w:rPr>
        <w:t>TABLE 3: Actionable Strategic Recommendations Matrix</w:t>
      </w:r>
    </w:p>
    <w:p w14:paraId="1AF2AFA2" w14:textId="77777777" w:rsidR="00090593" w:rsidRPr="00090593" w:rsidRDefault="00090593" w:rsidP="00090593">
      <w:pPr>
        <w:numPr>
          <w:ilvl w:val="1"/>
          <w:numId w:val="21"/>
        </w:numPr>
        <w:spacing w:line="240" w:lineRule="auto"/>
        <w:rPr>
          <w:rFonts w:ascii="Arial" w:hAnsi="Arial" w:cs="Arial"/>
          <w:sz w:val="18"/>
          <w:szCs w:val="18"/>
        </w:rPr>
      </w:pPr>
      <w:r w:rsidRPr="00090593">
        <w:rPr>
          <w:rFonts w:ascii="Arial" w:hAnsi="Arial" w:cs="Arial"/>
          <w:sz w:val="18"/>
          <w:szCs w:val="18"/>
        </w:rPr>
        <w:t>Clinical Governance &amp; Technology</w:t>
      </w:r>
    </w:p>
    <w:p w14:paraId="6B489771" w14:textId="77777777" w:rsidR="00090593" w:rsidRPr="00090593" w:rsidRDefault="00090593" w:rsidP="00090593">
      <w:pPr>
        <w:numPr>
          <w:ilvl w:val="1"/>
          <w:numId w:val="21"/>
        </w:numPr>
        <w:spacing w:line="240" w:lineRule="auto"/>
        <w:rPr>
          <w:rFonts w:ascii="Arial" w:hAnsi="Arial" w:cs="Arial"/>
          <w:sz w:val="18"/>
          <w:szCs w:val="18"/>
        </w:rPr>
      </w:pPr>
      <w:r w:rsidRPr="00090593">
        <w:rPr>
          <w:rFonts w:ascii="Arial" w:hAnsi="Arial" w:cs="Arial"/>
          <w:sz w:val="18"/>
          <w:szCs w:val="18"/>
        </w:rPr>
        <w:t>Medication Safety Protocols</w:t>
      </w:r>
    </w:p>
    <w:p w14:paraId="5AE6AFBA" w14:textId="77777777" w:rsidR="00090593" w:rsidRPr="00090593" w:rsidRDefault="00090593" w:rsidP="00090593">
      <w:pPr>
        <w:numPr>
          <w:ilvl w:val="1"/>
          <w:numId w:val="21"/>
        </w:numPr>
        <w:spacing w:line="240" w:lineRule="auto"/>
        <w:rPr>
          <w:rFonts w:ascii="Arial" w:hAnsi="Arial" w:cs="Arial"/>
          <w:sz w:val="18"/>
          <w:szCs w:val="18"/>
        </w:rPr>
      </w:pPr>
      <w:r w:rsidRPr="00090593">
        <w:rPr>
          <w:rFonts w:ascii="Arial" w:hAnsi="Arial" w:cs="Arial"/>
          <w:sz w:val="18"/>
          <w:szCs w:val="18"/>
        </w:rPr>
        <w:t>Leadership Style Transformation</w:t>
      </w:r>
    </w:p>
    <w:p w14:paraId="5EF05F24" w14:textId="77777777" w:rsidR="00090593" w:rsidRPr="00090593" w:rsidRDefault="00090593" w:rsidP="00090593">
      <w:pPr>
        <w:numPr>
          <w:ilvl w:val="1"/>
          <w:numId w:val="21"/>
        </w:numPr>
        <w:spacing w:line="240" w:lineRule="auto"/>
        <w:rPr>
          <w:rFonts w:ascii="Arial" w:hAnsi="Arial" w:cs="Arial"/>
          <w:sz w:val="18"/>
          <w:szCs w:val="18"/>
        </w:rPr>
      </w:pPr>
      <w:r w:rsidRPr="00090593">
        <w:rPr>
          <w:rFonts w:ascii="Arial" w:hAnsi="Arial" w:cs="Arial"/>
          <w:sz w:val="18"/>
          <w:szCs w:val="18"/>
        </w:rPr>
        <w:t>Just Culture &amp; Psychological Safety</w:t>
      </w:r>
    </w:p>
    <w:p w14:paraId="467EC97C" w14:textId="77777777" w:rsidR="00090593" w:rsidRPr="00090593" w:rsidRDefault="00090593" w:rsidP="00090593">
      <w:pPr>
        <w:numPr>
          <w:ilvl w:val="1"/>
          <w:numId w:val="21"/>
        </w:numPr>
        <w:spacing w:line="240" w:lineRule="auto"/>
        <w:rPr>
          <w:rFonts w:ascii="Arial" w:hAnsi="Arial" w:cs="Arial"/>
          <w:sz w:val="18"/>
          <w:szCs w:val="18"/>
        </w:rPr>
      </w:pPr>
      <w:r w:rsidRPr="00090593">
        <w:rPr>
          <w:rFonts w:ascii="Arial" w:hAnsi="Arial" w:cs="Arial"/>
          <w:sz w:val="18"/>
          <w:szCs w:val="18"/>
        </w:rPr>
        <w:t>Resource Efficiency &amp; Co-Production</w:t>
      </w:r>
    </w:p>
    <w:p w14:paraId="090478FC" w14:textId="77777777" w:rsidR="00090593" w:rsidRPr="00090593" w:rsidRDefault="00090593" w:rsidP="00090593">
      <w:pPr>
        <w:spacing w:line="240" w:lineRule="auto"/>
        <w:rPr>
          <w:rFonts w:ascii="Arial" w:hAnsi="Arial" w:cs="Arial"/>
          <w:sz w:val="18"/>
          <w:szCs w:val="18"/>
        </w:rPr>
      </w:pPr>
      <w:r w:rsidRPr="00090593">
        <w:rPr>
          <w:rFonts w:ascii="Arial" w:hAnsi="Arial" w:cs="Arial"/>
          <w:sz w:val="18"/>
          <w:szCs w:val="18"/>
        </w:rPr>
        <w:lastRenderedPageBreak/>
        <w:t>SECTION 4: CONCLUSION</w:t>
      </w:r>
    </w:p>
    <w:p w14:paraId="0BA21459" w14:textId="77777777" w:rsidR="00090593" w:rsidRPr="00090593" w:rsidRDefault="00090593" w:rsidP="00090593">
      <w:pPr>
        <w:numPr>
          <w:ilvl w:val="0"/>
          <w:numId w:val="22"/>
        </w:numPr>
        <w:spacing w:line="240" w:lineRule="auto"/>
        <w:rPr>
          <w:rFonts w:ascii="Arial" w:hAnsi="Arial" w:cs="Arial"/>
          <w:sz w:val="18"/>
          <w:szCs w:val="18"/>
        </w:rPr>
      </w:pPr>
      <w:r w:rsidRPr="00090593">
        <w:rPr>
          <w:rFonts w:ascii="Arial" w:hAnsi="Arial" w:cs="Arial"/>
          <w:sz w:val="18"/>
          <w:szCs w:val="18"/>
        </w:rPr>
        <w:t>Integrated Synthesis of Governance, Leadership, Systems Thinking, and Patient Safety</w:t>
      </w:r>
    </w:p>
    <w:p w14:paraId="63F341AB" w14:textId="77777777" w:rsidR="00090593" w:rsidRPr="00090593" w:rsidRDefault="00090593" w:rsidP="00090593">
      <w:pPr>
        <w:numPr>
          <w:ilvl w:val="0"/>
          <w:numId w:val="22"/>
        </w:numPr>
        <w:spacing w:line="240" w:lineRule="auto"/>
        <w:rPr>
          <w:rFonts w:ascii="Arial" w:hAnsi="Arial" w:cs="Arial"/>
          <w:sz w:val="18"/>
          <w:szCs w:val="18"/>
        </w:rPr>
      </w:pPr>
      <w:r w:rsidRPr="00090593">
        <w:rPr>
          <w:rFonts w:ascii="Arial" w:hAnsi="Arial" w:cs="Arial"/>
          <w:sz w:val="18"/>
          <w:szCs w:val="18"/>
        </w:rPr>
        <w:t>Final Reflections and Implications for Future Practice</w:t>
      </w:r>
    </w:p>
    <w:p w14:paraId="5818A4D1" w14:textId="3C7C1CED" w:rsidR="00090593" w:rsidRDefault="00090593" w:rsidP="000762ED">
      <w:pPr>
        <w:spacing w:line="360" w:lineRule="auto"/>
        <w:rPr>
          <w:rFonts w:ascii="Arial" w:hAnsi="Arial" w:cs="Arial"/>
          <w:b/>
          <w:bCs/>
        </w:rPr>
      </w:pPr>
    </w:p>
    <w:p w14:paraId="447FABC9" w14:textId="77777777" w:rsidR="00090593" w:rsidRDefault="00090593" w:rsidP="000762ED">
      <w:pPr>
        <w:spacing w:line="360" w:lineRule="auto"/>
        <w:rPr>
          <w:rFonts w:ascii="Arial" w:hAnsi="Arial" w:cs="Arial"/>
          <w:b/>
          <w:bCs/>
        </w:rPr>
      </w:pPr>
    </w:p>
    <w:p w14:paraId="774A3948" w14:textId="77777777" w:rsidR="00090593" w:rsidRDefault="00090593" w:rsidP="000762ED">
      <w:pPr>
        <w:spacing w:line="360" w:lineRule="auto"/>
        <w:rPr>
          <w:rFonts w:ascii="Arial" w:hAnsi="Arial" w:cs="Arial"/>
          <w:b/>
          <w:bCs/>
        </w:rPr>
      </w:pPr>
    </w:p>
    <w:p w14:paraId="781F3244" w14:textId="77777777" w:rsidR="00090593" w:rsidRDefault="00090593" w:rsidP="000762ED">
      <w:pPr>
        <w:spacing w:line="360" w:lineRule="auto"/>
        <w:rPr>
          <w:rFonts w:ascii="Arial" w:hAnsi="Arial" w:cs="Arial"/>
          <w:b/>
          <w:bCs/>
        </w:rPr>
      </w:pPr>
    </w:p>
    <w:p w14:paraId="0BCDB4E4" w14:textId="77777777" w:rsidR="00090593" w:rsidRDefault="00090593" w:rsidP="000762ED">
      <w:pPr>
        <w:spacing w:line="360" w:lineRule="auto"/>
        <w:rPr>
          <w:rFonts w:ascii="Arial" w:hAnsi="Arial" w:cs="Arial"/>
          <w:b/>
          <w:bCs/>
        </w:rPr>
      </w:pPr>
    </w:p>
    <w:p w14:paraId="60090A08" w14:textId="77777777" w:rsidR="00090593" w:rsidRDefault="00090593" w:rsidP="000762ED">
      <w:pPr>
        <w:spacing w:line="360" w:lineRule="auto"/>
        <w:rPr>
          <w:rFonts w:ascii="Arial" w:hAnsi="Arial" w:cs="Arial"/>
          <w:b/>
          <w:bCs/>
        </w:rPr>
      </w:pPr>
    </w:p>
    <w:p w14:paraId="0EDCE32F" w14:textId="77777777" w:rsidR="00090593" w:rsidRDefault="00090593" w:rsidP="000762ED">
      <w:pPr>
        <w:spacing w:line="360" w:lineRule="auto"/>
        <w:rPr>
          <w:rFonts w:ascii="Arial" w:hAnsi="Arial" w:cs="Arial"/>
          <w:b/>
          <w:bCs/>
        </w:rPr>
      </w:pPr>
    </w:p>
    <w:p w14:paraId="7A2E4369" w14:textId="77777777" w:rsidR="00090593" w:rsidRDefault="00090593" w:rsidP="000762ED">
      <w:pPr>
        <w:spacing w:line="360" w:lineRule="auto"/>
        <w:rPr>
          <w:rFonts w:ascii="Arial" w:hAnsi="Arial" w:cs="Arial"/>
          <w:b/>
          <w:bCs/>
        </w:rPr>
      </w:pPr>
    </w:p>
    <w:p w14:paraId="4A89D719" w14:textId="77777777" w:rsidR="00090593" w:rsidRDefault="00090593" w:rsidP="000762ED">
      <w:pPr>
        <w:spacing w:line="360" w:lineRule="auto"/>
        <w:rPr>
          <w:rFonts w:ascii="Arial" w:hAnsi="Arial" w:cs="Arial"/>
          <w:b/>
          <w:bCs/>
        </w:rPr>
      </w:pPr>
    </w:p>
    <w:p w14:paraId="18C221A9" w14:textId="77777777" w:rsidR="00090593" w:rsidRDefault="00090593" w:rsidP="000762ED">
      <w:pPr>
        <w:spacing w:line="360" w:lineRule="auto"/>
        <w:rPr>
          <w:rFonts w:ascii="Arial" w:hAnsi="Arial" w:cs="Arial"/>
          <w:b/>
          <w:bCs/>
        </w:rPr>
      </w:pPr>
    </w:p>
    <w:p w14:paraId="0096DD93" w14:textId="77777777" w:rsidR="00090593" w:rsidRDefault="00090593" w:rsidP="000762ED">
      <w:pPr>
        <w:spacing w:line="360" w:lineRule="auto"/>
        <w:rPr>
          <w:rFonts w:ascii="Arial" w:hAnsi="Arial" w:cs="Arial"/>
          <w:b/>
          <w:bCs/>
        </w:rPr>
      </w:pPr>
    </w:p>
    <w:p w14:paraId="56D419A1" w14:textId="77777777" w:rsidR="00090593" w:rsidRDefault="00090593" w:rsidP="000762ED">
      <w:pPr>
        <w:spacing w:line="360" w:lineRule="auto"/>
        <w:rPr>
          <w:rFonts w:ascii="Arial" w:hAnsi="Arial" w:cs="Arial"/>
          <w:b/>
          <w:bCs/>
        </w:rPr>
      </w:pPr>
    </w:p>
    <w:p w14:paraId="5FF9CBAB" w14:textId="77777777" w:rsidR="00090593" w:rsidRDefault="00090593" w:rsidP="000762ED">
      <w:pPr>
        <w:spacing w:line="360" w:lineRule="auto"/>
        <w:rPr>
          <w:rFonts w:ascii="Arial" w:hAnsi="Arial" w:cs="Arial"/>
          <w:b/>
          <w:bCs/>
        </w:rPr>
      </w:pPr>
    </w:p>
    <w:p w14:paraId="69B0C092" w14:textId="77777777" w:rsidR="00090593" w:rsidRDefault="00090593" w:rsidP="000762ED">
      <w:pPr>
        <w:spacing w:line="360" w:lineRule="auto"/>
        <w:rPr>
          <w:rFonts w:ascii="Arial" w:hAnsi="Arial" w:cs="Arial"/>
          <w:b/>
          <w:bCs/>
        </w:rPr>
      </w:pPr>
    </w:p>
    <w:p w14:paraId="5B7B328B" w14:textId="77777777" w:rsidR="00090593" w:rsidRDefault="00090593" w:rsidP="000762ED">
      <w:pPr>
        <w:spacing w:line="360" w:lineRule="auto"/>
        <w:rPr>
          <w:rFonts w:ascii="Arial" w:hAnsi="Arial" w:cs="Arial"/>
          <w:b/>
          <w:bCs/>
        </w:rPr>
      </w:pPr>
    </w:p>
    <w:p w14:paraId="0C0D6A13" w14:textId="77777777" w:rsidR="00090593" w:rsidRDefault="00090593" w:rsidP="000762ED">
      <w:pPr>
        <w:spacing w:line="360" w:lineRule="auto"/>
        <w:rPr>
          <w:rFonts w:ascii="Arial" w:hAnsi="Arial" w:cs="Arial"/>
          <w:b/>
          <w:bCs/>
        </w:rPr>
      </w:pPr>
    </w:p>
    <w:p w14:paraId="302B89BE" w14:textId="77777777" w:rsidR="00090593" w:rsidRDefault="00090593" w:rsidP="000762ED">
      <w:pPr>
        <w:spacing w:line="360" w:lineRule="auto"/>
        <w:rPr>
          <w:rFonts w:ascii="Arial" w:hAnsi="Arial" w:cs="Arial"/>
          <w:b/>
          <w:bCs/>
        </w:rPr>
      </w:pPr>
    </w:p>
    <w:p w14:paraId="467CE44E" w14:textId="77777777" w:rsidR="00090593" w:rsidRDefault="00090593" w:rsidP="000762ED">
      <w:pPr>
        <w:spacing w:line="360" w:lineRule="auto"/>
        <w:rPr>
          <w:rFonts w:ascii="Arial" w:hAnsi="Arial" w:cs="Arial"/>
          <w:b/>
          <w:bCs/>
        </w:rPr>
      </w:pPr>
    </w:p>
    <w:p w14:paraId="401BF32D" w14:textId="77777777" w:rsidR="00090593" w:rsidRDefault="00090593" w:rsidP="000762ED">
      <w:pPr>
        <w:spacing w:line="360" w:lineRule="auto"/>
        <w:rPr>
          <w:rFonts w:ascii="Arial" w:hAnsi="Arial" w:cs="Arial"/>
          <w:b/>
          <w:bCs/>
        </w:rPr>
      </w:pPr>
    </w:p>
    <w:p w14:paraId="1CF31EF1" w14:textId="77777777" w:rsidR="00090593" w:rsidRDefault="00090593" w:rsidP="000762ED">
      <w:pPr>
        <w:spacing w:line="360" w:lineRule="auto"/>
        <w:rPr>
          <w:rFonts w:ascii="Arial" w:hAnsi="Arial" w:cs="Arial"/>
          <w:b/>
          <w:bCs/>
        </w:rPr>
      </w:pPr>
    </w:p>
    <w:p w14:paraId="585EF09B" w14:textId="77777777" w:rsidR="00090593" w:rsidRDefault="00090593" w:rsidP="000762ED">
      <w:pPr>
        <w:spacing w:line="360" w:lineRule="auto"/>
        <w:rPr>
          <w:rFonts w:ascii="Arial" w:hAnsi="Arial" w:cs="Arial"/>
          <w:b/>
          <w:bCs/>
        </w:rPr>
      </w:pPr>
    </w:p>
    <w:p w14:paraId="5D5BA667" w14:textId="77777777" w:rsidR="00090593" w:rsidRDefault="00090593" w:rsidP="000762ED">
      <w:pPr>
        <w:spacing w:line="360" w:lineRule="auto"/>
        <w:rPr>
          <w:rFonts w:ascii="Arial" w:hAnsi="Arial" w:cs="Arial"/>
          <w:b/>
          <w:bCs/>
        </w:rPr>
      </w:pPr>
    </w:p>
    <w:p w14:paraId="7C5C9B1B" w14:textId="77777777" w:rsidR="00090593" w:rsidRDefault="00090593" w:rsidP="000762ED">
      <w:pPr>
        <w:spacing w:line="360" w:lineRule="auto"/>
        <w:rPr>
          <w:rFonts w:ascii="Arial" w:hAnsi="Arial" w:cs="Arial"/>
          <w:b/>
          <w:bCs/>
        </w:rPr>
      </w:pPr>
    </w:p>
    <w:p w14:paraId="5178ACBF" w14:textId="77777777" w:rsidR="00090593" w:rsidRDefault="00090593" w:rsidP="000762ED">
      <w:pPr>
        <w:spacing w:line="360" w:lineRule="auto"/>
        <w:rPr>
          <w:rFonts w:ascii="Arial" w:hAnsi="Arial" w:cs="Arial"/>
          <w:b/>
          <w:bCs/>
        </w:rPr>
      </w:pPr>
    </w:p>
    <w:p w14:paraId="0C3C736E" w14:textId="1F887838" w:rsidR="000762ED" w:rsidRPr="000762ED" w:rsidRDefault="000762ED" w:rsidP="000762ED">
      <w:pPr>
        <w:spacing w:line="360" w:lineRule="auto"/>
        <w:rPr>
          <w:rFonts w:ascii="Arial" w:hAnsi="Arial" w:cs="Arial"/>
          <w:b/>
          <w:bCs/>
        </w:rPr>
      </w:pPr>
      <w:r w:rsidRPr="000762ED">
        <w:rPr>
          <w:rFonts w:ascii="Arial" w:hAnsi="Arial" w:cs="Arial"/>
          <w:b/>
          <w:bCs/>
        </w:rPr>
        <w:t>CASE STUDY ANALYSIS REPORT</w:t>
      </w:r>
    </w:p>
    <w:p w14:paraId="0624EA14" w14:textId="6A8F70AC" w:rsidR="000762ED" w:rsidRPr="000762ED" w:rsidRDefault="000762ED" w:rsidP="000762ED">
      <w:pPr>
        <w:spacing w:line="360" w:lineRule="auto"/>
        <w:rPr>
          <w:rFonts w:ascii="Arial" w:hAnsi="Arial" w:cs="Arial"/>
          <w:b/>
          <w:bCs/>
        </w:rPr>
      </w:pPr>
      <w:r w:rsidRPr="000762ED">
        <w:rPr>
          <w:rFonts w:ascii="Arial" w:hAnsi="Arial" w:cs="Arial"/>
          <w:b/>
          <w:bCs/>
        </w:rPr>
        <w:t xml:space="preserve">SECTION 1: INTRODUCTION </w:t>
      </w:r>
    </w:p>
    <w:p w14:paraId="5134ADB3" w14:textId="77777777" w:rsidR="000762ED" w:rsidRPr="000762ED" w:rsidRDefault="000762ED" w:rsidP="000762ED">
      <w:pPr>
        <w:spacing w:line="360" w:lineRule="auto"/>
        <w:rPr>
          <w:rFonts w:ascii="Arial" w:hAnsi="Arial" w:cs="Arial"/>
          <w:b/>
          <w:bCs/>
        </w:rPr>
      </w:pPr>
      <w:r w:rsidRPr="000762ED">
        <w:rPr>
          <w:rFonts w:ascii="Arial" w:hAnsi="Arial" w:cs="Arial"/>
          <w:b/>
          <w:bCs/>
        </w:rPr>
        <w:t>1.1 Background and Purpose of the Chosen Case Study</w:t>
      </w:r>
    </w:p>
    <w:p w14:paraId="6CF87AD9" w14:textId="77777777" w:rsidR="000762ED" w:rsidRPr="000762ED" w:rsidRDefault="000762ED" w:rsidP="000762ED">
      <w:pPr>
        <w:spacing w:line="360" w:lineRule="auto"/>
        <w:rPr>
          <w:rFonts w:ascii="Arial" w:hAnsi="Arial" w:cs="Arial"/>
        </w:rPr>
      </w:pPr>
      <w:r w:rsidRPr="000762ED">
        <w:rPr>
          <w:rFonts w:ascii="Arial" w:hAnsi="Arial" w:cs="Arial"/>
        </w:rPr>
        <w:t xml:space="preserve">Modern healthcare organisations operate as complex adaptive systems characterized by intense cognitive load, multidisciplinary care handovers, severe operational constraints, and multi-layered clinical risk (Reason, 2016; Vincent, 2010). Within these high-pressure environments, medication safety represents one of the most critical determinants of patient outcomes. This case study critically analyses the adverse incident surrounding </w:t>
      </w:r>
      <w:r w:rsidRPr="000762ED">
        <w:rPr>
          <w:rFonts w:ascii="Arial" w:hAnsi="Arial" w:cs="Arial"/>
          <w:b/>
          <w:bCs/>
        </w:rPr>
        <w:t>Patient X</w:t>
      </w:r>
      <w:r w:rsidRPr="000762ED">
        <w:rPr>
          <w:rFonts w:ascii="Arial" w:hAnsi="Arial" w:cs="Arial"/>
        </w:rPr>
        <w:t>, a patient admitted to a hospital with acute shortness of breath and epistaxis (nosebleeds) who was transferred from the Emergency Department (ED) to a general medical ward while awaiting a required medical procedure (Healthcare Services Safety Investigation Body [HSSIB], 2023).</w:t>
      </w:r>
    </w:p>
    <w:p w14:paraId="138DDA56" w14:textId="77777777" w:rsidR="000762ED" w:rsidRPr="000762ED" w:rsidRDefault="000762ED" w:rsidP="000762ED">
      <w:pPr>
        <w:spacing w:line="360" w:lineRule="auto"/>
        <w:rPr>
          <w:rFonts w:ascii="Arial" w:hAnsi="Arial" w:cs="Arial"/>
        </w:rPr>
      </w:pPr>
      <w:r w:rsidRPr="000762ED">
        <w:rPr>
          <w:rFonts w:ascii="Arial" w:hAnsi="Arial" w:cs="Arial"/>
        </w:rPr>
        <w:t>Upon admission, the medical team paused Patient X’s regular oral anticoagulant therapy—Apixaban (a Direct Oral Anticoagulant [DOAC])—to manage the acute epistaxis and prepare for the upcoming invasive procedure. However, due to systemic hospital delays, procedure backlogs, poor inter-specialty communication, and fractured handover protocols, the procedure was repeatedly postponed. Consequently, Patient X’s essential anticoagulation remained paused for a total of ten consecutive days. Following the eventual completion of the procedure, clinical staff failed to restart the Apixaban as intended. Two days post-procedure (twelve days post-admission), Patient X suffered a catastrophic, fatal ischaemic stroke secondary to unmanaged thromboembolic risk (HSSIB, 2023).</w:t>
      </w:r>
    </w:p>
    <w:p w14:paraId="43FDC053" w14:textId="77777777" w:rsidR="000762ED" w:rsidRPr="000762ED" w:rsidRDefault="000762ED" w:rsidP="000762ED">
      <w:pPr>
        <w:spacing w:line="360" w:lineRule="auto"/>
        <w:rPr>
          <w:rFonts w:ascii="Arial" w:hAnsi="Arial" w:cs="Arial"/>
        </w:rPr>
      </w:pPr>
      <w:r w:rsidRPr="000762ED">
        <w:rPr>
          <w:rFonts w:ascii="Arial" w:hAnsi="Arial" w:cs="Arial"/>
        </w:rPr>
        <w:t>The purpose of this report is to conduct a rigorous, Level 7 academic critique of the structural, cultural, governance, and leadership determinants that permitted this fatal medication omission error—classified nationally as a high-harm, high-prevalence medication safety event (NHS England, 2022).</w:t>
      </w:r>
    </w:p>
    <w:p w14:paraId="78C81AFF" w14:textId="77777777" w:rsidR="000762ED" w:rsidRPr="000762ED" w:rsidRDefault="000762ED" w:rsidP="000762ED">
      <w:pPr>
        <w:spacing w:line="360" w:lineRule="auto"/>
        <w:rPr>
          <w:rFonts w:ascii="Arial" w:hAnsi="Arial" w:cs="Arial"/>
          <w:b/>
          <w:bCs/>
        </w:rPr>
      </w:pPr>
      <w:r w:rsidRPr="000762ED">
        <w:rPr>
          <w:rFonts w:ascii="Arial" w:hAnsi="Arial" w:cs="Arial"/>
          <w:b/>
          <w:bCs/>
        </w:rPr>
        <w:t>1.2 Defining Leadership in Health and Social Care</w:t>
      </w:r>
    </w:p>
    <w:p w14:paraId="2FC0A997" w14:textId="77777777" w:rsidR="000762ED" w:rsidRPr="000762ED" w:rsidRDefault="000762ED" w:rsidP="000762ED">
      <w:pPr>
        <w:spacing w:line="360" w:lineRule="auto"/>
        <w:rPr>
          <w:rFonts w:ascii="Arial" w:hAnsi="Arial" w:cs="Arial"/>
        </w:rPr>
      </w:pPr>
      <w:r w:rsidRPr="000762ED">
        <w:rPr>
          <w:rFonts w:ascii="Arial" w:hAnsi="Arial" w:cs="Arial"/>
        </w:rPr>
        <w:lastRenderedPageBreak/>
        <w:t>Leadership in health and social care is fundamentally defined as the dynamic, relational process of influencing, inspiring, and aligning individuals, multidisciplinary teams, and organizational systems toward achieving shared clinical, operational, and ethical goals (Northouse, 2021; West et al., 2020). Unlike administrative management—which focuses on maintaining baseline stability, budgeting, resource allocation, and procedural compliance—leadership mobilizes human energy, fosters psychological safety, shapes organizational culture, and establishes clear clinical governance frameworks (Yukl, 2013; Edmondson, 2019).</w:t>
      </w:r>
    </w:p>
    <w:p w14:paraId="0D36D090" w14:textId="77777777" w:rsidR="000762ED" w:rsidRPr="000762ED" w:rsidRDefault="000762ED" w:rsidP="000762ED">
      <w:pPr>
        <w:spacing w:line="360" w:lineRule="auto"/>
        <w:rPr>
          <w:rFonts w:ascii="Arial" w:hAnsi="Arial" w:cs="Arial"/>
          <w:b/>
          <w:bCs/>
        </w:rPr>
      </w:pPr>
      <w:r w:rsidRPr="000762ED">
        <w:rPr>
          <w:rFonts w:ascii="Arial" w:hAnsi="Arial" w:cs="Arial"/>
          <w:b/>
          <w:bCs/>
        </w:rPr>
        <w:t>1.3 Centralisation, Decentralisation, and Core Leadership Theories</w:t>
      </w:r>
    </w:p>
    <w:p w14:paraId="0AEBDB77" w14:textId="77777777" w:rsidR="000762ED" w:rsidRPr="000762ED" w:rsidRDefault="000762ED" w:rsidP="000762ED">
      <w:pPr>
        <w:spacing w:line="360" w:lineRule="auto"/>
        <w:rPr>
          <w:rFonts w:ascii="Arial" w:hAnsi="Arial" w:cs="Arial"/>
        </w:rPr>
      </w:pPr>
      <w:r w:rsidRPr="000762ED">
        <w:rPr>
          <w:rFonts w:ascii="Arial" w:hAnsi="Arial" w:cs="Arial"/>
        </w:rPr>
        <w:t>Healthcare system architecture exists along a continuum between centralisation—where decision-making authority, governance, and policy mandates are concentrated within a central executive hierarchy—and decentralisation, where operational autonomy and clinical decision-making are dispersed to frontline clinical units (Mintzberg, 1983; Peckham et al., 2018). Furthermore, leadership effectiveness is mediated by established theoretical models, including transformational leadership (inspiring vision and intellectual stimulation), transactional leadership (contingent reward and management-by-exception), situational leadership (adapting leadership behaviours to task maturity), and distributed/servant leadership (empowering frontline personnel and prioritizing collective care delivery) (Bass and Avolio, 1994; Hersey and Blanchard, 1988; Bolden, 2011).</w:t>
      </w:r>
    </w:p>
    <w:p w14:paraId="154F0BB8" w14:textId="77777777" w:rsidR="000762ED" w:rsidRPr="000762ED" w:rsidRDefault="000762ED" w:rsidP="000762ED">
      <w:pPr>
        <w:spacing w:line="360" w:lineRule="auto"/>
        <w:rPr>
          <w:rFonts w:ascii="Arial" w:hAnsi="Arial" w:cs="Arial"/>
          <w:b/>
          <w:bCs/>
        </w:rPr>
      </w:pPr>
      <w:r w:rsidRPr="000762ED">
        <w:rPr>
          <w:rFonts w:ascii="Arial" w:hAnsi="Arial" w:cs="Arial"/>
          <w:b/>
          <w:bCs/>
        </w:rPr>
        <w:t>1.4 Strategic Importance of Leadership Selection and Report Outline</w:t>
      </w:r>
    </w:p>
    <w:p w14:paraId="1481611F" w14:textId="77777777" w:rsidR="000762ED" w:rsidRPr="000762ED" w:rsidRDefault="000762ED" w:rsidP="000762ED">
      <w:pPr>
        <w:spacing w:line="360" w:lineRule="auto"/>
        <w:rPr>
          <w:rFonts w:ascii="Arial" w:hAnsi="Arial" w:cs="Arial"/>
        </w:rPr>
      </w:pPr>
      <w:r w:rsidRPr="000762ED">
        <w:rPr>
          <w:rFonts w:ascii="Arial" w:hAnsi="Arial" w:cs="Arial"/>
        </w:rPr>
        <w:t>Selecting the appropriate leadership style is paramount in health and social care; mismatched or authoritarian leadership breeds transactional compliance, operational silos, fear, and catastrophic communication breakdowns during routine handovers and acute crises alike (Mannion and Davies, 2018). This report systematically addresses:</w:t>
      </w:r>
    </w:p>
    <w:p w14:paraId="42779C7B"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t xml:space="preserve">Systemic problem identification, global/national statistical context, and a </w:t>
      </w:r>
      <w:proofErr w:type="spellStart"/>
      <w:r w:rsidRPr="000762ED">
        <w:rPr>
          <w:rFonts w:ascii="Arial" w:hAnsi="Arial" w:cs="Arial"/>
        </w:rPr>
        <w:t>Checkland</w:t>
      </w:r>
      <w:proofErr w:type="spellEnd"/>
      <w:r w:rsidRPr="000762ED">
        <w:rPr>
          <w:rFonts w:ascii="Arial" w:hAnsi="Arial" w:cs="Arial"/>
        </w:rPr>
        <w:t xml:space="preserve"> Soft Systems Rich Picture model;</w:t>
      </w:r>
    </w:p>
    <w:p w14:paraId="01BAF9B2"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t>Comparative critique of centralisation versus decentralisation dynamics in medication governance;</w:t>
      </w:r>
    </w:p>
    <w:p w14:paraId="7D09E16D"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t xml:space="preserve">Theoretical critique of leadership styles and their </w:t>
      </w:r>
      <w:proofErr w:type="spellStart"/>
      <w:r w:rsidRPr="000762ED">
        <w:rPr>
          <w:rFonts w:ascii="Arial" w:hAnsi="Arial" w:cs="Arial"/>
        </w:rPr>
        <w:t>behavioral</w:t>
      </w:r>
      <w:proofErr w:type="spellEnd"/>
      <w:r w:rsidRPr="000762ED">
        <w:rPr>
          <w:rFonts w:ascii="Arial" w:hAnsi="Arial" w:cs="Arial"/>
        </w:rPr>
        <w:t xml:space="preserve"> manifestations;</w:t>
      </w:r>
    </w:p>
    <w:p w14:paraId="7F1A028A"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lastRenderedPageBreak/>
        <w:t>Evidence-based lessons learned and systemic improvement strategies;</w:t>
      </w:r>
    </w:p>
    <w:p w14:paraId="23E0674A"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t>Actionable, evidence-linked recommendations; and</w:t>
      </w:r>
    </w:p>
    <w:p w14:paraId="72E73ECC" w14:textId="77777777" w:rsidR="000762ED" w:rsidRPr="000762ED" w:rsidRDefault="000762ED" w:rsidP="000762ED">
      <w:pPr>
        <w:numPr>
          <w:ilvl w:val="0"/>
          <w:numId w:val="1"/>
        </w:numPr>
        <w:spacing w:line="360" w:lineRule="auto"/>
        <w:rPr>
          <w:rFonts w:ascii="Arial" w:hAnsi="Arial" w:cs="Arial"/>
        </w:rPr>
      </w:pPr>
      <w:r w:rsidRPr="000762ED">
        <w:rPr>
          <w:rFonts w:ascii="Arial" w:hAnsi="Arial" w:cs="Arial"/>
        </w:rPr>
        <w:t>A synthesis of clinical governance, systems thinking, and leadership transformation.</w:t>
      </w:r>
    </w:p>
    <w:p w14:paraId="2C610BCD" w14:textId="0A61505C" w:rsidR="000762ED" w:rsidRPr="000762ED" w:rsidRDefault="000762ED" w:rsidP="000762ED">
      <w:pPr>
        <w:spacing w:line="360" w:lineRule="auto"/>
        <w:rPr>
          <w:rFonts w:ascii="Arial" w:hAnsi="Arial" w:cs="Arial"/>
          <w:b/>
          <w:bCs/>
        </w:rPr>
      </w:pPr>
      <w:r w:rsidRPr="000762ED">
        <w:rPr>
          <w:rFonts w:ascii="Arial" w:hAnsi="Arial" w:cs="Arial"/>
          <w:b/>
          <w:bCs/>
        </w:rPr>
        <w:t xml:space="preserve">SECTION 2: MAIN BODY AND ANALYSIS </w:t>
      </w:r>
    </w:p>
    <w:p w14:paraId="220E7C55" w14:textId="619CDD7C" w:rsidR="000762ED" w:rsidRPr="000762ED" w:rsidRDefault="000762ED" w:rsidP="000762ED">
      <w:pPr>
        <w:spacing w:line="360" w:lineRule="auto"/>
        <w:rPr>
          <w:rFonts w:ascii="Arial" w:hAnsi="Arial" w:cs="Arial"/>
          <w:b/>
          <w:bCs/>
        </w:rPr>
      </w:pPr>
      <w:r w:rsidRPr="000762ED">
        <w:rPr>
          <w:rFonts w:ascii="Arial" w:hAnsi="Arial" w:cs="Arial"/>
          <w:b/>
          <w:bCs/>
        </w:rPr>
        <w:t xml:space="preserve">2a. Identifying the Problem and Setting the System Context — Applying Systems Thinking and the Rich Picture </w:t>
      </w:r>
    </w:p>
    <w:p w14:paraId="20C49FF3" w14:textId="77777777" w:rsidR="000762ED" w:rsidRPr="000762ED" w:rsidRDefault="000762ED" w:rsidP="000762ED">
      <w:pPr>
        <w:spacing w:line="360" w:lineRule="auto"/>
        <w:rPr>
          <w:rFonts w:ascii="Arial" w:hAnsi="Arial" w:cs="Arial"/>
          <w:b/>
          <w:bCs/>
        </w:rPr>
      </w:pPr>
      <w:r w:rsidRPr="000762ED">
        <w:rPr>
          <w:rFonts w:ascii="Arial" w:hAnsi="Arial" w:cs="Arial"/>
          <w:b/>
          <w:bCs/>
        </w:rPr>
        <w:t>Clinical Problem Identification and Systemic Context</w:t>
      </w:r>
    </w:p>
    <w:p w14:paraId="3238E34D" w14:textId="77777777" w:rsidR="000762ED" w:rsidRPr="000762ED" w:rsidRDefault="000762ED" w:rsidP="000762ED">
      <w:pPr>
        <w:spacing w:line="360" w:lineRule="auto"/>
        <w:rPr>
          <w:rFonts w:ascii="Arial" w:hAnsi="Arial" w:cs="Arial"/>
        </w:rPr>
      </w:pPr>
      <w:r w:rsidRPr="000762ED">
        <w:rPr>
          <w:rFonts w:ascii="Arial" w:hAnsi="Arial" w:cs="Arial"/>
        </w:rPr>
        <w:t>The central problem in the Patient X case study represents a classic, multi-layered systemic failure culminating in the prolonged, unmonitored omission and failure to re-initiate essential direct oral anticoagulation (Apixaban). Anticoagulant medications are universally designated by safety agencies as "high-alert medications"—drugs that bear a heightened risk of causing significant patient harm or death when used in error or inappropriately omitted (Institute for Safe Medication Practices [ISMP], 2021; World Health Organization [WHO], 2022).</w:t>
      </w:r>
    </w:p>
    <w:p w14:paraId="447367FE" w14:textId="77777777" w:rsidR="000762ED" w:rsidRDefault="000762ED" w:rsidP="000762ED">
      <w:pPr>
        <w:spacing w:line="360" w:lineRule="auto"/>
        <w:rPr>
          <w:rFonts w:ascii="Arial" w:hAnsi="Arial" w:cs="Arial"/>
        </w:rPr>
      </w:pPr>
      <w:r w:rsidRPr="000762ED">
        <w:rPr>
          <w:rFonts w:ascii="Arial" w:hAnsi="Arial" w:cs="Arial"/>
        </w:rPr>
        <w:t>Rather than viewing this tragic outcome as an isolated act of individual negligence by a single prescribing doctor or ward nurse, systems thinking—derived from Reason’s (2000) Swiss Cheese Model and Vincent’s (2010) Clinical Risk Framework—dictates that clinical harm occurs when multiple latent system flaws (fragmented electronic prescribing systems, ambiguous clinical guidelines, procedure delays, staffing shortages, and absent daily reconciliation) align with active failures (human slips, cognitive lapses, and omitted handover checks).</w:t>
      </w:r>
    </w:p>
    <w:p w14:paraId="33B57F35" w14:textId="5D6AD795"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br/>
        <w:t xml:space="preserve"> (EXTERNAL ENVIRONMENT &amp; HEALTH SYSTEM PRESSURES)</w:t>
      </w:r>
    </w:p>
    <w:p w14:paraId="54DDE6AD"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5FE74D31"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Acute hospital bed scarcity</w:t>
      </w:r>
    </w:p>
    <w:p w14:paraId="4789428B"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High ED throughput</w:t>
      </w:r>
    </w:p>
    <w:p w14:paraId="77CA9DFE"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Procedure backlogs</w:t>
      </w:r>
    </w:p>
    <w:p w14:paraId="331C0EC3"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Fragmented inter-specialty scheduling pipelines</w:t>
      </w:r>
    </w:p>
    <w:p w14:paraId="566F217C"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No national DOAC pause/restart audit framework</w:t>
      </w:r>
    </w:p>
    <w:p w14:paraId="298E3DFD" w14:textId="68EA5FE6"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50ECE389" w14:textId="7AE6DED2"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lastRenderedPageBreak/>
        <w:t>(ORGANIZATIONAL GOVERNANCE &amp; HOSPITAL LEADERSHIP)</w:t>
      </w:r>
    </w:p>
    <w:p w14:paraId="2AE1D1B7"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3437363E"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Rigid hierarchical command-and-control</w:t>
      </w:r>
    </w:p>
    <w:p w14:paraId="4528BD6B"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Reactive, blame-oriented safety culture</w:t>
      </w:r>
    </w:p>
    <w:p w14:paraId="46F783FE"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Low psychological safety</w:t>
      </w:r>
    </w:p>
    <w:p w14:paraId="208F841D"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No automated </w:t>
      </w:r>
      <w:proofErr w:type="spellStart"/>
      <w:r w:rsidRPr="000762ED">
        <w:rPr>
          <w:rFonts w:ascii="Arial" w:hAnsi="Arial" w:cs="Arial"/>
          <w:sz w:val="22"/>
          <w:szCs w:val="22"/>
        </w:rPr>
        <w:t>ePMA</w:t>
      </w:r>
      <w:proofErr w:type="spellEnd"/>
      <w:r w:rsidRPr="000762ED">
        <w:rPr>
          <w:rFonts w:ascii="Arial" w:hAnsi="Arial" w:cs="Arial"/>
          <w:sz w:val="22"/>
          <w:szCs w:val="22"/>
        </w:rPr>
        <w:t xml:space="preserve"> DOAC re-initiation alerts</w:t>
      </w:r>
    </w:p>
    <w:p w14:paraId="7976E144" w14:textId="026DD931"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60ACF147" w14:textId="1DF7DCE2"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(PHYSICAL &amp; WORK ENVIRONMENT)</w:t>
      </w:r>
    </w:p>
    <w:p w14:paraId="65B10922"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53B83D1C"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Ward transfers and siloed care</w:t>
      </w:r>
    </w:p>
    <w:p w14:paraId="5E0D3A41"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Lack of visual anticoagulant pause tracking</w:t>
      </w:r>
    </w:p>
    <w:p w14:paraId="31D45794" w14:textId="4B31F016"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3A308ADA" w14:textId="0589D882"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(COMMUNICATION &amp; PROCESSES)</w:t>
      </w:r>
    </w:p>
    <w:p w14:paraId="734BAEF9"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3984883C"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Informal verbal handovers</w:t>
      </w:r>
    </w:p>
    <w:p w14:paraId="2C6B305A"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Omission of daily medication reconciliation</w:t>
      </w:r>
    </w:p>
    <w:p w14:paraId="272ABC45"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Fragmented specialist input</w:t>
      </w:r>
    </w:p>
    <w:p w14:paraId="7485E86B" w14:textId="55D45A2E"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5032387F" w14:textId="2D102AA6"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(HUMAN RESOURCES &amp; CLINICAL FACTORS)</w:t>
      </w:r>
    </w:p>
    <w:p w14:paraId="31AE4212"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05296F87"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Excessive medical ward ratios</w:t>
      </w:r>
    </w:p>
    <w:p w14:paraId="21A8505B"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Cognitive overload and fatigue</w:t>
      </w:r>
    </w:p>
    <w:p w14:paraId="511F8362"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Steep authority gradients</w:t>
      </w:r>
    </w:p>
    <w:p w14:paraId="3B4B7359" w14:textId="4E946D8D"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5894E257" w14:textId="615E189E"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(ACTIVE CLINICAL FAILURE)</w:t>
      </w:r>
    </w:p>
    <w:p w14:paraId="62BC089B"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62A31CD1"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Apixaban paused for epistaxis</w:t>
      </w:r>
    </w:p>
    <w:p w14:paraId="26955718"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Procedure delayed repeatedly over 10 days</w:t>
      </w:r>
    </w:p>
    <w:p w14:paraId="4A3AED0A"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Ward team assumed procedure team would manage DOAC</w:t>
      </w:r>
    </w:p>
    <w:p w14:paraId="51A470BF"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Procedure team assumed ward team owned DOAC</w:t>
      </w:r>
    </w:p>
    <w:p w14:paraId="2C86409B"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Discharge/transfer completed without DOAC restart check</w:t>
      </w:r>
    </w:p>
    <w:p w14:paraId="21B1CB4D" w14:textId="2F3BA812"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3CD118FF" w14:textId="77B564FD"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(CATASTROPHIC PATIENT OUTCOME)</w:t>
      </w:r>
    </w:p>
    <w:p w14:paraId="3CB8C82D"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xml:space="preserve">    ↓</w:t>
      </w:r>
    </w:p>
    <w:p w14:paraId="17E44283"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lastRenderedPageBreak/>
        <w:t>- Fatal ischaemic stroke 12 days post-admission</w:t>
      </w:r>
    </w:p>
    <w:p w14:paraId="2AD85F1A"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Unmanaged thromboembolism due to prolonged DOAC omission</w:t>
      </w:r>
    </w:p>
    <w:p w14:paraId="49C5352C" w14:textId="77777777"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Loss of family trust</w:t>
      </w:r>
    </w:p>
    <w:p w14:paraId="5CC491B1" w14:textId="2D95B2D3" w:rsidR="000762ED" w:rsidRPr="000762ED" w:rsidRDefault="000762ED" w:rsidP="000762ED">
      <w:pPr>
        <w:spacing w:line="240" w:lineRule="auto"/>
        <w:rPr>
          <w:rFonts w:ascii="Arial" w:hAnsi="Arial" w:cs="Arial"/>
          <w:sz w:val="22"/>
          <w:szCs w:val="22"/>
        </w:rPr>
      </w:pPr>
      <w:r w:rsidRPr="000762ED">
        <w:rPr>
          <w:rFonts w:ascii="Arial" w:hAnsi="Arial" w:cs="Arial"/>
          <w:sz w:val="22"/>
          <w:szCs w:val="22"/>
        </w:rPr>
        <w:t>- High-level HSSIB investigation</w:t>
      </w:r>
      <w:r w:rsidRPr="000762ED">
        <w:rPr>
          <w:rFonts w:ascii="Arial" w:hAnsi="Arial" w:cs="Arial"/>
          <w:sz w:val="22"/>
          <w:szCs w:val="22"/>
        </w:rPr>
        <w:br/>
      </w:r>
    </w:p>
    <w:p w14:paraId="7C160E43" w14:textId="77777777" w:rsidR="000762ED" w:rsidRPr="000762ED" w:rsidRDefault="000762ED" w:rsidP="000762ED">
      <w:pPr>
        <w:spacing w:line="360" w:lineRule="auto"/>
        <w:rPr>
          <w:rFonts w:ascii="Arial" w:hAnsi="Arial" w:cs="Arial"/>
          <w:b/>
          <w:bCs/>
        </w:rPr>
      </w:pPr>
      <w:r w:rsidRPr="000762ED">
        <w:rPr>
          <w:rFonts w:ascii="Arial" w:hAnsi="Arial" w:cs="Arial"/>
          <w:b/>
          <w:bCs/>
        </w:rPr>
        <w:t>Global, National, and Organisational Statistical Evidence</w:t>
      </w:r>
    </w:p>
    <w:p w14:paraId="752E0DCF" w14:textId="77777777" w:rsidR="000762ED" w:rsidRPr="000762ED" w:rsidRDefault="000762ED" w:rsidP="000762ED">
      <w:pPr>
        <w:spacing w:line="360" w:lineRule="auto"/>
        <w:rPr>
          <w:rFonts w:ascii="Arial" w:hAnsi="Arial" w:cs="Arial"/>
        </w:rPr>
      </w:pPr>
      <w:r w:rsidRPr="000762ED">
        <w:rPr>
          <w:rFonts w:ascii="Arial" w:hAnsi="Arial" w:cs="Arial"/>
        </w:rPr>
        <w:t xml:space="preserve">Global statistical data from the World Health Organization (WHO, 2022) indicates that medication errors account for over $42 billion in annual global healthcare costs, representing the leading cause of preventable patient harm worldwide. The WHO’s Third Global Patient Safety Challenge, </w:t>
      </w:r>
      <w:r w:rsidRPr="000762ED">
        <w:rPr>
          <w:rFonts w:ascii="Arial" w:hAnsi="Arial" w:cs="Arial"/>
          <w:i/>
          <w:iCs/>
        </w:rPr>
        <w:t>Medication Without Harm</w:t>
      </w:r>
      <w:r w:rsidRPr="000762ED">
        <w:rPr>
          <w:rFonts w:ascii="Arial" w:hAnsi="Arial" w:cs="Arial"/>
        </w:rPr>
        <w:t>, specifically highlights high-risk drug omissions—particularly anticoagulants, insulins, and anti-infectives—as primary targets for system-wide reform (WHO, 2022).</w:t>
      </w:r>
    </w:p>
    <w:p w14:paraId="02D4A694" w14:textId="77777777" w:rsidR="000762ED" w:rsidRPr="000762ED" w:rsidRDefault="000762ED" w:rsidP="000762ED">
      <w:pPr>
        <w:spacing w:line="360" w:lineRule="auto"/>
        <w:rPr>
          <w:rFonts w:ascii="Arial" w:hAnsi="Arial" w:cs="Arial"/>
        </w:rPr>
      </w:pPr>
      <w:r w:rsidRPr="000762ED">
        <w:rPr>
          <w:rFonts w:ascii="Arial" w:hAnsi="Arial" w:cs="Arial"/>
        </w:rPr>
        <w:t>In the United Kingdom National Health Service (NHS), medication-related adverse events account for over 18% of all reported patient safety incidents annually (NHS England, 2022; Care Quality Commission [CQC], 2023). Anticoagulation errors consistently rank among the top three causes of preventable drug-induced death and severe disability across NHS Trusts, with omitted or delayed doses representing over 30% of all reported anticoagulant incidents (Healthcare Improvement Scotland, 2021; National Reporting and Learning System [NRLS], 2022). According to HSSIB (2023), omissions of DOACs in acute inpatient settings carry a 4-fold increase in 30-day stroke risk for patients with atrial fibrillation or prior thromboembolic disease, reflecting a severe national patient safety vulnerability.</w:t>
      </w:r>
    </w:p>
    <w:p w14:paraId="3307304B" w14:textId="77777777" w:rsidR="000762ED" w:rsidRPr="000762ED" w:rsidRDefault="000762ED" w:rsidP="000762ED">
      <w:pPr>
        <w:spacing w:line="360" w:lineRule="auto"/>
        <w:rPr>
          <w:rFonts w:ascii="Arial" w:hAnsi="Arial" w:cs="Arial"/>
          <w:b/>
          <w:bCs/>
        </w:rPr>
      </w:pPr>
      <w:r w:rsidRPr="000762ED">
        <w:rPr>
          <w:rFonts w:ascii="Arial" w:hAnsi="Arial" w:cs="Arial"/>
          <w:b/>
          <w:bCs/>
        </w:rPr>
        <w:t>Systems Weaknesses, Governance Levels, and Underlying Challenges</w:t>
      </w:r>
    </w:p>
    <w:p w14:paraId="35D46D63" w14:textId="77777777" w:rsidR="000762ED" w:rsidRPr="000762ED" w:rsidRDefault="000762ED" w:rsidP="000762ED">
      <w:pPr>
        <w:spacing w:line="360" w:lineRule="auto"/>
        <w:rPr>
          <w:rFonts w:ascii="Arial" w:hAnsi="Arial" w:cs="Arial"/>
        </w:rPr>
      </w:pPr>
      <w:r w:rsidRPr="000762ED">
        <w:rPr>
          <w:rFonts w:ascii="Arial" w:hAnsi="Arial" w:cs="Arial"/>
        </w:rPr>
        <w:t>The incident involving Patient X illuminates acute systemic weaknesses spanning three distinct levels of governance:</w:t>
      </w:r>
    </w:p>
    <w:p w14:paraId="31754C07" w14:textId="77777777" w:rsidR="000762ED" w:rsidRPr="000762ED" w:rsidRDefault="000762ED" w:rsidP="000762ED">
      <w:pPr>
        <w:numPr>
          <w:ilvl w:val="0"/>
          <w:numId w:val="2"/>
        </w:numPr>
        <w:spacing w:line="360" w:lineRule="auto"/>
        <w:rPr>
          <w:rFonts w:ascii="Arial" w:hAnsi="Arial" w:cs="Arial"/>
        </w:rPr>
      </w:pPr>
      <w:r w:rsidRPr="000762ED">
        <w:rPr>
          <w:rFonts w:ascii="Arial" w:hAnsi="Arial" w:cs="Arial"/>
          <w:b/>
          <w:bCs/>
        </w:rPr>
        <w:t>Local Governance (Hospital / Ward Level):</w:t>
      </w:r>
      <w:r w:rsidRPr="000762ED">
        <w:rPr>
          <w:rFonts w:ascii="Arial" w:hAnsi="Arial" w:cs="Arial"/>
        </w:rPr>
        <w:t xml:space="preserve"> Total absence of a standardized, daily pharmaceutical reconciliation protocol for paused high-alert medications; failure to assign clear clinical ownership between the primary medical ward team and the procedural/surgical team; and reliance on unstructured, verbal handovers during ward transfers (HSSIB, 2023; Joint Commission, 2023).</w:t>
      </w:r>
    </w:p>
    <w:p w14:paraId="7BF272F2" w14:textId="77777777" w:rsidR="000762ED" w:rsidRPr="000762ED" w:rsidRDefault="000762ED" w:rsidP="000762ED">
      <w:pPr>
        <w:numPr>
          <w:ilvl w:val="0"/>
          <w:numId w:val="2"/>
        </w:numPr>
        <w:spacing w:line="360" w:lineRule="auto"/>
        <w:rPr>
          <w:rFonts w:ascii="Arial" w:hAnsi="Arial" w:cs="Arial"/>
        </w:rPr>
      </w:pPr>
      <w:r w:rsidRPr="000762ED">
        <w:rPr>
          <w:rFonts w:ascii="Arial" w:hAnsi="Arial" w:cs="Arial"/>
          <w:b/>
          <w:bCs/>
        </w:rPr>
        <w:lastRenderedPageBreak/>
        <w:t>Regional Governance (Integrated Care Board [ICB] Level):</w:t>
      </w:r>
      <w:r w:rsidRPr="000762ED">
        <w:rPr>
          <w:rFonts w:ascii="Arial" w:hAnsi="Arial" w:cs="Arial"/>
        </w:rPr>
        <w:t xml:space="preserve"> Inadequate oversight regarding cross-specialty clinical pathways, failure to audit hospital-level compliance with national DOAC safety alerts, and insufficient funding allocations for electronic prescribing and medicines administration (</w:t>
      </w:r>
      <w:proofErr w:type="spellStart"/>
      <w:r w:rsidRPr="000762ED">
        <w:rPr>
          <w:rFonts w:ascii="Arial" w:hAnsi="Arial" w:cs="Arial"/>
        </w:rPr>
        <w:t>ePMA</w:t>
      </w:r>
      <w:proofErr w:type="spellEnd"/>
      <w:r w:rsidRPr="000762ED">
        <w:rPr>
          <w:rFonts w:ascii="Arial" w:hAnsi="Arial" w:cs="Arial"/>
        </w:rPr>
        <w:t>) decision-support technology (NHS Confederation, 2022).</w:t>
      </w:r>
    </w:p>
    <w:p w14:paraId="1F3095EB" w14:textId="77777777" w:rsidR="000762ED" w:rsidRPr="000762ED" w:rsidRDefault="000762ED" w:rsidP="000762ED">
      <w:pPr>
        <w:numPr>
          <w:ilvl w:val="0"/>
          <w:numId w:val="2"/>
        </w:numPr>
        <w:spacing w:line="360" w:lineRule="auto"/>
        <w:rPr>
          <w:rFonts w:ascii="Arial" w:hAnsi="Arial" w:cs="Arial"/>
        </w:rPr>
      </w:pPr>
      <w:r w:rsidRPr="000762ED">
        <w:rPr>
          <w:rFonts w:ascii="Arial" w:hAnsi="Arial" w:cs="Arial"/>
          <w:b/>
          <w:bCs/>
        </w:rPr>
        <w:t>National Governance (Department of Health / NHS England):</w:t>
      </w:r>
      <w:r w:rsidRPr="000762ED">
        <w:rPr>
          <w:rFonts w:ascii="Arial" w:hAnsi="Arial" w:cs="Arial"/>
        </w:rPr>
        <w:t xml:space="preserve"> Inconsistent statutory enforcement of automated digital prescribing safety nets across all NHS acute trusts and absent national standardization for temporary drug-pause documentation (MHRA, 2022).</w:t>
      </w:r>
    </w:p>
    <w:p w14:paraId="25F41058" w14:textId="77777777" w:rsidR="000762ED" w:rsidRPr="000762ED" w:rsidRDefault="000762ED" w:rsidP="000762ED">
      <w:pPr>
        <w:spacing w:line="360" w:lineRule="auto"/>
        <w:rPr>
          <w:rFonts w:ascii="Arial" w:hAnsi="Arial" w:cs="Arial"/>
        </w:rPr>
      </w:pPr>
      <w:r w:rsidRPr="000762ED">
        <w:rPr>
          <w:rFonts w:ascii="Arial" w:hAnsi="Arial" w:cs="Arial"/>
        </w:rPr>
        <w:t>Underlying operational challenges contributed directly to this systemic failure. Acute medical wards across public hospitals frequently operate at bed occupancy rates exceeding 95% (recommended ceiling is 85%), creating intense cognitive pressure, high turnover, and rapid bed transfers (Royal College of Physicians [RCP], 2022). In such overcrowded environments, clinicians experience "alert fatigue" and cognitive overload, drastically increasing human vulnerability to omission errors and diffusion of responsibility (</w:t>
      </w:r>
      <w:proofErr w:type="spellStart"/>
      <w:r w:rsidRPr="000762ED">
        <w:rPr>
          <w:rFonts w:ascii="Arial" w:hAnsi="Arial" w:cs="Arial"/>
        </w:rPr>
        <w:t>Carayon</w:t>
      </w:r>
      <w:proofErr w:type="spellEnd"/>
      <w:r w:rsidRPr="000762ED">
        <w:rPr>
          <w:rFonts w:ascii="Arial" w:hAnsi="Arial" w:cs="Arial"/>
        </w:rPr>
        <w:t xml:space="preserve"> et al., 2014; Reason, 2016).</w:t>
      </w:r>
    </w:p>
    <w:p w14:paraId="1F23CDBF" w14:textId="77777777" w:rsidR="000762ED" w:rsidRPr="000762ED" w:rsidRDefault="000762ED" w:rsidP="000762ED">
      <w:pPr>
        <w:spacing w:line="360" w:lineRule="auto"/>
        <w:rPr>
          <w:rFonts w:ascii="Arial" w:hAnsi="Arial" w:cs="Arial"/>
        </w:rPr>
      </w:pPr>
      <w:r w:rsidRPr="000762ED">
        <w:rPr>
          <w:rFonts w:ascii="Arial" w:hAnsi="Arial" w:cs="Arial"/>
        </w:rPr>
        <w:t>Furthermore, the Rich Picture model (Figure 1) constructs the complex web of interactions: siloed medical specialties, informal handover norms, steep power gradients between senior procedure specialists and ward doctors, absence of visual anticoagulant pause tags, and feedback loops characterized by low psychological safety. When ambiguity surrounds drug ownership, ward doctors assume procedure teams will restart paused medications, while procedure teams assume ward teams retain primary prescribing responsibility—a classic "diffusion of responsibility" that permits fatal gaps to open in care delivery (Edmondson, 2019; Vincent, 2010).</w:t>
      </w:r>
    </w:p>
    <w:p w14:paraId="3B98E0B1" w14:textId="77777777" w:rsidR="000762ED" w:rsidRPr="000762ED" w:rsidRDefault="000762ED" w:rsidP="000762ED">
      <w:pPr>
        <w:spacing w:line="360" w:lineRule="auto"/>
        <w:rPr>
          <w:rFonts w:ascii="Arial" w:hAnsi="Arial" w:cs="Arial"/>
          <w:b/>
          <w:bCs/>
        </w:rPr>
      </w:pPr>
      <w:r w:rsidRPr="000762ED">
        <w:rPr>
          <w:rFonts w:ascii="Arial" w:hAnsi="Arial" w:cs="Arial"/>
          <w:b/>
          <w:bCs/>
        </w:rPr>
        <w:t>2b. Centralisation or Decentralisation within the Case Study (910 words)</w:t>
      </w:r>
    </w:p>
    <w:p w14:paraId="72F0CB00" w14:textId="77777777" w:rsidR="000762ED" w:rsidRPr="000762ED" w:rsidRDefault="000762ED" w:rsidP="000762ED">
      <w:pPr>
        <w:spacing w:line="360" w:lineRule="auto"/>
        <w:rPr>
          <w:rFonts w:ascii="Arial" w:hAnsi="Arial" w:cs="Arial"/>
          <w:b/>
          <w:bCs/>
        </w:rPr>
      </w:pPr>
      <w:r w:rsidRPr="000762ED">
        <w:rPr>
          <w:rFonts w:ascii="Arial" w:hAnsi="Arial" w:cs="Arial"/>
          <w:b/>
          <w:bCs/>
        </w:rPr>
        <w:t>Structural Analysis of the Case Study Organisation</w:t>
      </w:r>
    </w:p>
    <w:p w14:paraId="1AA8C400" w14:textId="77777777" w:rsidR="000762ED" w:rsidRPr="000762ED" w:rsidRDefault="000762ED" w:rsidP="000762ED">
      <w:pPr>
        <w:spacing w:line="360" w:lineRule="auto"/>
        <w:rPr>
          <w:rFonts w:ascii="Arial" w:hAnsi="Arial" w:cs="Arial"/>
        </w:rPr>
      </w:pPr>
      <w:r w:rsidRPr="000762ED">
        <w:rPr>
          <w:rFonts w:ascii="Arial" w:hAnsi="Arial" w:cs="Arial"/>
        </w:rPr>
        <w:t xml:space="preserve">The hospital organization in the Patient X case study operates within a highly centralized administrative structure combined with fragmented, unregulated operational decentralisation across clinical specialties (Peckham et al., 2018; HSSIB, 2023). Strategic governance, policy formulation, budgetary approval, and disciplinary oversight are tightly held within top-tier executive directorates, while daily clinical </w:t>
      </w:r>
      <w:r w:rsidRPr="000762ED">
        <w:rPr>
          <w:rFonts w:ascii="Arial" w:hAnsi="Arial" w:cs="Arial"/>
        </w:rPr>
        <w:lastRenderedPageBreak/>
        <w:t>decisions regarding drug administration, procedure scheduling, and ward transfers are dispersed among independent clinical teams (Prasad, 2020).</w:t>
      </w:r>
    </w:p>
    <w:tbl>
      <w:tblPr>
        <w:tblStyle w:val="TableGrid"/>
        <w:tblW w:w="0" w:type="auto"/>
        <w:tblLook w:val="04A0" w:firstRow="1" w:lastRow="0" w:firstColumn="1" w:lastColumn="0" w:noHBand="0" w:noVBand="1"/>
      </w:tblPr>
      <w:tblGrid>
        <w:gridCol w:w="2314"/>
        <w:gridCol w:w="3588"/>
        <w:gridCol w:w="3114"/>
      </w:tblGrid>
      <w:tr w:rsidR="000762ED" w:rsidRPr="000762ED" w14:paraId="7C65CEF1" w14:textId="77777777" w:rsidTr="000762ED">
        <w:tc>
          <w:tcPr>
            <w:tcW w:w="0" w:type="auto"/>
            <w:hideMark/>
          </w:tcPr>
          <w:p w14:paraId="3E00869E"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CRITERIA</w:t>
            </w:r>
          </w:p>
        </w:tc>
        <w:tc>
          <w:tcPr>
            <w:tcW w:w="0" w:type="auto"/>
            <w:hideMark/>
          </w:tcPr>
          <w:p w14:paraId="35394174"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CENTRE</w:t>
            </w:r>
            <w:r w:rsidRPr="000762ED">
              <w:rPr>
                <w:rFonts w:ascii="Arial" w:hAnsi="Arial" w:cs="Arial"/>
                <w:b/>
                <w:bCs/>
              </w:rPr>
              <w:noBreakHyphen/>
              <w:t>DOMINATED CENTRALISATION</w:t>
            </w:r>
          </w:p>
        </w:tc>
        <w:tc>
          <w:tcPr>
            <w:tcW w:w="0" w:type="auto"/>
            <w:hideMark/>
          </w:tcPr>
          <w:p w14:paraId="7090C1C0"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DECENTRALISED GOVERNANCE &amp; HROs</w:t>
            </w:r>
          </w:p>
        </w:tc>
      </w:tr>
      <w:tr w:rsidR="000762ED" w:rsidRPr="000762ED" w14:paraId="6AD88E44" w14:textId="77777777" w:rsidTr="000762ED">
        <w:tc>
          <w:tcPr>
            <w:tcW w:w="0" w:type="auto"/>
            <w:hideMark/>
          </w:tcPr>
          <w:p w14:paraId="68C0FED7"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Decision</w:t>
            </w:r>
            <w:r w:rsidRPr="000762ED">
              <w:rPr>
                <w:rFonts w:ascii="Arial" w:hAnsi="Arial" w:cs="Arial"/>
                <w:b/>
                <w:bCs/>
              </w:rPr>
              <w:noBreakHyphen/>
              <w:t>Making Authority</w:t>
            </w:r>
          </w:p>
        </w:tc>
        <w:tc>
          <w:tcPr>
            <w:tcW w:w="0" w:type="auto"/>
            <w:hideMark/>
          </w:tcPr>
          <w:p w14:paraId="4EFD71B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Concentrated at executive directorate level; rigid top</w:t>
            </w:r>
            <w:r w:rsidRPr="000762ED">
              <w:rPr>
                <w:rFonts w:ascii="Arial" w:hAnsi="Arial" w:cs="Arial"/>
                <w:b/>
                <w:bCs/>
              </w:rPr>
              <w:noBreakHyphen/>
              <w:t>down procedural mandates.</w:t>
            </w:r>
          </w:p>
        </w:tc>
        <w:tc>
          <w:tcPr>
            <w:tcW w:w="0" w:type="auto"/>
            <w:hideMark/>
          </w:tcPr>
          <w:p w14:paraId="6C00841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Delegated to frontline multidisciplinary teams; situational flattening of hierarchy.</w:t>
            </w:r>
          </w:p>
        </w:tc>
      </w:tr>
      <w:tr w:rsidR="000762ED" w:rsidRPr="000762ED" w14:paraId="18342E1C" w14:textId="77777777" w:rsidTr="000762ED">
        <w:tc>
          <w:tcPr>
            <w:tcW w:w="0" w:type="auto"/>
            <w:hideMark/>
          </w:tcPr>
          <w:p w14:paraId="10D6C92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Operational Flexibility</w:t>
            </w:r>
          </w:p>
        </w:tc>
        <w:tc>
          <w:tcPr>
            <w:tcW w:w="0" w:type="auto"/>
            <w:hideMark/>
          </w:tcPr>
          <w:p w14:paraId="1AEFC027"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Low; staff follow bureaucratic routines without discretionary problem</w:t>
            </w:r>
            <w:r w:rsidRPr="000762ED">
              <w:rPr>
                <w:rFonts w:ascii="Arial" w:hAnsi="Arial" w:cs="Arial"/>
                <w:b/>
                <w:bCs/>
              </w:rPr>
              <w:noBreakHyphen/>
              <w:t>solving.</w:t>
            </w:r>
          </w:p>
        </w:tc>
        <w:tc>
          <w:tcPr>
            <w:tcW w:w="0" w:type="auto"/>
            <w:hideMark/>
          </w:tcPr>
          <w:p w14:paraId="7AAB499E"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High; clinical teams adapt processes to real</w:t>
            </w:r>
            <w:r w:rsidRPr="000762ED">
              <w:rPr>
                <w:rFonts w:ascii="Arial" w:hAnsi="Arial" w:cs="Arial"/>
                <w:b/>
                <w:bCs/>
              </w:rPr>
              <w:noBreakHyphen/>
              <w:t>time clinical risks and context.</w:t>
            </w:r>
          </w:p>
        </w:tc>
      </w:tr>
      <w:tr w:rsidR="000762ED" w:rsidRPr="000762ED" w14:paraId="69276A7C" w14:textId="77777777" w:rsidTr="000762ED">
        <w:tc>
          <w:tcPr>
            <w:tcW w:w="0" w:type="auto"/>
            <w:hideMark/>
          </w:tcPr>
          <w:p w14:paraId="24D99774"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Communication Flow</w:t>
            </w:r>
          </w:p>
        </w:tc>
        <w:tc>
          <w:tcPr>
            <w:tcW w:w="0" w:type="auto"/>
            <w:hideMark/>
          </w:tcPr>
          <w:p w14:paraId="4A94083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Vertical, formal, top</w:t>
            </w:r>
            <w:r w:rsidRPr="000762ED">
              <w:rPr>
                <w:rFonts w:ascii="Arial" w:hAnsi="Arial" w:cs="Arial"/>
                <w:b/>
                <w:bCs/>
              </w:rPr>
              <w:noBreakHyphen/>
              <w:t>down; information bottlenecked at management tiers.</w:t>
            </w:r>
          </w:p>
        </w:tc>
        <w:tc>
          <w:tcPr>
            <w:tcW w:w="0" w:type="auto"/>
            <w:hideMark/>
          </w:tcPr>
          <w:p w14:paraId="2C0C2656"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Multidirectional, transparent, continuous; horizontal peer</w:t>
            </w:r>
            <w:r w:rsidRPr="000762ED">
              <w:rPr>
                <w:rFonts w:ascii="Arial" w:hAnsi="Arial" w:cs="Arial"/>
                <w:b/>
                <w:bCs/>
              </w:rPr>
              <w:noBreakHyphen/>
              <w:t>to</w:t>
            </w:r>
            <w:r w:rsidRPr="000762ED">
              <w:rPr>
                <w:rFonts w:ascii="Arial" w:hAnsi="Arial" w:cs="Arial"/>
                <w:b/>
                <w:bCs/>
              </w:rPr>
              <w:noBreakHyphen/>
              <w:t>peer feedback.</w:t>
            </w:r>
          </w:p>
        </w:tc>
      </w:tr>
      <w:tr w:rsidR="000762ED" w:rsidRPr="000762ED" w14:paraId="04645855" w14:textId="77777777" w:rsidTr="000762ED">
        <w:tc>
          <w:tcPr>
            <w:tcW w:w="0" w:type="auto"/>
            <w:hideMark/>
          </w:tcPr>
          <w:p w14:paraId="282D0E8F"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Psychological Safety &amp; Culture</w:t>
            </w:r>
          </w:p>
        </w:tc>
        <w:tc>
          <w:tcPr>
            <w:tcW w:w="0" w:type="auto"/>
            <w:hideMark/>
          </w:tcPr>
          <w:p w14:paraId="639452EC"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Low; fear of punishment drives concealment of near</w:t>
            </w:r>
            <w:r w:rsidRPr="000762ED">
              <w:rPr>
                <w:rFonts w:ascii="Arial" w:hAnsi="Arial" w:cs="Arial"/>
                <w:b/>
                <w:bCs/>
              </w:rPr>
              <w:noBreakHyphen/>
              <w:t>misses and procedural deviations.</w:t>
            </w:r>
          </w:p>
        </w:tc>
        <w:tc>
          <w:tcPr>
            <w:tcW w:w="0" w:type="auto"/>
            <w:hideMark/>
          </w:tcPr>
          <w:p w14:paraId="4C3E12CE"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High; error reporting viewed as systemic learning; non</w:t>
            </w:r>
            <w:r w:rsidRPr="000762ED">
              <w:rPr>
                <w:rFonts w:ascii="Arial" w:hAnsi="Arial" w:cs="Arial"/>
                <w:b/>
                <w:bCs/>
              </w:rPr>
              <w:noBreakHyphen/>
              <w:t>punitive incident reporting.</w:t>
            </w:r>
          </w:p>
        </w:tc>
      </w:tr>
      <w:tr w:rsidR="000762ED" w:rsidRPr="000762ED" w14:paraId="6CB57AA6" w14:textId="77777777" w:rsidTr="000762ED">
        <w:tc>
          <w:tcPr>
            <w:tcW w:w="0" w:type="auto"/>
            <w:hideMark/>
          </w:tcPr>
          <w:p w14:paraId="189D7326"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Safety Metric Impact</w:t>
            </w:r>
          </w:p>
        </w:tc>
        <w:tc>
          <w:tcPr>
            <w:tcW w:w="0" w:type="auto"/>
            <w:hideMark/>
          </w:tcPr>
          <w:p w14:paraId="6B572A1B"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Higher incidence of Never Events; slow response to localised safety failures.</w:t>
            </w:r>
          </w:p>
        </w:tc>
        <w:tc>
          <w:tcPr>
            <w:tcW w:w="0" w:type="auto"/>
            <w:hideMark/>
          </w:tcPr>
          <w:p w14:paraId="09F73B95"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Lower incident rate; rapid detection of near</w:t>
            </w:r>
            <w:r w:rsidRPr="000762ED">
              <w:rPr>
                <w:rFonts w:ascii="Arial" w:hAnsi="Arial" w:cs="Arial"/>
                <w:b/>
                <w:bCs/>
              </w:rPr>
              <w:noBreakHyphen/>
              <w:t>misses; strong checklist compliance.</w:t>
            </w:r>
          </w:p>
        </w:tc>
      </w:tr>
    </w:tbl>
    <w:p w14:paraId="10E2859B" w14:textId="77777777" w:rsidR="000762ED" w:rsidRDefault="000762ED" w:rsidP="000762ED">
      <w:pPr>
        <w:spacing w:line="360" w:lineRule="auto"/>
        <w:rPr>
          <w:rFonts w:ascii="Arial" w:hAnsi="Arial" w:cs="Arial"/>
          <w:b/>
          <w:bCs/>
        </w:rPr>
      </w:pPr>
      <w:r w:rsidRPr="000762ED">
        <w:rPr>
          <w:rFonts w:ascii="Arial" w:hAnsi="Arial" w:cs="Arial"/>
          <w:b/>
          <w:bCs/>
        </w:rPr>
        <w:t>TABLE 1: Comparative Evaluation of Centralisation vs. Decentralisation in Healthcare</w:t>
      </w:r>
    </w:p>
    <w:p w14:paraId="16E56994" w14:textId="2957303E" w:rsidR="000762ED" w:rsidRPr="000762ED" w:rsidRDefault="000762ED" w:rsidP="000762ED">
      <w:pPr>
        <w:spacing w:line="360" w:lineRule="auto"/>
        <w:rPr>
          <w:rFonts w:ascii="Arial" w:hAnsi="Arial" w:cs="Arial"/>
          <w:b/>
          <w:bCs/>
        </w:rPr>
      </w:pPr>
      <w:r w:rsidRPr="000762ED">
        <w:rPr>
          <w:rFonts w:ascii="Arial" w:hAnsi="Arial" w:cs="Arial"/>
          <w:b/>
          <w:bCs/>
        </w:rPr>
        <w:t>Centralised Systems: Characteristics, Advantages, Disadvantages, and Case Evidence</w:t>
      </w:r>
    </w:p>
    <w:p w14:paraId="7A100E7B" w14:textId="77777777" w:rsidR="000762ED" w:rsidRPr="000762ED" w:rsidRDefault="000762ED" w:rsidP="000762ED">
      <w:pPr>
        <w:spacing w:line="360" w:lineRule="auto"/>
        <w:rPr>
          <w:rFonts w:ascii="Arial" w:hAnsi="Arial" w:cs="Arial"/>
        </w:rPr>
      </w:pPr>
      <w:r w:rsidRPr="000762ED">
        <w:rPr>
          <w:rFonts w:ascii="Arial" w:hAnsi="Arial" w:cs="Arial"/>
        </w:rPr>
        <w:lastRenderedPageBreak/>
        <w:t>In a centralised healthcare system, clinical policies, pharmacy formularies, and governance frameworks are dictated vertically from senior executive management (Peckham et al., 2018).</w:t>
      </w:r>
    </w:p>
    <w:p w14:paraId="55087BF8" w14:textId="77777777" w:rsidR="000762ED" w:rsidRPr="000762ED" w:rsidRDefault="000762ED" w:rsidP="000762ED">
      <w:pPr>
        <w:numPr>
          <w:ilvl w:val="0"/>
          <w:numId w:val="3"/>
        </w:numPr>
        <w:spacing w:line="360" w:lineRule="auto"/>
        <w:rPr>
          <w:rFonts w:ascii="Arial" w:hAnsi="Arial" w:cs="Arial"/>
        </w:rPr>
      </w:pPr>
      <w:r w:rsidRPr="000762ED">
        <w:rPr>
          <w:rFonts w:ascii="Arial" w:hAnsi="Arial" w:cs="Arial"/>
          <w:b/>
          <w:bCs/>
        </w:rPr>
        <w:t>Theoretical Advantages:</w:t>
      </w:r>
      <w:r w:rsidRPr="000762ED">
        <w:rPr>
          <w:rFonts w:ascii="Arial" w:hAnsi="Arial" w:cs="Arial"/>
        </w:rPr>
        <w:t xml:space="preserve"> Centralisation offers economies of scale in procurement, standardized operational policies, clear lines of corporate legal accountability, and uniform safety distribution across hospital directorates (Saltman and </w:t>
      </w:r>
      <w:proofErr w:type="spellStart"/>
      <w:r w:rsidRPr="000762ED">
        <w:rPr>
          <w:rFonts w:ascii="Arial" w:hAnsi="Arial" w:cs="Arial"/>
        </w:rPr>
        <w:t>Bankauskaite</w:t>
      </w:r>
      <w:proofErr w:type="spellEnd"/>
      <w:r w:rsidRPr="000762ED">
        <w:rPr>
          <w:rFonts w:ascii="Arial" w:hAnsi="Arial" w:cs="Arial"/>
        </w:rPr>
        <w:t>, 2006).</w:t>
      </w:r>
    </w:p>
    <w:p w14:paraId="4188B987" w14:textId="77777777" w:rsidR="000762ED" w:rsidRPr="000762ED" w:rsidRDefault="000762ED" w:rsidP="000762ED">
      <w:pPr>
        <w:numPr>
          <w:ilvl w:val="0"/>
          <w:numId w:val="3"/>
        </w:numPr>
        <w:spacing w:line="360" w:lineRule="auto"/>
        <w:rPr>
          <w:rFonts w:ascii="Arial" w:hAnsi="Arial" w:cs="Arial"/>
        </w:rPr>
      </w:pPr>
      <w:r w:rsidRPr="000762ED">
        <w:rPr>
          <w:rFonts w:ascii="Arial" w:hAnsi="Arial" w:cs="Arial"/>
          <w:b/>
          <w:bCs/>
        </w:rPr>
        <w:t>Critical Disadvantages:</w:t>
      </w:r>
      <w:r w:rsidRPr="000762ED">
        <w:rPr>
          <w:rFonts w:ascii="Arial" w:hAnsi="Arial" w:cs="Arial"/>
        </w:rPr>
        <w:t xml:space="preserve"> Centralised acute hospital structures suffer from administrative inertia, rigid bureaucracy, bottlenecked communication channels, and alienating organizational cultures (Peckham et al., 2018).</w:t>
      </w:r>
    </w:p>
    <w:p w14:paraId="3542411E" w14:textId="77777777" w:rsidR="000762ED" w:rsidRPr="000762ED" w:rsidRDefault="000762ED" w:rsidP="000762ED">
      <w:pPr>
        <w:spacing w:line="360" w:lineRule="auto"/>
        <w:rPr>
          <w:rFonts w:ascii="Arial" w:hAnsi="Arial" w:cs="Arial"/>
        </w:rPr>
      </w:pPr>
      <w:r w:rsidRPr="000762ED">
        <w:rPr>
          <w:rFonts w:ascii="Arial" w:hAnsi="Arial" w:cs="Arial"/>
        </w:rPr>
        <w:t>In Patient X’s hospital, centralisation created a toxic governance dynamic. Executive leadership mandated rigid operational throughput metrics (e.g., bed turnaround times and procedure discharge targets) but failed to provide centralized, automated electronic prescribing tools equipped with safety-net alerts for paused medications (HSSIB, 2023). Centralized command-and-control structures foster a culture of upward deference, where frontline junior doctors and ward nurses follow top-down administrative routines without feeling empowered or accountable to challenge cross-specialty prescribing delays (Edmondson, 2019; Reason, 2016).</w:t>
      </w:r>
    </w:p>
    <w:p w14:paraId="49C8E3E7" w14:textId="77777777" w:rsidR="000762ED" w:rsidRPr="000762ED" w:rsidRDefault="000762ED" w:rsidP="000762ED">
      <w:pPr>
        <w:spacing w:line="360" w:lineRule="auto"/>
        <w:rPr>
          <w:rFonts w:ascii="Arial" w:hAnsi="Arial" w:cs="Arial"/>
          <w:b/>
          <w:bCs/>
        </w:rPr>
      </w:pPr>
      <w:r w:rsidRPr="000762ED">
        <w:rPr>
          <w:rFonts w:ascii="Arial" w:hAnsi="Arial" w:cs="Arial"/>
          <w:b/>
          <w:bCs/>
        </w:rPr>
        <w:t>Decentralised Systems: Characteristics, Advantages, Disadvantages, and Case Evidence</w:t>
      </w:r>
    </w:p>
    <w:p w14:paraId="3ADC041D" w14:textId="77777777" w:rsidR="000762ED" w:rsidRPr="000762ED" w:rsidRDefault="000762ED" w:rsidP="000762ED">
      <w:pPr>
        <w:spacing w:line="360" w:lineRule="auto"/>
        <w:rPr>
          <w:rFonts w:ascii="Arial" w:hAnsi="Arial" w:cs="Arial"/>
        </w:rPr>
      </w:pPr>
      <w:r w:rsidRPr="000762ED">
        <w:rPr>
          <w:rFonts w:ascii="Arial" w:hAnsi="Arial" w:cs="Arial"/>
        </w:rPr>
        <w:t>Conversely, decentralised healthcare governance disperses operational autonomy, quality improvement, and clinical decision-making to local ward teams, clinical nurse specialists, and ward pharmacists (Peckham et al., 2018).</w:t>
      </w:r>
    </w:p>
    <w:p w14:paraId="2596954B" w14:textId="77777777" w:rsidR="000762ED" w:rsidRPr="000762ED" w:rsidRDefault="000762ED" w:rsidP="000762ED">
      <w:pPr>
        <w:numPr>
          <w:ilvl w:val="0"/>
          <w:numId w:val="4"/>
        </w:numPr>
        <w:spacing w:line="360" w:lineRule="auto"/>
        <w:rPr>
          <w:rFonts w:ascii="Arial" w:hAnsi="Arial" w:cs="Arial"/>
        </w:rPr>
      </w:pPr>
      <w:r w:rsidRPr="000762ED">
        <w:rPr>
          <w:rFonts w:ascii="Arial" w:hAnsi="Arial" w:cs="Arial"/>
          <w:b/>
          <w:bCs/>
        </w:rPr>
        <w:t>Theoretical Advantages:</w:t>
      </w:r>
      <w:r w:rsidRPr="000762ED">
        <w:rPr>
          <w:rFonts w:ascii="Arial" w:hAnsi="Arial" w:cs="Arial"/>
        </w:rPr>
        <w:t xml:space="preserve"> Decentralisation promotes rapid local problem-solving, enhances staff engagement, fosters adaptive leadership, and enables tailored patient-centred care (Braithwaite et al., 2018). In High Reliability Organizations (HROs) such as aviation and advanced healthcare systems, decentralisation manifests as "deference to expertise"—where decision-making authority during clinical ambiguity shifts instantly to the operational frontline, regardless of hierarchical rank (Weick and Sutcliffe, 2015).</w:t>
      </w:r>
    </w:p>
    <w:p w14:paraId="1CEA2009" w14:textId="77777777" w:rsidR="000762ED" w:rsidRPr="000762ED" w:rsidRDefault="000762ED" w:rsidP="000762ED">
      <w:pPr>
        <w:numPr>
          <w:ilvl w:val="0"/>
          <w:numId w:val="4"/>
        </w:numPr>
        <w:spacing w:line="360" w:lineRule="auto"/>
        <w:rPr>
          <w:rFonts w:ascii="Arial" w:hAnsi="Arial" w:cs="Arial"/>
        </w:rPr>
      </w:pPr>
      <w:r w:rsidRPr="000762ED">
        <w:rPr>
          <w:rFonts w:ascii="Arial" w:hAnsi="Arial" w:cs="Arial"/>
          <w:b/>
          <w:bCs/>
        </w:rPr>
        <w:lastRenderedPageBreak/>
        <w:t>Critical Disadvantages:</w:t>
      </w:r>
      <w:r w:rsidRPr="000762ED">
        <w:rPr>
          <w:rFonts w:ascii="Arial" w:hAnsi="Arial" w:cs="Arial"/>
        </w:rPr>
        <w:t xml:space="preserve"> Uncontrolled, informal decentralisation causes severe variation in clinical quality, fragmented safety standards, siloed communication, and a total loss of continuity of care across medical specialties (Peckham et al., 2018).</w:t>
      </w:r>
    </w:p>
    <w:p w14:paraId="5CDBBF2D" w14:textId="77777777" w:rsidR="000762ED" w:rsidRPr="000762ED" w:rsidRDefault="000762ED" w:rsidP="000762ED">
      <w:pPr>
        <w:spacing w:line="360" w:lineRule="auto"/>
        <w:rPr>
          <w:rFonts w:ascii="Arial" w:hAnsi="Arial" w:cs="Arial"/>
          <w:b/>
          <w:bCs/>
        </w:rPr>
      </w:pPr>
      <w:r w:rsidRPr="000762ED">
        <w:rPr>
          <w:rFonts w:ascii="Arial" w:hAnsi="Arial" w:cs="Arial"/>
          <w:b/>
          <w:bCs/>
        </w:rPr>
        <w:t>Critical Analysis of System Structure on Crisis, Decision-Making, and Accountability</w:t>
      </w:r>
    </w:p>
    <w:p w14:paraId="75420D3E" w14:textId="77777777" w:rsidR="000762ED" w:rsidRPr="000762ED" w:rsidRDefault="000762ED" w:rsidP="000762ED">
      <w:pPr>
        <w:spacing w:line="360" w:lineRule="auto"/>
        <w:rPr>
          <w:rFonts w:ascii="Arial" w:hAnsi="Arial" w:cs="Arial"/>
        </w:rPr>
      </w:pPr>
      <w:r w:rsidRPr="000762ED">
        <w:rPr>
          <w:rFonts w:ascii="Arial" w:hAnsi="Arial" w:cs="Arial"/>
        </w:rPr>
        <w:t>Comparing how system structure influenced the Patient X failure reveals that rigid administrative centralisation coupled with unregulated operational decentralisation destroyed continuity of care and accountability. Statistical evidence from healthcare governance studies demonstrates that acute hospital wards operating with nurse-to-patient ratios exceeding 1:10 and bed occupancy rates over 90% exhibit a 35% higher rate of medication reconciliation errors and omitted doses compared to integrated, decentralized units with dedicated ward pharmacists (Aiken et al., 2014; CQC, 2023).</w:t>
      </w:r>
    </w:p>
    <w:p w14:paraId="0202F2F2" w14:textId="77777777" w:rsidR="000762ED" w:rsidRPr="000762ED" w:rsidRDefault="000762ED" w:rsidP="000762ED">
      <w:pPr>
        <w:spacing w:line="360" w:lineRule="auto"/>
        <w:rPr>
          <w:rFonts w:ascii="Arial" w:hAnsi="Arial" w:cs="Arial"/>
        </w:rPr>
      </w:pPr>
      <w:r w:rsidRPr="000762ED">
        <w:rPr>
          <w:rFonts w:ascii="Arial" w:hAnsi="Arial" w:cs="Arial"/>
        </w:rPr>
        <w:t>In Patient X’s care trajectory, safety performance metrics were compromised across the care continuum:</w:t>
      </w:r>
    </w:p>
    <w:p w14:paraId="462EE549" w14:textId="77777777" w:rsidR="000762ED" w:rsidRPr="000762ED" w:rsidRDefault="000762ED" w:rsidP="000762ED">
      <w:pPr>
        <w:numPr>
          <w:ilvl w:val="0"/>
          <w:numId w:val="5"/>
        </w:numPr>
        <w:spacing w:line="360" w:lineRule="auto"/>
        <w:rPr>
          <w:rFonts w:ascii="Arial" w:hAnsi="Arial" w:cs="Arial"/>
        </w:rPr>
      </w:pPr>
      <w:r w:rsidRPr="000762ED">
        <w:rPr>
          <w:rFonts w:ascii="Arial" w:hAnsi="Arial" w:cs="Arial"/>
          <w:b/>
          <w:bCs/>
        </w:rPr>
        <w:t>Medication Reconciliation Compliance:</w:t>
      </w:r>
      <w:r w:rsidRPr="000762ED">
        <w:rPr>
          <w:rFonts w:ascii="Arial" w:hAnsi="Arial" w:cs="Arial"/>
        </w:rPr>
        <w:t xml:space="preserve"> 0% compliance with daily anticoagulation pause reconciliation during the 10-day pre-procedure waiting period, driven by the absence of a centralized </w:t>
      </w:r>
      <w:proofErr w:type="spellStart"/>
      <w:r w:rsidRPr="000762ED">
        <w:rPr>
          <w:rFonts w:ascii="Arial" w:hAnsi="Arial" w:cs="Arial"/>
        </w:rPr>
        <w:t>ePMA</w:t>
      </w:r>
      <w:proofErr w:type="spellEnd"/>
      <w:r w:rsidRPr="000762ED">
        <w:rPr>
          <w:rFonts w:ascii="Arial" w:hAnsi="Arial" w:cs="Arial"/>
        </w:rPr>
        <w:t xml:space="preserve"> alert system combined with a lack of decentralized team ownership.</w:t>
      </w:r>
    </w:p>
    <w:p w14:paraId="101F0448" w14:textId="77777777" w:rsidR="000762ED" w:rsidRPr="000762ED" w:rsidRDefault="000762ED" w:rsidP="000762ED">
      <w:pPr>
        <w:numPr>
          <w:ilvl w:val="0"/>
          <w:numId w:val="5"/>
        </w:numPr>
        <w:spacing w:line="360" w:lineRule="auto"/>
        <w:rPr>
          <w:rFonts w:ascii="Arial" w:hAnsi="Arial" w:cs="Arial"/>
        </w:rPr>
      </w:pPr>
      <w:r w:rsidRPr="000762ED">
        <w:rPr>
          <w:rFonts w:ascii="Arial" w:hAnsi="Arial" w:cs="Arial"/>
          <w:b/>
          <w:bCs/>
        </w:rPr>
        <w:t>Handover Verification Execution:</w:t>
      </w:r>
      <w:r w:rsidRPr="000762ED">
        <w:rPr>
          <w:rFonts w:ascii="Arial" w:hAnsi="Arial" w:cs="Arial"/>
        </w:rPr>
        <w:t xml:space="preserve"> 0% execution of formal, structured handover protocols (e.g., SBAR) regarding paused high-alert medications during ED-to-ward and ward-to-procedure transfers. In a siloed, decentralized clinical environment without centralized handover enforcement, clinical teams operate as isolated islands (HSSIB, 2023; Berwick, 2020).</w:t>
      </w:r>
    </w:p>
    <w:p w14:paraId="10F3F1B6" w14:textId="77777777" w:rsidR="000762ED" w:rsidRPr="000762ED" w:rsidRDefault="000762ED" w:rsidP="000762ED">
      <w:pPr>
        <w:numPr>
          <w:ilvl w:val="0"/>
          <w:numId w:val="5"/>
        </w:numPr>
        <w:spacing w:line="360" w:lineRule="auto"/>
        <w:rPr>
          <w:rFonts w:ascii="Arial" w:hAnsi="Arial" w:cs="Arial"/>
        </w:rPr>
      </w:pPr>
      <w:r w:rsidRPr="000762ED">
        <w:rPr>
          <w:rFonts w:ascii="Arial" w:hAnsi="Arial" w:cs="Arial"/>
          <w:b/>
          <w:bCs/>
        </w:rPr>
        <w:t>Procedure Delay Management Metrics:</w:t>
      </w:r>
      <w:r w:rsidRPr="000762ED">
        <w:rPr>
          <w:rFonts w:ascii="Arial" w:hAnsi="Arial" w:cs="Arial"/>
        </w:rPr>
        <w:t xml:space="preserve"> The procedure was delayed repeatedly over 10 days due to emergency scheduling overrides. In a centralized system lacking local operational flexibility and multidisciplinary coordination, ward managers could not dynamically reallocate procedure slots or escalate the severe thromboembolic risk of prolonged DOAC omission to executive clinical directors (Aiken et al., 2014).</w:t>
      </w:r>
    </w:p>
    <w:p w14:paraId="798C8564" w14:textId="77777777" w:rsidR="000762ED" w:rsidRPr="000762ED" w:rsidRDefault="000762ED" w:rsidP="000762ED">
      <w:pPr>
        <w:spacing w:line="360" w:lineRule="auto"/>
        <w:rPr>
          <w:rFonts w:ascii="Arial" w:hAnsi="Arial" w:cs="Arial"/>
        </w:rPr>
      </w:pPr>
      <w:r w:rsidRPr="000762ED">
        <w:rPr>
          <w:rFonts w:ascii="Arial" w:hAnsi="Arial" w:cs="Arial"/>
        </w:rPr>
        <w:lastRenderedPageBreak/>
        <w:t>Consequently, the hospital structure supported top-down administrative compliance on paper while utterly failing to establish real-time medication accountability, situational awareness, or patient safety at the clinical frontline.</w:t>
      </w:r>
    </w:p>
    <w:p w14:paraId="1EE648F6" w14:textId="0A8055E7" w:rsidR="000762ED" w:rsidRPr="000762ED" w:rsidRDefault="000762ED" w:rsidP="000762ED">
      <w:pPr>
        <w:spacing w:line="360" w:lineRule="auto"/>
        <w:rPr>
          <w:rFonts w:ascii="Arial" w:hAnsi="Arial" w:cs="Arial"/>
          <w:b/>
          <w:bCs/>
        </w:rPr>
      </w:pPr>
      <w:r w:rsidRPr="000762ED">
        <w:rPr>
          <w:rFonts w:ascii="Arial" w:hAnsi="Arial" w:cs="Arial"/>
          <w:b/>
          <w:bCs/>
        </w:rPr>
        <w:t xml:space="preserve">2c. Leadership Theories and Application to the Case Study </w:t>
      </w:r>
    </w:p>
    <w:p w14:paraId="0389D41F" w14:textId="77777777" w:rsidR="000762ED" w:rsidRPr="000762ED" w:rsidRDefault="000762ED" w:rsidP="000762ED">
      <w:pPr>
        <w:spacing w:line="360" w:lineRule="auto"/>
        <w:rPr>
          <w:rFonts w:ascii="Arial" w:hAnsi="Arial" w:cs="Arial"/>
          <w:b/>
          <w:bCs/>
        </w:rPr>
      </w:pPr>
      <w:r w:rsidRPr="000762ED">
        <w:rPr>
          <w:rFonts w:ascii="Arial" w:hAnsi="Arial" w:cs="Arial"/>
          <w:b/>
          <w:bCs/>
        </w:rPr>
        <w:t>Theoretical Critique of Leadership Models Applied to the Incident</w:t>
      </w:r>
    </w:p>
    <w:p w14:paraId="599B5911" w14:textId="77777777" w:rsidR="000762ED" w:rsidRPr="000762ED" w:rsidRDefault="000762ED" w:rsidP="000762ED">
      <w:pPr>
        <w:spacing w:line="360" w:lineRule="auto"/>
        <w:rPr>
          <w:rFonts w:ascii="Arial" w:hAnsi="Arial" w:cs="Arial"/>
        </w:rPr>
      </w:pPr>
      <w:r w:rsidRPr="000762ED">
        <w:rPr>
          <w:rFonts w:ascii="Arial" w:hAnsi="Arial" w:cs="Arial"/>
        </w:rPr>
        <w:t>Leadership style directly dictates an organization's safety culture, staff communication patterns, and vulnerability to catastrophic error (West et al., 2020). To rigorously critique the leadership failures surrounding Patient X, three key leadership theories must be evaluated against empirical safety data and organizational behaviour models.</w:t>
      </w:r>
    </w:p>
    <w:p w14:paraId="5B790988" w14:textId="033EC9CA" w:rsidR="000762ED" w:rsidRPr="000762ED" w:rsidRDefault="000762ED" w:rsidP="000762ED">
      <w:pPr>
        <w:spacing w:line="360" w:lineRule="auto"/>
        <w:rPr>
          <w:rFonts w:ascii="Arial" w:hAnsi="Arial" w:cs="Arial"/>
          <w:b/>
          <w:bCs/>
        </w:rPr>
      </w:pPr>
      <w:r w:rsidRPr="000762ED">
        <w:rPr>
          <w:rFonts w:ascii="Arial" w:hAnsi="Arial" w:cs="Arial"/>
          <w:b/>
          <w:bCs/>
        </w:rPr>
        <w:t>TABLE 2: Theoretical Critique of Leadership Styles in Patient Safety</w:t>
      </w:r>
    </w:p>
    <w:tbl>
      <w:tblPr>
        <w:tblStyle w:val="TableGrid"/>
        <w:tblW w:w="0" w:type="auto"/>
        <w:tblLook w:val="04A0" w:firstRow="1" w:lastRow="0" w:firstColumn="1" w:lastColumn="0" w:noHBand="0" w:noVBand="1"/>
      </w:tblPr>
      <w:tblGrid>
        <w:gridCol w:w="2383"/>
        <w:gridCol w:w="4073"/>
        <w:gridCol w:w="2560"/>
      </w:tblGrid>
      <w:tr w:rsidR="000762ED" w:rsidRPr="000762ED" w14:paraId="4235664E" w14:textId="77777777" w:rsidTr="000762ED">
        <w:tc>
          <w:tcPr>
            <w:tcW w:w="0" w:type="auto"/>
            <w:hideMark/>
          </w:tcPr>
          <w:p w14:paraId="4D6F9287"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Leadership Theory</w:t>
            </w:r>
          </w:p>
        </w:tc>
        <w:tc>
          <w:tcPr>
            <w:tcW w:w="0" w:type="auto"/>
            <w:hideMark/>
          </w:tcPr>
          <w:p w14:paraId="4C552301"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Operational Manifestation at Patient X Hospital</w:t>
            </w:r>
          </w:p>
        </w:tc>
        <w:tc>
          <w:tcPr>
            <w:tcW w:w="0" w:type="auto"/>
            <w:hideMark/>
          </w:tcPr>
          <w:p w14:paraId="792CAEA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Impact on Safety &amp; Culture</w:t>
            </w:r>
          </w:p>
        </w:tc>
      </w:tr>
      <w:tr w:rsidR="000762ED" w:rsidRPr="000762ED" w14:paraId="5E19F4CF" w14:textId="77777777" w:rsidTr="000762ED">
        <w:tc>
          <w:tcPr>
            <w:tcW w:w="0" w:type="auto"/>
            <w:hideMark/>
          </w:tcPr>
          <w:p w14:paraId="15A2A12B"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Transactional Leadership</w:t>
            </w:r>
          </w:p>
        </w:tc>
        <w:tc>
          <w:tcPr>
            <w:tcW w:w="0" w:type="auto"/>
            <w:hideMark/>
          </w:tcPr>
          <w:p w14:paraId="1B0DB881" w14:textId="77777777" w:rsidR="000762ED" w:rsidRPr="000762ED" w:rsidRDefault="000762ED" w:rsidP="000762ED">
            <w:pPr>
              <w:spacing w:after="160" w:line="360" w:lineRule="auto"/>
              <w:rPr>
                <w:rFonts w:ascii="Arial" w:hAnsi="Arial" w:cs="Arial"/>
              </w:rPr>
            </w:pPr>
            <w:r w:rsidRPr="000762ED">
              <w:rPr>
                <w:rFonts w:ascii="Arial" w:hAnsi="Arial" w:cs="Arial"/>
              </w:rPr>
              <w:t>Passive management</w:t>
            </w:r>
            <w:r w:rsidRPr="000762ED">
              <w:rPr>
                <w:rFonts w:ascii="Arial" w:hAnsi="Arial" w:cs="Arial"/>
              </w:rPr>
              <w:noBreakHyphen/>
              <w:t>by</w:t>
            </w:r>
            <w:r w:rsidRPr="000762ED">
              <w:rPr>
                <w:rFonts w:ascii="Arial" w:hAnsi="Arial" w:cs="Arial"/>
              </w:rPr>
              <w:noBreakHyphen/>
              <w:t>exception; punitive focus on individual blame after errors occur.</w:t>
            </w:r>
          </w:p>
        </w:tc>
        <w:tc>
          <w:tcPr>
            <w:tcW w:w="0" w:type="auto"/>
            <w:hideMark/>
          </w:tcPr>
          <w:p w14:paraId="786BE415" w14:textId="77777777" w:rsidR="000762ED" w:rsidRPr="000762ED" w:rsidRDefault="000762ED" w:rsidP="000762ED">
            <w:pPr>
              <w:spacing w:after="160" w:line="360" w:lineRule="auto"/>
              <w:rPr>
                <w:rFonts w:ascii="Arial" w:hAnsi="Arial" w:cs="Arial"/>
              </w:rPr>
            </w:pPr>
            <w:r w:rsidRPr="000762ED">
              <w:rPr>
                <w:rFonts w:ascii="Arial" w:hAnsi="Arial" w:cs="Arial"/>
              </w:rPr>
              <w:t>Promoted fear, failure to report near</w:t>
            </w:r>
            <w:r w:rsidRPr="000762ED">
              <w:rPr>
                <w:rFonts w:ascii="Arial" w:hAnsi="Arial" w:cs="Arial"/>
              </w:rPr>
              <w:noBreakHyphen/>
              <w:t>misses, and superficial compliance.</w:t>
            </w:r>
          </w:p>
        </w:tc>
      </w:tr>
      <w:tr w:rsidR="000762ED" w:rsidRPr="000762ED" w14:paraId="48159ADF" w14:textId="77777777" w:rsidTr="000762ED">
        <w:tc>
          <w:tcPr>
            <w:tcW w:w="0" w:type="auto"/>
            <w:hideMark/>
          </w:tcPr>
          <w:p w14:paraId="24D19AB8"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Transformational Leadership</w:t>
            </w:r>
          </w:p>
        </w:tc>
        <w:tc>
          <w:tcPr>
            <w:tcW w:w="0" w:type="auto"/>
            <w:hideMark/>
          </w:tcPr>
          <w:p w14:paraId="18293F71" w14:textId="77777777" w:rsidR="000762ED" w:rsidRPr="000762ED" w:rsidRDefault="000762ED" w:rsidP="000762ED">
            <w:pPr>
              <w:spacing w:after="160" w:line="360" w:lineRule="auto"/>
              <w:rPr>
                <w:rFonts w:ascii="Arial" w:hAnsi="Arial" w:cs="Arial"/>
              </w:rPr>
            </w:pPr>
            <w:r w:rsidRPr="000762ED">
              <w:rPr>
                <w:rFonts w:ascii="Arial" w:hAnsi="Arial" w:cs="Arial"/>
              </w:rPr>
              <w:t>Absent; no shared safety vision, inspirational coaching, or intellectual stimulation.</w:t>
            </w:r>
          </w:p>
        </w:tc>
        <w:tc>
          <w:tcPr>
            <w:tcW w:w="0" w:type="auto"/>
            <w:hideMark/>
          </w:tcPr>
          <w:p w14:paraId="0173872E" w14:textId="77777777" w:rsidR="000762ED" w:rsidRPr="000762ED" w:rsidRDefault="000762ED" w:rsidP="000762ED">
            <w:pPr>
              <w:spacing w:after="160" w:line="360" w:lineRule="auto"/>
              <w:rPr>
                <w:rFonts w:ascii="Arial" w:hAnsi="Arial" w:cs="Arial"/>
              </w:rPr>
            </w:pPr>
            <w:r w:rsidRPr="000762ED">
              <w:rPr>
                <w:rFonts w:ascii="Arial" w:hAnsi="Arial" w:cs="Arial"/>
              </w:rPr>
              <w:t>Lack of clinical motivation; passive acceptance of unsafe workarounds.</w:t>
            </w:r>
          </w:p>
        </w:tc>
      </w:tr>
      <w:tr w:rsidR="000762ED" w:rsidRPr="000762ED" w14:paraId="3501A012" w14:textId="77777777" w:rsidTr="000762ED">
        <w:tc>
          <w:tcPr>
            <w:tcW w:w="0" w:type="auto"/>
            <w:hideMark/>
          </w:tcPr>
          <w:p w14:paraId="7FE32876"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Situational Leadership</w:t>
            </w:r>
          </w:p>
        </w:tc>
        <w:tc>
          <w:tcPr>
            <w:tcW w:w="0" w:type="auto"/>
            <w:hideMark/>
          </w:tcPr>
          <w:p w14:paraId="48943F29" w14:textId="77777777" w:rsidR="000762ED" w:rsidRPr="000762ED" w:rsidRDefault="000762ED" w:rsidP="000762ED">
            <w:pPr>
              <w:spacing w:after="160" w:line="360" w:lineRule="auto"/>
              <w:rPr>
                <w:rFonts w:ascii="Arial" w:hAnsi="Arial" w:cs="Arial"/>
              </w:rPr>
            </w:pPr>
            <w:r w:rsidRPr="000762ED">
              <w:rPr>
                <w:rFonts w:ascii="Arial" w:hAnsi="Arial" w:cs="Arial"/>
              </w:rPr>
              <w:t>Rigid authoritarian approach maintained despite high operational complexity and risk.</w:t>
            </w:r>
          </w:p>
        </w:tc>
        <w:tc>
          <w:tcPr>
            <w:tcW w:w="0" w:type="auto"/>
            <w:hideMark/>
          </w:tcPr>
          <w:p w14:paraId="7A47F151" w14:textId="77777777" w:rsidR="000762ED" w:rsidRPr="000762ED" w:rsidRDefault="000762ED" w:rsidP="000762ED">
            <w:pPr>
              <w:spacing w:after="160" w:line="360" w:lineRule="auto"/>
              <w:rPr>
                <w:rFonts w:ascii="Arial" w:hAnsi="Arial" w:cs="Arial"/>
              </w:rPr>
            </w:pPr>
            <w:r w:rsidRPr="000762ED">
              <w:rPr>
                <w:rFonts w:ascii="Arial" w:hAnsi="Arial" w:cs="Arial"/>
              </w:rPr>
              <w:t>Failure to adapt leadership style to chaotic, high</w:t>
            </w:r>
            <w:r w:rsidRPr="000762ED">
              <w:rPr>
                <w:rFonts w:ascii="Arial" w:hAnsi="Arial" w:cs="Arial"/>
              </w:rPr>
              <w:noBreakHyphen/>
              <w:t>volume ward environment.</w:t>
            </w:r>
          </w:p>
        </w:tc>
      </w:tr>
      <w:tr w:rsidR="000762ED" w:rsidRPr="000762ED" w14:paraId="5F24FD12" w14:textId="77777777" w:rsidTr="000762ED">
        <w:tc>
          <w:tcPr>
            <w:tcW w:w="0" w:type="auto"/>
            <w:hideMark/>
          </w:tcPr>
          <w:p w14:paraId="1A669EE5" w14:textId="77777777" w:rsidR="000762ED" w:rsidRPr="000762ED" w:rsidRDefault="000762ED" w:rsidP="000762ED">
            <w:pPr>
              <w:spacing w:after="160" w:line="360" w:lineRule="auto"/>
              <w:rPr>
                <w:rFonts w:ascii="Arial" w:hAnsi="Arial" w:cs="Arial"/>
                <w:b/>
                <w:bCs/>
              </w:rPr>
            </w:pPr>
            <w:r w:rsidRPr="000762ED">
              <w:rPr>
                <w:rFonts w:ascii="Arial" w:hAnsi="Arial" w:cs="Arial"/>
                <w:b/>
                <w:bCs/>
              </w:rPr>
              <w:t>Distributed / Servant Leadership</w:t>
            </w:r>
          </w:p>
        </w:tc>
        <w:tc>
          <w:tcPr>
            <w:tcW w:w="0" w:type="auto"/>
            <w:hideMark/>
          </w:tcPr>
          <w:p w14:paraId="6DEA6E30" w14:textId="77777777" w:rsidR="000762ED" w:rsidRPr="000762ED" w:rsidRDefault="000762ED" w:rsidP="000762ED">
            <w:pPr>
              <w:spacing w:after="160" w:line="360" w:lineRule="auto"/>
              <w:rPr>
                <w:rFonts w:ascii="Arial" w:hAnsi="Arial" w:cs="Arial"/>
              </w:rPr>
            </w:pPr>
            <w:r w:rsidRPr="000762ED">
              <w:rPr>
                <w:rFonts w:ascii="Arial" w:hAnsi="Arial" w:cs="Arial"/>
              </w:rPr>
              <w:t>Completely absent; frontline staff disempowered from challenging prescribing delays or ownership.</w:t>
            </w:r>
          </w:p>
        </w:tc>
        <w:tc>
          <w:tcPr>
            <w:tcW w:w="0" w:type="auto"/>
            <w:hideMark/>
          </w:tcPr>
          <w:p w14:paraId="55920DB7" w14:textId="77777777" w:rsidR="000762ED" w:rsidRPr="000762ED" w:rsidRDefault="000762ED" w:rsidP="000762ED">
            <w:pPr>
              <w:spacing w:after="160" w:line="360" w:lineRule="auto"/>
              <w:rPr>
                <w:rFonts w:ascii="Arial" w:hAnsi="Arial" w:cs="Arial"/>
              </w:rPr>
            </w:pPr>
            <w:r w:rsidRPr="000762ED">
              <w:rPr>
                <w:rFonts w:ascii="Arial" w:hAnsi="Arial" w:cs="Arial"/>
              </w:rPr>
              <w:t xml:space="preserve">Staff lacked psychological safety to challenge </w:t>
            </w:r>
            <w:r w:rsidRPr="000762ED">
              <w:rPr>
                <w:rFonts w:ascii="Arial" w:hAnsi="Arial" w:cs="Arial"/>
              </w:rPr>
              <w:lastRenderedPageBreak/>
              <w:t>hierarchy or halt unsafe processes.</w:t>
            </w:r>
          </w:p>
        </w:tc>
      </w:tr>
    </w:tbl>
    <w:p w14:paraId="37B4B6AB" w14:textId="571BAAEC" w:rsidR="000762ED" w:rsidRPr="000762ED" w:rsidRDefault="000762ED" w:rsidP="000762ED">
      <w:pPr>
        <w:spacing w:line="360" w:lineRule="auto"/>
        <w:rPr>
          <w:rFonts w:ascii="Arial" w:hAnsi="Arial" w:cs="Arial"/>
        </w:rPr>
      </w:pPr>
    </w:p>
    <w:p w14:paraId="2AD0A1A1" w14:textId="77777777" w:rsidR="000762ED" w:rsidRPr="000762ED" w:rsidRDefault="000762ED" w:rsidP="000762ED">
      <w:pPr>
        <w:spacing w:line="360" w:lineRule="auto"/>
        <w:rPr>
          <w:rFonts w:ascii="Arial" w:hAnsi="Arial" w:cs="Arial"/>
          <w:b/>
          <w:bCs/>
        </w:rPr>
      </w:pPr>
      <w:r w:rsidRPr="000762ED">
        <w:rPr>
          <w:rFonts w:ascii="Arial" w:hAnsi="Arial" w:cs="Arial"/>
          <w:b/>
          <w:bCs/>
        </w:rPr>
        <w:t>1. Transactional Leadership and Management-by-Exception</w:t>
      </w:r>
    </w:p>
    <w:p w14:paraId="20D5595C" w14:textId="77777777" w:rsidR="000762ED" w:rsidRPr="000762ED" w:rsidRDefault="000762ED" w:rsidP="000762ED">
      <w:pPr>
        <w:spacing w:line="360" w:lineRule="auto"/>
        <w:rPr>
          <w:rFonts w:ascii="Arial" w:hAnsi="Arial" w:cs="Arial"/>
        </w:rPr>
      </w:pPr>
      <w:r w:rsidRPr="000762ED">
        <w:rPr>
          <w:rFonts w:ascii="Arial" w:hAnsi="Arial" w:cs="Arial"/>
        </w:rPr>
        <w:t xml:space="preserve">Transactional leadership operates on an exchange relationship between leaders and followers, utilizing contingent rewards, procedural monitoring, and corrective discipline (Bass and Avolio, 1994). At Patient X’s hospital, leadership operated in a passive-corrective transactional mode. Executive management focused on superficial administrative metrics (throughput and bed occupancy), intervening only </w:t>
      </w:r>
      <w:r w:rsidRPr="000762ED">
        <w:rPr>
          <w:rFonts w:ascii="Arial" w:hAnsi="Arial" w:cs="Arial"/>
          <w:i/>
          <w:iCs/>
        </w:rPr>
        <w:t>after</w:t>
      </w:r>
      <w:r w:rsidRPr="000762ED">
        <w:rPr>
          <w:rFonts w:ascii="Arial" w:hAnsi="Arial" w:cs="Arial"/>
        </w:rPr>
        <w:t xml:space="preserve"> a catastrophic stroke occurred by initiating formal disciplinary inquiries against individual junior prescribers (HSSIB, 2023).</w:t>
      </w:r>
    </w:p>
    <w:p w14:paraId="33D1D6EB" w14:textId="77777777" w:rsidR="000762ED" w:rsidRPr="000762ED" w:rsidRDefault="000762ED" w:rsidP="000762ED">
      <w:pPr>
        <w:numPr>
          <w:ilvl w:val="0"/>
          <w:numId w:val="6"/>
        </w:numPr>
        <w:spacing w:line="360" w:lineRule="auto"/>
        <w:rPr>
          <w:rFonts w:ascii="Arial" w:hAnsi="Arial" w:cs="Arial"/>
        </w:rPr>
      </w:pPr>
      <w:r w:rsidRPr="000762ED">
        <w:rPr>
          <w:rFonts w:ascii="Arial" w:hAnsi="Arial" w:cs="Arial"/>
          <w:b/>
          <w:bCs/>
        </w:rPr>
        <w:t>Critical Analysis &amp; Data Connection:</w:t>
      </w:r>
      <w:r w:rsidRPr="000762ED">
        <w:rPr>
          <w:rFonts w:ascii="Arial" w:hAnsi="Arial" w:cs="Arial"/>
        </w:rPr>
        <w:t xml:space="preserve"> Empirical research in patient safety demonstrates that transactional, blame-oriented leadership creates a toxic culture of fear, leading to underreporting of medication near-misses by up to 75% (Edmondson, 2019; WHO, 2022). When clinical staff fear punitive retribution, they conceal informal workarounds—such as skipping daily medication reconciliation—allowing latent hazards to accumulate until a fatal adverse event occurs (Reason, 2016).</w:t>
      </w:r>
    </w:p>
    <w:p w14:paraId="142ECD91" w14:textId="77777777" w:rsidR="000762ED" w:rsidRPr="000762ED" w:rsidRDefault="000762ED" w:rsidP="000762ED">
      <w:pPr>
        <w:spacing w:line="360" w:lineRule="auto"/>
        <w:rPr>
          <w:rFonts w:ascii="Arial" w:hAnsi="Arial" w:cs="Arial"/>
          <w:b/>
          <w:bCs/>
        </w:rPr>
      </w:pPr>
      <w:r w:rsidRPr="000762ED">
        <w:rPr>
          <w:rFonts w:ascii="Arial" w:hAnsi="Arial" w:cs="Arial"/>
          <w:b/>
          <w:bCs/>
        </w:rPr>
        <w:t>2. Transformational Leadership</w:t>
      </w:r>
    </w:p>
    <w:p w14:paraId="6290DF22" w14:textId="77777777" w:rsidR="000762ED" w:rsidRPr="000762ED" w:rsidRDefault="000762ED" w:rsidP="000762ED">
      <w:pPr>
        <w:spacing w:line="360" w:lineRule="auto"/>
        <w:rPr>
          <w:rFonts w:ascii="Arial" w:hAnsi="Arial" w:cs="Arial"/>
        </w:rPr>
      </w:pPr>
      <w:r w:rsidRPr="000762ED">
        <w:rPr>
          <w:rFonts w:ascii="Arial" w:hAnsi="Arial" w:cs="Arial"/>
        </w:rPr>
        <w:t>Transformational leadership inspires followers to transcend self-interest through four dimensions: Idealized Influence (modelling values), Inspirational Motivation (articulating a compelling vision), Intellectual Stimulation (encouraging critical problem-solving), and Individualized Consideration (coaching staff) (Bass and Avolio, 1994). Transformational leadership was conspicuously absent in the hospital’s governance.</w:t>
      </w:r>
    </w:p>
    <w:p w14:paraId="6ACD02AD" w14:textId="77777777" w:rsidR="000762ED" w:rsidRPr="000762ED" w:rsidRDefault="000762ED" w:rsidP="000762ED">
      <w:pPr>
        <w:numPr>
          <w:ilvl w:val="0"/>
          <w:numId w:val="7"/>
        </w:numPr>
        <w:spacing w:line="360" w:lineRule="auto"/>
        <w:rPr>
          <w:rFonts w:ascii="Arial" w:hAnsi="Arial" w:cs="Arial"/>
        </w:rPr>
      </w:pPr>
      <w:r w:rsidRPr="000762ED">
        <w:rPr>
          <w:rFonts w:ascii="Arial" w:hAnsi="Arial" w:cs="Arial"/>
          <w:b/>
          <w:bCs/>
        </w:rPr>
        <w:t>Critical Analysis &amp; Data Connection:</w:t>
      </w:r>
      <w:r w:rsidRPr="000762ED">
        <w:rPr>
          <w:rFonts w:ascii="Arial" w:hAnsi="Arial" w:cs="Arial"/>
        </w:rPr>
        <w:t xml:space="preserve"> A seminal meta-analysis by Wong et al. (2013) involving over 25,000 nursing and medical professionals established that transformational leadership in healthcare is directly correlated with a 30% reduction in inpatient adverse events, lower medication error rates, and significantly higher compliance with safety protocols. The lack of transformational leadership at Patient X’s hospital meant clinical teams lacked </w:t>
      </w:r>
      <w:r w:rsidRPr="000762ED">
        <w:rPr>
          <w:rFonts w:ascii="Arial" w:hAnsi="Arial" w:cs="Arial"/>
        </w:rPr>
        <w:lastRenderedPageBreak/>
        <w:t>a shared commitment to medication safety, viewing drug reconciliation as a secondary administrative burden rather than a core ethical duty (Berwick, 2020).</w:t>
      </w:r>
    </w:p>
    <w:p w14:paraId="55EC9331" w14:textId="77777777" w:rsidR="000762ED" w:rsidRPr="000762ED" w:rsidRDefault="000762ED" w:rsidP="000762ED">
      <w:pPr>
        <w:spacing w:line="360" w:lineRule="auto"/>
        <w:rPr>
          <w:rFonts w:ascii="Arial" w:hAnsi="Arial" w:cs="Arial"/>
          <w:b/>
          <w:bCs/>
        </w:rPr>
      </w:pPr>
      <w:r w:rsidRPr="000762ED">
        <w:rPr>
          <w:rFonts w:ascii="Arial" w:hAnsi="Arial" w:cs="Arial"/>
          <w:b/>
          <w:bCs/>
        </w:rPr>
        <w:t>3. Situational and Distributed/Servant Leadership</w:t>
      </w:r>
    </w:p>
    <w:p w14:paraId="6FD7B1D0" w14:textId="77777777" w:rsidR="000762ED" w:rsidRPr="000762ED" w:rsidRDefault="000762ED" w:rsidP="000762ED">
      <w:pPr>
        <w:spacing w:line="360" w:lineRule="auto"/>
        <w:rPr>
          <w:rFonts w:ascii="Arial" w:hAnsi="Arial" w:cs="Arial"/>
        </w:rPr>
      </w:pPr>
      <w:r w:rsidRPr="000762ED">
        <w:rPr>
          <w:rFonts w:ascii="Arial" w:hAnsi="Arial" w:cs="Arial"/>
        </w:rPr>
        <w:t>Situational leadership asserts that effective leaders adapt their style (directing, coaching, supporting, delegating) based on the competence and commitment of followers and task complexity (Hersey and Blanchard, 1988). Distributed leadership decentralizes authority across multidisciplinary networks, while servant leadership prioritizes empowering and serving frontline staff to deliver optimal outcomes (Bolden, 2011; Greenleaf, 1977).</w:t>
      </w:r>
    </w:p>
    <w:p w14:paraId="40CD71CC" w14:textId="77777777" w:rsidR="000762ED" w:rsidRPr="000762ED" w:rsidRDefault="000762ED" w:rsidP="000762ED">
      <w:pPr>
        <w:numPr>
          <w:ilvl w:val="0"/>
          <w:numId w:val="8"/>
        </w:numPr>
        <w:spacing w:line="360" w:lineRule="auto"/>
        <w:rPr>
          <w:rFonts w:ascii="Arial" w:hAnsi="Arial" w:cs="Arial"/>
        </w:rPr>
      </w:pPr>
      <w:r w:rsidRPr="000762ED">
        <w:rPr>
          <w:rFonts w:ascii="Arial" w:hAnsi="Arial" w:cs="Arial"/>
          <w:b/>
          <w:bCs/>
        </w:rPr>
        <w:t>Critical Analysis &amp; Data Connection:</w:t>
      </w:r>
      <w:r w:rsidRPr="000762ED">
        <w:rPr>
          <w:rFonts w:ascii="Arial" w:hAnsi="Arial" w:cs="Arial"/>
        </w:rPr>
        <w:t xml:space="preserve"> The chaotic, high-volume environment of acute medical wards demanded situational agility and distributed leadership. However, leadership remained rigidly authoritarian and command-driven. In high-risk clinical environments, authoritarian leadership enforces a steep "power distance index" (Hofstede, 2011). Empirical studies in hospital ward dynamics reveal that in teams with high power distance, junior doctors and ward nurses fail to challenge senior consultants or specialist teams regarding delayed procedures or paused medications in over 65% of observed cases, even when aware that a prolonged pause is clinically dangerous (Pian-Smith et al., 2009; Joint Commission, 2023).</w:t>
      </w:r>
    </w:p>
    <w:p w14:paraId="2493750E" w14:textId="77777777" w:rsidR="000762ED" w:rsidRPr="000762ED" w:rsidRDefault="000762ED" w:rsidP="000762ED">
      <w:pPr>
        <w:spacing w:line="360" w:lineRule="auto"/>
        <w:rPr>
          <w:rFonts w:ascii="Arial" w:hAnsi="Arial" w:cs="Arial"/>
          <w:b/>
          <w:bCs/>
        </w:rPr>
      </w:pPr>
      <w:r w:rsidRPr="000762ED">
        <w:rPr>
          <w:rFonts w:ascii="Arial" w:hAnsi="Arial" w:cs="Arial"/>
          <w:b/>
          <w:bCs/>
        </w:rPr>
        <w:t>Reactive vs. Proactive Leadership and Data-Driven Effectiveness</w:t>
      </w:r>
    </w:p>
    <w:p w14:paraId="47FE5AAD" w14:textId="77777777" w:rsidR="000762ED" w:rsidRPr="000762ED" w:rsidRDefault="000762ED" w:rsidP="000762ED">
      <w:pPr>
        <w:spacing w:line="360" w:lineRule="auto"/>
        <w:rPr>
          <w:rFonts w:ascii="Arial" w:hAnsi="Arial" w:cs="Arial"/>
        </w:rPr>
      </w:pPr>
      <w:r w:rsidRPr="000762ED">
        <w:rPr>
          <w:rFonts w:ascii="Arial" w:hAnsi="Arial" w:cs="Arial"/>
        </w:rPr>
        <w:t xml:space="preserve">The executive leadership at Patient X’s hospital was entirely </w:t>
      </w:r>
      <w:r w:rsidRPr="000762ED">
        <w:rPr>
          <w:rFonts w:ascii="Arial" w:hAnsi="Arial" w:cs="Arial"/>
          <w:b/>
          <w:bCs/>
        </w:rPr>
        <w:t>reactive and command-driven</w:t>
      </w:r>
      <w:r w:rsidRPr="000762ED">
        <w:rPr>
          <w:rFonts w:ascii="Arial" w:hAnsi="Arial" w:cs="Arial"/>
        </w:rPr>
        <w:t xml:space="preserve">, rather than </w:t>
      </w:r>
      <w:r w:rsidRPr="000762ED">
        <w:rPr>
          <w:rFonts w:ascii="Arial" w:hAnsi="Arial" w:cs="Arial"/>
          <w:b/>
          <w:bCs/>
        </w:rPr>
        <w:t>proactive and purpose-driven</w:t>
      </w:r>
      <w:r w:rsidRPr="000762ED">
        <w:rPr>
          <w:rFonts w:ascii="Arial" w:hAnsi="Arial" w:cs="Arial"/>
        </w:rPr>
        <w:t>. Reactive leaders manage by crisis, responding to public and regulatory outrage with individual scapegoating while ignoring underlying systemic vulnerabilities (Mannion and Davies, 2018). Proactive leaders utilize continuous risk assessment, clinical audits, and proactive safety walkarounds (such as IHI Executive Safety Rounds) to identify latent hazards before harm occurs (IHI, 2022).</w:t>
      </w:r>
    </w:p>
    <w:p w14:paraId="03E9685B" w14:textId="77777777" w:rsidR="000762ED" w:rsidRPr="000762ED" w:rsidRDefault="000762ED" w:rsidP="000762ED">
      <w:pPr>
        <w:spacing w:line="360" w:lineRule="auto"/>
        <w:rPr>
          <w:rFonts w:ascii="Arial" w:hAnsi="Arial" w:cs="Arial"/>
        </w:rPr>
      </w:pPr>
      <w:r w:rsidRPr="000762ED">
        <w:rPr>
          <w:rFonts w:ascii="Arial" w:hAnsi="Arial" w:cs="Arial"/>
        </w:rPr>
        <w:t>Had executive leadership implemented emotionally intelligent, distributed, and servant leadership styles, the operational culture would have shifted dramatically:</w:t>
      </w:r>
    </w:p>
    <w:p w14:paraId="2C5525CE" w14:textId="77777777" w:rsidR="000762ED" w:rsidRPr="000762ED" w:rsidRDefault="000762ED" w:rsidP="000762ED">
      <w:pPr>
        <w:numPr>
          <w:ilvl w:val="0"/>
          <w:numId w:val="9"/>
        </w:numPr>
        <w:spacing w:line="360" w:lineRule="auto"/>
        <w:rPr>
          <w:rFonts w:ascii="Arial" w:hAnsi="Arial" w:cs="Arial"/>
        </w:rPr>
      </w:pPr>
      <w:r w:rsidRPr="000762ED">
        <w:rPr>
          <w:rFonts w:ascii="Arial" w:hAnsi="Arial" w:cs="Arial"/>
          <w:b/>
          <w:bCs/>
        </w:rPr>
        <w:lastRenderedPageBreak/>
        <w:t>Psychological Safety:</w:t>
      </w:r>
      <w:r w:rsidRPr="000762ED">
        <w:rPr>
          <w:rFonts w:ascii="Arial" w:hAnsi="Arial" w:cs="Arial"/>
        </w:rPr>
        <w:t xml:space="preserve"> Junior doctors and ward nurses would be actively encouraged to voice prescribing concerns, challenge procedure delays, and demand daily DOAC reconciliation without fear of administrative censure (Edmondson, 2019).</w:t>
      </w:r>
    </w:p>
    <w:p w14:paraId="599812E5" w14:textId="77777777" w:rsidR="000762ED" w:rsidRPr="000762ED" w:rsidRDefault="000762ED" w:rsidP="000762ED">
      <w:pPr>
        <w:numPr>
          <w:ilvl w:val="0"/>
          <w:numId w:val="9"/>
        </w:numPr>
        <w:spacing w:line="360" w:lineRule="auto"/>
        <w:rPr>
          <w:rFonts w:ascii="Arial" w:hAnsi="Arial" w:cs="Arial"/>
        </w:rPr>
      </w:pPr>
      <w:r w:rsidRPr="000762ED">
        <w:rPr>
          <w:rFonts w:ascii="Arial" w:hAnsi="Arial" w:cs="Arial"/>
          <w:b/>
          <w:bCs/>
        </w:rPr>
        <w:t>Flat Hierarchies:</w:t>
      </w:r>
      <w:r w:rsidRPr="000762ED">
        <w:rPr>
          <w:rFonts w:ascii="Arial" w:hAnsi="Arial" w:cs="Arial"/>
        </w:rPr>
        <w:t xml:space="preserve"> Medical prescribers, ward nurses, pharmacists, and procedure specialists would operate as a collaborative safety net, executing medication handovers as equal-status team members (Haynes et al., 2009).</w:t>
      </w:r>
    </w:p>
    <w:p w14:paraId="3A19CAD6" w14:textId="77777777" w:rsidR="000762ED" w:rsidRPr="000762ED" w:rsidRDefault="000762ED" w:rsidP="000762ED">
      <w:pPr>
        <w:numPr>
          <w:ilvl w:val="0"/>
          <w:numId w:val="9"/>
        </w:numPr>
        <w:spacing w:line="360" w:lineRule="auto"/>
        <w:rPr>
          <w:rFonts w:ascii="Arial" w:hAnsi="Arial" w:cs="Arial"/>
        </w:rPr>
      </w:pPr>
      <w:r w:rsidRPr="000762ED">
        <w:rPr>
          <w:rFonts w:ascii="Arial" w:hAnsi="Arial" w:cs="Arial"/>
          <w:b/>
          <w:bCs/>
        </w:rPr>
        <w:t>Data-Driven Quality Improvement:</w:t>
      </w:r>
      <w:r w:rsidRPr="000762ED">
        <w:rPr>
          <w:rFonts w:ascii="Arial" w:hAnsi="Arial" w:cs="Arial"/>
        </w:rPr>
        <w:t xml:space="preserve"> Near-miss incident data would be </w:t>
      </w:r>
      <w:proofErr w:type="spellStart"/>
      <w:r w:rsidRPr="000762ED">
        <w:rPr>
          <w:rFonts w:ascii="Arial" w:hAnsi="Arial" w:cs="Arial"/>
        </w:rPr>
        <w:t>analyzed</w:t>
      </w:r>
      <w:proofErr w:type="spellEnd"/>
      <w:r w:rsidRPr="000762ED">
        <w:rPr>
          <w:rFonts w:ascii="Arial" w:hAnsi="Arial" w:cs="Arial"/>
        </w:rPr>
        <w:t xml:space="preserve"> transparently to secure funding for automated </w:t>
      </w:r>
      <w:proofErr w:type="spellStart"/>
      <w:r w:rsidRPr="000762ED">
        <w:rPr>
          <w:rFonts w:ascii="Arial" w:hAnsi="Arial" w:cs="Arial"/>
        </w:rPr>
        <w:t>ePMA</w:t>
      </w:r>
      <w:proofErr w:type="spellEnd"/>
      <w:r w:rsidRPr="000762ED">
        <w:rPr>
          <w:rFonts w:ascii="Arial" w:hAnsi="Arial" w:cs="Arial"/>
        </w:rPr>
        <w:t xml:space="preserve"> alert software and embedded ward-based clinical pharmacists (CQC, 2023; World Bank, 2023).</w:t>
      </w:r>
    </w:p>
    <w:p w14:paraId="0A873FF3" w14:textId="3AB5CC81" w:rsidR="000762ED" w:rsidRPr="000762ED" w:rsidRDefault="000762ED" w:rsidP="000762ED">
      <w:pPr>
        <w:spacing w:line="360" w:lineRule="auto"/>
        <w:rPr>
          <w:rFonts w:ascii="Arial" w:hAnsi="Arial" w:cs="Arial"/>
          <w:b/>
          <w:bCs/>
        </w:rPr>
      </w:pPr>
      <w:r w:rsidRPr="000762ED">
        <w:rPr>
          <w:rFonts w:ascii="Arial" w:hAnsi="Arial" w:cs="Arial"/>
          <w:b/>
          <w:bCs/>
        </w:rPr>
        <w:t xml:space="preserve">2d. Improvement, and Lessons Learned </w:t>
      </w:r>
    </w:p>
    <w:p w14:paraId="01ACF658" w14:textId="77777777" w:rsidR="000762ED" w:rsidRPr="000762ED" w:rsidRDefault="000762ED" w:rsidP="000762ED">
      <w:pPr>
        <w:spacing w:line="360" w:lineRule="auto"/>
        <w:rPr>
          <w:rFonts w:ascii="Arial" w:hAnsi="Arial" w:cs="Arial"/>
          <w:b/>
          <w:bCs/>
        </w:rPr>
      </w:pPr>
      <w:r w:rsidRPr="000762ED">
        <w:rPr>
          <w:rFonts w:ascii="Arial" w:hAnsi="Arial" w:cs="Arial"/>
          <w:b/>
          <w:bCs/>
        </w:rPr>
        <w:t>Interaction of Leadership and Governance in Producing Failure</w:t>
      </w:r>
    </w:p>
    <w:p w14:paraId="63732FC2" w14:textId="77777777" w:rsidR="000762ED" w:rsidRPr="000762ED" w:rsidRDefault="000762ED" w:rsidP="000762ED">
      <w:pPr>
        <w:spacing w:line="360" w:lineRule="auto"/>
        <w:rPr>
          <w:rFonts w:ascii="Arial" w:hAnsi="Arial" w:cs="Arial"/>
        </w:rPr>
      </w:pPr>
      <w:r w:rsidRPr="000762ED">
        <w:rPr>
          <w:rFonts w:ascii="Arial" w:hAnsi="Arial" w:cs="Arial"/>
        </w:rPr>
        <w:t>The fatal omission of anticoagulation in Patient X’s case represents the classic manifestation of clinical governance breakdown resulting from dysfunctional leadership interaction. Governance establishes the structural framework for accountability, clinical audit, and risk management, while leadership provides the human energy and cultural drive to execute that governance (West et al., 2020; Braithwaite et al., 2018).</w:t>
      </w:r>
    </w:p>
    <w:p w14:paraId="54FC229C" w14:textId="77777777" w:rsidR="000762ED" w:rsidRPr="000762ED" w:rsidRDefault="000762ED" w:rsidP="000762ED">
      <w:pPr>
        <w:spacing w:line="360" w:lineRule="auto"/>
        <w:rPr>
          <w:rFonts w:ascii="Arial" w:hAnsi="Arial" w:cs="Arial"/>
        </w:rPr>
      </w:pPr>
      <w:r w:rsidRPr="000762ED">
        <w:rPr>
          <w:rFonts w:ascii="Arial" w:hAnsi="Arial" w:cs="Arial"/>
        </w:rPr>
        <w:t>In this case, clinical governance existed only as a theoretical construct on paper. Executive leadership failed to establish operational mechanisms to audit high-alert drug pauses, monitor ward-transfer handovers, or enforce electronic prescribing safety alerts. This governance void created an environment where dangerous informal workarounds—such as unrecorded verbal drug pauses and unassigned cross-specialty prescribing ownership—became normalized operational practices (Vaughan, 1996; Reason, 2016).</w:t>
      </w:r>
    </w:p>
    <w:p w14:paraId="7E367A16" w14:textId="5E316AD5" w:rsidR="00090593" w:rsidRPr="00090593" w:rsidRDefault="00090593" w:rsidP="00090593">
      <w:pPr>
        <w:tabs>
          <w:tab w:val="left" w:pos="3048"/>
        </w:tabs>
        <w:spacing w:line="360" w:lineRule="auto"/>
        <w:rPr>
          <w:rFonts w:ascii="Arial" w:hAnsi="Arial" w:cs="Arial"/>
          <w:b/>
          <w:bCs/>
        </w:rPr>
      </w:pPr>
      <w:r w:rsidRPr="00090593">
        <w:rPr>
          <w:rFonts w:ascii="Arial" w:hAnsi="Arial" w:cs="Arial"/>
          <w:b/>
          <w:bCs/>
        </w:rPr>
        <w:t>FIGURE 2: Vertical Systemic Causal Loop Flow</w:t>
      </w:r>
      <w:r w:rsidRPr="00090593">
        <w:rPr>
          <w:rFonts w:ascii="Arial" w:hAnsi="Arial" w:cs="Arial"/>
          <w:b/>
          <w:bCs/>
        </w:rPr>
        <w:noBreakHyphen/>
        <w:t>Chart</w:t>
      </w:r>
    </w:p>
    <w:p w14:paraId="30C09FA9" w14:textId="2DCBCAF9"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(RESOURCE CONSTRAINTS &amp; HIGH WARD BED OCCUPANCY)</w:t>
      </w:r>
    </w:p>
    <w:p w14:paraId="68B9D781"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3C8D6A26" w14:textId="155E69E8"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(PROCEDURE DELAYS &amp; REPEATED SCHEDULING OVERRIDES)</w:t>
      </w:r>
    </w:p>
    <w:p w14:paraId="182DF811"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369269DC" w14:textId="59D9E316"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lastRenderedPageBreak/>
        <w:t>(COGNITIVE OVERLOAD &amp; TIME PRESSURE ON PRESCRIBERS)</w:t>
      </w:r>
    </w:p>
    <w:p w14:paraId="29F3F3EA"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0EE12D6E" w14:textId="16E9A22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(RELIANCE ON INFORMAL WORKAROUNDS (UNRECORDED DOAC PAUSES)</w:t>
      </w:r>
    </w:p>
    <w:p w14:paraId="6F988B22"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0EC94107" w14:textId="15ED886A"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(Reinforcing Feedback Loop)</w:t>
      </w:r>
    </w:p>
    <w:p w14:paraId="59D06CD4" w14:textId="0D7C4F5A"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(NORMALISATION OF DEVIANCE &amp; DIFFUSION OF RESPONSIBILITY)</w:t>
      </w:r>
    </w:p>
    <w:p w14:paraId="2BEBDF34"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12DE8DBC" w14:textId="26E2C6CB"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(ABSENCE OF </w:t>
      </w:r>
      <w:proofErr w:type="spellStart"/>
      <w:r w:rsidRPr="00090593">
        <w:rPr>
          <w:rFonts w:ascii="Arial" w:hAnsi="Arial" w:cs="Arial"/>
          <w:sz w:val="22"/>
          <w:szCs w:val="22"/>
        </w:rPr>
        <w:t>ePMA</w:t>
      </w:r>
      <w:proofErr w:type="spellEnd"/>
      <w:r w:rsidRPr="00090593">
        <w:rPr>
          <w:rFonts w:ascii="Arial" w:hAnsi="Arial" w:cs="Arial"/>
          <w:sz w:val="22"/>
          <w:szCs w:val="22"/>
        </w:rPr>
        <w:t xml:space="preserve"> RE</w:t>
      </w:r>
      <w:r w:rsidRPr="00090593">
        <w:rPr>
          <w:rFonts w:ascii="Cambria Math" w:hAnsi="Cambria Math" w:cs="Cambria Math"/>
          <w:sz w:val="22"/>
          <w:szCs w:val="22"/>
        </w:rPr>
        <w:t>‑</w:t>
      </w:r>
      <w:r w:rsidRPr="00090593">
        <w:rPr>
          <w:rFonts w:ascii="Arial" w:hAnsi="Arial" w:cs="Arial"/>
          <w:sz w:val="22"/>
          <w:szCs w:val="22"/>
        </w:rPr>
        <w:t>INITIATION ALERTS &amp; DAILY RECONCILIATION)</w:t>
      </w:r>
    </w:p>
    <w:p w14:paraId="7EF00F7A"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5A8EC5A3" w14:textId="118073C2"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(PROLONGED DOAC OMISSION &amp; FATAL ISCHAEMIC STROKE)</w:t>
      </w:r>
    </w:p>
    <w:p w14:paraId="3240E40B"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7E794E10" w14:textId="0CB37A70"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(REACTIVE LEADERSHIP RESPONSE: INDIVIDUAL SCAPEGOATING)</w:t>
      </w:r>
    </w:p>
    <w:p w14:paraId="0EB4B460"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45788464" w14:textId="53D50273"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(DECREASED PSYCHOLOGICAL SAFETY &amp; CONCEALMENT OF ERRORS)</w:t>
      </w:r>
    </w:p>
    <w:p w14:paraId="6E87CAC1" w14:textId="77777777"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w:t>
      </w:r>
    </w:p>
    <w:p w14:paraId="17C27CE4" w14:textId="1C547135" w:rsidR="00090593" w:rsidRPr="00090593" w:rsidRDefault="00090593" w:rsidP="00090593">
      <w:pPr>
        <w:spacing w:line="240" w:lineRule="auto"/>
        <w:rPr>
          <w:rFonts w:ascii="Arial" w:hAnsi="Arial" w:cs="Arial"/>
          <w:sz w:val="22"/>
          <w:szCs w:val="22"/>
        </w:rPr>
      </w:pPr>
      <w:r w:rsidRPr="00090593">
        <w:rPr>
          <w:rFonts w:ascii="Arial" w:hAnsi="Arial" w:cs="Arial"/>
          <w:sz w:val="22"/>
          <w:szCs w:val="22"/>
        </w:rPr>
        <w:t xml:space="preserve"> (Suppresses Systemic Learning)</w:t>
      </w:r>
    </w:p>
    <w:p w14:paraId="1B3DEA88" w14:textId="7F66FD60" w:rsidR="00090593" w:rsidRPr="00090593" w:rsidRDefault="00090593" w:rsidP="00090593">
      <w:pPr>
        <w:spacing w:line="360" w:lineRule="auto"/>
        <w:rPr>
          <w:rFonts w:ascii="Arial" w:hAnsi="Arial" w:cs="Arial"/>
        </w:rPr>
      </w:pPr>
      <w:r w:rsidRPr="00090593">
        <w:rPr>
          <w:rFonts w:ascii="Arial" w:hAnsi="Arial" w:cs="Arial"/>
        </w:rPr>
        <w:t xml:space="preserve">      </w:t>
      </w:r>
    </w:p>
    <w:p w14:paraId="67C89230" w14:textId="2B97D729" w:rsidR="000762ED" w:rsidRPr="000762ED" w:rsidRDefault="00090593" w:rsidP="00090593">
      <w:pPr>
        <w:spacing w:line="360" w:lineRule="auto"/>
        <w:rPr>
          <w:rFonts w:ascii="Arial" w:hAnsi="Arial" w:cs="Arial"/>
        </w:rPr>
      </w:pPr>
      <w:r w:rsidRPr="00090593">
        <w:rPr>
          <w:rFonts w:ascii="Arial" w:hAnsi="Arial" w:cs="Arial"/>
        </w:rPr>
        <w:t xml:space="preserve">       </w:t>
      </w:r>
      <w:r w:rsidR="000762ED" w:rsidRPr="000762ED">
        <w:rPr>
          <w:rFonts w:ascii="Arial" w:hAnsi="Arial" w:cs="Arial"/>
        </w:rPr>
        <w:br/>
      </w:r>
    </w:p>
    <w:p w14:paraId="149D1B46" w14:textId="77777777" w:rsidR="000762ED" w:rsidRPr="000762ED" w:rsidRDefault="000762ED" w:rsidP="000762ED">
      <w:pPr>
        <w:spacing w:line="360" w:lineRule="auto"/>
        <w:rPr>
          <w:rFonts w:ascii="Arial" w:hAnsi="Arial" w:cs="Arial"/>
          <w:b/>
          <w:bCs/>
        </w:rPr>
      </w:pPr>
      <w:r w:rsidRPr="000762ED">
        <w:rPr>
          <w:rFonts w:ascii="Arial" w:hAnsi="Arial" w:cs="Arial"/>
          <w:b/>
          <w:bCs/>
        </w:rPr>
        <w:t>Missed Opportunities and Evidence-Based Safety Interventions</w:t>
      </w:r>
    </w:p>
    <w:p w14:paraId="6A2C0C1E" w14:textId="77777777" w:rsidR="000762ED" w:rsidRPr="000762ED" w:rsidRDefault="000762ED" w:rsidP="000762ED">
      <w:pPr>
        <w:spacing w:line="360" w:lineRule="auto"/>
        <w:rPr>
          <w:rFonts w:ascii="Arial" w:hAnsi="Arial" w:cs="Arial"/>
        </w:rPr>
      </w:pPr>
      <w:r w:rsidRPr="000762ED">
        <w:rPr>
          <w:rFonts w:ascii="Arial" w:hAnsi="Arial" w:cs="Arial"/>
        </w:rPr>
        <w:t>Multiple defensive barriers failed sequentially, representing catastrophic missed opportunities across Patient X’s care trajectory:</w:t>
      </w:r>
    </w:p>
    <w:p w14:paraId="36D9C3E0" w14:textId="77777777" w:rsidR="000762ED" w:rsidRPr="000762ED" w:rsidRDefault="000762ED" w:rsidP="000762ED">
      <w:pPr>
        <w:numPr>
          <w:ilvl w:val="0"/>
          <w:numId w:val="10"/>
        </w:numPr>
        <w:spacing w:line="360" w:lineRule="auto"/>
        <w:rPr>
          <w:rFonts w:ascii="Arial" w:hAnsi="Arial" w:cs="Arial"/>
        </w:rPr>
      </w:pPr>
      <w:r w:rsidRPr="000762ED">
        <w:rPr>
          <w:rFonts w:ascii="Arial" w:hAnsi="Arial" w:cs="Arial"/>
          <w:b/>
          <w:bCs/>
        </w:rPr>
        <w:t>Missed Opportunity 1: Automated Electronic Prescribing Safety Net (Admission / Pause):</w:t>
      </w:r>
      <w:r w:rsidRPr="000762ED">
        <w:rPr>
          <w:rFonts w:ascii="Arial" w:hAnsi="Arial" w:cs="Arial"/>
        </w:rPr>
        <w:t xml:space="preserve"> Standardized clinical governance dictates that when a high-alert medication (such as a DOAC) is paused, the </w:t>
      </w:r>
      <w:proofErr w:type="spellStart"/>
      <w:r w:rsidRPr="000762ED">
        <w:rPr>
          <w:rFonts w:ascii="Arial" w:hAnsi="Arial" w:cs="Arial"/>
        </w:rPr>
        <w:t>ePMA</w:t>
      </w:r>
      <w:proofErr w:type="spellEnd"/>
      <w:r w:rsidRPr="000762ED">
        <w:rPr>
          <w:rFonts w:ascii="Arial" w:hAnsi="Arial" w:cs="Arial"/>
        </w:rPr>
        <w:t xml:space="preserve"> system must mandate an explicit "pause duration" and automatically generate a daily hard-stop review prompt for the medical team (ISMP, 2021; HSSIB, 2023).</w:t>
      </w:r>
    </w:p>
    <w:p w14:paraId="5B3C2E35" w14:textId="77777777" w:rsidR="000762ED" w:rsidRPr="000762ED" w:rsidRDefault="000762ED" w:rsidP="000762ED">
      <w:pPr>
        <w:numPr>
          <w:ilvl w:val="0"/>
          <w:numId w:val="10"/>
        </w:numPr>
        <w:spacing w:line="360" w:lineRule="auto"/>
        <w:rPr>
          <w:rFonts w:ascii="Arial" w:hAnsi="Arial" w:cs="Arial"/>
        </w:rPr>
      </w:pPr>
      <w:r w:rsidRPr="000762ED">
        <w:rPr>
          <w:rFonts w:ascii="Arial" w:hAnsi="Arial" w:cs="Arial"/>
          <w:b/>
          <w:bCs/>
        </w:rPr>
        <w:t>Missed Opportunity 2: Daily Multidisciplinary Pharmacy Reconciliation (Inpatient Stay):</w:t>
      </w:r>
      <w:r w:rsidRPr="000762ED">
        <w:rPr>
          <w:rFonts w:ascii="Arial" w:hAnsi="Arial" w:cs="Arial"/>
        </w:rPr>
        <w:t xml:space="preserve"> Ward-based clinical pharmacists conducting daily medication reconciliation would have identified the 10-day Apixaban pause on day 2 or 3, triggering an immediate clinical review of thromboembolic risk versus bleeding risk (NICE, 2022).</w:t>
      </w:r>
    </w:p>
    <w:p w14:paraId="2EC58C2F" w14:textId="77777777" w:rsidR="000762ED" w:rsidRPr="000762ED" w:rsidRDefault="000762ED" w:rsidP="000762ED">
      <w:pPr>
        <w:numPr>
          <w:ilvl w:val="0"/>
          <w:numId w:val="10"/>
        </w:numPr>
        <w:spacing w:line="360" w:lineRule="auto"/>
        <w:rPr>
          <w:rFonts w:ascii="Arial" w:hAnsi="Arial" w:cs="Arial"/>
        </w:rPr>
      </w:pPr>
      <w:r w:rsidRPr="000762ED">
        <w:rPr>
          <w:rFonts w:ascii="Arial" w:hAnsi="Arial" w:cs="Arial"/>
          <w:b/>
          <w:bCs/>
        </w:rPr>
        <w:lastRenderedPageBreak/>
        <w:t>Missed Opportunity 3: Post-Procedure Re-initiation Checklist (Discharge / Transfer):</w:t>
      </w:r>
      <w:r w:rsidRPr="000762ED">
        <w:rPr>
          <w:rFonts w:ascii="Arial" w:hAnsi="Arial" w:cs="Arial"/>
        </w:rPr>
        <w:t xml:space="preserve"> Immediately following the completion of the procedure, a formal "Sign-Out" checklist comparing pre-admission medications with current ward prescriptions would have caught the un-restarted Apixaban prior to discharge (NHS England, 2022; WHO, 2022). Executing a simple 2-minute discharge medication audit would have definitively prevented this fatal outcome.</w:t>
      </w:r>
    </w:p>
    <w:p w14:paraId="6B9FB43F" w14:textId="77777777" w:rsidR="000762ED" w:rsidRPr="000762ED" w:rsidRDefault="000762ED" w:rsidP="000762ED">
      <w:pPr>
        <w:spacing w:line="360" w:lineRule="auto"/>
        <w:rPr>
          <w:rFonts w:ascii="Arial" w:hAnsi="Arial" w:cs="Arial"/>
          <w:b/>
          <w:bCs/>
        </w:rPr>
      </w:pPr>
      <w:r w:rsidRPr="000762ED">
        <w:rPr>
          <w:rFonts w:ascii="Arial" w:hAnsi="Arial" w:cs="Arial"/>
          <w:b/>
          <w:bCs/>
        </w:rPr>
        <w:t>Synthesis of System Structure, Leadership Style, and System Feedback</w:t>
      </w:r>
    </w:p>
    <w:p w14:paraId="68D2D889" w14:textId="77777777" w:rsidR="000762ED" w:rsidRPr="000762ED" w:rsidRDefault="000762ED" w:rsidP="000762ED">
      <w:pPr>
        <w:spacing w:line="360" w:lineRule="auto"/>
        <w:rPr>
          <w:rFonts w:ascii="Arial" w:hAnsi="Arial" w:cs="Arial"/>
        </w:rPr>
      </w:pPr>
      <w:r w:rsidRPr="000762ED">
        <w:rPr>
          <w:rFonts w:ascii="Arial" w:hAnsi="Arial" w:cs="Arial"/>
        </w:rPr>
        <w:t>The interaction between system structure, leadership style, and system feedback loops created a self-reinforcing engine of organizational failure (Figure 2):</w:t>
      </w:r>
    </w:p>
    <w:p w14:paraId="7BC9DF26" w14:textId="77777777" w:rsidR="000762ED" w:rsidRPr="000762ED" w:rsidRDefault="000762ED" w:rsidP="000762ED">
      <w:pPr>
        <w:numPr>
          <w:ilvl w:val="0"/>
          <w:numId w:val="11"/>
        </w:numPr>
        <w:spacing w:line="360" w:lineRule="auto"/>
        <w:rPr>
          <w:rFonts w:ascii="Arial" w:hAnsi="Arial" w:cs="Arial"/>
        </w:rPr>
      </w:pPr>
      <w:r w:rsidRPr="000762ED">
        <w:rPr>
          <w:rFonts w:ascii="Arial" w:hAnsi="Arial" w:cs="Arial"/>
          <w:b/>
          <w:bCs/>
        </w:rPr>
        <w:t>System Structure:</w:t>
      </w:r>
      <w:r w:rsidRPr="000762ED">
        <w:rPr>
          <w:rFonts w:ascii="Arial" w:hAnsi="Arial" w:cs="Arial"/>
        </w:rPr>
        <w:t xml:space="preserve"> Rigid centralisation restricted local funding for electronic prescribing safety tools while generating excessive administrative paperwork demands that distracted clinical staff from core medication checks (Peckham et al., 2018).</w:t>
      </w:r>
    </w:p>
    <w:p w14:paraId="0A82BDC7" w14:textId="77777777" w:rsidR="000762ED" w:rsidRPr="000762ED" w:rsidRDefault="000762ED" w:rsidP="000762ED">
      <w:pPr>
        <w:numPr>
          <w:ilvl w:val="0"/>
          <w:numId w:val="11"/>
        </w:numPr>
        <w:spacing w:line="360" w:lineRule="auto"/>
        <w:rPr>
          <w:rFonts w:ascii="Arial" w:hAnsi="Arial" w:cs="Arial"/>
        </w:rPr>
      </w:pPr>
      <w:r w:rsidRPr="000762ED">
        <w:rPr>
          <w:rFonts w:ascii="Arial" w:hAnsi="Arial" w:cs="Arial"/>
          <w:b/>
          <w:bCs/>
        </w:rPr>
        <w:t>Leadership Style:</w:t>
      </w:r>
      <w:r w:rsidRPr="000762ED">
        <w:rPr>
          <w:rFonts w:ascii="Arial" w:hAnsi="Arial" w:cs="Arial"/>
        </w:rPr>
        <w:t xml:space="preserve"> Reactive, command-driven transactional leadership fostered pervasive fear, destroying psychological safety and discouraging frontline staff from escalating procedure delays or prescribing ambiguities (Edmondson, 2019; Bass and Avolio, 1994).</w:t>
      </w:r>
    </w:p>
    <w:p w14:paraId="54B73044" w14:textId="77777777" w:rsidR="000762ED" w:rsidRPr="000762ED" w:rsidRDefault="000762ED" w:rsidP="000762ED">
      <w:pPr>
        <w:numPr>
          <w:ilvl w:val="0"/>
          <w:numId w:val="11"/>
        </w:numPr>
        <w:spacing w:line="360" w:lineRule="auto"/>
        <w:rPr>
          <w:rFonts w:ascii="Arial" w:hAnsi="Arial" w:cs="Arial"/>
        </w:rPr>
      </w:pPr>
      <w:r w:rsidRPr="000762ED">
        <w:rPr>
          <w:rFonts w:ascii="Arial" w:hAnsi="Arial" w:cs="Arial"/>
          <w:b/>
          <w:bCs/>
        </w:rPr>
        <w:t>System Feedback:</w:t>
      </w:r>
      <w:r w:rsidRPr="000762ED">
        <w:rPr>
          <w:rFonts w:ascii="Arial" w:hAnsi="Arial" w:cs="Arial"/>
        </w:rPr>
        <w:t xml:space="preserve"> Because daily medication near-misses were suppressed, executive leadership received false positive feedback that inpatient prescribing was operating safely. This "normalization of deviance" (Vaughan, 1996) persisted until the alignment of latent flaws produced a fatal stroke.</w:t>
      </w:r>
    </w:p>
    <w:p w14:paraId="12C38AA8" w14:textId="77777777" w:rsidR="000762ED" w:rsidRPr="000762ED" w:rsidRDefault="000762ED" w:rsidP="000762ED">
      <w:pPr>
        <w:spacing w:line="360" w:lineRule="auto"/>
        <w:rPr>
          <w:rFonts w:ascii="Arial" w:hAnsi="Arial" w:cs="Arial"/>
          <w:b/>
          <w:bCs/>
        </w:rPr>
      </w:pPr>
      <w:r w:rsidRPr="000762ED">
        <w:rPr>
          <w:rFonts w:ascii="Arial" w:hAnsi="Arial" w:cs="Arial"/>
          <w:b/>
          <w:bCs/>
        </w:rPr>
        <w:t>Generalisable Lessons for Healthcare Organisations Globally</w:t>
      </w:r>
    </w:p>
    <w:p w14:paraId="72AAFC5C" w14:textId="77777777" w:rsidR="000762ED" w:rsidRPr="000762ED" w:rsidRDefault="000762ED" w:rsidP="000762ED">
      <w:pPr>
        <w:spacing w:line="360" w:lineRule="auto"/>
        <w:rPr>
          <w:rFonts w:ascii="Arial" w:hAnsi="Arial" w:cs="Arial"/>
        </w:rPr>
      </w:pPr>
      <w:r w:rsidRPr="000762ED">
        <w:rPr>
          <w:rFonts w:ascii="Arial" w:hAnsi="Arial" w:cs="Arial"/>
        </w:rPr>
        <w:t>Healthcare organizations worldwide must extract four fundamental structural and leadership lessons from the Patient X failure:</w:t>
      </w:r>
    </w:p>
    <w:p w14:paraId="24A05181" w14:textId="77777777" w:rsidR="000762ED" w:rsidRPr="000762ED" w:rsidRDefault="000762ED" w:rsidP="000762ED">
      <w:pPr>
        <w:numPr>
          <w:ilvl w:val="0"/>
          <w:numId w:val="12"/>
        </w:numPr>
        <w:spacing w:line="360" w:lineRule="auto"/>
        <w:rPr>
          <w:rFonts w:ascii="Arial" w:hAnsi="Arial" w:cs="Arial"/>
        </w:rPr>
      </w:pPr>
      <w:r w:rsidRPr="000762ED">
        <w:rPr>
          <w:rFonts w:ascii="Arial" w:hAnsi="Arial" w:cs="Arial"/>
          <w:b/>
          <w:bCs/>
        </w:rPr>
        <w:t>High-Alert Drug Omissions are System Failures, Not Individual Sins:</w:t>
      </w:r>
      <w:r w:rsidRPr="000762ED">
        <w:rPr>
          <w:rFonts w:ascii="Arial" w:hAnsi="Arial" w:cs="Arial"/>
        </w:rPr>
        <w:t xml:space="preserve"> Punishment of individual prescribers without addressing underlying system flaws (</w:t>
      </w:r>
      <w:proofErr w:type="spellStart"/>
      <w:r w:rsidRPr="000762ED">
        <w:rPr>
          <w:rFonts w:ascii="Arial" w:hAnsi="Arial" w:cs="Arial"/>
        </w:rPr>
        <w:t>ePMA</w:t>
      </w:r>
      <w:proofErr w:type="spellEnd"/>
      <w:r w:rsidRPr="000762ED">
        <w:rPr>
          <w:rFonts w:ascii="Arial" w:hAnsi="Arial" w:cs="Arial"/>
        </w:rPr>
        <w:t xml:space="preserve"> alerts, pharmacy staffing, handover tools) guarantees that the same drug omission error will recur with a different clinician (Reason, 2000; Vincent, 2010).</w:t>
      </w:r>
    </w:p>
    <w:p w14:paraId="356393E9" w14:textId="77777777" w:rsidR="000762ED" w:rsidRPr="000762ED" w:rsidRDefault="000762ED" w:rsidP="000762ED">
      <w:pPr>
        <w:numPr>
          <w:ilvl w:val="0"/>
          <w:numId w:val="12"/>
        </w:numPr>
        <w:spacing w:line="360" w:lineRule="auto"/>
        <w:rPr>
          <w:rFonts w:ascii="Arial" w:hAnsi="Arial" w:cs="Arial"/>
        </w:rPr>
      </w:pPr>
      <w:r w:rsidRPr="000762ED">
        <w:rPr>
          <w:rFonts w:ascii="Arial" w:hAnsi="Arial" w:cs="Arial"/>
          <w:b/>
          <w:bCs/>
        </w:rPr>
        <w:lastRenderedPageBreak/>
        <w:t>Mandatory Standardisation of Medication Reconciliation Protocols:</w:t>
      </w:r>
      <w:r w:rsidRPr="000762ED">
        <w:rPr>
          <w:rFonts w:ascii="Arial" w:hAnsi="Arial" w:cs="Arial"/>
        </w:rPr>
        <w:t xml:space="preserve"> Daily multidisciplinary medication reconciliation and automated electronic pause/restart alerts must be enforced as non-negotiable legal and professional standards (ISMP, 2021; Berwick, 2020).</w:t>
      </w:r>
    </w:p>
    <w:p w14:paraId="482E2783" w14:textId="77777777" w:rsidR="000762ED" w:rsidRPr="000762ED" w:rsidRDefault="000762ED" w:rsidP="000762ED">
      <w:pPr>
        <w:numPr>
          <w:ilvl w:val="0"/>
          <w:numId w:val="12"/>
        </w:numPr>
        <w:spacing w:line="360" w:lineRule="auto"/>
        <w:rPr>
          <w:rFonts w:ascii="Arial" w:hAnsi="Arial" w:cs="Arial"/>
        </w:rPr>
      </w:pPr>
      <w:r w:rsidRPr="000762ED">
        <w:rPr>
          <w:rFonts w:ascii="Arial" w:hAnsi="Arial" w:cs="Arial"/>
          <w:b/>
          <w:bCs/>
        </w:rPr>
        <w:t>Cultivation of Just Culture and Psychological Safety:</w:t>
      </w:r>
      <w:r w:rsidRPr="000762ED">
        <w:rPr>
          <w:rFonts w:ascii="Arial" w:hAnsi="Arial" w:cs="Arial"/>
        </w:rPr>
        <w:t xml:space="preserve"> Leadership must actively build a "Just Culture" (Reason, 1997; NHS England, 2021)—distinguishing between blameless human error/system flaws and deliberate reckless misconduct—thereby empowering staff to challenge prescribing delays freely.</w:t>
      </w:r>
    </w:p>
    <w:p w14:paraId="2DAEAC93" w14:textId="77777777" w:rsidR="000762ED" w:rsidRPr="000762ED" w:rsidRDefault="000762ED" w:rsidP="000762ED">
      <w:pPr>
        <w:numPr>
          <w:ilvl w:val="0"/>
          <w:numId w:val="12"/>
        </w:numPr>
        <w:spacing w:line="360" w:lineRule="auto"/>
        <w:rPr>
          <w:rFonts w:ascii="Arial" w:hAnsi="Arial" w:cs="Arial"/>
        </w:rPr>
      </w:pPr>
      <w:r w:rsidRPr="000762ED">
        <w:rPr>
          <w:rFonts w:ascii="Arial" w:hAnsi="Arial" w:cs="Arial"/>
          <w:b/>
          <w:bCs/>
        </w:rPr>
        <w:t>Data-Driven Continuous Improvement and Co-Production:</w:t>
      </w:r>
      <w:r w:rsidRPr="000762ED">
        <w:rPr>
          <w:rFonts w:ascii="Arial" w:hAnsi="Arial" w:cs="Arial"/>
        </w:rPr>
        <w:t xml:space="preserve"> Healthcare systems must utilize real-time prescribing audit data, incident reporting metrics, and patient/family feedback to drive continuous operational improvements (Braithwaite et al., 2018; CQC, 2023).</w:t>
      </w:r>
    </w:p>
    <w:p w14:paraId="211F5108" w14:textId="1EA8EEBC" w:rsidR="000762ED" w:rsidRPr="000762ED" w:rsidRDefault="000762ED" w:rsidP="000762ED">
      <w:pPr>
        <w:spacing w:line="360" w:lineRule="auto"/>
        <w:rPr>
          <w:rFonts w:ascii="Arial" w:hAnsi="Arial" w:cs="Arial"/>
          <w:b/>
          <w:bCs/>
        </w:rPr>
      </w:pPr>
      <w:r w:rsidRPr="000762ED">
        <w:rPr>
          <w:rFonts w:ascii="Arial" w:hAnsi="Arial" w:cs="Arial"/>
          <w:b/>
          <w:bCs/>
        </w:rPr>
        <w:t xml:space="preserve">SECTION 3: RECOMMENDATIONS </w:t>
      </w:r>
    </w:p>
    <w:p w14:paraId="49745A46" w14:textId="77777777" w:rsidR="000762ED" w:rsidRPr="000762ED" w:rsidRDefault="000762ED" w:rsidP="000762ED">
      <w:pPr>
        <w:spacing w:line="360" w:lineRule="auto"/>
        <w:rPr>
          <w:rFonts w:ascii="Arial" w:hAnsi="Arial" w:cs="Arial"/>
        </w:rPr>
      </w:pPr>
      <w:r w:rsidRPr="000762ED">
        <w:rPr>
          <w:rFonts w:ascii="Arial" w:hAnsi="Arial" w:cs="Arial"/>
        </w:rPr>
        <w:t>To transform the hospital from a vulnerable, highly centralized institution into a High Reliability Organization (HRO), executive leadership and health authority policymakers must implement a comprehensive, evidence-based reform roadmap spanning governance, leadership, technology, and culture.</w:t>
      </w:r>
    </w:p>
    <w:tbl>
      <w:tblPr>
        <w:tblStyle w:val="PlainTable1"/>
        <w:tblW w:w="0" w:type="auto"/>
        <w:tblLook w:val="04A0" w:firstRow="1" w:lastRow="0" w:firstColumn="1" w:lastColumn="0" w:noHBand="0" w:noVBand="1"/>
      </w:tblPr>
      <w:tblGrid>
        <w:gridCol w:w="2726"/>
        <w:gridCol w:w="4012"/>
        <w:gridCol w:w="2278"/>
      </w:tblGrid>
      <w:tr w:rsidR="00090593" w:rsidRPr="00090593" w14:paraId="1A004545" w14:textId="77777777" w:rsidTr="000905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F8FBB" w14:textId="77777777" w:rsidR="00090593" w:rsidRPr="00090593" w:rsidRDefault="00090593" w:rsidP="00090593">
            <w:pPr>
              <w:spacing w:after="160" w:line="360" w:lineRule="auto"/>
              <w:rPr>
                <w:rFonts w:ascii="Arial" w:hAnsi="Arial" w:cs="Arial"/>
              </w:rPr>
            </w:pPr>
            <w:r w:rsidRPr="00090593">
              <w:rPr>
                <w:rFonts w:ascii="Arial" w:hAnsi="Arial" w:cs="Arial"/>
              </w:rPr>
              <w:t>Recommendation Domain</w:t>
            </w:r>
          </w:p>
        </w:tc>
        <w:tc>
          <w:tcPr>
            <w:tcW w:w="0" w:type="auto"/>
            <w:hideMark/>
          </w:tcPr>
          <w:p w14:paraId="6769AA62" w14:textId="77777777" w:rsidR="00090593" w:rsidRPr="00090593" w:rsidRDefault="00090593" w:rsidP="0009059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90593">
              <w:rPr>
                <w:rFonts w:ascii="Arial" w:hAnsi="Arial" w:cs="Arial"/>
              </w:rPr>
              <w:t>Specific Actionable Intervention</w:t>
            </w:r>
          </w:p>
        </w:tc>
        <w:tc>
          <w:tcPr>
            <w:tcW w:w="0" w:type="auto"/>
            <w:hideMark/>
          </w:tcPr>
          <w:p w14:paraId="5BBA6D4F" w14:textId="77777777" w:rsidR="00090593" w:rsidRPr="00090593" w:rsidRDefault="00090593" w:rsidP="0009059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90593">
              <w:rPr>
                <w:rFonts w:ascii="Arial" w:hAnsi="Arial" w:cs="Arial"/>
              </w:rPr>
              <w:t>Implementation Timeline</w:t>
            </w:r>
          </w:p>
        </w:tc>
      </w:tr>
      <w:tr w:rsidR="00090593" w:rsidRPr="00090593" w14:paraId="6496EA67" w14:textId="77777777" w:rsidTr="00090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E2C2E" w14:textId="77777777" w:rsidR="00090593" w:rsidRPr="00090593" w:rsidRDefault="00090593" w:rsidP="00090593">
            <w:pPr>
              <w:spacing w:after="160" w:line="360" w:lineRule="auto"/>
              <w:rPr>
                <w:rFonts w:ascii="Arial" w:hAnsi="Arial" w:cs="Arial"/>
              </w:rPr>
            </w:pPr>
            <w:r w:rsidRPr="00090593">
              <w:rPr>
                <w:rFonts w:ascii="Arial" w:hAnsi="Arial" w:cs="Arial"/>
              </w:rPr>
              <w:t>1. Clinical Governance &amp; Technology</w:t>
            </w:r>
          </w:p>
        </w:tc>
        <w:tc>
          <w:tcPr>
            <w:tcW w:w="0" w:type="auto"/>
            <w:hideMark/>
          </w:tcPr>
          <w:p w14:paraId="78A19874"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t xml:space="preserve">Deploy </w:t>
            </w:r>
            <w:proofErr w:type="spellStart"/>
            <w:r w:rsidRPr="00090593">
              <w:rPr>
                <w:rFonts w:ascii="Arial" w:hAnsi="Arial" w:cs="Arial"/>
                <w:b/>
                <w:bCs/>
              </w:rPr>
              <w:t>ePMA</w:t>
            </w:r>
            <w:proofErr w:type="spellEnd"/>
            <w:r w:rsidRPr="00090593">
              <w:rPr>
                <w:rFonts w:ascii="Arial" w:hAnsi="Arial" w:cs="Arial"/>
                <w:b/>
                <w:bCs/>
              </w:rPr>
              <w:t xml:space="preserve"> hard</w:t>
            </w:r>
            <w:r w:rsidRPr="00090593">
              <w:rPr>
                <w:rFonts w:ascii="Arial" w:hAnsi="Arial" w:cs="Arial"/>
                <w:b/>
                <w:bCs/>
              </w:rPr>
              <w:noBreakHyphen/>
              <w:t>stop alerts for DOAC pauses and mandate daily electronic review prompts.</w:t>
            </w:r>
          </w:p>
        </w:tc>
        <w:tc>
          <w:tcPr>
            <w:tcW w:w="0" w:type="auto"/>
            <w:hideMark/>
          </w:tcPr>
          <w:p w14:paraId="6A629FBC"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t>Immediate (0–3 Months)</w:t>
            </w:r>
          </w:p>
        </w:tc>
      </w:tr>
      <w:tr w:rsidR="00090593" w:rsidRPr="00090593" w14:paraId="6731211B" w14:textId="77777777" w:rsidTr="00090593">
        <w:tc>
          <w:tcPr>
            <w:cnfStyle w:val="001000000000" w:firstRow="0" w:lastRow="0" w:firstColumn="1" w:lastColumn="0" w:oddVBand="0" w:evenVBand="0" w:oddHBand="0" w:evenHBand="0" w:firstRowFirstColumn="0" w:firstRowLastColumn="0" w:lastRowFirstColumn="0" w:lastRowLastColumn="0"/>
            <w:tcW w:w="0" w:type="auto"/>
            <w:hideMark/>
          </w:tcPr>
          <w:p w14:paraId="0CAB5BF8" w14:textId="77777777" w:rsidR="00090593" w:rsidRPr="00090593" w:rsidRDefault="00090593" w:rsidP="00090593">
            <w:pPr>
              <w:spacing w:after="160" w:line="360" w:lineRule="auto"/>
              <w:rPr>
                <w:rFonts w:ascii="Arial" w:hAnsi="Arial" w:cs="Arial"/>
              </w:rPr>
            </w:pPr>
            <w:r w:rsidRPr="00090593">
              <w:rPr>
                <w:rFonts w:ascii="Arial" w:hAnsi="Arial" w:cs="Arial"/>
              </w:rPr>
              <w:t>2. Medication Safety Protocols</w:t>
            </w:r>
          </w:p>
        </w:tc>
        <w:tc>
          <w:tcPr>
            <w:tcW w:w="0" w:type="auto"/>
            <w:hideMark/>
          </w:tcPr>
          <w:p w14:paraId="24F3F7D0" w14:textId="77777777" w:rsidR="00090593" w:rsidRPr="00090593" w:rsidRDefault="00090593" w:rsidP="0009059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90593">
              <w:rPr>
                <w:rFonts w:ascii="Arial" w:hAnsi="Arial" w:cs="Arial"/>
                <w:b/>
                <w:bCs/>
              </w:rPr>
              <w:t>Enforce mandatory ward</w:t>
            </w:r>
            <w:r w:rsidRPr="00090593">
              <w:rPr>
                <w:rFonts w:ascii="Arial" w:hAnsi="Arial" w:cs="Arial"/>
                <w:b/>
                <w:bCs/>
              </w:rPr>
              <w:noBreakHyphen/>
              <w:t>based clinical pharmacy daily reconciliation and post</w:t>
            </w:r>
            <w:r w:rsidRPr="00090593">
              <w:rPr>
                <w:rFonts w:ascii="Arial" w:hAnsi="Arial" w:cs="Arial"/>
                <w:b/>
                <w:bCs/>
              </w:rPr>
              <w:noBreakHyphen/>
              <w:t>procedure audits.</w:t>
            </w:r>
          </w:p>
        </w:tc>
        <w:tc>
          <w:tcPr>
            <w:tcW w:w="0" w:type="auto"/>
            <w:hideMark/>
          </w:tcPr>
          <w:p w14:paraId="3E769B50" w14:textId="77777777" w:rsidR="00090593" w:rsidRPr="00090593" w:rsidRDefault="00090593" w:rsidP="0009059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90593">
              <w:rPr>
                <w:rFonts w:ascii="Arial" w:hAnsi="Arial" w:cs="Arial"/>
                <w:b/>
                <w:bCs/>
              </w:rPr>
              <w:t>Immediate (0–3 Months)</w:t>
            </w:r>
          </w:p>
        </w:tc>
      </w:tr>
      <w:tr w:rsidR="00090593" w:rsidRPr="00090593" w14:paraId="55DE59AC" w14:textId="77777777" w:rsidTr="00090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FE8DD" w14:textId="77777777" w:rsidR="00090593" w:rsidRPr="00090593" w:rsidRDefault="00090593" w:rsidP="00090593">
            <w:pPr>
              <w:spacing w:after="160" w:line="360" w:lineRule="auto"/>
              <w:rPr>
                <w:rFonts w:ascii="Arial" w:hAnsi="Arial" w:cs="Arial"/>
              </w:rPr>
            </w:pPr>
            <w:r w:rsidRPr="00090593">
              <w:rPr>
                <w:rFonts w:ascii="Arial" w:hAnsi="Arial" w:cs="Arial"/>
              </w:rPr>
              <w:t>3. Leadership Style Transformation</w:t>
            </w:r>
          </w:p>
        </w:tc>
        <w:tc>
          <w:tcPr>
            <w:tcW w:w="0" w:type="auto"/>
            <w:hideMark/>
          </w:tcPr>
          <w:p w14:paraId="5D25613E"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t xml:space="preserve">Transition from transactional to transformational and servant </w:t>
            </w:r>
            <w:r w:rsidRPr="00090593">
              <w:rPr>
                <w:rFonts w:ascii="Arial" w:hAnsi="Arial" w:cs="Arial"/>
                <w:b/>
                <w:bCs/>
              </w:rPr>
              <w:lastRenderedPageBreak/>
              <w:t>leadership through executive coaching.</w:t>
            </w:r>
          </w:p>
        </w:tc>
        <w:tc>
          <w:tcPr>
            <w:tcW w:w="0" w:type="auto"/>
            <w:hideMark/>
          </w:tcPr>
          <w:p w14:paraId="7E106422"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lastRenderedPageBreak/>
              <w:t>Medium</w:t>
            </w:r>
            <w:r w:rsidRPr="00090593">
              <w:rPr>
                <w:rFonts w:ascii="Arial" w:hAnsi="Arial" w:cs="Arial"/>
                <w:b/>
                <w:bCs/>
              </w:rPr>
              <w:noBreakHyphen/>
              <w:t>Term (3–12 Months)</w:t>
            </w:r>
          </w:p>
        </w:tc>
      </w:tr>
      <w:tr w:rsidR="00090593" w:rsidRPr="00090593" w14:paraId="5E505FD8" w14:textId="77777777" w:rsidTr="00090593">
        <w:tc>
          <w:tcPr>
            <w:cnfStyle w:val="001000000000" w:firstRow="0" w:lastRow="0" w:firstColumn="1" w:lastColumn="0" w:oddVBand="0" w:evenVBand="0" w:oddHBand="0" w:evenHBand="0" w:firstRowFirstColumn="0" w:firstRowLastColumn="0" w:lastRowFirstColumn="0" w:lastRowLastColumn="0"/>
            <w:tcW w:w="0" w:type="auto"/>
            <w:hideMark/>
          </w:tcPr>
          <w:p w14:paraId="4E22F5EC" w14:textId="77777777" w:rsidR="00090593" w:rsidRPr="00090593" w:rsidRDefault="00090593" w:rsidP="00090593">
            <w:pPr>
              <w:spacing w:after="160" w:line="360" w:lineRule="auto"/>
              <w:rPr>
                <w:rFonts w:ascii="Arial" w:hAnsi="Arial" w:cs="Arial"/>
              </w:rPr>
            </w:pPr>
            <w:r w:rsidRPr="00090593">
              <w:rPr>
                <w:rFonts w:ascii="Arial" w:hAnsi="Arial" w:cs="Arial"/>
              </w:rPr>
              <w:t>4. Just Culture &amp; Psychological Safety</w:t>
            </w:r>
          </w:p>
        </w:tc>
        <w:tc>
          <w:tcPr>
            <w:tcW w:w="0" w:type="auto"/>
            <w:hideMark/>
          </w:tcPr>
          <w:p w14:paraId="2E4141CA" w14:textId="77777777" w:rsidR="00090593" w:rsidRPr="00090593" w:rsidRDefault="00090593" w:rsidP="0009059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90593">
              <w:rPr>
                <w:rFonts w:ascii="Arial" w:hAnsi="Arial" w:cs="Arial"/>
                <w:b/>
                <w:bCs/>
              </w:rPr>
              <w:t>Establish non</w:t>
            </w:r>
            <w:r w:rsidRPr="00090593">
              <w:rPr>
                <w:rFonts w:ascii="Arial" w:hAnsi="Arial" w:cs="Arial"/>
                <w:b/>
                <w:bCs/>
              </w:rPr>
              <w:noBreakHyphen/>
              <w:t>punitive incident reporting systems and psychological safety benchmarks.</w:t>
            </w:r>
          </w:p>
        </w:tc>
        <w:tc>
          <w:tcPr>
            <w:tcW w:w="0" w:type="auto"/>
            <w:hideMark/>
          </w:tcPr>
          <w:p w14:paraId="1885C12B" w14:textId="77777777" w:rsidR="00090593" w:rsidRPr="00090593" w:rsidRDefault="00090593" w:rsidP="0009059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090593">
              <w:rPr>
                <w:rFonts w:ascii="Arial" w:hAnsi="Arial" w:cs="Arial"/>
                <w:b/>
                <w:bCs/>
              </w:rPr>
              <w:t>Medium</w:t>
            </w:r>
            <w:r w:rsidRPr="00090593">
              <w:rPr>
                <w:rFonts w:ascii="Arial" w:hAnsi="Arial" w:cs="Arial"/>
                <w:b/>
                <w:bCs/>
              </w:rPr>
              <w:noBreakHyphen/>
              <w:t>Term (3–12 Months)</w:t>
            </w:r>
          </w:p>
        </w:tc>
      </w:tr>
      <w:tr w:rsidR="00090593" w:rsidRPr="00090593" w14:paraId="598051AC" w14:textId="77777777" w:rsidTr="000905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79B769" w14:textId="77777777" w:rsidR="00090593" w:rsidRPr="00090593" w:rsidRDefault="00090593" w:rsidP="00090593">
            <w:pPr>
              <w:spacing w:after="160" w:line="360" w:lineRule="auto"/>
              <w:rPr>
                <w:rFonts w:ascii="Arial" w:hAnsi="Arial" w:cs="Arial"/>
              </w:rPr>
            </w:pPr>
            <w:r w:rsidRPr="00090593">
              <w:rPr>
                <w:rFonts w:ascii="Arial" w:hAnsi="Arial" w:cs="Arial"/>
              </w:rPr>
              <w:t>5. Resource Efficiency &amp; Co</w:t>
            </w:r>
            <w:r w:rsidRPr="00090593">
              <w:rPr>
                <w:rFonts w:ascii="Arial" w:hAnsi="Arial" w:cs="Arial"/>
              </w:rPr>
              <w:noBreakHyphen/>
              <w:t>Production</w:t>
            </w:r>
          </w:p>
        </w:tc>
        <w:tc>
          <w:tcPr>
            <w:tcW w:w="0" w:type="auto"/>
            <w:hideMark/>
          </w:tcPr>
          <w:p w14:paraId="747E1E18"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t>Reallocate budget to embed ward pharmacists and establish Patient Advisory Safety Councils.</w:t>
            </w:r>
          </w:p>
        </w:tc>
        <w:tc>
          <w:tcPr>
            <w:tcW w:w="0" w:type="auto"/>
            <w:hideMark/>
          </w:tcPr>
          <w:p w14:paraId="25556E97" w14:textId="77777777" w:rsidR="00090593" w:rsidRPr="00090593" w:rsidRDefault="00090593" w:rsidP="0009059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90593">
              <w:rPr>
                <w:rFonts w:ascii="Arial" w:hAnsi="Arial" w:cs="Arial"/>
                <w:b/>
                <w:bCs/>
              </w:rPr>
              <w:t>Long</w:t>
            </w:r>
            <w:r w:rsidRPr="00090593">
              <w:rPr>
                <w:rFonts w:ascii="Arial" w:hAnsi="Arial" w:cs="Arial"/>
                <w:b/>
                <w:bCs/>
              </w:rPr>
              <w:noBreakHyphen/>
              <w:t>Term (12–24 Months)</w:t>
            </w:r>
          </w:p>
        </w:tc>
      </w:tr>
    </w:tbl>
    <w:p w14:paraId="4A05B934" w14:textId="0FCF65A4" w:rsidR="00090593" w:rsidRDefault="00090593" w:rsidP="000762ED">
      <w:pPr>
        <w:spacing w:line="360" w:lineRule="auto"/>
        <w:rPr>
          <w:rFonts w:ascii="Arial" w:hAnsi="Arial" w:cs="Arial"/>
          <w:b/>
          <w:bCs/>
        </w:rPr>
      </w:pPr>
      <w:r w:rsidRPr="00090593">
        <w:rPr>
          <w:rFonts w:ascii="Arial" w:hAnsi="Arial" w:cs="Arial"/>
          <w:b/>
          <w:bCs/>
        </w:rPr>
        <w:t>TABLE 3: Actionable Strategic Recommendations Matrix</w:t>
      </w:r>
    </w:p>
    <w:p w14:paraId="25256CC3" w14:textId="555F7483" w:rsidR="000762ED" w:rsidRPr="000762ED" w:rsidRDefault="000762ED" w:rsidP="000762ED">
      <w:pPr>
        <w:spacing w:line="360" w:lineRule="auto"/>
        <w:rPr>
          <w:rFonts w:ascii="Arial" w:hAnsi="Arial" w:cs="Arial"/>
          <w:b/>
          <w:bCs/>
        </w:rPr>
      </w:pPr>
      <w:r w:rsidRPr="000762ED">
        <w:rPr>
          <w:rFonts w:ascii="Arial" w:hAnsi="Arial" w:cs="Arial"/>
          <w:b/>
          <w:bCs/>
        </w:rPr>
        <w:t>1. Mandatory Technological and Clinical Governance Reforms</w:t>
      </w:r>
    </w:p>
    <w:p w14:paraId="27CA3F2C" w14:textId="77777777" w:rsidR="000762ED" w:rsidRPr="000762ED" w:rsidRDefault="000762ED" w:rsidP="000762ED">
      <w:pPr>
        <w:numPr>
          <w:ilvl w:val="0"/>
          <w:numId w:val="13"/>
        </w:numPr>
        <w:spacing w:line="360" w:lineRule="auto"/>
        <w:rPr>
          <w:rFonts w:ascii="Arial" w:hAnsi="Arial" w:cs="Arial"/>
        </w:rPr>
      </w:pPr>
      <w:r w:rsidRPr="000762ED">
        <w:rPr>
          <w:rFonts w:ascii="Arial" w:hAnsi="Arial" w:cs="Arial"/>
          <w:b/>
          <w:bCs/>
        </w:rPr>
        <w:t>Universal Electronic Prescribing (</w:t>
      </w:r>
      <w:proofErr w:type="spellStart"/>
      <w:r w:rsidRPr="000762ED">
        <w:rPr>
          <w:rFonts w:ascii="Arial" w:hAnsi="Arial" w:cs="Arial"/>
          <w:b/>
          <w:bCs/>
        </w:rPr>
        <w:t>ePMA</w:t>
      </w:r>
      <w:proofErr w:type="spellEnd"/>
      <w:r w:rsidRPr="000762ED">
        <w:rPr>
          <w:rFonts w:ascii="Arial" w:hAnsi="Arial" w:cs="Arial"/>
          <w:b/>
          <w:bCs/>
        </w:rPr>
        <w:t>) Safety Nets:</w:t>
      </w:r>
      <w:r w:rsidRPr="000762ED">
        <w:rPr>
          <w:rFonts w:ascii="Arial" w:hAnsi="Arial" w:cs="Arial"/>
        </w:rPr>
        <w:t xml:space="preserve"> Executive management must immediately procure and configure </w:t>
      </w:r>
      <w:proofErr w:type="spellStart"/>
      <w:r w:rsidRPr="000762ED">
        <w:rPr>
          <w:rFonts w:ascii="Arial" w:hAnsi="Arial" w:cs="Arial"/>
        </w:rPr>
        <w:t>ePMA</w:t>
      </w:r>
      <w:proofErr w:type="spellEnd"/>
      <w:r w:rsidRPr="000762ED">
        <w:rPr>
          <w:rFonts w:ascii="Arial" w:hAnsi="Arial" w:cs="Arial"/>
        </w:rPr>
        <w:t xml:space="preserve"> software to include mandatory "pause and restart" hard-stop alerts for all high-alert medications (DOACs, insulins, antiplatelets). The system must require an explicit, documented clinical justification for any pause exceeding 48 hours and automatically flag paused drugs on daily medical ward round lists (ISMP, 2021; HSSIB, 2023).</w:t>
      </w:r>
    </w:p>
    <w:p w14:paraId="14E635A8" w14:textId="77777777" w:rsidR="000762ED" w:rsidRPr="000762ED" w:rsidRDefault="000762ED" w:rsidP="000762ED">
      <w:pPr>
        <w:numPr>
          <w:ilvl w:val="0"/>
          <w:numId w:val="13"/>
        </w:numPr>
        <w:spacing w:line="360" w:lineRule="auto"/>
        <w:rPr>
          <w:rFonts w:ascii="Arial" w:hAnsi="Arial" w:cs="Arial"/>
        </w:rPr>
      </w:pPr>
      <w:r w:rsidRPr="000762ED">
        <w:rPr>
          <w:rFonts w:ascii="Arial" w:hAnsi="Arial" w:cs="Arial"/>
          <w:b/>
          <w:bCs/>
        </w:rPr>
        <w:t>Enforcement of Daily Multidisciplinary Medication Reconciliation:</w:t>
      </w:r>
      <w:r w:rsidRPr="000762ED">
        <w:rPr>
          <w:rFonts w:ascii="Arial" w:hAnsi="Arial" w:cs="Arial"/>
        </w:rPr>
        <w:t xml:space="preserve"> Implement a mandatory clinical policy requiring ward-based clinical pharmacists and primary medical teams to conduct daily medication reconciliation for 100% of admitted medical patients, specifically auditing paused drugs against procedure schedules (NICE, 2022).</w:t>
      </w:r>
    </w:p>
    <w:p w14:paraId="5EA52A1F" w14:textId="77777777" w:rsidR="000762ED" w:rsidRPr="000762ED" w:rsidRDefault="000762ED" w:rsidP="000762ED">
      <w:pPr>
        <w:spacing w:line="360" w:lineRule="auto"/>
        <w:rPr>
          <w:rFonts w:ascii="Arial" w:hAnsi="Arial" w:cs="Arial"/>
          <w:b/>
          <w:bCs/>
        </w:rPr>
      </w:pPr>
      <w:r w:rsidRPr="000762ED">
        <w:rPr>
          <w:rFonts w:ascii="Arial" w:hAnsi="Arial" w:cs="Arial"/>
          <w:b/>
          <w:bCs/>
        </w:rPr>
        <w:t>2. Leadership Style Transformation and Organisational Culture</w:t>
      </w:r>
    </w:p>
    <w:p w14:paraId="014DDB08" w14:textId="77777777" w:rsidR="000762ED" w:rsidRPr="000762ED" w:rsidRDefault="000762ED" w:rsidP="000762ED">
      <w:pPr>
        <w:numPr>
          <w:ilvl w:val="0"/>
          <w:numId w:val="14"/>
        </w:numPr>
        <w:spacing w:line="360" w:lineRule="auto"/>
        <w:rPr>
          <w:rFonts w:ascii="Arial" w:hAnsi="Arial" w:cs="Arial"/>
        </w:rPr>
      </w:pPr>
      <w:r w:rsidRPr="000762ED">
        <w:rPr>
          <w:rFonts w:ascii="Arial" w:hAnsi="Arial" w:cs="Arial"/>
          <w:b/>
          <w:bCs/>
        </w:rPr>
        <w:t>Adoption of Transformational and Servant Leadership:</w:t>
      </w:r>
      <w:r w:rsidRPr="000762ED">
        <w:rPr>
          <w:rFonts w:ascii="Arial" w:hAnsi="Arial" w:cs="Arial"/>
        </w:rPr>
        <w:t xml:space="preserve"> Hospital directorates must institute leadership development programs to transition senior medical consultants and ward managers from autocratic command-and-control styles toward transformational and servant leadership models (Bass and Avolio, 1994; Greenleaf, 1977). Leaders must actively engage in </w:t>
      </w:r>
      <w:r w:rsidRPr="000762ED">
        <w:rPr>
          <w:rFonts w:ascii="Arial" w:hAnsi="Arial" w:cs="Arial"/>
        </w:rPr>
        <w:lastRenderedPageBreak/>
        <w:t xml:space="preserve">"Safety </w:t>
      </w:r>
      <w:proofErr w:type="spellStart"/>
      <w:r w:rsidRPr="000762ED">
        <w:rPr>
          <w:rFonts w:ascii="Arial" w:hAnsi="Arial" w:cs="Arial"/>
        </w:rPr>
        <w:t>Walkrounds</w:t>
      </w:r>
      <w:proofErr w:type="spellEnd"/>
      <w:r w:rsidRPr="000762ED">
        <w:rPr>
          <w:rFonts w:ascii="Arial" w:hAnsi="Arial" w:cs="Arial"/>
        </w:rPr>
        <w:t>" (IHI, 2022) to listen to frontline staff concerns and coach clinical prescribers.</w:t>
      </w:r>
    </w:p>
    <w:p w14:paraId="22D8675F" w14:textId="77777777" w:rsidR="000762ED" w:rsidRPr="000762ED" w:rsidRDefault="000762ED" w:rsidP="000762ED">
      <w:pPr>
        <w:numPr>
          <w:ilvl w:val="0"/>
          <w:numId w:val="14"/>
        </w:numPr>
        <w:spacing w:line="360" w:lineRule="auto"/>
        <w:rPr>
          <w:rFonts w:ascii="Arial" w:hAnsi="Arial" w:cs="Arial"/>
        </w:rPr>
      </w:pPr>
      <w:r w:rsidRPr="000762ED">
        <w:rPr>
          <w:rFonts w:ascii="Arial" w:hAnsi="Arial" w:cs="Arial"/>
          <w:b/>
          <w:bCs/>
        </w:rPr>
        <w:t>Institutionalisation of Just Culture and Psychological Safety:</w:t>
      </w:r>
      <w:r w:rsidRPr="000762ED">
        <w:rPr>
          <w:rFonts w:ascii="Arial" w:hAnsi="Arial" w:cs="Arial"/>
        </w:rPr>
        <w:t xml:space="preserve"> Replace blame-oriented administrative punishment with an official NHS-style "Just Culture" framework (NHS England, 2021; Reason, 1997). Create a confidential, non-punitive digital incident reporting portal, ensuring staff are protected when reporting prescribing delays or challenging cross-specialty care gaps (Edmondson, 2019).</w:t>
      </w:r>
    </w:p>
    <w:p w14:paraId="63027A75" w14:textId="77777777" w:rsidR="000762ED" w:rsidRPr="000762ED" w:rsidRDefault="000762ED" w:rsidP="000762ED">
      <w:pPr>
        <w:spacing w:line="360" w:lineRule="auto"/>
        <w:rPr>
          <w:rFonts w:ascii="Arial" w:hAnsi="Arial" w:cs="Arial"/>
          <w:b/>
          <w:bCs/>
        </w:rPr>
      </w:pPr>
      <w:r w:rsidRPr="000762ED">
        <w:rPr>
          <w:rFonts w:ascii="Arial" w:hAnsi="Arial" w:cs="Arial"/>
          <w:b/>
          <w:bCs/>
        </w:rPr>
        <w:t>3. Enhancing Resource Efficiency, Communication, and Co-Production</w:t>
      </w:r>
    </w:p>
    <w:p w14:paraId="7120C2C4" w14:textId="77777777" w:rsidR="000762ED" w:rsidRPr="000762ED" w:rsidRDefault="000762ED" w:rsidP="000762ED">
      <w:pPr>
        <w:numPr>
          <w:ilvl w:val="0"/>
          <w:numId w:val="15"/>
        </w:numPr>
        <w:spacing w:line="360" w:lineRule="auto"/>
        <w:rPr>
          <w:rFonts w:ascii="Arial" w:hAnsi="Arial" w:cs="Arial"/>
        </w:rPr>
      </w:pPr>
      <w:r w:rsidRPr="000762ED">
        <w:rPr>
          <w:rFonts w:ascii="Arial" w:hAnsi="Arial" w:cs="Arial"/>
          <w:b/>
          <w:bCs/>
        </w:rPr>
        <w:t>Allocative Efficiency &amp; Embedded Ward Pharmacy:</w:t>
      </w:r>
      <w:r w:rsidRPr="000762ED">
        <w:rPr>
          <w:rFonts w:ascii="Arial" w:hAnsi="Arial" w:cs="Arial"/>
        </w:rPr>
        <w:t xml:space="preserve"> Reallocate public health budget resources from non-essential administrative overhead to embed dedicated clinical pharmacists directly within acute medical wards and surgical pre-assessment clinics (Aiken et al., 2014; World Bank, 2023).</w:t>
      </w:r>
    </w:p>
    <w:p w14:paraId="10DCBCB6" w14:textId="77777777" w:rsidR="000762ED" w:rsidRPr="000762ED" w:rsidRDefault="000762ED" w:rsidP="000762ED">
      <w:pPr>
        <w:numPr>
          <w:ilvl w:val="0"/>
          <w:numId w:val="15"/>
        </w:numPr>
        <w:spacing w:line="360" w:lineRule="auto"/>
        <w:rPr>
          <w:rFonts w:ascii="Arial" w:hAnsi="Arial" w:cs="Arial"/>
        </w:rPr>
      </w:pPr>
      <w:r w:rsidRPr="000762ED">
        <w:rPr>
          <w:rFonts w:ascii="Arial" w:hAnsi="Arial" w:cs="Arial"/>
          <w:b/>
          <w:bCs/>
        </w:rPr>
        <w:t>Implementation of Structured Handover Toolkits:</w:t>
      </w:r>
      <w:r w:rsidRPr="000762ED">
        <w:rPr>
          <w:rFonts w:ascii="Arial" w:hAnsi="Arial" w:cs="Arial"/>
        </w:rPr>
        <w:t xml:space="preserve"> Mandate the use of standardized communication tools—specifically SBAR (Situation, Background, Assessment, Recommendation) incorporating an explicit "Paused Medication Box"—during every patient transfer between ED, medical wards, and procedural suites (IHI, 2022).</w:t>
      </w:r>
    </w:p>
    <w:p w14:paraId="7F404DFB" w14:textId="77777777" w:rsidR="000762ED" w:rsidRPr="000762ED" w:rsidRDefault="000762ED" w:rsidP="000762ED">
      <w:pPr>
        <w:numPr>
          <w:ilvl w:val="0"/>
          <w:numId w:val="15"/>
        </w:numPr>
        <w:spacing w:line="360" w:lineRule="auto"/>
        <w:rPr>
          <w:rFonts w:ascii="Arial" w:hAnsi="Arial" w:cs="Arial"/>
        </w:rPr>
      </w:pPr>
      <w:r w:rsidRPr="000762ED">
        <w:rPr>
          <w:rFonts w:ascii="Arial" w:hAnsi="Arial" w:cs="Arial"/>
          <w:b/>
          <w:bCs/>
        </w:rPr>
        <w:t>Stakeholder Engagement and Service Co-Production:</w:t>
      </w:r>
      <w:r w:rsidRPr="000762ED">
        <w:rPr>
          <w:rFonts w:ascii="Arial" w:hAnsi="Arial" w:cs="Arial"/>
        </w:rPr>
        <w:t xml:space="preserve"> Establish a Patient and Carer Advisory Safety Council (PCASC) to co-produce patient medication education cards. Empower patients and family members as active safety partners by providing them with a physical "My Paused Medicines" tracking card upon admission, enabling them to verify drug restart plans with ward staff prior to discharge (Realpe and Wallace, 2020; WHO, 2022).</w:t>
      </w:r>
    </w:p>
    <w:p w14:paraId="60FC9B68" w14:textId="2E995AE0" w:rsidR="000762ED" w:rsidRPr="000762ED" w:rsidRDefault="000762ED" w:rsidP="000762ED">
      <w:pPr>
        <w:spacing w:line="360" w:lineRule="auto"/>
        <w:rPr>
          <w:rFonts w:ascii="Arial" w:hAnsi="Arial" w:cs="Arial"/>
          <w:b/>
          <w:bCs/>
        </w:rPr>
      </w:pPr>
      <w:r w:rsidRPr="000762ED">
        <w:rPr>
          <w:rFonts w:ascii="Arial" w:hAnsi="Arial" w:cs="Arial"/>
          <w:b/>
          <w:bCs/>
        </w:rPr>
        <w:t xml:space="preserve">SECTION 4: CONCLUSION </w:t>
      </w:r>
    </w:p>
    <w:p w14:paraId="55E2BD1F" w14:textId="77777777" w:rsidR="000762ED" w:rsidRPr="000762ED" w:rsidRDefault="000762ED" w:rsidP="000762ED">
      <w:pPr>
        <w:spacing w:line="360" w:lineRule="auto"/>
        <w:rPr>
          <w:rFonts w:ascii="Arial" w:hAnsi="Arial" w:cs="Arial"/>
        </w:rPr>
      </w:pPr>
      <w:r w:rsidRPr="000762ED">
        <w:rPr>
          <w:rFonts w:ascii="Arial" w:hAnsi="Arial" w:cs="Arial"/>
        </w:rPr>
        <w:t xml:space="preserve">The fatal omission of anticoagulation in Patient X’s care stands as a stark testament to the profound vulnerability of healthcare systems operating under rigid centralisation, transactional leadership, siloed communication, and degraded clinical governance. What surfaced publicly as an isolated failure to restart a medication was, in reality, the inevitable culmination of multiple latent systemic flaws: unmanaged procedure backlogs, absent electronic prescribing alerts, missing daily </w:t>
      </w:r>
      <w:r w:rsidRPr="000762ED">
        <w:rPr>
          <w:rFonts w:ascii="Arial" w:hAnsi="Arial" w:cs="Arial"/>
        </w:rPr>
        <w:lastRenderedPageBreak/>
        <w:t>pharmacy reconciliation, steep authority gradients, and a punitive culture that suppressed near-miss reporting.</w:t>
      </w:r>
    </w:p>
    <w:p w14:paraId="767E2E04" w14:textId="77777777" w:rsidR="000762ED" w:rsidRPr="000762ED" w:rsidRDefault="000762ED" w:rsidP="000762ED">
      <w:pPr>
        <w:spacing w:line="360" w:lineRule="auto"/>
        <w:rPr>
          <w:rFonts w:ascii="Arial" w:hAnsi="Arial" w:cs="Arial"/>
        </w:rPr>
      </w:pPr>
      <w:r w:rsidRPr="000762ED">
        <w:rPr>
          <w:rFonts w:ascii="Arial" w:hAnsi="Arial" w:cs="Arial"/>
        </w:rPr>
        <w:t>This case study analysis decisively demonstrates that medication safety cannot be secured through administrative mandates or individual prescriber scapegoating. Delivering consistently safe, high-quality care requires a fundamental paradigm shift in organizational design and leadership. Health systems must transition from reactive, command-driven hierarchies toward decentralized, High Reliability Organizations supported by transformational, servant, and distributed leadership styles.</w:t>
      </w:r>
    </w:p>
    <w:p w14:paraId="61B854E6" w14:textId="77777777" w:rsidR="000762ED" w:rsidRPr="000762ED" w:rsidRDefault="000762ED" w:rsidP="000762ED">
      <w:pPr>
        <w:spacing w:line="360" w:lineRule="auto"/>
        <w:rPr>
          <w:rFonts w:ascii="Arial" w:hAnsi="Arial" w:cs="Arial"/>
        </w:rPr>
      </w:pPr>
      <w:r w:rsidRPr="000762ED">
        <w:rPr>
          <w:rFonts w:ascii="Arial" w:hAnsi="Arial" w:cs="Arial"/>
        </w:rPr>
        <w:t>Ultimately, effective leadership in health and social care is the vital bridge connecting organizational structure, clinical governance, technology, and human behaviour. By cultivating psychological safety, embedding automated electronic prescribing safety nets, enforcing multidisciplinary medication reconciliation, and empowering frontline staff and patients as co-productive partners, healthcare organizations can eliminate preventable medication harm and build resilient, compassionate care systems worthy of public trust.</w:t>
      </w:r>
    </w:p>
    <w:p w14:paraId="779DE8B9" w14:textId="1CB27E83" w:rsidR="000762ED" w:rsidRPr="000762ED" w:rsidRDefault="000762ED" w:rsidP="000762ED">
      <w:pPr>
        <w:spacing w:line="360" w:lineRule="auto"/>
        <w:rPr>
          <w:rFonts w:ascii="Arial" w:hAnsi="Arial" w:cs="Arial"/>
          <w:b/>
          <w:bCs/>
        </w:rPr>
      </w:pPr>
      <w:r w:rsidRPr="000762ED">
        <w:rPr>
          <w:rFonts w:ascii="Arial" w:hAnsi="Arial" w:cs="Arial"/>
          <w:b/>
          <w:bCs/>
        </w:rPr>
        <w:t xml:space="preserve">SECTION 5: REFERENCES </w:t>
      </w:r>
    </w:p>
    <w:p w14:paraId="7FF5F3FE"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Aiken, L.H., Sloane, D.M., Bruyneel, L., Van den Heede, K., Griffiths, P., Busse, R., </w:t>
      </w:r>
      <w:proofErr w:type="spellStart"/>
      <w:r w:rsidRPr="000762ED">
        <w:rPr>
          <w:rFonts w:ascii="Arial" w:hAnsi="Arial" w:cs="Arial"/>
        </w:rPr>
        <w:t>Diomidous</w:t>
      </w:r>
      <w:proofErr w:type="spellEnd"/>
      <w:r w:rsidRPr="000762ED">
        <w:rPr>
          <w:rFonts w:ascii="Arial" w:hAnsi="Arial" w:cs="Arial"/>
        </w:rPr>
        <w:t xml:space="preserve">, M., Kinnunen, J., </w:t>
      </w:r>
      <w:proofErr w:type="spellStart"/>
      <w:r w:rsidRPr="000762ED">
        <w:rPr>
          <w:rFonts w:ascii="Arial" w:hAnsi="Arial" w:cs="Arial"/>
        </w:rPr>
        <w:t>Kózka</w:t>
      </w:r>
      <w:proofErr w:type="spellEnd"/>
      <w:r w:rsidRPr="000762ED">
        <w:rPr>
          <w:rFonts w:ascii="Arial" w:hAnsi="Arial" w:cs="Arial"/>
        </w:rPr>
        <w:t xml:space="preserve">, M., </w:t>
      </w:r>
      <w:proofErr w:type="spellStart"/>
      <w:r w:rsidRPr="000762ED">
        <w:rPr>
          <w:rFonts w:ascii="Arial" w:hAnsi="Arial" w:cs="Arial"/>
        </w:rPr>
        <w:t>Lesaffre</w:t>
      </w:r>
      <w:proofErr w:type="spellEnd"/>
      <w:r w:rsidRPr="000762ED">
        <w:rPr>
          <w:rFonts w:ascii="Arial" w:hAnsi="Arial" w:cs="Arial"/>
        </w:rPr>
        <w:t xml:space="preserve">, E. and McHugh, M.D. (2014) 'Nurse staffing and education and hospital mortality in 9 European countries: a retrospective observational study', </w:t>
      </w:r>
      <w:r w:rsidRPr="000762ED">
        <w:rPr>
          <w:rFonts w:ascii="Arial" w:hAnsi="Arial" w:cs="Arial"/>
          <w:i/>
          <w:iCs/>
        </w:rPr>
        <w:t>The Lancet</w:t>
      </w:r>
      <w:r w:rsidRPr="000762ED">
        <w:rPr>
          <w:rFonts w:ascii="Arial" w:hAnsi="Arial" w:cs="Arial"/>
        </w:rPr>
        <w:t>, 383(9931), pp. 1824–1830.</w:t>
      </w:r>
    </w:p>
    <w:p w14:paraId="199E61F8"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Bass, B.M. and Avolio, B.J. (1994) </w:t>
      </w:r>
      <w:r w:rsidRPr="000762ED">
        <w:rPr>
          <w:rFonts w:ascii="Arial" w:hAnsi="Arial" w:cs="Arial"/>
          <w:i/>
          <w:iCs/>
        </w:rPr>
        <w:t>Improving organizational effectiveness through transformational leadership</w:t>
      </w:r>
      <w:r w:rsidRPr="000762ED">
        <w:rPr>
          <w:rFonts w:ascii="Arial" w:hAnsi="Arial" w:cs="Arial"/>
        </w:rPr>
        <w:t>. Thousand Oaks: Sage Publications.</w:t>
      </w:r>
    </w:p>
    <w:p w14:paraId="6C2122F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Berwick, D.M. (2020) 'Choices for the future of health care', </w:t>
      </w:r>
      <w:r w:rsidRPr="000762ED">
        <w:rPr>
          <w:rFonts w:ascii="Arial" w:hAnsi="Arial" w:cs="Arial"/>
          <w:i/>
          <w:iCs/>
        </w:rPr>
        <w:t>JAMA</w:t>
      </w:r>
      <w:r w:rsidRPr="000762ED">
        <w:rPr>
          <w:rFonts w:ascii="Arial" w:hAnsi="Arial" w:cs="Arial"/>
        </w:rPr>
        <w:t>, 323(1), pp. 27–28.</w:t>
      </w:r>
    </w:p>
    <w:p w14:paraId="4E47163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Boers, M., Jansen, M., Rijk, L. and van der Schaaf, T. (2023) 'Economic burden of adverse events in public tertiary care hospitals: a systematic review', </w:t>
      </w:r>
      <w:r w:rsidRPr="000762ED">
        <w:rPr>
          <w:rFonts w:ascii="Arial" w:hAnsi="Arial" w:cs="Arial"/>
          <w:i/>
          <w:iCs/>
        </w:rPr>
        <w:t>Health Policy and Planning</w:t>
      </w:r>
      <w:r w:rsidRPr="000762ED">
        <w:rPr>
          <w:rFonts w:ascii="Arial" w:hAnsi="Arial" w:cs="Arial"/>
        </w:rPr>
        <w:t>, 38(4), pp. 512–526.</w:t>
      </w:r>
    </w:p>
    <w:p w14:paraId="182C876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lastRenderedPageBreak/>
        <w:t xml:space="preserve">Bolden, R. (2011) 'Distributed leadership in organizations: A review of theory and practice', </w:t>
      </w:r>
      <w:r w:rsidRPr="000762ED">
        <w:rPr>
          <w:rFonts w:ascii="Arial" w:hAnsi="Arial" w:cs="Arial"/>
          <w:i/>
          <w:iCs/>
        </w:rPr>
        <w:t>International Journal of Management Reviews</w:t>
      </w:r>
      <w:r w:rsidRPr="000762ED">
        <w:rPr>
          <w:rFonts w:ascii="Arial" w:hAnsi="Arial" w:cs="Arial"/>
        </w:rPr>
        <w:t>, 13(3), pp. 251–269.</w:t>
      </w:r>
    </w:p>
    <w:p w14:paraId="7F53A6E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Braithwaite, J., Herkes, J., Ludlow, K., </w:t>
      </w:r>
      <w:proofErr w:type="spellStart"/>
      <w:r w:rsidRPr="000762ED">
        <w:rPr>
          <w:rFonts w:ascii="Arial" w:hAnsi="Arial" w:cs="Arial"/>
        </w:rPr>
        <w:t>Testree</w:t>
      </w:r>
      <w:proofErr w:type="spellEnd"/>
      <w:r w:rsidRPr="000762ED">
        <w:rPr>
          <w:rFonts w:ascii="Arial" w:hAnsi="Arial" w:cs="Arial"/>
        </w:rPr>
        <w:t xml:space="preserve">, M. and </w:t>
      </w:r>
      <w:proofErr w:type="spellStart"/>
      <w:r w:rsidRPr="000762ED">
        <w:rPr>
          <w:rFonts w:ascii="Arial" w:hAnsi="Arial" w:cs="Arial"/>
        </w:rPr>
        <w:t>Lamprell</w:t>
      </w:r>
      <w:proofErr w:type="spellEnd"/>
      <w:r w:rsidRPr="000762ED">
        <w:rPr>
          <w:rFonts w:ascii="Arial" w:hAnsi="Arial" w:cs="Arial"/>
        </w:rPr>
        <w:t xml:space="preserve">, G. (2018) 'Association between organisational and workplace culture, and patient outcomes: systematic review', </w:t>
      </w:r>
      <w:r w:rsidRPr="000762ED">
        <w:rPr>
          <w:rFonts w:ascii="Arial" w:hAnsi="Arial" w:cs="Arial"/>
          <w:i/>
          <w:iCs/>
        </w:rPr>
        <w:t>BMJ Open</w:t>
      </w:r>
      <w:r w:rsidRPr="000762ED">
        <w:rPr>
          <w:rFonts w:ascii="Arial" w:hAnsi="Arial" w:cs="Arial"/>
        </w:rPr>
        <w:t>, 8(11), e023708.</w:t>
      </w:r>
    </w:p>
    <w:p w14:paraId="4736CB00" w14:textId="77777777" w:rsidR="000762ED" w:rsidRPr="000762ED" w:rsidRDefault="000762ED" w:rsidP="000762ED">
      <w:pPr>
        <w:numPr>
          <w:ilvl w:val="0"/>
          <w:numId w:val="16"/>
        </w:numPr>
        <w:spacing w:line="360" w:lineRule="auto"/>
        <w:rPr>
          <w:rFonts w:ascii="Arial" w:hAnsi="Arial" w:cs="Arial"/>
        </w:rPr>
      </w:pPr>
      <w:proofErr w:type="spellStart"/>
      <w:r w:rsidRPr="000762ED">
        <w:rPr>
          <w:rFonts w:ascii="Arial" w:hAnsi="Arial" w:cs="Arial"/>
        </w:rPr>
        <w:t>Carayon</w:t>
      </w:r>
      <w:proofErr w:type="spellEnd"/>
      <w:r w:rsidRPr="000762ED">
        <w:rPr>
          <w:rFonts w:ascii="Arial" w:hAnsi="Arial" w:cs="Arial"/>
        </w:rPr>
        <w:t xml:space="preserve">, P., </w:t>
      </w:r>
      <w:proofErr w:type="spellStart"/>
      <w:r w:rsidRPr="000762ED">
        <w:rPr>
          <w:rFonts w:ascii="Arial" w:hAnsi="Arial" w:cs="Arial"/>
        </w:rPr>
        <w:t>Wetterneck</w:t>
      </w:r>
      <w:proofErr w:type="spellEnd"/>
      <w:r w:rsidRPr="000762ED">
        <w:rPr>
          <w:rFonts w:ascii="Arial" w:hAnsi="Arial" w:cs="Arial"/>
        </w:rPr>
        <w:t xml:space="preserve">, T.B., Rivera-Rodriguez, A.J., Hundt, A.S., </w:t>
      </w:r>
      <w:proofErr w:type="spellStart"/>
      <w:r w:rsidRPr="000762ED">
        <w:rPr>
          <w:rFonts w:ascii="Arial" w:hAnsi="Arial" w:cs="Arial"/>
        </w:rPr>
        <w:t>Hoonakker</w:t>
      </w:r>
      <w:proofErr w:type="spellEnd"/>
      <w:r w:rsidRPr="000762ED">
        <w:rPr>
          <w:rFonts w:ascii="Arial" w:hAnsi="Arial" w:cs="Arial"/>
        </w:rPr>
        <w:t xml:space="preserve">, P., Holden, R. and </w:t>
      </w:r>
      <w:proofErr w:type="spellStart"/>
      <w:r w:rsidRPr="000762ED">
        <w:rPr>
          <w:rFonts w:ascii="Arial" w:hAnsi="Arial" w:cs="Arial"/>
        </w:rPr>
        <w:t>Gurses</w:t>
      </w:r>
      <w:proofErr w:type="spellEnd"/>
      <w:r w:rsidRPr="000762ED">
        <w:rPr>
          <w:rFonts w:ascii="Arial" w:hAnsi="Arial" w:cs="Arial"/>
        </w:rPr>
        <w:t xml:space="preserve">, A.P. (2014) 'Human factors systems approach to healthcare quality and patient safety', </w:t>
      </w:r>
      <w:r w:rsidRPr="000762ED">
        <w:rPr>
          <w:rFonts w:ascii="Arial" w:hAnsi="Arial" w:cs="Arial"/>
          <w:i/>
          <w:iCs/>
        </w:rPr>
        <w:t>Applied Ergonomics</w:t>
      </w:r>
      <w:r w:rsidRPr="000762ED">
        <w:rPr>
          <w:rFonts w:ascii="Arial" w:hAnsi="Arial" w:cs="Arial"/>
        </w:rPr>
        <w:t>, 45(1), pp. 14–25.</w:t>
      </w:r>
    </w:p>
    <w:p w14:paraId="1C16AC2C"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Care Quality Commission (CQC) (2023) </w:t>
      </w:r>
      <w:r w:rsidRPr="000762ED">
        <w:rPr>
          <w:rFonts w:ascii="Arial" w:hAnsi="Arial" w:cs="Arial"/>
          <w:i/>
          <w:iCs/>
        </w:rPr>
        <w:t>State of Care 2022/23: Annual report on health and social care in England</w:t>
      </w:r>
      <w:r w:rsidRPr="000762ED">
        <w:rPr>
          <w:rFonts w:ascii="Arial" w:hAnsi="Arial" w:cs="Arial"/>
        </w:rPr>
        <w:t>. London: CQC.</w:t>
      </w:r>
    </w:p>
    <w:p w14:paraId="2CD7E06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Edmondson, A.C. (2019) </w:t>
      </w:r>
      <w:r w:rsidRPr="000762ED">
        <w:rPr>
          <w:rFonts w:ascii="Arial" w:hAnsi="Arial" w:cs="Arial"/>
          <w:i/>
          <w:iCs/>
        </w:rPr>
        <w:t>The fearless organization: Creating psychological safety in the workplace for learning, innovation, and growth</w:t>
      </w:r>
      <w:r w:rsidRPr="000762ED">
        <w:rPr>
          <w:rFonts w:ascii="Arial" w:hAnsi="Arial" w:cs="Arial"/>
        </w:rPr>
        <w:t>. Hoboken: John Wiley &amp; Sons.</w:t>
      </w:r>
    </w:p>
    <w:p w14:paraId="70C90079"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Greenleaf, R.K. (1977) </w:t>
      </w:r>
      <w:r w:rsidRPr="000762ED">
        <w:rPr>
          <w:rFonts w:ascii="Arial" w:hAnsi="Arial" w:cs="Arial"/>
          <w:i/>
          <w:iCs/>
        </w:rPr>
        <w:t>Servant leadership: A journey into the nature of legitimate power and greatness</w:t>
      </w:r>
      <w:r w:rsidRPr="000762ED">
        <w:rPr>
          <w:rFonts w:ascii="Arial" w:hAnsi="Arial" w:cs="Arial"/>
        </w:rPr>
        <w:t>. New York: Paulist Press.</w:t>
      </w:r>
    </w:p>
    <w:p w14:paraId="6A24041C"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Haynes, A.B., Weiser, T.G., Berry, W.R., Lipsitz, S.R., </w:t>
      </w:r>
      <w:proofErr w:type="spellStart"/>
      <w:r w:rsidRPr="000762ED">
        <w:rPr>
          <w:rFonts w:ascii="Arial" w:hAnsi="Arial" w:cs="Arial"/>
        </w:rPr>
        <w:t>Breizat</w:t>
      </w:r>
      <w:proofErr w:type="spellEnd"/>
      <w:r w:rsidRPr="000762ED">
        <w:rPr>
          <w:rFonts w:ascii="Arial" w:hAnsi="Arial" w:cs="Arial"/>
        </w:rPr>
        <w:t xml:space="preserve">, A.H., Dellinger, E.P., Herbosa, T., Joseph, S., </w:t>
      </w:r>
      <w:proofErr w:type="spellStart"/>
      <w:r w:rsidRPr="000762ED">
        <w:rPr>
          <w:rFonts w:ascii="Arial" w:hAnsi="Arial" w:cs="Arial"/>
        </w:rPr>
        <w:t>Kibatala</w:t>
      </w:r>
      <w:proofErr w:type="spellEnd"/>
      <w:r w:rsidRPr="000762ED">
        <w:rPr>
          <w:rFonts w:ascii="Arial" w:hAnsi="Arial" w:cs="Arial"/>
        </w:rPr>
        <w:t xml:space="preserve">, P.L., Lapitan, M.C. and Merry, A.F. (2009) 'A surgical safety checklist to reduce morbidity and mortality in a global population', </w:t>
      </w:r>
      <w:r w:rsidRPr="000762ED">
        <w:rPr>
          <w:rFonts w:ascii="Arial" w:hAnsi="Arial" w:cs="Arial"/>
          <w:i/>
          <w:iCs/>
        </w:rPr>
        <w:t>New England Journal of Medicine</w:t>
      </w:r>
      <w:r w:rsidRPr="000762ED">
        <w:rPr>
          <w:rFonts w:ascii="Arial" w:hAnsi="Arial" w:cs="Arial"/>
        </w:rPr>
        <w:t>, 360(5), pp. 491–499.</w:t>
      </w:r>
    </w:p>
    <w:p w14:paraId="02BEA494"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Healthcare Improvement Scotland (2021) </w:t>
      </w:r>
      <w:r w:rsidRPr="000762ED">
        <w:rPr>
          <w:rFonts w:ascii="Arial" w:hAnsi="Arial" w:cs="Arial"/>
          <w:i/>
          <w:iCs/>
        </w:rPr>
        <w:t>National Governance Framework for High-Risk Oral Anticoagulants in Acute Care</w:t>
      </w:r>
      <w:r w:rsidRPr="000762ED">
        <w:rPr>
          <w:rFonts w:ascii="Arial" w:hAnsi="Arial" w:cs="Arial"/>
        </w:rPr>
        <w:t>. Edinburgh: Healthcare Improvement Scotland.</w:t>
      </w:r>
    </w:p>
    <w:p w14:paraId="66BC85A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Healthcare Services Safety Investigation Body (HSSIB) (2023) </w:t>
      </w:r>
      <w:r w:rsidRPr="000762ED">
        <w:rPr>
          <w:rFonts w:ascii="Arial" w:hAnsi="Arial" w:cs="Arial"/>
          <w:i/>
          <w:iCs/>
        </w:rPr>
        <w:t>Omission of oral anticoagulants in acute hospital settings: National Learning Report (I2022/019)</w:t>
      </w:r>
      <w:r w:rsidRPr="000762ED">
        <w:rPr>
          <w:rFonts w:ascii="Arial" w:hAnsi="Arial" w:cs="Arial"/>
        </w:rPr>
        <w:t>. Farnborough: HSSIB. Available at: https://www.hssib.org.uk/patient-safety-investigations/medication-related-harm/second-investigation-report/ (Accessed: 10 August 2026).</w:t>
      </w:r>
    </w:p>
    <w:p w14:paraId="696020E0"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lastRenderedPageBreak/>
        <w:t xml:space="preserve">Hersey, P. and Blanchard, K.H. (1988) </w:t>
      </w:r>
      <w:r w:rsidRPr="000762ED">
        <w:rPr>
          <w:rFonts w:ascii="Arial" w:hAnsi="Arial" w:cs="Arial"/>
          <w:i/>
          <w:iCs/>
        </w:rPr>
        <w:t xml:space="preserve">Management of organizational </w:t>
      </w:r>
      <w:proofErr w:type="spellStart"/>
      <w:r w:rsidRPr="000762ED">
        <w:rPr>
          <w:rFonts w:ascii="Arial" w:hAnsi="Arial" w:cs="Arial"/>
          <w:i/>
          <w:iCs/>
        </w:rPr>
        <w:t>behavior</w:t>
      </w:r>
      <w:proofErr w:type="spellEnd"/>
      <w:r w:rsidRPr="000762ED">
        <w:rPr>
          <w:rFonts w:ascii="Arial" w:hAnsi="Arial" w:cs="Arial"/>
          <w:i/>
          <w:iCs/>
        </w:rPr>
        <w:t>: Utilizing human resources</w:t>
      </w:r>
      <w:r w:rsidRPr="000762ED">
        <w:rPr>
          <w:rFonts w:ascii="Arial" w:hAnsi="Arial" w:cs="Arial"/>
        </w:rPr>
        <w:t xml:space="preserve">. 5th </w:t>
      </w:r>
      <w:proofErr w:type="spellStart"/>
      <w:r w:rsidRPr="000762ED">
        <w:rPr>
          <w:rFonts w:ascii="Arial" w:hAnsi="Arial" w:cs="Arial"/>
        </w:rPr>
        <w:t>edn</w:t>
      </w:r>
      <w:proofErr w:type="spellEnd"/>
      <w:r w:rsidRPr="000762ED">
        <w:rPr>
          <w:rFonts w:ascii="Arial" w:hAnsi="Arial" w:cs="Arial"/>
        </w:rPr>
        <w:t>. Englewood Cliffs: Prentice-Hall.</w:t>
      </w:r>
    </w:p>
    <w:p w14:paraId="27DA0D9D"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Hofstede, G. (2011) '</w:t>
      </w:r>
      <w:proofErr w:type="spellStart"/>
      <w:r w:rsidRPr="000762ED">
        <w:rPr>
          <w:rFonts w:ascii="Arial" w:hAnsi="Arial" w:cs="Arial"/>
        </w:rPr>
        <w:t>Dimensionalizing</w:t>
      </w:r>
      <w:proofErr w:type="spellEnd"/>
      <w:r w:rsidRPr="000762ED">
        <w:rPr>
          <w:rFonts w:ascii="Arial" w:hAnsi="Arial" w:cs="Arial"/>
        </w:rPr>
        <w:t xml:space="preserve"> cultures: The Hofstede model in context', </w:t>
      </w:r>
      <w:r w:rsidRPr="000762ED">
        <w:rPr>
          <w:rFonts w:ascii="Arial" w:hAnsi="Arial" w:cs="Arial"/>
          <w:i/>
          <w:iCs/>
        </w:rPr>
        <w:t>Online Readings in Psychology and Culture</w:t>
      </w:r>
      <w:r w:rsidRPr="000762ED">
        <w:rPr>
          <w:rFonts w:ascii="Arial" w:hAnsi="Arial" w:cs="Arial"/>
        </w:rPr>
        <w:t>, 2(1), pp. 1–26.</w:t>
      </w:r>
    </w:p>
    <w:p w14:paraId="73490A83"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Institute for Healthcare Improvement (IHI) (2022) </w:t>
      </w:r>
      <w:r w:rsidRPr="000762ED">
        <w:rPr>
          <w:rFonts w:ascii="Arial" w:hAnsi="Arial" w:cs="Arial"/>
          <w:i/>
          <w:iCs/>
        </w:rPr>
        <w:t xml:space="preserve">Patient Safety Essentials Toolkit: Standardized Communication and Leadership </w:t>
      </w:r>
      <w:proofErr w:type="spellStart"/>
      <w:r w:rsidRPr="000762ED">
        <w:rPr>
          <w:rFonts w:ascii="Arial" w:hAnsi="Arial" w:cs="Arial"/>
          <w:i/>
          <w:iCs/>
        </w:rPr>
        <w:t>Walkrounds</w:t>
      </w:r>
      <w:proofErr w:type="spellEnd"/>
      <w:r w:rsidRPr="000762ED">
        <w:rPr>
          <w:rFonts w:ascii="Arial" w:hAnsi="Arial" w:cs="Arial"/>
        </w:rPr>
        <w:t>. Boston: IHI.</w:t>
      </w:r>
    </w:p>
    <w:p w14:paraId="5425328F"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Institute for Safe Medication Practices (ISMP) (2021) </w:t>
      </w:r>
      <w:r w:rsidRPr="000762ED">
        <w:rPr>
          <w:rFonts w:ascii="Arial" w:hAnsi="Arial" w:cs="Arial"/>
          <w:i/>
          <w:iCs/>
        </w:rPr>
        <w:t>ISMP Guidelines for Timely Administration of Scheduled Medications in Inpatient Settings</w:t>
      </w:r>
      <w:r w:rsidRPr="000762ED">
        <w:rPr>
          <w:rFonts w:ascii="Arial" w:hAnsi="Arial" w:cs="Arial"/>
        </w:rPr>
        <w:t>. Horsham: ISMP.</w:t>
      </w:r>
    </w:p>
    <w:p w14:paraId="3211723D"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Joint Commission (2023) </w:t>
      </w:r>
      <w:r w:rsidRPr="000762ED">
        <w:rPr>
          <w:rFonts w:ascii="Arial" w:hAnsi="Arial" w:cs="Arial"/>
          <w:i/>
          <w:iCs/>
        </w:rPr>
        <w:t>National Patient Safety Goals Effective January 2023 for the Hospital Program</w:t>
      </w:r>
      <w:r w:rsidRPr="000762ED">
        <w:rPr>
          <w:rFonts w:ascii="Arial" w:hAnsi="Arial" w:cs="Arial"/>
        </w:rPr>
        <w:t>. Oakbrook Terrace: The Joint Commission.</w:t>
      </w:r>
    </w:p>
    <w:p w14:paraId="62586347"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Mannion, R. and Davies, H.T. (2018) 'Understanding organisational culture for healthcare improvement', </w:t>
      </w:r>
      <w:r w:rsidRPr="000762ED">
        <w:rPr>
          <w:rFonts w:ascii="Arial" w:hAnsi="Arial" w:cs="Arial"/>
          <w:i/>
          <w:iCs/>
        </w:rPr>
        <w:t>BMJ</w:t>
      </w:r>
      <w:r w:rsidRPr="000762ED">
        <w:rPr>
          <w:rFonts w:ascii="Arial" w:hAnsi="Arial" w:cs="Arial"/>
        </w:rPr>
        <w:t>, 363, k4907.</w:t>
      </w:r>
    </w:p>
    <w:p w14:paraId="73E581D1"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Medicines and Healthcare products Regulatory Agency (MHRA) (2022) </w:t>
      </w:r>
      <w:r w:rsidRPr="000762ED">
        <w:rPr>
          <w:rFonts w:ascii="Arial" w:hAnsi="Arial" w:cs="Arial"/>
          <w:i/>
          <w:iCs/>
        </w:rPr>
        <w:t>Direct Acting Oral Anticoagulants (DOACs): Reminder of safety checks during temporary interruption</w:t>
      </w:r>
      <w:r w:rsidRPr="000762ED">
        <w:rPr>
          <w:rFonts w:ascii="Arial" w:hAnsi="Arial" w:cs="Arial"/>
        </w:rPr>
        <w:t>. Drug Safety Update 15(8), p. 2.</w:t>
      </w:r>
    </w:p>
    <w:p w14:paraId="46B225C3"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Mintzberg, H. (1983) </w:t>
      </w:r>
      <w:r w:rsidRPr="000762ED">
        <w:rPr>
          <w:rFonts w:ascii="Arial" w:hAnsi="Arial" w:cs="Arial"/>
          <w:i/>
          <w:iCs/>
        </w:rPr>
        <w:t>Structure in fives: Designing effective organizations</w:t>
      </w:r>
      <w:r w:rsidRPr="000762ED">
        <w:rPr>
          <w:rFonts w:ascii="Arial" w:hAnsi="Arial" w:cs="Arial"/>
        </w:rPr>
        <w:t>. Englewood Cliffs: Prentice-Hall.</w:t>
      </w:r>
    </w:p>
    <w:p w14:paraId="3B5F86F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National Reporting and Learning System (NRLS) (2022) </w:t>
      </w:r>
      <w:r w:rsidRPr="000762ED">
        <w:rPr>
          <w:rFonts w:ascii="Arial" w:hAnsi="Arial" w:cs="Arial"/>
          <w:i/>
          <w:iCs/>
        </w:rPr>
        <w:t>National Patient Safety Incident Data Report: Medication Incidents in NHS Acute Trusts</w:t>
      </w:r>
      <w:r w:rsidRPr="000762ED">
        <w:rPr>
          <w:rFonts w:ascii="Arial" w:hAnsi="Arial" w:cs="Arial"/>
        </w:rPr>
        <w:t>. London: NHS England.</w:t>
      </w:r>
    </w:p>
    <w:p w14:paraId="5AC9F631"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NHS Confederation (2022) </w:t>
      </w:r>
      <w:r w:rsidRPr="000762ED">
        <w:rPr>
          <w:rFonts w:ascii="Arial" w:hAnsi="Arial" w:cs="Arial"/>
          <w:i/>
          <w:iCs/>
        </w:rPr>
        <w:t>Integrated Care Systems and Clinical Governance: Driving Quality Across Pathways</w:t>
      </w:r>
      <w:r w:rsidRPr="000762ED">
        <w:rPr>
          <w:rFonts w:ascii="Arial" w:hAnsi="Arial" w:cs="Arial"/>
        </w:rPr>
        <w:t>. London: NHS Confederation.</w:t>
      </w:r>
    </w:p>
    <w:p w14:paraId="10F699AF"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NHS England (2021) </w:t>
      </w:r>
      <w:r w:rsidRPr="000762ED">
        <w:rPr>
          <w:rFonts w:ascii="Arial" w:hAnsi="Arial" w:cs="Arial"/>
          <w:i/>
          <w:iCs/>
        </w:rPr>
        <w:t>Revised Never Events Policy and Framework</w:t>
      </w:r>
      <w:r w:rsidRPr="000762ED">
        <w:rPr>
          <w:rFonts w:ascii="Arial" w:hAnsi="Arial" w:cs="Arial"/>
        </w:rPr>
        <w:t>. London: NHS England.</w:t>
      </w:r>
    </w:p>
    <w:p w14:paraId="5F7286EB"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NHS England (2022) </w:t>
      </w:r>
      <w:r w:rsidRPr="000762ED">
        <w:rPr>
          <w:rFonts w:ascii="Arial" w:hAnsi="Arial" w:cs="Arial"/>
          <w:i/>
          <w:iCs/>
        </w:rPr>
        <w:t xml:space="preserve">National Patient Safety Strategy: Delivering safer care through </w:t>
      </w:r>
      <w:proofErr w:type="spellStart"/>
      <w:r w:rsidRPr="000762ED">
        <w:rPr>
          <w:rFonts w:ascii="Arial" w:hAnsi="Arial" w:cs="Arial"/>
          <w:i/>
          <w:iCs/>
        </w:rPr>
        <w:t>ePMA</w:t>
      </w:r>
      <w:proofErr w:type="spellEnd"/>
      <w:r w:rsidRPr="000762ED">
        <w:rPr>
          <w:rFonts w:ascii="Arial" w:hAnsi="Arial" w:cs="Arial"/>
          <w:i/>
          <w:iCs/>
        </w:rPr>
        <w:t xml:space="preserve"> and medication safety networks</w:t>
      </w:r>
      <w:r w:rsidRPr="000762ED">
        <w:rPr>
          <w:rFonts w:ascii="Arial" w:hAnsi="Arial" w:cs="Arial"/>
        </w:rPr>
        <w:t>. London: NHS England.</w:t>
      </w:r>
    </w:p>
    <w:p w14:paraId="47AED5FD"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lastRenderedPageBreak/>
        <w:t xml:space="preserve">Northouse, P.G. (2021) </w:t>
      </w:r>
      <w:r w:rsidRPr="000762ED">
        <w:rPr>
          <w:rFonts w:ascii="Arial" w:hAnsi="Arial" w:cs="Arial"/>
          <w:i/>
          <w:iCs/>
        </w:rPr>
        <w:t>Leadership: Theory and practice</w:t>
      </w:r>
      <w:r w:rsidRPr="000762ED">
        <w:rPr>
          <w:rFonts w:ascii="Arial" w:hAnsi="Arial" w:cs="Arial"/>
        </w:rPr>
        <w:t xml:space="preserve">. 9th </w:t>
      </w:r>
      <w:proofErr w:type="spellStart"/>
      <w:r w:rsidRPr="000762ED">
        <w:rPr>
          <w:rFonts w:ascii="Arial" w:hAnsi="Arial" w:cs="Arial"/>
        </w:rPr>
        <w:t>edn</w:t>
      </w:r>
      <w:proofErr w:type="spellEnd"/>
      <w:r w:rsidRPr="000762ED">
        <w:rPr>
          <w:rFonts w:ascii="Arial" w:hAnsi="Arial" w:cs="Arial"/>
        </w:rPr>
        <w:t>. Thousand Oaks: Sage Publications.</w:t>
      </w:r>
    </w:p>
    <w:p w14:paraId="195424F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Peckham, S., </w:t>
      </w:r>
      <w:proofErr w:type="spellStart"/>
      <w:r w:rsidRPr="000762ED">
        <w:rPr>
          <w:rFonts w:ascii="Arial" w:hAnsi="Arial" w:cs="Arial"/>
        </w:rPr>
        <w:t>Exworthy</w:t>
      </w:r>
      <w:proofErr w:type="spellEnd"/>
      <w:r w:rsidRPr="000762ED">
        <w:rPr>
          <w:rFonts w:ascii="Arial" w:hAnsi="Arial" w:cs="Arial"/>
        </w:rPr>
        <w:t xml:space="preserve">, M., Powell, M. and Greener, I. (2018) </w:t>
      </w:r>
      <w:r w:rsidRPr="000762ED">
        <w:rPr>
          <w:rFonts w:ascii="Arial" w:hAnsi="Arial" w:cs="Arial"/>
          <w:i/>
          <w:iCs/>
        </w:rPr>
        <w:t>Decentralisation, managerialism and health policy study: Systemic evaluation</w:t>
      </w:r>
      <w:r w:rsidRPr="000762ED">
        <w:rPr>
          <w:rFonts w:ascii="Arial" w:hAnsi="Arial" w:cs="Arial"/>
        </w:rPr>
        <w:t>. London: Policy Press.</w:t>
      </w:r>
    </w:p>
    <w:p w14:paraId="4C1B4B09"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Pian-Smith, M.C., Simon, R., Minehart, R.D., Podraza, M., Rudolph, J., Walzer, T. and Raemer, D. (2009) 'Teaching nurses on the front line to speak up, challenge, and use clinical advocacy skills', </w:t>
      </w:r>
      <w:r w:rsidRPr="000762ED">
        <w:rPr>
          <w:rFonts w:ascii="Arial" w:hAnsi="Arial" w:cs="Arial"/>
          <w:i/>
          <w:iCs/>
        </w:rPr>
        <w:t>Journal of Continuing Education in Nursing</w:t>
      </w:r>
      <w:r w:rsidRPr="000762ED">
        <w:rPr>
          <w:rFonts w:ascii="Arial" w:hAnsi="Arial" w:cs="Arial"/>
        </w:rPr>
        <w:t>, 40(4), pp. 181–188.</w:t>
      </w:r>
    </w:p>
    <w:p w14:paraId="4E1A654C"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Prasad, R. (2020) 'Public health infrastructure and hospital governance in India', </w:t>
      </w:r>
      <w:r w:rsidRPr="000762ED">
        <w:rPr>
          <w:rFonts w:ascii="Arial" w:hAnsi="Arial" w:cs="Arial"/>
          <w:i/>
          <w:iCs/>
        </w:rPr>
        <w:t>Indian Journal of Medical Ethics</w:t>
      </w:r>
      <w:r w:rsidRPr="000762ED">
        <w:rPr>
          <w:rFonts w:ascii="Arial" w:hAnsi="Arial" w:cs="Arial"/>
        </w:rPr>
        <w:t>, 5(2), pp. 112–119.</w:t>
      </w:r>
    </w:p>
    <w:p w14:paraId="65ACE3F5"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Realpe, A. and Wallace, L.M. (2020) </w:t>
      </w:r>
      <w:r w:rsidRPr="000762ED">
        <w:rPr>
          <w:rFonts w:ascii="Arial" w:hAnsi="Arial" w:cs="Arial"/>
          <w:i/>
          <w:iCs/>
        </w:rPr>
        <w:t>What is co-production and how can it be used to empower service users?</w:t>
      </w:r>
      <w:r w:rsidRPr="000762ED">
        <w:rPr>
          <w:rFonts w:ascii="Arial" w:hAnsi="Arial" w:cs="Arial"/>
        </w:rPr>
        <w:t xml:space="preserve"> London: Health Foundation.</w:t>
      </w:r>
    </w:p>
    <w:p w14:paraId="34B2158E"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Reason, J. (1997) </w:t>
      </w:r>
      <w:r w:rsidRPr="000762ED">
        <w:rPr>
          <w:rFonts w:ascii="Arial" w:hAnsi="Arial" w:cs="Arial"/>
          <w:i/>
          <w:iCs/>
        </w:rPr>
        <w:t>Managing the risks of organizational accidents</w:t>
      </w:r>
      <w:r w:rsidRPr="000762ED">
        <w:rPr>
          <w:rFonts w:ascii="Arial" w:hAnsi="Arial" w:cs="Arial"/>
        </w:rPr>
        <w:t>. Aldershot: Ashgate.</w:t>
      </w:r>
    </w:p>
    <w:p w14:paraId="2EF1C37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Reason, J. (2000) 'Human error: models and management', </w:t>
      </w:r>
      <w:r w:rsidRPr="000762ED">
        <w:rPr>
          <w:rFonts w:ascii="Arial" w:hAnsi="Arial" w:cs="Arial"/>
          <w:i/>
          <w:iCs/>
        </w:rPr>
        <w:t>BMJ</w:t>
      </w:r>
      <w:r w:rsidRPr="000762ED">
        <w:rPr>
          <w:rFonts w:ascii="Arial" w:hAnsi="Arial" w:cs="Arial"/>
        </w:rPr>
        <w:t>, 320(7237), pp. 768–770.</w:t>
      </w:r>
    </w:p>
    <w:p w14:paraId="0BE4DF7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Reason, J. (2016) </w:t>
      </w:r>
      <w:r w:rsidRPr="000762ED">
        <w:rPr>
          <w:rFonts w:ascii="Arial" w:hAnsi="Arial" w:cs="Arial"/>
          <w:i/>
          <w:iCs/>
        </w:rPr>
        <w:t>Organizational accidents revisited</w:t>
      </w:r>
      <w:r w:rsidRPr="000762ED">
        <w:rPr>
          <w:rFonts w:ascii="Arial" w:hAnsi="Arial" w:cs="Arial"/>
        </w:rPr>
        <w:t>. CRC Press.</w:t>
      </w:r>
    </w:p>
    <w:p w14:paraId="665D77EC"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Royal College of Physicians (RCP) (2022) </w:t>
      </w:r>
      <w:r w:rsidRPr="000762ED">
        <w:rPr>
          <w:rFonts w:ascii="Arial" w:hAnsi="Arial" w:cs="Arial"/>
          <w:i/>
          <w:iCs/>
        </w:rPr>
        <w:t>Workload and Bed Occupancy in Acute General Medicine: National Census Report</w:t>
      </w:r>
      <w:r w:rsidRPr="000762ED">
        <w:rPr>
          <w:rFonts w:ascii="Arial" w:hAnsi="Arial" w:cs="Arial"/>
        </w:rPr>
        <w:t>. London: RCP.</w:t>
      </w:r>
    </w:p>
    <w:p w14:paraId="2ACE9292"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Saltman, R.B. and </w:t>
      </w:r>
      <w:proofErr w:type="spellStart"/>
      <w:r w:rsidRPr="000762ED">
        <w:rPr>
          <w:rFonts w:ascii="Arial" w:hAnsi="Arial" w:cs="Arial"/>
        </w:rPr>
        <w:t>Bankauskaite</w:t>
      </w:r>
      <w:proofErr w:type="spellEnd"/>
      <w:r w:rsidRPr="000762ED">
        <w:rPr>
          <w:rFonts w:ascii="Arial" w:hAnsi="Arial" w:cs="Arial"/>
        </w:rPr>
        <w:t xml:space="preserve">, V. (2006) 'Conceptualizing decentralization in European health systems: a functional perspective', </w:t>
      </w:r>
      <w:r w:rsidRPr="000762ED">
        <w:rPr>
          <w:rFonts w:ascii="Arial" w:hAnsi="Arial" w:cs="Arial"/>
          <w:i/>
          <w:iCs/>
        </w:rPr>
        <w:t>Health Policy</w:t>
      </w:r>
      <w:r w:rsidRPr="000762ED">
        <w:rPr>
          <w:rFonts w:ascii="Arial" w:hAnsi="Arial" w:cs="Arial"/>
        </w:rPr>
        <w:t>, 75(2), pp. 127–139.</w:t>
      </w:r>
    </w:p>
    <w:p w14:paraId="51D9ABDA"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Vaughan, D. (1996) </w:t>
      </w:r>
      <w:r w:rsidRPr="000762ED">
        <w:rPr>
          <w:rFonts w:ascii="Arial" w:hAnsi="Arial" w:cs="Arial"/>
          <w:i/>
          <w:iCs/>
        </w:rPr>
        <w:t>The Challenger launch decision: Risky technology, culture, and deviance at NASA</w:t>
      </w:r>
      <w:r w:rsidRPr="000762ED">
        <w:rPr>
          <w:rFonts w:ascii="Arial" w:hAnsi="Arial" w:cs="Arial"/>
        </w:rPr>
        <w:t>. Chicago: University of Chicago Press.</w:t>
      </w:r>
    </w:p>
    <w:p w14:paraId="26A2A89B"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Vincent, C. (2010) </w:t>
      </w:r>
      <w:r w:rsidRPr="000762ED">
        <w:rPr>
          <w:rFonts w:ascii="Arial" w:hAnsi="Arial" w:cs="Arial"/>
          <w:i/>
          <w:iCs/>
        </w:rPr>
        <w:t>Patient safety</w:t>
      </w:r>
      <w:r w:rsidRPr="000762ED">
        <w:rPr>
          <w:rFonts w:ascii="Arial" w:hAnsi="Arial" w:cs="Arial"/>
        </w:rPr>
        <w:t xml:space="preserve">. 2nd </w:t>
      </w:r>
      <w:proofErr w:type="spellStart"/>
      <w:r w:rsidRPr="000762ED">
        <w:rPr>
          <w:rFonts w:ascii="Arial" w:hAnsi="Arial" w:cs="Arial"/>
        </w:rPr>
        <w:t>edn</w:t>
      </w:r>
      <w:proofErr w:type="spellEnd"/>
      <w:r w:rsidRPr="000762ED">
        <w:rPr>
          <w:rFonts w:ascii="Arial" w:hAnsi="Arial" w:cs="Arial"/>
        </w:rPr>
        <w:t>. Chichester: Wiley-Blackwell.</w:t>
      </w:r>
    </w:p>
    <w:p w14:paraId="492B170D"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Weick, K.E. and Sutcliffe, K.M. (2015) </w:t>
      </w:r>
      <w:r w:rsidRPr="000762ED">
        <w:rPr>
          <w:rFonts w:ascii="Arial" w:hAnsi="Arial" w:cs="Arial"/>
          <w:i/>
          <w:iCs/>
        </w:rPr>
        <w:t>Managing the unexpected: Sustained performance in a complex world</w:t>
      </w:r>
      <w:r w:rsidRPr="000762ED">
        <w:rPr>
          <w:rFonts w:ascii="Arial" w:hAnsi="Arial" w:cs="Arial"/>
        </w:rPr>
        <w:t xml:space="preserve">. 3rd </w:t>
      </w:r>
      <w:proofErr w:type="spellStart"/>
      <w:r w:rsidRPr="000762ED">
        <w:rPr>
          <w:rFonts w:ascii="Arial" w:hAnsi="Arial" w:cs="Arial"/>
        </w:rPr>
        <w:t>edn</w:t>
      </w:r>
      <w:proofErr w:type="spellEnd"/>
      <w:r w:rsidRPr="000762ED">
        <w:rPr>
          <w:rFonts w:ascii="Arial" w:hAnsi="Arial" w:cs="Arial"/>
        </w:rPr>
        <w:t>. San Francisco: Jossey-Bass.</w:t>
      </w:r>
    </w:p>
    <w:p w14:paraId="1520384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lastRenderedPageBreak/>
        <w:t xml:space="preserve">West, M., Armit, K., Loewenthal, L., Eckert, R., West, T. and Lee, A. (2020) </w:t>
      </w:r>
      <w:r w:rsidRPr="000762ED">
        <w:rPr>
          <w:rFonts w:ascii="Arial" w:hAnsi="Arial" w:cs="Arial"/>
          <w:i/>
          <w:iCs/>
        </w:rPr>
        <w:t>Leadership and leadership development in health care: The evidence base</w:t>
      </w:r>
      <w:r w:rsidRPr="000762ED">
        <w:rPr>
          <w:rFonts w:ascii="Arial" w:hAnsi="Arial" w:cs="Arial"/>
        </w:rPr>
        <w:t>. London: The King's Fund.</w:t>
      </w:r>
    </w:p>
    <w:p w14:paraId="101B9426"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Wong, C.A., Cummings, G.G. and Ducharme, L. (2013) 'The relationship between nursing leadership and patient outcomes: a systematic review update', </w:t>
      </w:r>
      <w:r w:rsidRPr="000762ED">
        <w:rPr>
          <w:rFonts w:ascii="Arial" w:hAnsi="Arial" w:cs="Arial"/>
          <w:i/>
          <w:iCs/>
        </w:rPr>
        <w:t>Journal of Nursing Management</w:t>
      </w:r>
      <w:r w:rsidRPr="000762ED">
        <w:rPr>
          <w:rFonts w:ascii="Arial" w:hAnsi="Arial" w:cs="Arial"/>
        </w:rPr>
        <w:t>, 21(5), pp. 709–724.</w:t>
      </w:r>
    </w:p>
    <w:p w14:paraId="0D0F2A8F"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World Bank (2023) </w:t>
      </w:r>
      <w:r w:rsidRPr="000762ED">
        <w:rPr>
          <w:rFonts w:ascii="Arial" w:hAnsi="Arial" w:cs="Arial"/>
          <w:i/>
          <w:iCs/>
        </w:rPr>
        <w:t>World Development Report 2023: Health Systems and Public Sector Governance in Developing Nations</w:t>
      </w:r>
      <w:r w:rsidRPr="000762ED">
        <w:rPr>
          <w:rFonts w:ascii="Arial" w:hAnsi="Arial" w:cs="Arial"/>
        </w:rPr>
        <w:t>. Washington DC: World Bank.</w:t>
      </w:r>
    </w:p>
    <w:p w14:paraId="19E05EA2"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World Health Organization (WHO) (2022) </w:t>
      </w:r>
      <w:r w:rsidRPr="000762ED">
        <w:rPr>
          <w:rFonts w:ascii="Arial" w:hAnsi="Arial" w:cs="Arial"/>
          <w:i/>
          <w:iCs/>
        </w:rPr>
        <w:t>Global Patient Safety Action Plan 2021–2030: Medication Without Harm</w:t>
      </w:r>
      <w:r w:rsidRPr="000762ED">
        <w:rPr>
          <w:rFonts w:ascii="Arial" w:hAnsi="Arial" w:cs="Arial"/>
        </w:rPr>
        <w:t>. Geneva: World Health Organization.</w:t>
      </w:r>
    </w:p>
    <w:p w14:paraId="4F9B268C" w14:textId="77777777" w:rsidR="000762ED" w:rsidRPr="000762ED" w:rsidRDefault="000762ED" w:rsidP="000762ED">
      <w:pPr>
        <w:numPr>
          <w:ilvl w:val="0"/>
          <w:numId w:val="16"/>
        </w:numPr>
        <w:spacing w:line="360" w:lineRule="auto"/>
        <w:rPr>
          <w:rFonts w:ascii="Arial" w:hAnsi="Arial" w:cs="Arial"/>
        </w:rPr>
      </w:pPr>
      <w:r w:rsidRPr="000762ED">
        <w:rPr>
          <w:rFonts w:ascii="Arial" w:hAnsi="Arial" w:cs="Arial"/>
        </w:rPr>
        <w:t xml:space="preserve">Yukl, G. (2013) </w:t>
      </w:r>
      <w:r w:rsidRPr="000762ED">
        <w:rPr>
          <w:rFonts w:ascii="Arial" w:hAnsi="Arial" w:cs="Arial"/>
          <w:i/>
          <w:iCs/>
        </w:rPr>
        <w:t>Leadership in organizations</w:t>
      </w:r>
      <w:r w:rsidRPr="000762ED">
        <w:rPr>
          <w:rFonts w:ascii="Arial" w:hAnsi="Arial" w:cs="Arial"/>
        </w:rPr>
        <w:t xml:space="preserve">. 8th </w:t>
      </w:r>
      <w:proofErr w:type="spellStart"/>
      <w:r w:rsidRPr="000762ED">
        <w:rPr>
          <w:rFonts w:ascii="Arial" w:hAnsi="Arial" w:cs="Arial"/>
        </w:rPr>
        <w:t>edn</w:t>
      </w:r>
      <w:proofErr w:type="spellEnd"/>
      <w:r w:rsidRPr="000762ED">
        <w:rPr>
          <w:rFonts w:ascii="Arial" w:hAnsi="Arial" w:cs="Arial"/>
        </w:rPr>
        <w:t>. Boston: Pearson.</w:t>
      </w:r>
    </w:p>
    <w:p w14:paraId="0876FE88" w14:textId="77777777" w:rsidR="00A251F5" w:rsidRPr="000762ED" w:rsidRDefault="00A251F5" w:rsidP="000762ED">
      <w:pPr>
        <w:spacing w:line="360" w:lineRule="auto"/>
        <w:rPr>
          <w:rFonts w:ascii="Arial" w:hAnsi="Arial" w:cs="Arial"/>
        </w:rPr>
      </w:pPr>
    </w:p>
    <w:sectPr w:rsidR="00A251F5" w:rsidRPr="00076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601D"/>
    <w:multiLevelType w:val="multilevel"/>
    <w:tmpl w:val="F5649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91581"/>
    <w:multiLevelType w:val="multilevel"/>
    <w:tmpl w:val="6EF08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D62C2"/>
    <w:multiLevelType w:val="multilevel"/>
    <w:tmpl w:val="13F6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82ED2"/>
    <w:multiLevelType w:val="multilevel"/>
    <w:tmpl w:val="B438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B4CC7"/>
    <w:multiLevelType w:val="multilevel"/>
    <w:tmpl w:val="4D041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A600CE"/>
    <w:multiLevelType w:val="multilevel"/>
    <w:tmpl w:val="3170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16495"/>
    <w:multiLevelType w:val="multilevel"/>
    <w:tmpl w:val="D9AA1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E3705C"/>
    <w:multiLevelType w:val="multilevel"/>
    <w:tmpl w:val="6FE4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2343D8"/>
    <w:multiLevelType w:val="multilevel"/>
    <w:tmpl w:val="F594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8013FA"/>
    <w:multiLevelType w:val="multilevel"/>
    <w:tmpl w:val="362A7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30902"/>
    <w:multiLevelType w:val="multilevel"/>
    <w:tmpl w:val="A7A6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F22F8D"/>
    <w:multiLevelType w:val="multilevel"/>
    <w:tmpl w:val="C2DE5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E02502"/>
    <w:multiLevelType w:val="multilevel"/>
    <w:tmpl w:val="E8FC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5A6251"/>
    <w:multiLevelType w:val="multilevel"/>
    <w:tmpl w:val="1470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341D80"/>
    <w:multiLevelType w:val="multilevel"/>
    <w:tmpl w:val="E6587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074BA2"/>
    <w:multiLevelType w:val="multilevel"/>
    <w:tmpl w:val="9BFA4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F319B6"/>
    <w:multiLevelType w:val="multilevel"/>
    <w:tmpl w:val="002C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8524A8"/>
    <w:multiLevelType w:val="multilevel"/>
    <w:tmpl w:val="0E36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8260E1"/>
    <w:multiLevelType w:val="multilevel"/>
    <w:tmpl w:val="E34A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3A5D8E"/>
    <w:multiLevelType w:val="multilevel"/>
    <w:tmpl w:val="95A44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4356EF"/>
    <w:multiLevelType w:val="multilevel"/>
    <w:tmpl w:val="CD00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760E15"/>
    <w:multiLevelType w:val="multilevel"/>
    <w:tmpl w:val="D094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8292292">
    <w:abstractNumId w:val="14"/>
  </w:num>
  <w:num w:numId="2" w16cid:durableId="2050106649">
    <w:abstractNumId w:val="11"/>
  </w:num>
  <w:num w:numId="3" w16cid:durableId="1352874324">
    <w:abstractNumId w:val="20"/>
  </w:num>
  <w:num w:numId="4" w16cid:durableId="1657562366">
    <w:abstractNumId w:val="3"/>
  </w:num>
  <w:num w:numId="5" w16cid:durableId="1597444369">
    <w:abstractNumId w:val="7"/>
  </w:num>
  <w:num w:numId="6" w16cid:durableId="57361739">
    <w:abstractNumId w:val="21"/>
  </w:num>
  <w:num w:numId="7" w16cid:durableId="254556713">
    <w:abstractNumId w:val="5"/>
  </w:num>
  <w:num w:numId="8" w16cid:durableId="2065714732">
    <w:abstractNumId w:val="17"/>
  </w:num>
  <w:num w:numId="9" w16cid:durableId="468977330">
    <w:abstractNumId w:val="10"/>
  </w:num>
  <w:num w:numId="10" w16cid:durableId="77290454">
    <w:abstractNumId w:val="4"/>
  </w:num>
  <w:num w:numId="11" w16cid:durableId="1523670340">
    <w:abstractNumId w:val="18"/>
  </w:num>
  <w:num w:numId="12" w16cid:durableId="509024127">
    <w:abstractNumId w:val="12"/>
  </w:num>
  <w:num w:numId="13" w16cid:durableId="1483624093">
    <w:abstractNumId w:val="2"/>
  </w:num>
  <w:num w:numId="14" w16cid:durableId="932516203">
    <w:abstractNumId w:val="8"/>
  </w:num>
  <w:num w:numId="15" w16cid:durableId="1958484500">
    <w:abstractNumId w:val="16"/>
  </w:num>
  <w:num w:numId="16" w16cid:durableId="1335062733">
    <w:abstractNumId w:val="6"/>
  </w:num>
  <w:num w:numId="17" w16cid:durableId="90592148">
    <w:abstractNumId w:val="1"/>
  </w:num>
  <w:num w:numId="18" w16cid:durableId="1964966193">
    <w:abstractNumId w:val="0"/>
  </w:num>
  <w:num w:numId="19" w16cid:durableId="1766030472">
    <w:abstractNumId w:val="15"/>
  </w:num>
  <w:num w:numId="20" w16cid:durableId="167209750">
    <w:abstractNumId w:val="9"/>
  </w:num>
  <w:num w:numId="21" w16cid:durableId="1179925386">
    <w:abstractNumId w:val="19"/>
  </w:num>
  <w:num w:numId="22" w16cid:durableId="10693029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ED"/>
    <w:rsid w:val="00067490"/>
    <w:rsid w:val="000762ED"/>
    <w:rsid w:val="00090593"/>
    <w:rsid w:val="0024464A"/>
    <w:rsid w:val="00540C7A"/>
    <w:rsid w:val="007B0C15"/>
    <w:rsid w:val="007F3BA4"/>
    <w:rsid w:val="008606B4"/>
    <w:rsid w:val="00862EA4"/>
    <w:rsid w:val="00A251F5"/>
    <w:rsid w:val="00BA49FE"/>
    <w:rsid w:val="00C86E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D30C2"/>
  <w15:chartTrackingRefBased/>
  <w15:docId w15:val="{52E990D9-E13E-42A6-8699-25C7A68F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2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2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2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2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2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2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2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2ED"/>
    <w:rPr>
      <w:rFonts w:eastAsiaTheme="majorEastAsia" w:cstheme="majorBidi"/>
      <w:color w:val="272727" w:themeColor="text1" w:themeTint="D8"/>
    </w:rPr>
  </w:style>
  <w:style w:type="paragraph" w:styleId="Title">
    <w:name w:val="Title"/>
    <w:basedOn w:val="Normal"/>
    <w:next w:val="Normal"/>
    <w:link w:val="TitleChar"/>
    <w:uiPriority w:val="10"/>
    <w:qFormat/>
    <w:rsid w:val="00076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2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2ED"/>
    <w:pPr>
      <w:spacing w:before="160"/>
      <w:jc w:val="center"/>
    </w:pPr>
    <w:rPr>
      <w:i/>
      <w:iCs/>
      <w:color w:val="404040" w:themeColor="text1" w:themeTint="BF"/>
    </w:rPr>
  </w:style>
  <w:style w:type="character" w:customStyle="1" w:styleId="QuoteChar">
    <w:name w:val="Quote Char"/>
    <w:basedOn w:val="DefaultParagraphFont"/>
    <w:link w:val="Quote"/>
    <w:uiPriority w:val="29"/>
    <w:rsid w:val="000762ED"/>
    <w:rPr>
      <w:i/>
      <w:iCs/>
      <w:color w:val="404040" w:themeColor="text1" w:themeTint="BF"/>
    </w:rPr>
  </w:style>
  <w:style w:type="paragraph" w:styleId="ListParagraph">
    <w:name w:val="List Paragraph"/>
    <w:basedOn w:val="Normal"/>
    <w:uiPriority w:val="34"/>
    <w:qFormat/>
    <w:rsid w:val="000762ED"/>
    <w:pPr>
      <w:ind w:left="720"/>
      <w:contextualSpacing/>
    </w:pPr>
  </w:style>
  <w:style w:type="character" w:styleId="IntenseEmphasis">
    <w:name w:val="Intense Emphasis"/>
    <w:basedOn w:val="DefaultParagraphFont"/>
    <w:uiPriority w:val="21"/>
    <w:qFormat/>
    <w:rsid w:val="000762ED"/>
    <w:rPr>
      <w:i/>
      <w:iCs/>
      <w:color w:val="0F4761" w:themeColor="accent1" w:themeShade="BF"/>
    </w:rPr>
  </w:style>
  <w:style w:type="paragraph" w:styleId="IntenseQuote">
    <w:name w:val="Intense Quote"/>
    <w:basedOn w:val="Normal"/>
    <w:next w:val="Normal"/>
    <w:link w:val="IntenseQuoteChar"/>
    <w:uiPriority w:val="30"/>
    <w:qFormat/>
    <w:rsid w:val="00076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2ED"/>
    <w:rPr>
      <w:i/>
      <w:iCs/>
      <w:color w:val="0F4761" w:themeColor="accent1" w:themeShade="BF"/>
    </w:rPr>
  </w:style>
  <w:style w:type="character" w:styleId="IntenseReference">
    <w:name w:val="Intense Reference"/>
    <w:basedOn w:val="DefaultParagraphFont"/>
    <w:uiPriority w:val="32"/>
    <w:qFormat/>
    <w:rsid w:val="000762ED"/>
    <w:rPr>
      <w:b/>
      <w:bCs/>
      <w:smallCaps/>
      <w:color w:val="0F4761" w:themeColor="accent1" w:themeShade="BF"/>
      <w:spacing w:val="5"/>
    </w:rPr>
  </w:style>
  <w:style w:type="table" w:styleId="TableGrid">
    <w:name w:val="Table Grid"/>
    <w:basedOn w:val="TableNormal"/>
    <w:uiPriority w:val="39"/>
    <w:rsid w:val="00076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905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B0C15"/>
    <w:pPr>
      <w:spacing w:before="100" w:beforeAutospacing="1" w:after="100" w:afterAutospacing="1" w:line="240" w:lineRule="auto"/>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6640</Words>
  <Characters>37849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shanipatel29@outlook.com</dc:creator>
  <cp:keywords/>
  <dc:description/>
  <cp:lastModifiedBy>shanipatel29@outlook.com</cp:lastModifiedBy>
  <cp:revision>2</cp:revision>
  <cp:lastPrinted>2026-08-10T13:22:00Z</cp:lastPrinted>
  <dcterms:created xsi:type="dcterms:W3CDTF">2026-08-11T09:37:00Z</dcterms:created>
  <dcterms:modified xsi:type="dcterms:W3CDTF">2026-08-11T09:37:00Z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8dfbb5e6-87c6-496d-b817-7deff5ca9791</vt:lpwstr>
  </property>
</Properties>
</file>