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54136" w14:textId="615A452F" w:rsidR="00D05FE4" w:rsidRPr="00DD4D3F" w:rsidRDefault="00C164AF" w:rsidP="00C164AF">
      <w:pPr>
        <w:rPr>
          <w:rFonts w:asciiTheme="majorHAnsi" w:hAnsiTheme="majorHAnsi" w:cstheme="majorHAnsi"/>
        </w:rPr>
      </w:pPr>
      <w:r>
        <w:rPr>
          <w:noProof/>
        </w:rPr>
        <w:drawing>
          <wp:inline distT="0" distB="0" distL="0" distR="0" wp14:anchorId="1FE365E2" wp14:editId="417D0E59">
            <wp:extent cx="3130550" cy="1543507"/>
            <wp:effectExtent l="0" t="0" r="0" b="0"/>
            <wp:docPr id="9959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45691" cy="1550972"/>
                    </a:xfrm>
                    <a:prstGeom prst="rect">
                      <a:avLst/>
                    </a:prstGeom>
                    <a:noFill/>
                    <a:ln>
                      <a:noFill/>
                    </a:ln>
                  </pic:spPr>
                </pic:pic>
              </a:graphicData>
            </a:graphic>
          </wp:inline>
        </w:drawing>
      </w:r>
    </w:p>
    <w:p w14:paraId="75239280" w14:textId="77777777" w:rsidR="00D05FE4" w:rsidRPr="00DD4D3F" w:rsidRDefault="00D05FE4" w:rsidP="00DD4D3F">
      <w:pPr>
        <w:jc w:val="center"/>
        <w:rPr>
          <w:rFonts w:asciiTheme="majorHAnsi" w:hAnsiTheme="majorHAnsi" w:cstheme="majorHAnsi"/>
        </w:rPr>
      </w:pPr>
    </w:p>
    <w:p w14:paraId="70B82931" w14:textId="77777777" w:rsidR="00D05FE4" w:rsidRPr="00DD4D3F" w:rsidRDefault="00D05FE4" w:rsidP="00DD4D3F">
      <w:pPr>
        <w:jc w:val="center"/>
        <w:rPr>
          <w:rFonts w:asciiTheme="majorHAnsi" w:hAnsiTheme="majorHAnsi" w:cstheme="majorHAnsi"/>
          <w:b/>
          <w:bCs/>
          <w:sz w:val="32"/>
          <w:szCs w:val="32"/>
        </w:rPr>
      </w:pPr>
    </w:p>
    <w:p w14:paraId="64111DD5" w14:textId="77777777" w:rsidR="00D05FE4" w:rsidRPr="00DD4D3F" w:rsidRDefault="00000000" w:rsidP="00DD4D3F">
      <w:pPr>
        <w:jc w:val="left"/>
        <w:rPr>
          <w:rFonts w:asciiTheme="majorHAnsi" w:hAnsiTheme="majorHAnsi" w:cstheme="majorHAnsi"/>
          <w:b/>
          <w:bCs/>
          <w:sz w:val="32"/>
          <w:szCs w:val="32"/>
        </w:rPr>
      </w:pPr>
      <w:r w:rsidRPr="00DD4D3F">
        <w:rPr>
          <w:rFonts w:asciiTheme="majorHAnsi" w:hAnsiTheme="majorHAnsi" w:cstheme="majorHAnsi"/>
          <w:b/>
          <w:bCs/>
          <w:sz w:val="32"/>
          <w:szCs w:val="32"/>
        </w:rPr>
        <w:t>Programme: MSc Cybersecurity and Digital Forensics</w:t>
      </w:r>
    </w:p>
    <w:p w14:paraId="7FB256E8" w14:textId="77777777" w:rsidR="00D05FE4" w:rsidRPr="00DD4D3F" w:rsidRDefault="00000000" w:rsidP="00DD4D3F">
      <w:pPr>
        <w:jc w:val="left"/>
        <w:rPr>
          <w:rFonts w:asciiTheme="majorHAnsi" w:hAnsiTheme="majorHAnsi" w:cstheme="majorHAnsi"/>
          <w:b/>
          <w:bCs/>
          <w:sz w:val="32"/>
          <w:szCs w:val="32"/>
        </w:rPr>
      </w:pPr>
      <w:r w:rsidRPr="00DD4D3F">
        <w:rPr>
          <w:rFonts w:asciiTheme="majorHAnsi" w:hAnsiTheme="majorHAnsi" w:cstheme="majorHAnsi"/>
          <w:b/>
          <w:bCs/>
          <w:sz w:val="32"/>
          <w:szCs w:val="32"/>
        </w:rPr>
        <w:t>Module: Data Security, Governance and Compliance</w:t>
      </w:r>
    </w:p>
    <w:p w14:paraId="77BCFD03" w14:textId="77777777" w:rsidR="00D05FE4" w:rsidRPr="00DD4D3F" w:rsidRDefault="00000000" w:rsidP="00DD4D3F">
      <w:pPr>
        <w:jc w:val="left"/>
        <w:rPr>
          <w:rFonts w:asciiTheme="majorHAnsi" w:hAnsiTheme="majorHAnsi" w:cstheme="majorHAnsi"/>
          <w:b/>
          <w:bCs/>
          <w:sz w:val="32"/>
          <w:szCs w:val="32"/>
        </w:rPr>
      </w:pPr>
      <w:r w:rsidRPr="00DD4D3F">
        <w:rPr>
          <w:rFonts w:asciiTheme="majorHAnsi" w:hAnsiTheme="majorHAnsi" w:cstheme="majorHAnsi"/>
          <w:b/>
          <w:bCs/>
          <w:sz w:val="32"/>
          <w:szCs w:val="32"/>
        </w:rPr>
        <w:t>Module code: ACCA7028</w:t>
      </w:r>
    </w:p>
    <w:p w14:paraId="28434A50" w14:textId="77777777" w:rsidR="00A767FA" w:rsidRPr="00DD4D3F" w:rsidRDefault="00000000" w:rsidP="00DD4D3F">
      <w:pPr>
        <w:jc w:val="left"/>
        <w:rPr>
          <w:rFonts w:asciiTheme="majorHAnsi" w:hAnsiTheme="majorHAnsi" w:cstheme="majorHAnsi"/>
          <w:b/>
          <w:bCs/>
          <w:sz w:val="32"/>
          <w:szCs w:val="32"/>
        </w:rPr>
      </w:pPr>
      <w:r w:rsidRPr="00DD4D3F">
        <w:rPr>
          <w:rFonts w:asciiTheme="majorHAnsi" w:hAnsiTheme="majorHAnsi" w:cstheme="majorHAnsi"/>
          <w:b/>
          <w:bCs/>
          <w:sz w:val="32"/>
          <w:szCs w:val="32"/>
        </w:rPr>
        <w:t>Assignment Title: Apply the principles and practices of Data Security, Governance and Compliance based on a given scenario.</w:t>
      </w:r>
    </w:p>
    <w:p w14:paraId="38869A08" w14:textId="77777777" w:rsidR="00D05FE4" w:rsidRPr="00DD4D3F" w:rsidRDefault="00D05FE4" w:rsidP="00DD4D3F">
      <w:pPr>
        <w:jc w:val="left"/>
        <w:rPr>
          <w:rFonts w:asciiTheme="majorHAnsi" w:hAnsiTheme="majorHAnsi" w:cstheme="majorHAnsi"/>
          <w:b/>
          <w:bCs/>
          <w:sz w:val="32"/>
          <w:szCs w:val="32"/>
        </w:rPr>
      </w:pPr>
    </w:p>
    <w:p w14:paraId="1ECFFCE0" w14:textId="77777777" w:rsidR="00D05FE4" w:rsidRPr="00DD4D3F" w:rsidRDefault="00D05FE4" w:rsidP="00DD4D3F">
      <w:pPr>
        <w:jc w:val="left"/>
        <w:rPr>
          <w:rFonts w:asciiTheme="majorHAnsi" w:hAnsiTheme="majorHAnsi" w:cstheme="majorHAnsi"/>
          <w:b/>
          <w:bCs/>
          <w:sz w:val="32"/>
          <w:szCs w:val="32"/>
        </w:rPr>
      </w:pPr>
    </w:p>
    <w:p w14:paraId="2C24DA4B" w14:textId="1C7F51AB" w:rsidR="00D05FE4" w:rsidRPr="00DD4D3F" w:rsidRDefault="00000000" w:rsidP="00DD4D3F">
      <w:pPr>
        <w:jc w:val="left"/>
        <w:rPr>
          <w:rFonts w:asciiTheme="majorHAnsi" w:hAnsiTheme="majorHAnsi" w:cstheme="majorHAnsi"/>
          <w:b/>
          <w:bCs/>
          <w:sz w:val="32"/>
          <w:szCs w:val="32"/>
        </w:rPr>
      </w:pPr>
      <w:r w:rsidRPr="00DD4D3F">
        <w:rPr>
          <w:rFonts w:asciiTheme="majorHAnsi" w:hAnsiTheme="majorHAnsi" w:cstheme="majorHAnsi"/>
          <w:b/>
          <w:bCs/>
          <w:sz w:val="32"/>
          <w:szCs w:val="32"/>
        </w:rPr>
        <w:t xml:space="preserve">Student Name: </w:t>
      </w:r>
      <w:proofErr w:type="spellStart"/>
      <w:r w:rsidR="00DD4D3F" w:rsidRPr="00DD4D3F">
        <w:rPr>
          <w:rFonts w:asciiTheme="majorHAnsi" w:hAnsiTheme="majorHAnsi" w:cstheme="majorHAnsi"/>
          <w:b/>
          <w:bCs/>
          <w:sz w:val="32"/>
          <w:szCs w:val="32"/>
        </w:rPr>
        <w:t>Pritiben</w:t>
      </w:r>
      <w:proofErr w:type="spellEnd"/>
      <w:r w:rsidR="00DD4D3F" w:rsidRPr="00DD4D3F">
        <w:rPr>
          <w:rFonts w:asciiTheme="majorHAnsi" w:hAnsiTheme="majorHAnsi" w:cstheme="majorHAnsi"/>
          <w:b/>
          <w:bCs/>
          <w:sz w:val="32"/>
          <w:szCs w:val="32"/>
        </w:rPr>
        <w:t xml:space="preserve"> </w:t>
      </w:r>
      <w:proofErr w:type="spellStart"/>
      <w:r w:rsidR="00DD4D3F" w:rsidRPr="00DD4D3F">
        <w:rPr>
          <w:rFonts w:asciiTheme="majorHAnsi" w:hAnsiTheme="majorHAnsi" w:cstheme="majorHAnsi"/>
          <w:b/>
          <w:bCs/>
          <w:sz w:val="32"/>
          <w:szCs w:val="32"/>
        </w:rPr>
        <w:t>Nareshbhai</w:t>
      </w:r>
      <w:proofErr w:type="spellEnd"/>
      <w:r w:rsidR="00DD4D3F" w:rsidRPr="00DD4D3F">
        <w:rPr>
          <w:rFonts w:asciiTheme="majorHAnsi" w:hAnsiTheme="majorHAnsi" w:cstheme="majorHAnsi"/>
          <w:b/>
          <w:bCs/>
          <w:sz w:val="32"/>
          <w:szCs w:val="32"/>
        </w:rPr>
        <w:t xml:space="preserve"> Bhoi</w:t>
      </w:r>
    </w:p>
    <w:p w14:paraId="1CD73C93" w14:textId="321F5680" w:rsidR="00D05FE4" w:rsidRPr="00DD4D3F" w:rsidRDefault="00000000" w:rsidP="00DD4D3F">
      <w:pPr>
        <w:jc w:val="left"/>
        <w:rPr>
          <w:rFonts w:asciiTheme="majorHAnsi" w:hAnsiTheme="majorHAnsi" w:cstheme="majorHAnsi"/>
          <w:b/>
          <w:bCs/>
          <w:sz w:val="32"/>
          <w:szCs w:val="32"/>
        </w:rPr>
      </w:pPr>
      <w:r w:rsidRPr="00DD4D3F">
        <w:rPr>
          <w:rFonts w:asciiTheme="majorHAnsi" w:hAnsiTheme="majorHAnsi" w:cstheme="majorHAnsi"/>
          <w:b/>
          <w:bCs/>
          <w:sz w:val="32"/>
          <w:szCs w:val="32"/>
        </w:rPr>
        <w:t xml:space="preserve">Student ID: </w:t>
      </w:r>
      <w:r w:rsidR="00DD4D3F" w:rsidRPr="00DD4D3F">
        <w:rPr>
          <w:rFonts w:asciiTheme="majorHAnsi" w:hAnsiTheme="majorHAnsi" w:cstheme="majorHAnsi"/>
          <w:b/>
          <w:bCs/>
          <w:sz w:val="32"/>
          <w:szCs w:val="32"/>
        </w:rPr>
        <w:t>2540464</w:t>
      </w:r>
    </w:p>
    <w:p w14:paraId="083B9844" w14:textId="77777777" w:rsidR="00D05FE4" w:rsidRPr="00DD4D3F" w:rsidRDefault="00D05FE4" w:rsidP="00DD4D3F">
      <w:pPr>
        <w:jc w:val="center"/>
        <w:rPr>
          <w:rFonts w:asciiTheme="majorHAnsi" w:hAnsiTheme="majorHAnsi" w:cstheme="majorHAnsi"/>
          <w:b/>
          <w:bCs/>
          <w:sz w:val="32"/>
          <w:szCs w:val="32"/>
        </w:rPr>
      </w:pPr>
    </w:p>
    <w:p w14:paraId="714D1967" w14:textId="77777777" w:rsidR="00D05FE4" w:rsidRPr="00DD4D3F" w:rsidRDefault="00000000" w:rsidP="00DD4D3F">
      <w:pPr>
        <w:jc w:val="center"/>
        <w:rPr>
          <w:rFonts w:asciiTheme="majorHAnsi" w:hAnsiTheme="majorHAnsi" w:cstheme="majorHAnsi"/>
          <w:b/>
          <w:bCs/>
          <w:sz w:val="32"/>
          <w:szCs w:val="32"/>
        </w:rPr>
      </w:pPr>
      <w:r w:rsidRPr="00DD4D3F">
        <w:rPr>
          <w:rFonts w:asciiTheme="majorHAnsi" w:hAnsiTheme="majorHAnsi" w:cstheme="majorHAnsi"/>
        </w:rPr>
        <w:br w:type="page"/>
      </w:r>
    </w:p>
    <w:sdt>
      <w:sdtPr>
        <w:rPr>
          <w:rFonts w:eastAsia="Times New Roman" w:cstheme="majorHAnsi"/>
          <w:b w:val="0"/>
          <w:bCs w:val="0"/>
          <w:color w:val="auto"/>
          <w:sz w:val="24"/>
          <w:szCs w:val="24"/>
          <w:lang w:val="en-GB" w:eastAsia="en-IN"/>
        </w:rPr>
        <w:id w:val="-1459564468"/>
        <w:docPartObj>
          <w:docPartGallery w:val="Table of Contents"/>
          <w:docPartUnique/>
        </w:docPartObj>
      </w:sdtPr>
      <w:sdtContent>
        <w:p w14:paraId="35D4872B" w14:textId="77777777" w:rsidR="00E95C43" w:rsidRPr="00DD4D3F" w:rsidRDefault="00000000" w:rsidP="00DD4D3F">
          <w:pPr>
            <w:pStyle w:val="TOCHeading"/>
            <w:spacing w:line="360" w:lineRule="auto"/>
            <w:jc w:val="center"/>
            <w:rPr>
              <w:rFonts w:cstheme="majorHAnsi"/>
              <w:color w:val="000000" w:themeColor="text1"/>
              <w:sz w:val="28"/>
              <w:szCs w:val="28"/>
              <w:lang w:val="en-GB"/>
            </w:rPr>
          </w:pPr>
          <w:r w:rsidRPr="00DD4D3F">
            <w:rPr>
              <w:rFonts w:cstheme="majorHAnsi"/>
              <w:color w:val="000000" w:themeColor="text1"/>
              <w:sz w:val="28"/>
              <w:szCs w:val="28"/>
              <w:lang w:val="en-GB"/>
            </w:rPr>
            <w:t>Table of Contents</w:t>
          </w:r>
        </w:p>
        <w:p w14:paraId="3552551D" w14:textId="77777777" w:rsidR="00A767FA" w:rsidRPr="00DD4D3F" w:rsidRDefault="00000000" w:rsidP="00DD4D3F">
          <w:pPr>
            <w:pStyle w:val="TOC1"/>
            <w:tabs>
              <w:tab w:val="right" w:leader="dot" w:pos="9350"/>
            </w:tabs>
            <w:rPr>
              <w:rFonts w:asciiTheme="majorHAnsi" w:eastAsiaTheme="minorEastAsia" w:hAnsiTheme="majorHAnsi" w:cstheme="majorHAnsi"/>
              <w:noProof/>
              <w:sz w:val="22"/>
              <w:szCs w:val="20"/>
              <w:lang w:val="en-US" w:eastAsia="en-US" w:bidi="hi-IN"/>
            </w:rPr>
          </w:pPr>
          <w:r w:rsidRPr="00DD4D3F">
            <w:rPr>
              <w:rFonts w:asciiTheme="majorHAnsi" w:hAnsiTheme="majorHAnsi" w:cstheme="majorHAnsi"/>
            </w:rPr>
            <w:fldChar w:fldCharType="begin"/>
          </w:r>
          <w:r w:rsidR="00E95C43" w:rsidRPr="00DD4D3F">
            <w:rPr>
              <w:rFonts w:asciiTheme="majorHAnsi" w:hAnsiTheme="majorHAnsi" w:cstheme="majorHAnsi"/>
            </w:rPr>
            <w:instrText xml:space="preserve"> TOC \o "1-3" \h \z \u </w:instrText>
          </w:r>
          <w:r w:rsidRPr="00DD4D3F">
            <w:rPr>
              <w:rFonts w:asciiTheme="majorHAnsi" w:hAnsiTheme="majorHAnsi" w:cstheme="majorHAnsi"/>
            </w:rPr>
            <w:fldChar w:fldCharType="separate"/>
          </w:r>
          <w:hyperlink w:anchor="_Toc235187067" w:history="1">
            <w:r w:rsidR="00A767FA" w:rsidRPr="00DD4D3F">
              <w:rPr>
                <w:rStyle w:val="Hyperlink"/>
                <w:rFonts w:asciiTheme="majorHAnsi" w:hAnsiTheme="majorHAnsi" w:cstheme="majorHAnsi"/>
                <w:noProof/>
              </w:rPr>
              <w:t>1. Introduction</w:t>
            </w:r>
            <w:r w:rsidR="00A767FA" w:rsidRPr="00DD4D3F">
              <w:rPr>
                <w:rFonts w:asciiTheme="majorHAnsi" w:hAnsiTheme="majorHAnsi" w:cstheme="majorHAnsi"/>
                <w:noProof/>
                <w:webHidden/>
              </w:rPr>
              <w:tab/>
            </w:r>
            <w:r w:rsidR="00A767FA" w:rsidRPr="00DD4D3F">
              <w:rPr>
                <w:rFonts w:asciiTheme="majorHAnsi" w:hAnsiTheme="majorHAnsi" w:cstheme="majorHAnsi"/>
                <w:noProof/>
                <w:webHidden/>
              </w:rPr>
              <w:fldChar w:fldCharType="begin"/>
            </w:r>
            <w:r w:rsidR="00A767FA" w:rsidRPr="00DD4D3F">
              <w:rPr>
                <w:rFonts w:asciiTheme="majorHAnsi" w:hAnsiTheme="majorHAnsi" w:cstheme="majorHAnsi"/>
                <w:noProof/>
                <w:webHidden/>
              </w:rPr>
              <w:instrText xml:space="preserve"> PAGEREF _Toc235187067 \h </w:instrText>
            </w:r>
            <w:r w:rsidR="00A767FA" w:rsidRPr="00DD4D3F">
              <w:rPr>
                <w:rFonts w:asciiTheme="majorHAnsi" w:hAnsiTheme="majorHAnsi" w:cstheme="majorHAnsi"/>
                <w:noProof/>
                <w:webHidden/>
              </w:rPr>
            </w:r>
            <w:r w:rsidR="00A767FA" w:rsidRPr="00DD4D3F">
              <w:rPr>
                <w:rFonts w:asciiTheme="majorHAnsi" w:hAnsiTheme="majorHAnsi" w:cstheme="majorHAnsi"/>
                <w:noProof/>
                <w:webHidden/>
              </w:rPr>
              <w:fldChar w:fldCharType="separate"/>
            </w:r>
            <w:r w:rsidR="00A767FA" w:rsidRPr="00DD4D3F">
              <w:rPr>
                <w:rFonts w:asciiTheme="majorHAnsi" w:hAnsiTheme="majorHAnsi" w:cstheme="majorHAnsi"/>
                <w:noProof/>
                <w:webHidden/>
              </w:rPr>
              <w:t>3</w:t>
            </w:r>
            <w:r w:rsidR="00A767FA" w:rsidRPr="00DD4D3F">
              <w:rPr>
                <w:rFonts w:asciiTheme="majorHAnsi" w:hAnsiTheme="majorHAnsi" w:cstheme="majorHAnsi"/>
                <w:noProof/>
                <w:webHidden/>
              </w:rPr>
              <w:fldChar w:fldCharType="end"/>
            </w:r>
          </w:hyperlink>
        </w:p>
        <w:p w14:paraId="329800DE" w14:textId="77777777" w:rsidR="00A767FA" w:rsidRPr="00DD4D3F" w:rsidRDefault="00A767FA" w:rsidP="00DD4D3F">
          <w:pPr>
            <w:pStyle w:val="TOC1"/>
            <w:tabs>
              <w:tab w:val="right" w:leader="dot" w:pos="9350"/>
            </w:tabs>
            <w:rPr>
              <w:rFonts w:asciiTheme="majorHAnsi" w:eastAsiaTheme="minorEastAsia" w:hAnsiTheme="majorHAnsi" w:cstheme="majorHAnsi"/>
              <w:noProof/>
              <w:sz w:val="22"/>
              <w:szCs w:val="20"/>
              <w:lang w:val="en-US" w:eastAsia="en-US" w:bidi="hi-IN"/>
            </w:rPr>
          </w:pPr>
          <w:hyperlink w:anchor="_Toc235187068" w:history="1">
            <w:r w:rsidRPr="00DD4D3F">
              <w:rPr>
                <w:rStyle w:val="Hyperlink"/>
                <w:rFonts w:asciiTheme="majorHAnsi" w:hAnsiTheme="majorHAnsi" w:cstheme="majorHAnsi"/>
                <w:noProof/>
              </w:rPr>
              <w:t>2. Research into Information Security Frameworks and Models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_Toc235187068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3</w:t>
            </w:r>
            <w:r w:rsidRPr="00DD4D3F">
              <w:rPr>
                <w:rFonts w:asciiTheme="majorHAnsi" w:hAnsiTheme="majorHAnsi" w:cstheme="majorHAnsi"/>
                <w:noProof/>
                <w:webHidden/>
              </w:rPr>
              <w:fldChar w:fldCharType="end"/>
            </w:r>
          </w:hyperlink>
        </w:p>
        <w:p w14:paraId="0C661B7E"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69" w:history="1">
            <w:r w:rsidRPr="00DD4D3F">
              <w:rPr>
                <w:rStyle w:val="Hyperlink"/>
                <w:rFonts w:asciiTheme="majorHAnsi" w:hAnsiTheme="majorHAnsi" w:cstheme="majorHAnsi"/>
                <w:noProof/>
              </w:rPr>
              <w:t>ITIL Framework</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_Toc235187069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3</w:t>
            </w:r>
            <w:r w:rsidRPr="00DD4D3F">
              <w:rPr>
                <w:rFonts w:asciiTheme="majorHAnsi" w:hAnsiTheme="majorHAnsi" w:cstheme="majorHAnsi"/>
                <w:noProof/>
                <w:webHidden/>
              </w:rPr>
              <w:fldChar w:fldCharType="end"/>
            </w:r>
          </w:hyperlink>
        </w:p>
        <w:p w14:paraId="44397841"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70" w:history="1">
            <w:r w:rsidRPr="00DD4D3F">
              <w:rPr>
                <w:rStyle w:val="Hyperlink"/>
                <w:rFonts w:asciiTheme="majorHAnsi" w:hAnsiTheme="majorHAnsi" w:cstheme="majorHAnsi"/>
                <w:noProof/>
              </w:rPr>
              <w:t>NIST Cybersecurity Framework 2.0</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_Toc235187070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4</w:t>
            </w:r>
            <w:r w:rsidRPr="00DD4D3F">
              <w:rPr>
                <w:rFonts w:asciiTheme="majorHAnsi" w:hAnsiTheme="majorHAnsi" w:cstheme="majorHAnsi"/>
                <w:noProof/>
                <w:webHidden/>
              </w:rPr>
              <w:fldChar w:fldCharType="end"/>
            </w:r>
          </w:hyperlink>
        </w:p>
        <w:p w14:paraId="6BC73A64"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71" w:history="1">
            <w:r w:rsidRPr="00DD4D3F">
              <w:rPr>
                <w:rStyle w:val="Hyperlink"/>
                <w:rFonts w:asciiTheme="majorHAnsi" w:hAnsiTheme="majorHAnsi" w:cstheme="majorHAnsi"/>
                <w:noProof/>
              </w:rPr>
              <w:t>COBIT 2019</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_Toc235187071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5</w:t>
            </w:r>
            <w:r w:rsidRPr="00DD4D3F">
              <w:rPr>
                <w:rFonts w:asciiTheme="majorHAnsi" w:hAnsiTheme="majorHAnsi" w:cstheme="majorHAnsi"/>
                <w:noProof/>
                <w:webHidden/>
              </w:rPr>
              <w:fldChar w:fldCharType="end"/>
            </w:r>
          </w:hyperlink>
        </w:p>
        <w:p w14:paraId="5517F3EE"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72" w:history="1">
            <w:r w:rsidRPr="00DD4D3F">
              <w:rPr>
                <w:rStyle w:val="Hyperlink"/>
                <w:rFonts w:asciiTheme="majorHAnsi" w:hAnsiTheme="majorHAnsi" w:cstheme="majorHAnsi"/>
                <w:noProof/>
              </w:rPr>
              <w:t>ISO/IEC 27001:2022</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_Toc235187072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5</w:t>
            </w:r>
            <w:r w:rsidRPr="00DD4D3F">
              <w:rPr>
                <w:rFonts w:asciiTheme="majorHAnsi" w:hAnsiTheme="majorHAnsi" w:cstheme="majorHAnsi"/>
                <w:noProof/>
                <w:webHidden/>
              </w:rPr>
              <w:fldChar w:fldCharType="end"/>
            </w:r>
          </w:hyperlink>
        </w:p>
        <w:p w14:paraId="12F5D6FE" w14:textId="77777777" w:rsidR="00A767FA" w:rsidRPr="00DD4D3F" w:rsidRDefault="00A767FA" w:rsidP="00DD4D3F">
          <w:pPr>
            <w:pStyle w:val="TOC1"/>
            <w:tabs>
              <w:tab w:val="right" w:leader="dot" w:pos="9350"/>
            </w:tabs>
            <w:rPr>
              <w:rFonts w:asciiTheme="majorHAnsi" w:eastAsiaTheme="minorEastAsia" w:hAnsiTheme="majorHAnsi" w:cstheme="majorHAnsi"/>
              <w:noProof/>
              <w:sz w:val="22"/>
              <w:szCs w:val="20"/>
              <w:lang w:val="en-US" w:eastAsia="en-US" w:bidi="hi-IN"/>
            </w:rPr>
          </w:pPr>
          <w:hyperlink w:anchor="_Toc235187073" w:history="1">
            <w:r w:rsidRPr="00DD4D3F">
              <w:rPr>
                <w:rStyle w:val="Hyperlink"/>
                <w:rFonts w:asciiTheme="majorHAnsi" w:hAnsiTheme="majorHAnsi" w:cstheme="majorHAnsi"/>
                <w:noProof/>
              </w:rPr>
              <w:t>3. Proposed Information Security, Governance and Compliance Approach for AeroLink Logistics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_Toc235187073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6</w:t>
            </w:r>
            <w:r w:rsidRPr="00DD4D3F">
              <w:rPr>
                <w:rFonts w:asciiTheme="majorHAnsi" w:hAnsiTheme="majorHAnsi" w:cstheme="majorHAnsi"/>
                <w:noProof/>
                <w:webHidden/>
              </w:rPr>
              <w:fldChar w:fldCharType="end"/>
            </w:r>
          </w:hyperlink>
        </w:p>
        <w:p w14:paraId="7C458677"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74" w:history="1">
            <w:r w:rsidRPr="00DD4D3F">
              <w:rPr>
                <w:rStyle w:val="Hyperlink"/>
                <w:rFonts w:asciiTheme="majorHAnsi" w:hAnsiTheme="majorHAnsi" w:cstheme="majorHAnsi"/>
                <w:noProof/>
              </w:rPr>
              <w:t>Security Governance Structure</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_Toc235187074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6</w:t>
            </w:r>
            <w:r w:rsidRPr="00DD4D3F">
              <w:rPr>
                <w:rFonts w:asciiTheme="majorHAnsi" w:hAnsiTheme="majorHAnsi" w:cstheme="majorHAnsi"/>
                <w:noProof/>
                <w:webHidden/>
              </w:rPr>
              <w:fldChar w:fldCharType="end"/>
            </w:r>
          </w:hyperlink>
        </w:p>
        <w:p w14:paraId="12448C47"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75" w:history="1">
            <w:r w:rsidRPr="00DD4D3F">
              <w:rPr>
                <w:rStyle w:val="Hyperlink"/>
                <w:rFonts w:asciiTheme="majorHAnsi" w:hAnsiTheme="majorHAnsi" w:cstheme="majorHAnsi"/>
                <w:noProof/>
              </w:rPr>
              <w:t>Security Policies and Procedures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_Toc235187075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7</w:t>
            </w:r>
            <w:r w:rsidRPr="00DD4D3F">
              <w:rPr>
                <w:rFonts w:asciiTheme="majorHAnsi" w:hAnsiTheme="majorHAnsi" w:cstheme="majorHAnsi"/>
                <w:noProof/>
                <w:webHidden/>
              </w:rPr>
              <w:fldChar w:fldCharType="end"/>
            </w:r>
          </w:hyperlink>
        </w:p>
        <w:p w14:paraId="6AC63BCF"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76" w:history="1">
            <w:r w:rsidRPr="00DD4D3F">
              <w:rPr>
                <w:rStyle w:val="Hyperlink"/>
                <w:rFonts w:asciiTheme="majorHAnsi" w:hAnsiTheme="majorHAnsi" w:cstheme="majorHAnsi"/>
                <w:noProof/>
              </w:rPr>
              <w:t>Cyber Risk Management</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_Toc235187076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8</w:t>
            </w:r>
            <w:r w:rsidRPr="00DD4D3F">
              <w:rPr>
                <w:rFonts w:asciiTheme="majorHAnsi" w:hAnsiTheme="majorHAnsi" w:cstheme="majorHAnsi"/>
                <w:noProof/>
                <w:webHidden/>
              </w:rPr>
              <w:fldChar w:fldCharType="end"/>
            </w:r>
          </w:hyperlink>
        </w:p>
        <w:p w14:paraId="51F160FF"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77" w:history="1">
            <w:r w:rsidRPr="00DD4D3F">
              <w:rPr>
                <w:rStyle w:val="Hyperlink"/>
                <w:rFonts w:asciiTheme="majorHAnsi" w:hAnsiTheme="majorHAnsi" w:cstheme="majorHAnsi"/>
                <w:noProof/>
              </w:rPr>
              <w:t>Technical Security Controls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_Toc235187077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8</w:t>
            </w:r>
            <w:r w:rsidRPr="00DD4D3F">
              <w:rPr>
                <w:rFonts w:asciiTheme="majorHAnsi" w:hAnsiTheme="majorHAnsi" w:cstheme="majorHAnsi"/>
                <w:noProof/>
                <w:webHidden/>
              </w:rPr>
              <w:fldChar w:fldCharType="end"/>
            </w:r>
          </w:hyperlink>
        </w:p>
        <w:p w14:paraId="3422E696"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78" w:history="1">
            <w:r w:rsidRPr="00DD4D3F">
              <w:rPr>
                <w:rStyle w:val="Hyperlink"/>
                <w:rFonts w:asciiTheme="majorHAnsi" w:hAnsiTheme="majorHAnsi" w:cstheme="majorHAnsi"/>
                <w:noProof/>
              </w:rPr>
              <w:t>Expected Benefits of the Proposed Approach</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_Toc235187078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9</w:t>
            </w:r>
            <w:r w:rsidRPr="00DD4D3F">
              <w:rPr>
                <w:rFonts w:asciiTheme="majorHAnsi" w:hAnsiTheme="majorHAnsi" w:cstheme="majorHAnsi"/>
                <w:noProof/>
                <w:webHidden/>
              </w:rPr>
              <w:fldChar w:fldCharType="end"/>
            </w:r>
          </w:hyperlink>
        </w:p>
        <w:p w14:paraId="39F4DB10" w14:textId="77777777" w:rsidR="00A767FA" w:rsidRPr="00DD4D3F" w:rsidRDefault="00A767FA" w:rsidP="00DD4D3F">
          <w:pPr>
            <w:pStyle w:val="TOC1"/>
            <w:tabs>
              <w:tab w:val="right" w:leader="dot" w:pos="9350"/>
            </w:tabs>
            <w:rPr>
              <w:rFonts w:asciiTheme="majorHAnsi" w:eastAsiaTheme="minorEastAsia" w:hAnsiTheme="majorHAnsi" w:cstheme="majorHAnsi"/>
              <w:noProof/>
              <w:sz w:val="22"/>
              <w:szCs w:val="20"/>
              <w:lang w:val="en-US" w:eastAsia="en-US" w:bidi="hi-IN"/>
            </w:rPr>
          </w:pPr>
          <w:hyperlink w:anchor="_Toc235187079" w:history="1">
            <w:r w:rsidRPr="00DD4D3F">
              <w:rPr>
                <w:rStyle w:val="Hyperlink"/>
                <w:rFonts w:asciiTheme="majorHAnsi" w:hAnsiTheme="majorHAnsi" w:cstheme="majorHAnsi"/>
                <w:noProof/>
              </w:rPr>
              <w:t>4. Critical Analysis: Importance of Continuous Updates to Regulations and Standards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_Toc235187079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10</w:t>
            </w:r>
            <w:r w:rsidRPr="00DD4D3F">
              <w:rPr>
                <w:rFonts w:asciiTheme="majorHAnsi" w:hAnsiTheme="majorHAnsi" w:cstheme="majorHAnsi"/>
                <w:noProof/>
                <w:webHidden/>
              </w:rPr>
              <w:fldChar w:fldCharType="end"/>
            </w:r>
          </w:hyperlink>
        </w:p>
        <w:p w14:paraId="0184D519"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80" w:history="1">
            <w:r w:rsidRPr="00DD4D3F">
              <w:rPr>
                <w:rStyle w:val="Hyperlink"/>
                <w:rFonts w:asciiTheme="majorHAnsi" w:hAnsiTheme="majorHAnsi" w:cstheme="majorHAnsi"/>
                <w:noProof/>
              </w:rPr>
              <w:t>Technological Changes Driving Regulatory Updates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_Toc235187080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10</w:t>
            </w:r>
            <w:r w:rsidRPr="00DD4D3F">
              <w:rPr>
                <w:rFonts w:asciiTheme="majorHAnsi" w:hAnsiTheme="majorHAnsi" w:cstheme="majorHAnsi"/>
                <w:noProof/>
                <w:webHidden/>
              </w:rPr>
              <w:fldChar w:fldCharType="end"/>
            </w:r>
          </w:hyperlink>
        </w:p>
        <w:p w14:paraId="5FEFE337"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81" w:history="1">
            <w:r w:rsidRPr="00DD4D3F">
              <w:rPr>
                <w:rStyle w:val="Hyperlink"/>
                <w:rFonts w:asciiTheme="majorHAnsi" w:hAnsiTheme="majorHAnsi" w:cstheme="majorHAnsi"/>
                <w:noProof/>
              </w:rPr>
              <w:t>Evolving Cyber Threat Landscape</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_Toc235187081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10</w:t>
            </w:r>
            <w:r w:rsidRPr="00DD4D3F">
              <w:rPr>
                <w:rFonts w:asciiTheme="majorHAnsi" w:hAnsiTheme="majorHAnsi" w:cstheme="majorHAnsi"/>
                <w:noProof/>
                <w:webHidden/>
              </w:rPr>
              <w:fldChar w:fldCharType="end"/>
            </w:r>
          </w:hyperlink>
        </w:p>
        <w:p w14:paraId="10ECAB99"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82" w:history="1">
            <w:r w:rsidRPr="00DD4D3F">
              <w:rPr>
                <w:rStyle w:val="Hyperlink"/>
                <w:rFonts w:asciiTheme="majorHAnsi" w:hAnsiTheme="majorHAnsi" w:cstheme="majorHAnsi"/>
                <w:noProof/>
              </w:rPr>
              <w:t>Changes in Regulatory Requirements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_Toc235187082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11</w:t>
            </w:r>
            <w:r w:rsidRPr="00DD4D3F">
              <w:rPr>
                <w:rFonts w:asciiTheme="majorHAnsi" w:hAnsiTheme="majorHAnsi" w:cstheme="majorHAnsi"/>
                <w:noProof/>
                <w:webHidden/>
              </w:rPr>
              <w:fldChar w:fldCharType="end"/>
            </w:r>
          </w:hyperlink>
        </w:p>
        <w:p w14:paraId="627FB9C3"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83" w:history="1">
            <w:r w:rsidRPr="00DD4D3F">
              <w:rPr>
                <w:rStyle w:val="Hyperlink"/>
                <w:rFonts w:asciiTheme="majorHAnsi" w:hAnsiTheme="majorHAnsi" w:cstheme="majorHAnsi"/>
                <w:noProof/>
              </w:rPr>
              <w:t>Continuous Improvement in Security Frameworks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_Toc235187083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11</w:t>
            </w:r>
            <w:r w:rsidRPr="00DD4D3F">
              <w:rPr>
                <w:rFonts w:asciiTheme="majorHAnsi" w:hAnsiTheme="majorHAnsi" w:cstheme="majorHAnsi"/>
                <w:noProof/>
                <w:webHidden/>
              </w:rPr>
              <w:fldChar w:fldCharType="end"/>
            </w:r>
          </w:hyperlink>
        </w:p>
        <w:p w14:paraId="59065BFC" w14:textId="77777777" w:rsidR="00A767FA" w:rsidRPr="00DD4D3F" w:rsidRDefault="00A767FA" w:rsidP="00DD4D3F">
          <w:pPr>
            <w:pStyle w:val="TOC2"/>
            <w:tabs>
              <w:tab w:val="right" w:leader="dot" w:pos="9350"/>
            </w:tabs>
            <w:rPr>
              <w:rFonts w:asciiTheme="majorHAnsi" w:eastAsiaTheme="minorEastAsia" w:hAnsiTheme="majorHAnsi" w:cstheme="majorHAnsi"/>
              <w:noProof/>
              <w:sz w:val="22"/>
              <w:szCs w:val="20"/>
              <w:lang w:val="en-US" w:eastAsia="en-US" w:bidi="hi-IN"/>
            </w:rPr>
          </w:pPr>
          <w:hyperlink w:anchor="_Toc235187084" w:history="1">
            <w:r w:rsidRPr="00DD4D3F">
              <w:rPr>
                <w:rStyle w:val="Hyperlink"/>
                <w:rFonts w:asciiTheme="majorHAnsi" w:hAnsiTheme="majorHAnsi" w:cstheme="majorHAnsi"/>
                <w:noProof/>
              </w:rPr>
              <w:t>Organisational Challenges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_Toc235187084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12</w:t>
            </w:r>
            <w:r w:rsidRPr="00DD4D3F">
              <w:rPr>
                <w:rFonts w:asciiTheme="majorHAnsi" w:hAnsiTheme="majorHAnsi" w:cstheme="majorHAnsi"/>
                <w:noProof/>
                <w:webHidden/>
              </w:rPr>
              <w:fldChar w:fldCharType="end"/>
            </w:r>
          </w:hyperlink>
        </w:p>
        <w:p w14:paraId="6403ACD5" w14:textId="77777777" w:rsidR="00A767FA" w:rsidRPr="00DD4D3F" w:rsidRDefault="00A767FA" w:rsidP="00DD4D3F">
          <w:pPr>
            <w:pStyle w:val="TOC1"/>
            <w:tabs>
              <w:tab w:val="right" w:leader="dot" w:pos="9350"/>
            </w:tabs>
            <w:rPr>
              <w:rFonts w:asciiTheme="majorHAnsi" w:eastAsiaTheme="minorEastAsia" w:hAnsiTheme="majorHAnsi" w:cstheme="majorHAnsi"/>
              <w:noProof/>
              <w:sz w:val="22"/>
              <w:szCs w:val="20"/>
              <w:lang w:val="en-US" w:eastAsia="en-US" w:bidi="hi-IN"/>
            </w:rPr>
          </w:pPr>
          <w:hyperlink w:anchor="_Toc235187085" w:history="1">
            <w:r w:rsidRPr="00DD4D3F">
              <w:rPr>
                <w:rStyle w:val="Hyperlink"/>
                <w:rFonts w:asciiTheme="majorHAnsi" w:hAnsiTheme="majorHAnsi" w:cstheme="majorHAnsi"/>
                <w:noProof/>
              </w:rPr>
              <w:t>5. Recommendations</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_Toc235187085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13</w:t>
            </w:r>
            <w:r w:rsidRPr="00DD4D3F">
              <w:rPr>
                <w:rFonts w:asciiTheme="majorHAnsi" w:hAnsiTheme="majorHAnsi" w:cstheme="majorHAnsi"/>
                <w:noProof/>
                <w:webHidden/>
              </w:rPr>
              <w:fldChar w:fldCharType="end"/>
            </w:r>
          </w:hyperlink>
        </w:p>
        <w:p w14:paraId="7C0A62DB" w14:textId="77777777" w:rsidR="00A767FA" w:rsidRPr="00DD4D3F" w:rsidRDefault="00A767FA" w:rsidP="00DD4D3F">
          <w:pPr>
            <w:pStyle w:val="TOC1"/>
            <w:tabs>
              <w:tab w:val="right" w:leader="dot" w:pos="9350"/>
            </w:tabs>
            <w:rPr>
              <w:rFonts w:asciiTheme="majorHAnsi" w:eastAsiaTheme="minorEastAsia" w:hAnsiTheme="majorHAnsi" w:cstheme="majorHAnsi"/>
              <w:noProof/>
              <w:sz w:val="22"/>
              <w:szCs w:val="20"/>
              <w:lang w:val="en-US" w:eastAsia="en-US" w:bidi="hi-IN"/>
            </w:rPr>
          </w:pPr>
          <w:hyperlink w:anchor="_Toc235187086" w:history="1">
            <w:r w:rsidRPr="00DD4D3F">
              <w:rPr>
                <w:rStyle w:val="Hyperlink"/>
                <w:rFonts w:asciiTheme="majorHAnsi" w:hAnsiTheme="majorHAnsi" w:cstheme="majorHAnsi"/>
                <w:noProof/>
              </w:rPr>
              <w:t>6. Conclusion</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_Toc235187086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14</w:t>
            </w:r>
            <w:r w:rsidRPr="00DD4D3F">
              <w:rPr>
                <w:rFonts w:asciiTheme="majorHAnsi" w:hAnsiTheme="majorHAnsi" w:cstheme="majorHAnsi"/>
                <w:noProof/>
                <w:webHidden/>
              </w:rPr>
              <w:fldChar w:fldCharType="end"/>
            </w:r>
          </w:hyperlink>
        </w:p>
        <w:p w14:paraId="357F78F3" w14:textId="77777777" w:rsidR="00A767FA" w:rsidRPr="00DD4D3F" w:rsidRDefault="00A767FA" w:rsidP="00DD4D3F">
          <w:pPr>
            <w:pStyle w:val="TOC1"/>
            <w:tabs>
              <w:tab w:val="right" w:leader="dot" w:pos="9350"/>
            </w:tabs>
            <w:rPr>
              <w:rFonts w:asciiTheme="majorHAnsi" w:eastAsiaTheme="minorEastAsia" w:hAnsiTheme="majorHAnsi" w:cstheme="majorHAnsi"/>
              <w:noProof/>
              <w:sz w:val="22"/>
              <w:szCs w:val="20"/>
              <w:lang w:val="en-US" w:eastAsia="en-US" w:bidi="hi-IN"/>
            </w:rPr>
          </w:pPr>
          <w:hyperlink w:anchor="_Toc235187087" w:history="1">
            <w:r w:rsidRPr="00DD4D3F">
              <w:rPr>
                <w:rStyle w:val="Hyperlink"/>
                <w:rFonts w:asciiTheme="majorHAnsi" w:hAnsiTheme="majorHAnsi" w:cstheme="majorHAnsi"/>
                <w:noProof/>
              </w:rPr>
              <w:t>Reference List</w:t>
            </w:r>
            <w:r w:rsidRPr="00DD4D3F">
              <w:rPr>
                <w:rFonts w:asciiTheme="majorHAnsi" w:hAnsiTheme="majorHAnsi" w:cstheme="majorHAnsi"/>
                <w:noProof/>
                <w:webHidden/>
              </w:rPr>
              <w:tab/>
            </w:r>
            <w:r w:rsidRPr="00DD4D3F">
              <w:rPr>
                <w:rFonts w:asciiTheme="majorHAnsi" w:hAnsiTheme="majorHAnsi" w:cstheme="majorHAnsi"/>
                <w:noProof/>
                <w:webHidden/>
              </w:rPr>
              <w:fldChar w:fldCharType="begin"/>
            </w:r>
            <w:r w:rsidRPr="00DD4D3F">
              <w:rPr>
                <w:rFonts w:asciiTheme="majorHAnsi" w:hAnsiTheme="majorHAnsi" w:cstheme="majorHAnsi"/>
                <w:noProof/>
                <w:webHidden/>
              </w:rPr>
              <w:instrText xml:space="preserve"> PAGEREF _Toc235187087 \h </w:instrText>
            </w:r>
            <w:r w:rsidRPr="00DD4D3F">
              <w:rPr>
                <w:rFonts w:asciiTheme="majorHAnsi" w:hAnsiTheme="majorHAnsi" w:cstheme="majorHAnsi"/>
                <w:noProof/>
                <w:webHidden/>
              </w:rPr>
            </w:r>
            <w:r w:rsidRPr="00DD4D3F">
              <w:rPr>
                <w:rFonts w:asciiTheme="majorHAnsi" w:hAnsiTheme="majorHAnsi" w:cstheme="majorHAnsi"/>
                <w:noProof/>
                <w:webHidden/>
              </w:rPr>
              <w:fldChar w:fldCharType="separate"/>
            </w:r>
            <w:r w:rsidRPr="00DD4D3F">
              <w:rPr>
                <w:rFonts w:asciiTheme="majorHAnsi" w:hAnsiTheme="majorHAnsi" w:cstheme="majorHAnsi"/>
                <w:noProof/>
                <w:webHidden/>
              </w:rPr>
              <w:t>15</w:t>
            </w:r>
            <w:r w:rsidRPr="00DD4D3F">
              <w:rPr>
                <w:rFonts w:asciiTheme="majorHAnsi" w:hAnsiTheme="majorHAnsi" w:cstheme="majorHAnsi"/>
                <w:noProof/>
                <w:webHidden/>
              </w:rPr>
              <w:fldChar w:fldCharType="end"/>
            </w:r>
          </w:hyperlink>
        </w:p>
        <w:p w14:paraId="764FD2D3" w14:textId="77777777" w:rsidR="00E95C43" w:rsidRPr="00DD4D3F" w:rsidRDefault="00000000" w:rsidP="00DD4D3F">
          <w:pPr>
            <w:rPr>
              <w:rFonts w:asciiTheme="majorHAnsi" w:hAnsiTheme="majorHAnsi" w:cstheme="majorHAnsi"/>
            </w:rPr>
          </w:pPr>
          <w:r w:rsidRPr="00DD4D3F">
            <w:rPr>
              <w:rFonts w:asciiTheme="majorHAnsi" w:hAnsiTheme="majorHAnsi" w:cstheme="majorHAnsi"/>
              <w:b/>
              <w:bCs/>
            </w:rPr>
            <w:fldChar w:fldCharType="end"/>
          </w:r>
        </w:p>
      </w:sdtContent>
    </w:sdt>
    <w:p w14:paraId="16513C24" w14:textId="01B951FE" w:rsidR="00D05FE4" w:rsidRPr="00433DD7" w:rsidRDefault="00000000" w:rsidP="00433DD7">
      <w:pPr>
        <w:rPr>
          <w:rFonts w:asciiTheme="majorHAnsi" w:hAnsiTheme="majorHAnsi" w:cstheme="majorHAnsi"/>
          <w:b/>
          <w:bCs/>
          <w:sz w:val="28"/>
          <w:szCs w:val="28"/>
        </w:rPr>
      </w:pPr>
      <w:r w:rsidRPr="00DD4D3F">
        <w:rPr>
          <w:rFonts w:asciiTheme="majorHAnsi" w:hAnsiTheme="majorHAnsi" w:cstheme="majorHAnsi"/>
        </w:rPr>
        <w:br w:type="page"/>
      </w:r>
      <w:bookmarkStart w:id="0" w:name="_Toc235187067"/>
      <w:r w:rsidRPr="00433DD7">
        <w:rPr>
          <w:rFonts w:asciiTheme="majorHAnsi" w:hAnsiTheme="majorHAnsi" w:cstheme="majorHAnsi"/>
          <w:b/>
          <w:bCs/>
          <w:sz w:val="28"/>
          <w:szCs w:val="28"/>
        </w:rPr>
        <w:lastRenderedPageBreak/>
        <w:t>1. Introduction</w:t>
      </w:r>
      <w:bookmarkEnd w:id="0"/>
    </w:p>
    <w:p w14:paraId="457CDEDC"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The advancement of technology and digital transformation has significantly contributed to increasing adoption of internet of Things, cloud computing, and artificial intelligence for bringing improvement in competitiveness and operations efficiency. These technologies bring enhancements in business capabilities; however, there is also the introduction of government, cyber security and regulatory challenges due to heavy dependence of organisations on remote access and outsourced cloud services. </w:t>
      </w:r>
      <w:proofErr w:type="spellStart"/>
      <w:r w:rsidRPr="00DD4D3F">
        <w:rPr>
          <w:rFonts w:asciiTheme="majorHAnsi" w:hAnsiTheme="majorHAnsi" w:cstheme="majorHAnsi"/>
        </w:rPr>
        <w:t>AeroLink</w:t>
      </w:r>
      <w:proofErr w:type="spellEnd"/>
      <w:r w:rsidRPr="00DD4D3F">
        <w:rPr>
          <w:rFonts w:asciiTheme="majorHAnsi" w:hAnsiTheme="majorHAnsi" w:cstheme="majorHAnsi"/>
        </w:rPr>
        <w:t xml:space="preserve"> Logistics (ALL) faces these challenges through its fragmented security governance, repeated data breaches, and third-party dependence. Therefore, the purpose of the current report is to conduct a vertical analysis of the established information security framework on the basis of which one integrated security governance and compliance approach would be recommended for the organisation, which would help in addressing its operations environment and evolving regulatory obligations.</w:t>
      </w:r>
    </w:p>
    <w:p w14:paraId="627E7716" w14:textId="77777777" w:rsidR="00D05FE4" w:rsidRPr="00DD4D3F" w:rsidRDefault="00000000" w:rsidP="00DD4D3F">
      <w:pPr>
        <w:pStyle w:val="Heading1"/>
        <w:rPr>
          <w:rFonts w:asciiTheme="majorHAnsi" w:hAnsiTheme="majorHAnsi" w:cstheme="majorHAnsi"/>
        </w:rPr>
      </w:pPr>
      <w:bookmarkStart w:id="1" w:name="_Toc235187068"/>
      <w:r w:rsidRPr="00DD4D3F">
        <w:rPr>
          <w:rFonts w:asciiTheme="majorHAnsi" w:hAnsiTheme="majorHAnsi" w:cstheme="majorHAnsi"/>
        </w:rPr>
        <w:t>2. Research into Information Security Frameworks and Models</w:t>
      </w:r>
      <w:bookmarkEnd w:id="1"/>
    </w:p>
    <w:p w14:paraId="28AB66AD" w14:textId="77777777" w:rsidR="00097CD7" w:rsidRPr="00DD4D3F" w:rsidRDefault="00000000" w:rsidP="00DD4D3F">
      <w:pPr>
        <w:pStyle w:val="Heading2"/>
        <w:rPr>
          <w:rFonts w:asciiTheme="majorHAnsi" w:hAnsiTheme="majorHAnsi" w:cstheme="majorHAnsi"/>
        </w:rPr>
      </w:pPr>
      <w:bookmarkStart w:id="2" w:name="_Toc235187069"/>
      <w:r w:rsidRPr="00DD4D3F">
        <w:rPr>
          <w:rFonts w:asciiTheme="majorHAnsi" w:hAnsiTheme="majorHAnsi" w:cstheme="majorHAnsi"/>
        </w:rPr>
        <w:t>ITIL Framework</w:t>
      </w:r>
      <w:bookmarkEnd w:id="2"/>
    </w:p>
    <w:p w14:paraId="528ED2F6"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The increasing adoption of Internet of Things, cloud computing and outsourced IT services has led to significant transformation in organisational service security requirements. In the opinion of Chandramouli and Chandramouli (2022), traditional perimeter-based security models are no longer efficient for organisations operating across third-party environments and geographically dispersed networks. Therefore, there is increased importance of internationally recognised information security frameworks for the establishment of structured governance, regulatory compliance, cyber risk management and enhancement of organisational resilience. Taking the case study of ALL into consideration, it is important to select the most appropriate combination of security frameworks due to its dependence on outsourced service providers, you won't operators, and cloud-based infrastructure and sensitive customer data.</w:t>
      </w:r>
    </w:p>
    <w:p w14:paraId="4C401895"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The Information Technology Infrastructure Library is a widely adopted IT service management framework which puts emphasis on delivering value through effective management of IT services. As stated by Wang </w:t>
      </w:r>
      <w:r w:rsidR="00E95C43" w:rsidRPr="00DD4D3F">
        <w:rPr>
          <w:rFonts w:asciiTheme="majorHAnsi" w:hAnsiTheme="majorHAnsi" w:cstheme="majorHAnsi"/>
          <w:i/>
          <w:iCs/>
        </w:rPr>
        <w:t>et al.</w:t>
      </w:r>
      <w:r w:rsidRPr="00DD4D3F">
        <w:rPr>
          <w:rFonts w:asciiTheme="majorHAnsi" w:hAnsiTheme="majorHAnsi" w:cstheme="majorHAnsi"/>
        </w:rPr>
        <w:t xml:space="preserve">(2022), it is focused towards promotion of continuous service </w:t>
      </w:r>
      <w:r w:rsidRPr="00DD4D3F">
        <w:rPr>
          <w:rFonts w:asciiTheme="majorHAnsi" w:hAnsiTheme="majorHAnsi" w:cstheme="majorHAnsi"/>
        </w:rPr>
        <w:lastRenderedPageBreak/>
        <w:t>improvements, problem management, change management, incident management and service continued due to which organisations are able to reduce operational disruption along with bringing improvement in service quality. It differs from the technical security framework by putting emphasis on governance of IT services and integration between operational prestigious and business objectives. The implication of this for the concerned organisation lies in strengthening service continuity, planning, incident response, procedures, and change management practices, taking the outsourced cloud infrastructure into consideration (Moonasar, 2025). However, ITIL provides limited guidance on data protection mechanisms and cyber security controls, which is indicative of the need for implementing it alongside a dedicated security framework instead of a standalone solution.</w:t>
      </w:r>
    </w:p>
    <w:p w14:paraId="51FBF793" w14:textId="77777777" w:rsidR="00097CD7" w:rsidRPr="00DD4D3F" w:rsidRDefault="00000000" w:rsidP="00DD4D3F">
      <w:pPr>
        <w:pStyle w:val="Heading2"/>
        <w:rPr>
          <w:rFonts w:asciiTheme="majorHAnsi" w:hAnsiTheme="majorHAnsi" w:cstheme="majorHAnsi"/>
        </w:rPr>
      </w:pPr>
      <w:bookmarkStart w:id="3" w:name="_Toc235187070"/>
      <w:r w:rsidRPr="00DD4D3F">
        <w:rPr>
          <w:rFonts w:asciiTheme="majorHAnsi" w:hAnsiTheme="majorHAnsi" w:cstheme="majorHAnsi"/>
        </w:rPr>
        <w:t>NIST Cybersecurity Framework 2.0</w:t>
      </w:r>
      <w:bookmarkEnd w:id="3"/>
    </w:p>
    <w:p w14:paraId="4A55AE60"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Additionally, the National Institute of Technology Cybersecurity Framework 2.0 is also considered to provide a risk-based and competency approach to cyber security management applicable across organisations of different sizes and industries. As studied by </w:t>
      </w:r>
      <w:proofErr w:type="spellStart"/>
      <w:r w:rsidRPr="00DD4D3F">
        <w:rPr>
          <w:rFonts w:asciiTheme="majorHAnsi" w:hAnsiTheme="majorHAnsi" w:cstheme="majorHAnsi"/>
        </w:rPr>
        <w:t>Katsantonis</w:t>
      </w:r>
      <w:r w:rsidR="00E95C43" w:rsidRPr="00DD4D3F">
        <w:rPr>
          <w:rFonts w:asciiTheme="majorHAnsi" w:hAnsiTheme="majorHAnsi" w:cstheme="majorHAnsi"/>
          <w:i/>
          <w:iCs/>
        </w:rPr>
        <w:t>et</w:t>
      </w:r>
      <w:proofErr w:type="spellEnd"/>
      <w:r w:rsidR="00E95C43" w:rsidRPr="00DD4D3F">
        <w:rPr>
          <w:rFonts w:asciiTheme="majorHAnsi" w:hAnsiTheme="majorHAnsi" w:cstheme="majorHAnsi"/>
          <w:i/>
          <w:iCs/>
        </w:rPr>
        <w:t xml:space="preserve"> al.</w:t>
      </w:r>
      <w:r w:rsidRPr="00DD4D3F">
        <w:rPr>
          <w:rFonts w:asciiTheme="majorHAnsi" w:hAnsiTheme="majorHAnsi" w:cstheme="majorHAnsi"/>
        </w:rPr>
        <w:t>(2023), there are six core functions in the updated framework, including governance, identification, protection, detection, responding and recovering. The introduction of the governance function is associated with growing recognition of cyber security as a strategic organisational responsibility. NIST CSF is focused towards vulnerability management, supply chain, security, continuous risk assessment and incident response, due to which it is highly relevant for organisations operating within outsourced and cloud-based environments. The organisation is dependent on infrastructure as a service, third-party logistics, partners and software as a service; therefore, NIST CSF is highly valuable in the provision of practical guidance for strengthening vendor management, cyber resilience and organisational accountability.</w:t>
      </w:r>
    </w:p>
    <w:p w14:paraId="540F68E6" w14:textId="77777777" w:rsidR="00D05FE4" w:rsidRPr="00DD4D3F" w:rsidRDefault="00000000" w:rsidP="00DD4D3F">
      <w:pPr>
        <w:spacing w:after="200"/>
        <w:jc w:val="center"/>
        <w:rPr>
          <w:rFonts w:asciiTheme="majorHAnsi" w:hAnsiTheme="majorHAnsi" w:cstheme="majorHAnsi"/>
        </w:rPr>
      </w:pPr>
      <w:r w:rsidRPr="00DD4D3F">
        <w:rPr>
          <w:rFonts w:asciiTheme="majorHAnsi" w:hAnsiTheme="majorHAnsi" w:cstheme="majorHAnsi"/>
          <w:noProof/>
          <w:lang w:eastAsia="en-US" w:bidi="hi-IN"/>
        </w:rPr>
        <w:lastRenderedPageBreak/>
        <w:drawing>
          <wp:inline distT="114300" distB="114300" distL="114300" distR="114300" wp14:anchorId="773775DE" wp14:editId="25B1C2A1">
            <wp:extent cx="4924425" cy="34099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a:stretch>
                      <a:fillRect/>
                    </a:stretch>
                  </pic:blipFill>
                  <pic:spPr>
                    <a:xfrm>
                      <a:off x="0" y="0"/>
                      <a:ext cx="4924425" cy="3409950"/>
                    </a:xfrm>
                    <a:prstGeom prst="rect">
                      <a:avLst/>
                    </a:prstGeom>
                  </pic:spPr>
                </pic:pic>
              </a:graphicData>
            </a:graphic>
          </wp:inline>
        </w:drawing>
      </w:r>
    </w:p>
    <w:p w14:paraId="6E381917" w14:textId="77777777" w:rsidR="00D05FE4" w:rsidRPr="00DD4D3F" w:rsidRDefault="00000000" w:rsidP="00DD4D3F">
      <w:pPr>
        <w:spacing w:after="200"/>
        <w:jc w:val="center"/>
        <w:rPr>
          <w:rFonts w:asciiTheme="majorHAnsi" w:hAnsiTheme="majorHAnsi" w:cstheme="majorHAnsi"/>
          <w:b/>
          <w:bCs/>
        </w:rPr>
      </w:pPr>
      <w:r w:rsidRPr="00DD4D3F">
        <w:rPr>
          <w:rFonts w:asciiTheme="majorHAnsi" w:hAnsiTheme="majorHAnsi" w:cstheme="majorHAnsi"/>
          <w:b/>
          <w:bCs/>
        </w:rPr>
        <w:t xml:space="preserve">Figure 1: Cybersecurity technologies </w:t>
      </w:r>
    </w:p>
    <w:p w14:paraId="792789E1" w14:textId="77777777" w:rsidR="00D05FE4" w:rsidRPr="00DD4D3F" w:rsidRDefault="00000000" w:rsidP="00DD4D3F">
      <w:pPr>
        <w:spacing w:after="200"/>
        <w:jc w:val="center"/>
        <w:rPr>
          <w:rFonts w:asciiTheme="majorHAnsi" w:hAnsiTheme="majorHAnsi" w:cstheme="majorHAnsi"/>
        </w:rPr>
      </w:pPr>
      <w:r w:rsidRPr="00DD4D3F">
        <w:rPr>
          <w:rFonts w:asciiTheme="majorHAnsi" w:hAnsiTheme="majorHAnsi" w:cstheme="majorHAnsi"/>
        </w:rPr>
        <w:t xml:space="preserve">(Source: </w:t>
      </w:r>
      <w:proofErr w:type="spellStart"/>
      <w:r w:rsidRPr="00DD4D3F">
        <w:rPr>
          <w:rFonts w:asciiTheme="majorHAnsi" w:hAnsiTheme="majorHAnsi" w:cstheme="majorHAnsi"/>
        </w:rPr>
        <w:t>Katsantonis</w:t>
      </w:r>
      <w:proofErr w:type="spellEnd"/>
      <w:r w:rsidR="00A767FA" w:rsidRPr="00DD4D3F">
        <w:rPr>
          <w:rFonts w:asciiTheme="majorHAnsi" w:hAnsiTheme="majorHAnsi" w:cstheme="majorHAnsi"/>
        </w:rPr>
        <w:t xml:space="preserve"> </w:t>
      </w:r>
      <w:r w:rsidR="00E95C43" w:rsidRPr="00DD4D3F">
        <w:rPr>
          <w:rFonts w:asciiTheme="majorHAnsi" w:hAnsiTheme="majorHAnsi" w:cstheme="majorHAnsi"/>
          <w:i/>
          <w:iCs/>
        </w:rPr>
        <w:t>et al.</w:t>
      </w:r>
      <w:r w:rsidRPr="00DD4D3F">
        <w:rPr>
          <w:rFonts w:asciiTheme="majorHAnsi" w:hAnsiTheme="majorHAnsi" w:cstheme="majorHAnsi"/>
        </w:rPr>
        <w:t>2023)</w:t>
      </w:r>
    </w:p>
    <w:p w14:paraId="7CE166C2" w14:textId="77777777" w:rsidR="00097CD7" w:rsidRPr="00DD4D3F" w:rsidRDefault="00000000" w:rsidP="00DD4D3F">
      <w:pPr>
        <w:pStyle w:val="Heading2"/>
        <w:rPr>
          <w:rFonts w:asciiTheme="majorHAnsi" w:hAnsiTheme="majorHAnsi" w:cstheme="majorHAnsi"/>
        </w:rPr>
      </w:pPr>
      <w:bookmarkStart w:id="4" w:name="_Toc235187071"/>
      <w:r w:rsidRPr="00DD4D3F">
        <w:rPr>
          <w:rFonts w:asciiTheme="majorHAnsi" w:hAnsiTheme="majorHAnsi" w:cstheme="majorHAnsi"/>
        </w:rPr>
        <w:t>COBIT 2019</w:t>
      </w:r>
      <w:bookmarkEnd w:id="4"/>
    </w:p>
    <w:p w14:paraId="6E302193"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Moreover, there could also be consideration of COBIT 2019, developed by ISACA, that provides an effective enterprise governance framework related to information and technology to organisations through the maintenance of alignment between organisational objectives and IT investments to ensure effective regulatory compliance and risk management (</w:t>
      </w:r>
      <w:proofErr w:type="spellStart"/>
      <w:r w:rsidRPr="00DD4D3F">
        <w:rPr>
          <w:rFonts w:asciiTheme="majorHAnsi" w:hAnsiTheme="majorHAnsi" w:cstheme="majorHAnsi"/>
        </w:rPr>
        <w:t>Wattimury</w:t>
      </w:r>
      <w:proofErr w:type="spellEnd"/>
      <w:r w:rsidRPr="00DD4D3F">
        <w:rPr>
          <w:rFonts w:asciiTheme="majorHAnsi" w:hAnsiTheme="majorHAnsi" w:cstheme="majorHAnsi"/>
        </w:rPr>
        <w:t xml:space="preserve"> and Faza, 2023). The implication of this for the concerned organisation lies in addressing the lack of centralised government and clearly defined security responsibility, and therefore the framework would be beneficial in provision of an effective mechanism for bringing improvement in organisational accountability and strategic oversight. However, as argued by </w:t>
      </w:r>
      <w:proofErr w:type="spellStart"/>
      <w:r w:rsidRPr="00DD4D3F">
        <w:rPr>
          <w:rFonts w:asciiTheme="majorHAnsi" w:hAnsiTheme="majorHAnsi" w:cstheme="majorHAnsi"/>
        </w:rPr>
        <w:t>Viamianni</w:t>
      </w:r>
      <w:r w:rsidR="00E95C43" w:rsidRPr="00DD4D3F">
        <w:rPr>
          <w:rFonts w:asciiTheme="majorHAnsi" w:hAnsiTheme="majorHAnsi" w:cstheme="majorHAnsi"/>
          <w:i/>
          <w:iCs/>
        </w:rPr>
        <w:t>et</w:t>
      </w:r>
      <w:proofErr w:type="spellEnd"/>
      <w:r w:rsidR="00E95C43" w:rsidRPr="00DD4D3F">
        <w:rPr>
          <w:rFonts w:asciiTheme="majorHAnsi" w:hAnsiTheme="majorHAnsi" w:cstheme="majorHAnsi"/>
          <w:i/>
          <w:iCs/>
        </w:rPr>
        <w:t xml:space="preserve"> al.</w:t>
      </w:r>
      <w:r w:rsidRPr="00DD4D3F">
        <w:rPr>
          <w:rFonts w:asciiTheme="majorHAnsi" w:hAnsiTheme="majorHAnsi" w:cstheme="majorHAnsi"/>
        </w:rPr>
        <w:t>(2023, the limitation of COBIT includes its primary focus on organisational management and governance instead of proposing detailed technical security controls, which require integration with complimentary framework, including ISO/IEC 27001 and NIST CSF.</w:t>
      </w:r>
    </w:p>
    <w:p w14:paraId="47850368" w14:textId="77777777" w:rsidR="00097CD7" w:rsidRPr="00DD4D3F" w:rsidRDefault="00000000" w:rsidP="00DD4D3F">
      <w:pPr>
        <w:pStyle w:val="Heading2"/>
        <w:rPr>
          <w:rFonts w:asciiTheme="majorHAnsi" w:hAnsiTheme="majorHAnsi" w:cstheme="majorHAnsi"/>
        </w:rPr>
      </w:pPr>
      <w:bookmarkStart w:id="5" w:name="_Toc235187072"/>
      <w:r w:rsidRPr="00DD4D3F">
        <w:rPr>
          <w:rFonts w:asciiTheme="majorHAnsi" w:hAnsiTheme="majorHAnsi" w:cstheme="majorHAnsi"/>
        </w:rPr>
        <w:lastRenderedPageBreak/>
        <w:t>ISO/IEC 27001:2022</w:t>
      </w:r>
      <w:bookmarkEnd w:id="5"/>
    </w:p>
    <w:p w14:paraId="54E08220"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ISO/IEC 27001:2022 is one of the most recognised standards in the international market, known for establishment, implementation, maintenance and continuous improvement of information security management. According to Malatji (2023), it differs from the guidance framework through the provision of certified requirements on the basis of risk management approaches and is supported by security controls. The critical security documents are addressed through the standards outlined within ISO/IEC 27002:2021, which helps in ensuring accessibility, control, supplier relationship, maintenance, encryption, business continuity, information classification and incident management (</w:t>
      </w:r>
      <w:proofErr w:type="spellStart"/>
      <w:r w:rsidRPr="00DD4D3F">
        <w:rPr>
          <w:rFonts w:asciiTheme="majorHAnsi" w:hAnsiTheme="majorHAnsi" w:cstheme="majorHAnsi"/>
        </w:rPr>
        <w:t>Vakhula</w:t>
      </w:r>
      <w:r w:rsidR="00E95C43" w:rsidRPr="00DD4D3F">
        <w:rPr>
          <w:rFonts w:asciiTheme="majorHAnsi" w:hAnsiTheme="majorHAnsi" w:cstheme="majorHAnsi"/>
          <w:i/>
          <w:iCs/>
        </w:rPr>
        <w:t>et</w:t>
      </w:r>
      <w:proofErr w:type="spellEnd"/>
      <w:r w:rsidR="00E95C43" w:rsidRPr="00DD4D3F">
        <w:rPr>
          <w:rFonts w:asciiTheme="majorHAnsi" w:hAnsiTheme="majorHAnsi" w:cstheme="majorHAnsi"/>
          <w:i/>
          <w:iCs/>
        </w:rPr>
        <w:t xml:space="preserve"> al.</w:t>
      </w:r>
      <w:r w:rsidRPr="00DD4D3F">
        <w:rPr>
          <w:rFonts w:asciiTheme="majorHAnsi" w:hAnsiTheme="majorHAnsi" w:cstheme="majorHAnsi"/>
        </w:rPr>
        <w:t>2024)</w:t>
      </w:r>
    </w:p>
    <w:p w14:paraId="43ECDB31" w14:textId="77777777" w:rsidR="00D05FE4" w:rsidRDefault="00000000" w:rsidP="00DD4D3F">
      <w:pPr>
        <w:spacing w:after="200"/>
        <w:rPr>
          <w:rFonts w:asciiTheme="majorHAnsi" w:hAnsiTheme="majorHAnsi" w:cstheme="majorHAnsi"/>
        </w:rPr>
      </w:pPr>
      <w:r w:rsidRPr="00DD4D3F">
        <w:rPr>
          <w:rFonts w:asciiTheme="majorHAnsi" w:hAnsiTheme="majorHAnsi" w:cstheme="majorHAnsi"/>
        </w:rPr>
        <w:t>The analysis of each of the frameworks has helped in understanding the effectiveness in addressing different aspects of information security; however, the issue lies in the lack of satisfying the complex governance and security requirements of the organisation. Therefore, it is recommended for the organisation to adopt an integrated approach by combining the governance capabilities of COBIT, service management, and principles of ITIL and operational security guidance of NIST CSF to ensure a comprehensive security framework through which technological, regulatory and governance challenges would be addressed.</w:t>
      </w:r>
    </w:p>
    <w:p w14:paraId="6A291806" w14:textId="77777777" w:rsidR="00433DD7" w:rsidRDefault="00433DD7" w:rsidP="00DD4D3F">
      <w:pPr>
        <w:spacing w:after="200"/>
        <w:rPr>
          <w:rFonts w:asciiTheme="majorHAnsi" w:hAnsiTheme="majorHAnsi" w:cstheme="majorHAnsi"/>
        </w:rPr>
      </w:pPr>
    </w:p>
    <w:p w14:paraId="13FAF8CF" w14:textId="77777777" w:rsidR="00433DD7" w:rsidRDefault="00433DD7" w:rsidP="00DD4D3F">
      <w:pPr>
        <w:spacing w:after="200"/>
        <w:rPr>
          <w:rFonts w:asciiTheme="majorHAnsi" w:hAnsiTheme="majorHAnsi" w:cstheme="majorHAnsi"/>
        </w:rPr>
      </w:pPr>
    </w:p>
    <w:p w14:paraId="7970039B" w14:textId="77777777" w:rsidR="00433DD7" w:rsidRDefault="00433DD7" w:rsidP="00DD4D3F">
      <w:pPr>
        <w:spacing w:after="200"/>
        <w:rPr>
          <w:rFonts w:asciiTheme="majorHAnsi" w:hAnsiTheme="majorHAnsi" w:cstheme="majorHAnsi"/>
        </w:rPr>
      </w:pPr>
    </w:p>
    <w:p w14:paraId="000E5EA8" w14:textId="77777777" w:rsidR="00433DD7" w:rsidRDefault="00433DD7" w:rsidP="00DD4D3F">
      <w:pPr>
        <w:spacing w:after="200"/>
        <w:rPr>
          <w:rFonts w:asciiTheme="majorHAnsi" w:hAnsiTheme="majorHAnsi" w:cstheme="majorHAnsi"/>
        </w:rPr>
      </w:pPr>
    </w:p>
    <w:p w14:paraId="25FB280B" w14:textId="77777777" w:rsidR="00433DD7" w:rsidRDefault="00433DD7" w:rsidP="00DD4D3F">
      <w:pPr>
        <w:spacing w:after="200"/>
        <w:rPr>
          <w:rFonts w:asciiTheme="majorHAnsi" w:hAnsiTheme="majorHAnsi" w:cstheme="majorHAnsi"/>
        </w:rPr>
      </w:pPr>
    </w:p>
    <w:p w14:paraId="673B85A8" w14:textId="77777777" w:rsidR="00433DD7" w:rsidRDefault="00433DD7" w:rsidP="00DD4D3F">
      <w:pPr>
        <w:spacing w:after="200"/>
        <w:rPr>
          <w:rFonts w:asciiTheme="majorHAnsi" w:hAnsiTheme="majorHAnsi" w:cstheme="majorHAnsi"/>
        </w:rPr>
      </w:pPr>
    </w:p>
    <w:p w14:paraId="44C4A66A" w14:textId="77777777" w:rsidR="00433DD7" w:rsidRPr="00DD4D3F" w:rsidRDefault="00433DD7" w:rsidP="00DD4D3F">
      <w:pPr>
        <w:spacing w:after="200"/>
        <w:rPr>
          <w:rFonts w:asciiTheme="majorHAnsi" w:hAnsiTheme="majorHAnsi" w:cstheme="majorHAnsi"/>
        </w:rPr>
      </w:pPr>
    </w:p>
    <w:p w14:paraId="70A1D145" w14:textId="77777777" w:rsidR="00D05FE4" w:rsidRPr="00DD4D3F" w:rsidRDefault="00000000" w:rsidP="00DD4D3F">
      <w:pPr>
        <w:pStyle w:val="Heading1"/>
        <w:rPr>
          <w:rFonts w:asciiTheme="majorHAnsi" w:hAnsiTheme="majorHAnsi" w:cstheme="majorHAnsi"/>
        </w:rPr>
      </w:pPr>
      <w:bookmarkStart w:id="6" w:name="_Toc235187073"/>
      <w:r w:rsidRPr="00DD4D3F">
        <w:rPr>
          <w:rFonts w:asciiTheme="majorHAnsi" w:hAnsiTheme="majorHAnsi" w:cstheme="majorHAnsi"/>
        </w:rPr>
        <w:lastRenderedPageBreak/>
        <w:t xml:space="preserve">3. Proposed Information Security, Governance and Compliance Approach for </w:t>
      </w:r>
      <w:proofErr w:type="spellStart"/>
      <w:r w:rsidRPr="00DD4D3F">
        <w:rPr>
          <w:rFonts w:asciiTheme="majorHAnsi" w:hAnsiTheme="majorHAnsi" w:cstheme="majorHAnsi"/>
        </w:rPr>
        <w:t>AeroLink</w:t>
      </w:r>
      <w:proofErr w:type="spellEnd"/>
      <w:r w:rsidRPr="00DD4D3F">
        <w:rPr>
          <w:rFonts w:asciiTheme="majorHAnsi" w:hAnsiTheme="majorHAnsi" w:cstheme="majorHAnsi"/>
        </w:rPr>
        <w:t xml:space="preserve"> Logistics</w:t>
      </w:r>
      <w:bookmarkEnd w:id="6"/>
    </w:p>
    <w:p w14:paraId="0AE6488B" w14:textId="77777777" w:rsidR="00097CD7" w:rsidRPr="00DD4D3F" w:rsidRDefault="00000000" w:rsidP="00DD4D3F">
      <w:pPr>
        <w:pStyle w:val="Heading2"/>
        <w:rPr>
          <w:rFonts w:asciiTheme="majorHAnsi" w:hAnsiTheme="majorHAnsi" w:cstheme="majorHAnsi"/>
        </w:rPr>
      </w:pPr>
      <w:bookmarkStart w:id="7" w:name="_Toc235187074"/>
      <w:r w:rsidRPr="00DD4D3F">
        <w:rPr>
          <w:rFonts w:asciiTheme="majorHAnsi" w:hAnsiTheme="majorHAnsi" w:cstheme="majorHAnsi"/>
        </w:rPr>
        <w:t>Security Governance Structure</w:t>
      </w:r>
      <w:bookmarkEnd w:id="7"/>
    </w:p>
    <w:p w14:paraId="3F79B55E" w14:textId="77777777" w:rsidR="00D05FE4" w:rsidRPr="00DD4D3F" w:rsidRDefault="00000000" w:rsidP="00DD4D3F">
      <w:pPr>
        <w:spacing w:after="200"/>
        <w:jc w:val="center"/>
        <w:rPr>
          <w:rFonts w:asciiTheme="majorHAnsi" w:hAnsiTheme="majorHAnsi" w:cstheme="majorHAnsi"/>
          <w:b/>
          <w:bCs/>
          <w:sz w:val="28"/>
          <w:szCs w:val="28"/>
        </w:rPr>
      </w:pPr>
      <w:r w:rsidRPr="00DD4D3F">
        <w:rPr>
          <w:rFonts w:asciiTheme="majorHAnsi" w:hAnsiTheme="majorHAnsi" w:cstheme="majorHAnsi"/>
          <w:b/>
          <w:bCs/>
          <w:noProof/>
          <w:sz w:val="28"/>
          <w:szCs w:val="28"/>
          <w:lang w:eastAsia="en-US" w:bidi="hi-IN"/>
        </w:rPr>
        <w:drawing>
          <wp:inline distT="114300" distB="114300" distL="114300" distR="114300" wp14:anchorId="2F84736E" wp14:editId="074D0DBE">
            <wp:extent cx="3589020" cy="3162300"/>
            <wp:effectExtent l="1905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9"/>
                    <a:stretch>
                      <a:fillRect/>
                    </a:stretch>
                  </pic:blipFill>
                  <pic:spPr>
                    <a:xfrm>
                      <a:off x="0" y="0"/>
                      <a:ext cx="3590829" cy="3163894"/>
                    </a:xfrm>
                    <a:prstGeom prst="rect">
                      <a:avLst/>
                    </a:prstGeom>
                  </pic:spPr>
                </pic:pic>
              </a:graphicData>
            </a:graphic>
          </wp:inline>
        </w:drawing>
      </w:r>
    </w:p>
    <w:p w14:paraId="3B2FABD1" w14:textId="77777777" w:rsidR="00D05FE4" w:rsidRPr="00DD4D3F" w:rsidRDefault="00000000" w:rsidP="00DD4D3F">
      <w:pPr>
        <w:spacing w:after="200"/>
        <w:jc w:val="center"/>
        <w:rPr>
          <w:rFonts w:asciiTheme="majorHAnsi" w:hAnsiTheme="majorHAnsi" w:cstheme="majorHAnsi"/>
          <w:b/>
          <w:bCs/>
        </w:rPr>
      </w:pPr>
      <w:r w:rsidRPr="00DD4D3F">
        <w:rPr>
          <w:rFonts w:asciiTheme="majorHAnsi" w:hAnsiTheme="majorHAnsi" w:cstheme="majorHAnsi"/>
          <w:b/>
          <w:bCs/>
        </w:rPr>
        <w:t xml:space="preserve">Figure 2: Key elements of cybersecurity protocol </w:t>
      </w:r>
    </w:p>
    <w:p w14:paraId="2EDF5482" w14:textId="77777777" w:rsidR="00D05FE4" w:rsidRPr="00DD4D3F" w:rsidRDefault="00000000" w:rsidP="00DD4D3F">
      <w:pPr>
        <w:spacing w:after="200"/>
        <w:jc w:val="center"/>
        <w:rPr>
          <w:rFonts w:asciiTheme="majorHAnsi" w:hAnsiTheme="majorHAnsi" w:cstheme="majorHAnsi"/>
        </w:rPr>
      </w:pPr>
      <w:r w:rsidRPr="00DD4D3F">
        <w:rPr>
          <w:rFonts w:asciiTheme="majorHAnsi" w:hAnsiTheme="majorHAnsi" w:cstheme="majorHAnsi"/>
        </w:rPr>
        <w:t xml:space="preserve">(Source: Rambau </w:t>
      </w:r>
      <w:r w:rsidR="00E95C43" w:rsidRPr="00DD4D3F">
        <w:rPr>
          <w:rFonts w:asciiTheme="majorHAnsi" w:hAnsiTheme="majorHAnsi" w:cstheme="majorHAnsi"/>
          <w:i/>
          <w:iCs/>
        </w:rPr>
        <w:t>et al.</w:t>
      </w:r>
      <w:r w:rsidRPr="00DD4D3F">
        <w:rPr>
          <w:rFonts w:asciiTheme="majorHAnsi" w:hAnsiTheme="majorHAnsi" w:cstheme="majorHAnsi"/>
        </w:rPr>
        <w:t>2026)</w:t>
      </w:r>
    </w:p>
    <w:p w14:paraId="48B9C210"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There should be implementation of a comprehensive information security strategy in order to address the fragmented security environment of ALL along with integration of governance, compliance, risk management, and operational security into a unified framework. Based on the study of Rambau </w:t>
      </w:r>
      <w:r w:rsidR="00E95C43" w:rsidRPr="00DD4D3F">
        <w:rPr>
          <w:rFonts w:asciiTheme="majorHAnsi" w:hAnsiTheme="majorHAnsi" w:cstheme="majorHAnsi"/>
          <w:i/>
          <w:iCs/>
        </w:rPr>
        <w:t>et al.</w:t>
      </w:r>
      <w:r w:rsidRPr="00DD4D3F">
        <w:rPr>
          <w:rFonts w:asciiTheme="majorHAnsi" w:hAnsiTheme="majorHAnsi" w:cstheme="majorHAnsi"/>
        </w:rPr>
        <w:t xml:space="preserve">(2026), the organisation should not focus on a single security model; instead, there should be adoption of an integrated approach through the combination of COBIT 2019 for governance, ISO/IEC 27001:2022 for information security management and NIST Cybersecurity Framework for cybersecurity operations so that secure IT service management could be ensured in the organisation. The beneficial impact of this integrated approach lies in enabling the </w:t>
      </w:r>
      <w:proofErr w:type="spellStart"/>
      <w:r w:rsidRPr="00DD4D3F">
        <w:rPr>
          <w:rFonts w:asciiTheme="majorHAnsi" w:hAnsiTheme="majorHAnsi" w:cstheme="majorHAnsi"/>
        </w:rPr>
        <w:t>organisationin</w:t>
      </w:r>
      <w:proofErr w:type="spellEnd"/>
      <w:r w:rsidRPr="00DD4D3F">
        <w:rPr>
          <w:rFonts w:asciiTheme="majorHAnsi" w:hAnsiTheme="majorHAnsi" w:cstheme="majorHAnsi"/>
        </w:rPr>
        <w:t xml:space="preserve"> strengthening operational resilience, decision-making, regulatory </w:t>
      </w:r>
      <w:r w:rsidRPr="00DD4D3F">
        <w:rPr>
          <w:rFonts w:asciiTheme="majorHAnsi" w:hAnsiTheme="majorHAnsi" w:cstheme="majorHAnsi"/>
        </w:rPr>
        <w:lastRenderedPageBreak/>
        <w:t>compliance and establishment of a proactive security culture across different business functions.</w:t>
      </w:r>
    </w:p>
    <w:p w14:paraId="1956BA8E" w14:textId="77777777" w:rsidR="00097CD7" w:rsidRPr="00DD4D3F" w:rsidRDefault="00000000" w:rsidP="00DD4D3F">
      <w:pPr>
        <w:pStyle w:val="Heading2"/>
        <w:rPr>
          <w:rFonts w:asciiTheme="majorHAnsi" w:hAnsiTheme="majorHAnsi" w:cstheme="majorHAnsi"/>
        </w:rPr>
      </w:pPr>
      <w:bookmarkStart w:id="8" w:name="_Toc235187075"/>
      <w:r w:rsidRPr="00DD4D3F">
        <w:rPr>
          <w:rFonts w:asciiTheme="majorHAnsi" w:hAnsiTheme="majorHAnsi" w:cstheme="majorHAnsi"/>
        </w:rPr>
        <w:t>Security Policies and Procedures</w:t>
      </w:r>
      <w:bookmarkEnd w:id="8"/>
    </w:p>
    <w:p w14:paraId="2F3F8BCA"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One of the primary priorities that should be the focus of the organisation is establishing a formal information security governance structure since it currently lacks clearly defined security responsibilities, resulting in poor collaboration and cooperation between the departments along with ineffectiveness in oversight of outsourced services (Rambau </w:t>
      </w:r>
      <w:r w:rsidR="00E95C43" w:rsidRPr="00DD4D3F">
        <w:rPr>
          <w:rFonts w:asciiTheme="majorHAnsi" w:hAnsiTheme="majorHAnsi" w:cstheme="majorHAnsi"/>
          <w:i/>
          <w:iCs/>
        </w:rPr>
        <w:t>et al.</w:t>
      </w:r>
      <w:r w:rsidRPr="00DD4D3F">
        <w:rPr>
          <w:rFonts w:asciiTheme="majorHAnsi" w:hAnsiTheme="majorHAnsi" w:cstheme="majorHAnsi"/>
        </w:rPr>
        <w:t>2026). There would also be the formation of a security steering committee where the chief information security officer would be the chairman of the department, along with other members, including senior representatives from IT, operations, risk management, legal, and human resources, so that a team is formed for overseeing the organisational security strategies. The implementation of COBIT 2019 would help the committee in defining security objectives in alignment with business goals, monitoring security performance, ensuring accountability throughout the organisation and allocating responsibilities. The clear assignment of ownership for cyber security decisions would also have a significant impact on the improvement of organisational resilience through the reduction of governance gaps.</w:t>
      </w:r>
    </w:p>
    <w:p w14:paraId="33E292AF" w14:textId="77777777" w:rsidR="00097CD7" w:rsidRPr="00DD4D3F" w:rsidRDefault="00000000" w:rsidP="00DD4D3F">
      <w:pPr>
        <w:pStyle w:val="Heading2"/>
        <w:rPr>
          <w:rFonts w:asciiTheme="majorHAnsi" w:hAnsiTheme="majorHAnsi" w:cstheme="majorHAnsi"/>
        </w:rPr>
      </w:pPr>
      <w:bookmarkStart w:id="9" w:name="_Toc235187076"/>
      <w:r w:rsidRPr="00DD4D3F">
        <w:rPr>
          <w:rFonts w:asciiTheme="majorHAnsi" w:hAnsiTheme="majorHAnsi" w:cstheme="majorHAnsi"/>
        </w:rPr>
        <w:t>Cyber Risk Management</w:t>
      </w:r>
      <w:bookmarkEnd w:id="9"/>
    </w:p>
    <w:p w14:paraId="1622164C"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There should also be development of comprehensive security policies and procedures for establishment of consistent security practices across the organisation. Currently, ALL provides permission to employees, logistics, partners, and suppliers to access assistance through the user and manage devices across multiple locations; due to this, it is essential to implement a robust bring your own device and remote access policy. On the basis of the study of Prabakaran and Ramachandran (2022), in order to implement these policies effectively, there is a requirement for endpoint protection, software multifactor authentication, device registration, and securing virtual private network connections prior to the accessibility to corporate systems. Additionally, data retention, information classification, password management, encryption policies and acceptable use should also be introduced for standardisation of the handling and </w:t>
      </w:r>
      <w:r w:rsidRPr="00DD4D3F">
        <w:rPr>
          <w:rFonts w:asciiTheme="majorHAnsi" w:hAnsiTheme="majorHAnsi" w:cstheme="majorHAnsi"/>
        </w:rPr>
        <w:lastRenderedPageBreak/>
        <w:t>management of sensitive shipment data along with identifiable information about the customers. These policies should be complemented with phishing simulation exercises and regular employee awareness so that there is a reduction in human-related cyber security risk, which is one of the major causes contributing to data breaches at ALL.</w:t>
      </w:r>
    </w:p>
    <w:p w14:paraId="34BE2977" w14:textId="77777777" w:rsidR="00097CD7" w:rsidRPr="00DD4D3F" w:rsidRDefault="00000000" w:rsidP="00DD4D3F">
      <w:pPr>
        <w:pStyle w:val="Heading2"/>
        <w:rPr>
          <w:rFonts w:asciiTheme="majorHAnsi" w:hAnsiTheme="majorHAnsi" w:cstheme="majorHAnsi"/>
        </w:rPr>
      </w:pPr>
      <w:bookmarkStart w:id="10" w:name="_Toc235187077"/>
      <w:r w:rsidRPr="00DD4D3F">
        <w:rPr>
          <w:rFonts w:asciiTheme="majorHAnsi" w:hAnsiTheme="majorHAnsi" w:cstheme="majorHAnsi"/>
        </w:rPr>
        <w:t>Technical Security Controls</w:t>
      </w:r>
      <w:bookmarkEnd w:id="10"/>
    </w:p>
    <w:p w14:paraId="7E499B7C" w14:textId="77777777" w:rsidR="00D05FE4"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They should also be implementation of a formal risk management program for identification, assessment and continuous monitoring of cybersecurity risks. The focus of risk assessment should be on evaluation of threats related to AI-driven analytics, cloud infrastructure, IoT-based tracking sensors and threats faced due to 3rd party vendors. According to </w:t>
      </w:r>
      <w:proofErr w:type="spellStart"/>
      <w:r w:rsidRPr="00DD4D3F">
        <w:rPr>
          <w:rFonts w:asciiTheme="majorHAnsi" w:hAnsiTheme="majorHAnsi" w:cstheme="majorHAnsi"/>
        </w:rPr>
        <w:t>Acebes</w:t>
      </w:r>
      <w:r w:rsidR="00E95C43" w:rsidRPr="00DD4D3F">
        <w:rPr>
          <w:rFonts w:asciiTheme="majorHAnsi" w:hAnsiTheme="majorHAnsi" w:cstheme="majorHAnsi"/>
          <w:i/>
          <w:iCs/>
        </w:rPr>
        <w:t>et</w:t>
      </w:r>
      <w:proofErr w:type="spellEnd"/>
      <w:r w:rsidR="00E95C43" w:rsidRPr="00DD4D3F">
        <w:rPr>
          <w:rFonts w:asciiTheme="majorHAnsi" w:hAnsiTheme="majorHAnsi" w:cstheme="majorHAnsi"/>
          <w:i/>
          <w:iCs/>
        </w:rPr>
        <w:t xml:space="preserve"> al.</w:t>
      </w:r>
      <w:r w:rsidRPr="00DD4D3F">
        <w:rPr>
          <w:rFonts w:asciiTheme="majorHAnsi" w:hAnsiTheme="majorHAnsi" w:cstheme="majorHAnsi"/>
        </w:rPr>
        <w:t>(2024), there should also be prioritisation of the risks on the basis of their likelihood and impact on the organisation prior to the implementation of appropriate communication strategies. The security information and event management systems would help in continuous monitoring along with evaluation of regular volatility so that ALL is able to detect security incidents at an Early stage on the basis of which it could respond actively to emerging cyber threats.</w:t>
      </w:r>
    </w:p>
    <w:p w14:paraId="68DEDB68" w14:textId="77777777" w:rsidR="00D05FE4" w:rsidRPr="00DD4D3F" w:rsidRDefault="00000000" w:rsidP="00DD4D3F">
      <w:pPr>
        <w:spacing w:after="200"/>
        <w:jc w:val="center"/>
        <w:rPr>
          <w:rFonts w:asciiTheme="majorHAnsi" w:hAnsiTheme="majorHAnsi" w:cstheme="majorHAnsi"/>
        </w:rPr>
      </w:pPr>
      <w:r w:rsidRPr="00DD4D3F">
        <w:rPr>
          <w:rFonts w:asciiTheme="majorHAnsi" w:hAnsiTheme="majorHAnsi" w:cstheme="majorHAnsi"/>
          <w:noProof/>
          <w:lang w:eastAsia="en-US" w:bidi="hi-IN"/>
        </w:rPr>
        <w:drawing>
          <wp:inline distT="114300" distB="114300" distL="114300" distR="114300" wp14:anchorId="3214F024" wp14:editId="684D5ECE">
            <wp:extent cx="3771900" cy="202692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10"/>
                    <a:stretch>
                      <a:fillRect/>
                    </a:stretch>
                  </pic:blipFill>
                  <pic:spPr>
                    <a:xfrm>
                      <a:off x="0" y="0"/>
                      <a:ext cx="3771900" cy="2026920"/>
                    </a:xfrm>
                    <a:prstGeom prst="rect">
                      <a:avLst/>
                    </a:prstGeom>
                  </pic:spPr>
                </pic:pic>
              </a:graphicData>
            </a:graphic>
          </wp:inline>
        </w:drawing>
      </w:r>
    </w:p>
    <w:p w14:paraId="48940C42" w14:textId="77777777" w:rsidR="00D05FE4" w:rsidRPr="00DD4D3F" w:rsidRDefault="00000000" w:rsidP="00DD4D3F">
      <w:pPr>
        <w:spacing w:after="200"/>
        <w:jc w:val="center"/>
        <w:rPr>
          <w:rFonts w:asciiTheme="majorHAnsi" w:hAnsiTheme="majorHAnsi" w:cstheme="majorHAnsi"/>
          <w:b/>
          <w:bCs/>
        </w:rPr>
      </w:pPr>
      <w:r w:rsidRPr="00DD4D3F">
        <w:rPr>
          <w:rFonts w:asciiTheme="majorHAnsi" w:hAnsiTheme="majorHAnsi" w:cstheme="majorHAnsi"/>
          <w:b/>
          <w:bCs/>
        </w:rPr>
        <w:t>Figure 3: Example of Risk matrix</w:t>
      </w:r>
    </w:p>
    <w:p w14:paraId="72A713E5" w14:textId="77777777" w:rsidR="00D05FE4" w:rsidRPr="00DD4D3F" w:rsidRDefault="00000000" w:rsidP="00DD4D3F">
      <w:pPr>
        <w:spacing w:after="200"/>
        <w:jc w:val="center"/>
        <w:rPr>
          <w:rFonts w:asciiTheme="majorHAnsi" w:hAnsiTheme="majorHAnsi" w:cstheme="majorHAnsi"/>
        </w:rPr>
      </w:pPr>
      <w:r w:rsidRPr="00DD4D3F">
        <w:rPr>
          <w:rFonts w:asciiTheme="majorHAnsi" w:hAnsiTheme="majorHAnsi" w:cstheme="majorHAnsi"/>
        </w:rPr>
        <w:t xml:space="preserve">(Source: </w:t>
      </w:r>
      <w:proofErr w:type="spellStart"/>
      <w:r w:rsidRPr="00DD4D3F">
        <w:rPr>
          <w:rFonts w:asciiTheme="majorHAnsi" w:hAnsiTheme="majorHAnsi" w:cstheme="majorHAnsi"/>
        </w:rPr>
        <w:t>Acebes</w:t>
      </w:r>
      <w:proofErr w:type="spellEnd"/>
      <w:r w:rsidR="00A767FA" w:rsidRPr="00DD4D3F">
        <w:rPr>
          <w:rFonts w:asciiTheme="majorHAnsi" w:hAnsiTheme="majorHAnsi" w:cstheme="majorHAnsi"/>
        </w:rPr>
        <w:t xml:space="preserve"> </w:t>
      </w:r>
      <w:r w:rsidR="00E95C43" w:rsidRPr="00DD4D3F">
        <w:rPr>
          <w:rFonts w:asciiTheme="majorHAnsi" w:hAnsiTheme="majorHAnsi" w:cstheme="majorHAnsi"/>
          <w:i/>
          <w:iCs/>
        </w:rPr>
        <w:t>et al.</w:t>
      </w:r>
      <w:r w:rsidRPr="00DD4D3F">
        <w:rPr>
          <w:rFonts w:asciiTheme="majorHAnsi" w:hAnsiTheme="majorHAnsi" w:cstheme="majorHAnsi"/>
        </w:rPr>
        <w:t>2024)</w:t>
      </w:r>
    </w:p>
    <w:p w14:paraId="0EB322D1" w14:textId="77777777" w:rsidR="00097CD7" w:rsidRPr="00DD4D3F" w:rsidRDefault="00000000" w:rsidP="00DD4D3F">
      <w:pPr>
        <w:pStyle w:val="Heading2"/>
        <w:rPr>
          <w:rFonts w:asciiTheme="majorHAnsi" w:hAnsiTheme="majorHAnsi" w:cstheme="majorHAnsi"/>
        </w:rPr>
      </w:pPr>
      <w:bookmarkStart w:id="11" w:name="_Toc235187078"/>
      <w:r w:rsidRPr="00DD4D3F">
        <w:rPr>
          <w:rFonts w:asciiTheme="majorHAnsi" w:hAnsiTheme="majorHAnsi" w:cstheme="majorHAnsi"/>
        </w:rPr>
        <w:t>Expected Benefits of the Proposed Approach</w:t>
      </w:r>
      <w:bookmarkEnd w:id="11"/>
    </w:p>
    <w:p w14:paraId="094B71B0" w14:textId="77777777" w:rsidR="00D05FE4" w:rsidRPr="00DD4D3F" w:rsidRDefault="00000000" w:rsidP="00DD4D3F">
      <w:pPr>
        <w:spacing w:after="200"/>
        <w:rPr>
          <w:rFonts w:asciiTheme="majorHAnsi" w:hAnsiTheme="majorHAnsi" w:cstheme="majorHAnsi"/>
          <w:b/>
          <w:bCs/>
          <w:sz w:val="28"/>
          <w:szCs w:val="28"/>
        </w:rPr>
      </w:pPr>
      <w:r w:rsidRPr="00DD4D3F">
        <w:rPr>
          <w:rFonts w:asciiTheme="majorHAnsi" w:hAnsiTheme="majorHAnsi" w:cstheme="majorHAnsi"/>
        </w:rPr>
        <w:lastRenderedPageBreak/>
        <w:t>It should also be noted that ALL is extensively dependent on outsourced services, due to which there is a need for stronger technical protection mechanisms. There should be adoption of a zero trust security architecture by the organisation on the basis of the principles of never trust, always verified so that it is ensured that every device, user and application is continuously authenticated Before getting accessibility to the organisational resources. Additionally, as reported by Ojo (2025), there should also be implementation of role-based access control, least privilege principles, multifactor authentication and privileged access management for bringing a reduction in unauthorised access to sensitive information. Protection of sensitive customer data should also be ensured through advanced encryption standards, for which there could be implementation of encryption during storage and transport security protocols during transmission. Additionally, regular firmware updates, network segmentation and secure device authentication should be done to the IOT devices used for shipment tracking so that vulnerabilities are minimised.</w:t>
      </w:r>
    </w:p>
    <w:p w14:paraId="2E552489" w14:textId="77777777" w:rsidR="00D05FE4" w:rsidRPr="00DD4D3F" w:rsidRDefault="00000000" w:rsidP="00DD4D3F">
      <w:pPr>
        <w:pStyle w:val="Heading1"/>
        <w:rPr>
          <w:rFonts w:asciiTheme="majorHAnsi" w:hAnsiTheme="majorHAnsi" w:cstheme="majorHAnsi"/>
        </w:rPr>
      </w:pPr>
      <w:bookmarkStart w:id="12" w:name="_Toc235187079"/>
      <w:r w:rsidRPr="00DD4D3F">
        <w:rPr>
          <w:rFonts w:asciiTheme="majorHAnsi" w:hAnsiTheme="majorHAnsi" w:cstheme="majorHAnsi"/>
        </w:rPr>
        <w:t>4. Critical Analysis: Importance of Continuous Updates to Regulations and Standards</w:t>
      </w:r>
      <w:bookmarkEnd w:id="12"/>
    </w:p>
    <w:p w14:paraId="13676D12" w14:textId="77777777" w:rsidR="00097CD7" w:rsidRPr="00DD4D3F" w:rsidRDefault="00000000" w:rsidP="00DD4D3F">
      <w:pPr>
        <w:pStyle w:val="Heading2"/>
        <w:rPr>
          <w:rFonts w:asciiTheme="majorHAnsi" w:hAnsiTheme="majorHAnsi" w:cstheme="majorHAnsi"/>
        </w:rPr>
      </w:pPr>
      <w:bookmarkStart w:id="13" w:name="_Toc235187080"/>
      <w:r w:rsidRPr="00DD4D3F">
        <w:rPr>
          <w:rFonts w:asciiTheme="majorHAnsi" w:hAnsiTheme="majorHAnsi" w:cstheme="majorHAnsi"/>
        </w:rPr>
        <w:t>Technological Changes Driving Regulatory Updates</w:t>
      </w:r>
      <w:bookmarkEnd w:id="13"/>
    </w:p>
    <w:p w14:paraId="01D00217" w14:textId="77777777" w:rsidR="00D05FE4" w:rsidRPr="00DD4D3F" w:rsidRDefault="00000000" w:rsidP="00DD4D3F">
      <w:pPr>
        <w:rPr>
          <w:rFonts w:asciiTheme="majorHAnsi" w:hAnsiTheme="majorHAnsi" w:cstheme="majorHAnsi"/>
        </w:rPr>
      </w:pPr>
      <w:r w:rsidRPr="00DD4D3F">
        <w:rPr>
          <w:rFonts w:asciiTheme="majorHAnsi" w:hAnsiTheme="majorHAnsi" w:cstheme="majorHAnsi"/>
        </w:rPr>
        <w:t xml:space="preserve">The increasing usage of cloud computing, artificial intelligence (AI) and Internet of Things (IoT) and outsourced digital services have transformed cybersecurity from a technical job to a strategic governance function. The cyber risks, regulations, technology and business models are constantly changing, so firms cannot see compliance as a one-off exercise. Organisations must have governance frameworks for using cloud infrastructure, AI-based analytics, telecommuting and third-party service providers that are periodically assessed and altered to ensure security and regulatory compliance. This is especially true for </w:t>
      </w:r>
      <w:proofErr w:type="spellStart"/>
      <w:r w:rsidRPr="00DD4D3F">
        <w:rPr>
          <w:rFonts w:asciiTheme="majorHAnsi" w:hAnsiTheme="majorHAnsi" w:cstheme="majorHAnsi"/>
        </w:rPr>
        <w:t>AeroLink</w:t>
      </w:r>
      <w:proofErr w:type="spellEnd"/>
      <w:r w:rsidRPr="00DD4D3F">
        <w:rPr>
          <w:rFonts w:asciiTheme="majorHAnsi" w:hAnsiTheme="majorHAnsi" w:cstheme="majorHAnsi"/>
        </w:rPr>
        <w:t xml:space="preserve"> Logistics (ALL), which relies on outsourced Infrastructure-as-a-Service (IaaS), Software-as-a-Service (SaaS), IoT-enabled shipment tracking and remote access via unmanaged devices. These, coupled with the inconsistent governance structure and some breaches of consumer personally identifiable information (PII), provide serious security and compliance challenges for the firm. This emphasises the need for regular reviews to ensure cyber resilience, considering that legacy </w:t>
      </w:r>
      <w:r w:rsidRPr="00DD4D3F">
        <w:rPr>
          <w:rFonts w:asciiTheme="majorHAnsi" w:hAnsiTheme="majorHAnsi" w:cstheme="majorHAnsi"/>
        </w:rPr>
        <w:lastRenderedPageBreak/>
        <w:t>security policies create a governance gap between the organisation's activities and the current legal standards.</w:t>
      </w:r>
    </w:p>
    <w:p w14:paraId="23ECE8D3" w14:textId="77777777" w:rsidR="00097CD7" w:rsidRPr="00DD4D3F" w:rsidRDefault="00000000" w:rsidP="00DD4D3F">
      <w:pPr>
        <w:pStyle w:val="Heading2"/>
        <w:rPr>
          <w:rFonts w:asciiTheme="majorHAnsi" w:hAnsiTheme="majorHAnsi" w:cstheme="majorHAnsi"/>
        </w:rPr>
      </w:pPr>
      <w:bookmarkStart w:id="14" w:name="_Toc235187081"/>
      <w:r w:rsidRPr="00DD4D3F">
        <w:rPr>
          <w:rFonts w:asciiTheme="majorHAnsi" w:hAnsiTheme="majorHAnsi" w:cstheme="majorHAnsi"/>
        </w:rPr>
        <w:t>Evolving Cyber Threat Landscape</w:t>
      </w:r>
      <w:bookmarkEnd w:id="14"/>
    </w:p>
    <w:p w14:paraId="52ACB088" w14:textId="77777777" w:rsidR="00D05FE4" w:rsidRPr="00DD4D3F" w:rsidRDefault="00000000" w:rsidP="00DD4D3F">
      <w:pPr>
        <w:rPr>
          <w:rFonts w:asciiTheme="majorHAnsi" w:hAnsiTheme="majorHAnsi" w:cstheme="majorHAnsi"/>
        </w:rPr>
      </w:pPr>
      <w:r w:rsidRPr="00DD4D3F">
        <w:rPr>
          <w:rFonts w:asciiTheme="majorHAnsi" w:hAnsiTheme="majorHAnsi" w:cstheme="majorHAnsi"/>
        </w:rPr>
        <w:t>One of the main drivers of the constant upgrade of regulation and security needs is technological innovation. The advent of cloud computing, IoT sensors, edge computing, machine learning, artificial intelligence (AI), remote employment, SaaS and IaaS has increased the attack surfaces of organisations and introduced new governance challenges. Many traditional security frameworks were designed for centralised organisational systems and provide little advice on challenges such as AI-driven data processing, autonomous decision-making, cloud shared-responsibility models and IoT risks. Today's secure enterprise networks are architected with flexible governance, not perimeter limits, to safeguard distributed digital ecosystems (Chandramouli, 2022). AI-powered real-time logistical insights for EVERYONE. IoT sensors are being used to capture real-time shipment data over large geographic areas, processing operational and customer information. The introduction of sensitive information processing between platforms and external service providers complicates governance for these technologies. This means that governance frameworks and security rules need to be in constant evolution so that technology innovation is supplied with effective risk management, privacy protection and operational security and not new vulnerabilities.</w:t>
      </w:r>
    </w:p>
    <w:p w14:paraId="45FD45FF" w14:textId="77777777" w:rsidR="00097CD7" w:rsidRPr="00DD4D3F" w:rsidRDefault="00000000" w:rsidP="00DD4D3F">
      <w:pPr>
        <w:pStyle w:val="Heading2"/>
        <w:rPr>
          <w:rFonts w:asciiTheme="majorHAnsi" w:hAnsiTheme="majorHAnsi" w:cstheme="majorHAnsi"/>
        </w:rPr>
      </w:pPr>
      <w:bookmarkStart w:id="15" w:name="_Toc235187082"/>
      <w:r w:rsidRPr="00DD4D3F">
        <w:rPr>
          <w:rFonts w:asciiTheme="majorHAnsi" w:hAnsiTheme="majorHAnsi" w:cstheme="majorHAnsi"/>
        </w:rPr>
        <w:t>Changes in Regulatory Requirements</w:t>
      </w:r>
      <w:bookmarkEnd w:id="15"/>
    </w:p>
    <w:p w14:paraId="20731364" w14:textId="77777777" w:rsidR="00D05FE4" w:rsidRPr="00DD4D3F" w:rsidRDefault="00000000" w:rsidP="00DD4D3F">
      <w:pPr>
        <w:rPr>
          <w:rFonts w:asciiTheme="majorHAnsi" w:hAnsiTheme="majorHAnsi" w:cstheme="majorHAnsi"/>
        </w:rPr>
      </w:pPr>
      <w:r w:rsidRPr="00DD4D3F">
        <w:rPr>
          <w:rFonts w:asciiTheme="majorHAnsi" w:hAnsiTheme="majorHAnsi" w:cstheme="majorHAnsi"/>
        </w:rPr>
        <w:t xml:space="preserve">Technology is moving faster than companies' security preparations, and the cyber threat landscape is evolving more quickly. Cyberattacks today include ransomware, phishing, zero-day vulnerabilities, insider threats and supply chain attacks. Cloud misconfigurations are increasingly targeting cloud infrastructure, third-party suppliers, AI applications and telework settings. Traditional perimeter-based security assumes that the internal organisational network is trusted; however, in today's digital settings, users, devices, and apps need to be continuously authenticated. This is reflected in the NIST Cybersecurity Framework (CSF) 2.0, where governance is a significant function and ongoing risk assessment, detection, and organisational resilience are emphasised (NIST, 2024). Zero Trust security architecture is based on the </w:t>
      </w:r>
      <w:r w:rsidRPr="00DD4D3F">
        <w:rPr>
          <w:rFonts w:asciiTheme="majorHAnsi" w:hAnsiTheme="majorHAnsi" w:cstheme="majorHAnsi"/>
        </w:rPr>
        <w:lastRenderedPageBreak/>
        <w:t>philosophy of "never trust, always verify", which is different from traditional security design. Users are authenticated and approved, no matter where they are located. This method is especially critical for ALL as it relies largely on 3rd party vendors and remote access, which dramatically increases the available attack vectors. Therefore, continuously improving governance structures enables firms to incorporate ever-increasing threat intelligence, develop proactive defensive mechanisms and increase incident response skills before cyber incidents escalate into severe organisational disruption.</w:t>
      </w:r>
    </w:p>
    <w:p w14:paraId="79BBAF4D" w14:textId="77777777" w:rsidR="00097CD7" w:rsidRPr="00DD4D3F" w:rsidRDefault="00000000" w:rsidP="00DD4D3F">
      <w:pPr>
        <w:pStyle w:val="Heading2"/>
        <w:rPr>
          <w:rFonts w:asciiTheme="majorHAnsi" w:hAnsiTheme="majorHAnsi" w:cstheme="majorHAnsi"/>
        </w:rPr>
      </w:pPr>
      <w:bookmarkStart w:id="16" w:name="_Toc235187083"/>
      <w:r w:rsidRPr="00DD4D3F">
        <w:rPr>
          <w:rFonts w:asciiTheme="majorHAnsi" w:hAnsiTheme="majorHAnsi" w:cstheme="majorHAnsi"/>
        </w:rPr>
        <w:t>Continuous Improvement in Security Frameworks</w:t>
      </w:r>
      <w:bookmarkEnd w:id="16"/>
    </w:p>
    <w:p w14:paraId="30412438" w14:textId="77777777" w:rsidR="00D05FE4" w:rsidRDefault="00000000" w:rsidP="00DD4D3F">
      <w:pPr>
        <w:rPr>
          <w:rFonts w:asciiTheme="majorHAnsi" w:hAnsiTheme="majorHAnsi" w:cstheme="majorHAnsi"/>
        </w:rPr>
      </w:pPr>
      <w:r w:rsidRPr="00DD4D3F">
        <w:rPr>
          <w:rFonts w:asciiTheme="majorHAnsi" w:hAnsiTheme="majorHAnsi" w:cstheme="majorHAnsi"/>
        </w:rPr>
        <w:t xml:space="preserve">Regulatory changes are also on the horizon as legal and compliance requirements evolve with technology and the public's increasing awareness of data privacy. International standards and rules such as GDPR, ISO/IEC 27001:2022 and NIST CSF 2.0 are revised periodically to address new security challenges, cross-border data transfers and emerging digital technologies. Governments are also gradually introducing new policies around cybersecurity to strengthen the responsibility of organisations and protect key infrastructure. As McIntosh </w:t>
      </w:r>
      <w:r w:rsidR="00E95C43" w:rsidRPr="00DD4D3F">
        <w:rPr>
          <w:rFonts w:asciiTheme="majorHAnsi" w:hAnsiTheme="majorHAnsi" w:cstheme="majorHAnsi"/>
          <w:i/>
          <w:iCs/>
        </w:rPr>
        <w:t>et al.</w:t>
      </w:r>
      <w:r w:rsidRPr="00DD4D3F">
        <w:rPr>
          <w:rFonts w:asciiTheme="majorHAnsi" w:hAnsiTheme="majorHAnsi" w:cstheme="majorHAnsi"/>
        </w:rPr>
        <w:t xml:space="preserve"> (2024) point out, regulatory responsibilities are increasingly moving outside traditional information security management. They contend that governance frameworks should increasingly include AI governance alongside conventional cybersecurity dangers. </w:t>
      </w:r>
      <w:proofErr w:type="spellStart"/>
      <w:r w:rsidRPr="00DD4D3F">
        <w:rPr>
          <w:rFonts w:asciiTheme="majorHAnsi" w:hAnsiTheme="majorHAnsi" w:cstheme="majorHAnsi"/>
        </w:rPr>
        <w:t>AlsoMirtsch</w:t>
      </w:r>
      <w:r w:rsidR="00E95C43" w:rsidRPr="00DD4D3F">
        <w:rPr>
          <w:rFonts w:asciiTheme="majorHAnsi" w:hAnsiTheme="majorHAnsi" w:cstheme="majorHAnsi"/>
          <w:i/>
          <w:iCs/>
        </w:rPr>
        <w:t>et</w:t>
      </w:r>
      <w:proofErr w:type="spellEnd"/>
      <w:r w:rsidR="00E95C43" w:rsidRPr="00DD4D3F">
        <w:rPr>
          <w:rFonts w:asciiTheme="majorHAnsi" w:hAnsiTheme="majorHAnsi" w:cstheme="majorHAnsi"/>
          <w:i/>
          <w:iCs/>
        </w:rPr>
        <w:t xml:space="preserve"> al.</w:t>
      </w:r>
      <w:r w:rsidRPr="00DD4D3F">
        <w:rPr>
          <w:rFonts w:asciiTheme="majorHAnsi" w:hAnsiTheme="majorHAnsi" w:cstheme="majorHAnsi"/>
        </w:rPr>
        <w:t xml:space="preserve"> (2025) discover that ISO/IEC 27001 certification is increasingly utilised as a proxy for organisational security maturity since ongoing improvement keeps information security management systems aligned with rising risks and legal requirements. Governance practices need to be improved, or ALL might suffer penalties, non-compliance, reputational damage and loss of customer trust. ALL controls client shipment information in a number of jurisdictions. The continual revision of legislation should thus be regarded as a strategic requirement and not as an administrative choice.</w:t>
      </w:r>
    </w:p>
    <w:p w14:paraId="4315CFD7" w14:textId="77777777" w:rsidR="00433DD7" w:rsidRDefault="00433DD7" w:rsidP="00DD4D3F">
      <w:pPr>
        <w:rPr>
          <w:rFonts w:asciiTheme="majorHAnsi" w:hAnsiTheme="majorHAnsi" w:cstheme="majorHAnsi"/>
        </w:rPr>
      </w:pPr>
    </w:p>
    <w:p w14:paraId="21A85A78" w14:textId="77777777" w:rsidR="00433DD7" w:rsidRDefault="00433DD7" w:rsidP="00DD4D3F">
      <w:pPr>
        <w:rPr>
          <w:rFonts w:asciiTheme="majorHAnsi" w:hAnsiTheme="majorHAnsi" w:cstheme="majorHAnsi"/>
        </w:rPr>
      </w:pPr>
    </w:p>
    <w:p w14:paraId="32E2CB95" w14:textId="77777777" w:rsidR="00433DD7" w:rsidRDefault="00433DD7" w:rsidP="00DD4D3F">
      <w:pPr>
        <w:rPr>
          <w:rFonts w:asciiTheme="majorHAnsi" w:hAnsiTheme="majorHAnsi" w:cstheme="majorHAnsi"/>
        </w:rPr>
      </w:pPr>
    </w:p>
    <w:p w14:paraId="4A055EAC" w14:textId="77777777" w:rsidR="00433DD7" w:rsidRDefault="00433DD7" w:rsidP="00DD4D3F">
      <w:pPr>
        <w:rPr>
          <w:rFonts w:asciiTheme="majorHAnsi" w:hAnsiTheme="majorHAnsi" w:cstheme="majorHAnsi"/>
        </w:rPr>
      </w:pPr>
    </w:p>
    <w:p w14:paraId="1F6A9EDE" w14:textId="77777777" w:rsidR="00433DD7" w:rsidRPr="00DD4D3F" w:rsidRDefault="00433DD7" w:rsidP="00DD4D3F">
      <w:pPr>
        <w:rPr>
          <w:rFonts w:asciiTheme="majorHAnsi" w:hAnsiTheme="majorHAnsi" w:cstheme="majorHAnsi"/>
        </w:rPr>
      </w:pPr>
    </w:p>
    <w:p w14:paraId="4E174CF0" w14:textId="77777777" w:rsidR="00097CD7" w:rsidRPr="00DD4D3F" w:rsidRDefault="00000000" w:rsidP="00DD4D3F">
      <w:pPr>
        <w:pStyle w:val="Heading2"/>
        <w:rPr>
          <w:rFonts w:asciiTheme="majorHAnsi" w:hAnsiTheme="majorHAnsi" w:cstheme="majorHAnsi"/>
        </w:rPr>
      </w:pPr>
      <w:bookmarkStart w:id="17" w:name="_Toc235187084"/>
      <w:r w:rsidRPr="00DD4D3F">
        <w:rPr>
          <w:rFonts w:asciiTheme="majorHAnsi" w:hAnsiTheme="majorHAnsi" w:cstheme="majorHAnsi"/>
        </w:rPr>
        <w:lastRenderedPageBreak/>
        <w:t>Organisational Challenges</w:t>
      </w:r>
      <w:bookmarkEnd w:id="17"/>
    </w:p>
    <w:p w14:paraId="6EEF6FCC" w14:textId="77777777" w:rsidR="00D05FE4" w:rsidRPr="00DD4D3F" w:rsidRDefault="00000000" w:rsidP="00DD4D3F">
      <w:pPr>
        <w:rPr>
          <w:rFonts w:asciiTheme="majorHAnsi" w:hAnsiTheme="majorHAnsi" w:cstheme="majorHAnsi"/>
        </w:rPr>
      </w:pPr>
      <w:r w:rsidRPr="00DD4D3F">
        <w:rPr>
          <w:rFonts w:asciiTheme="majorHAnsi" w:hAnsiTheme="majorHAnsi" w:cstheme="majorHAnsi"/>
        </w:rPr>
        <w:t xml:space="preserve">Continuous development also occurs in generally accepted security frameworks. This means that cybersecurity governance is dynamic in nature. ISO/IEC 27001 uses the Plan-Do-Check-Act (PDCA) cycle for continuous improvement. NIST CSF 2.0 is a continuous risk assessment. COBIT 2019 emphasises the significance of governance monitoring and performance measurement. ITIL advocates Continual Service Improvement to enhance the durability of IT services. Together, these frameworks allow businesses to systematically analyse risks, track security performance and implement changes to governance norms as organisational circumstances evolve. Rambau </w:t>
      </w:r>
      <w:r w:rsidR="00E95C43" w:rsidRPr="00DD4D3F">
        <w:rPr>
          <w:rFonts w:asciiTheme="majorHAnsi" w:hAnsiTheme="majorHAnsi" w:cstheme="majorHAnsi"/>
          <w:i/>
          <w:iCs/>
        </w:rPr>
        <w:t>et al.</w:t>
      </w:r>
      <w:r w:rsidRPr="00DD4D3F">
        <w:rPr>
          <w:rFonts w:asciiTheme="majorHAnsi" w:hAnsiTheme="majorHAnsi" w:cstheme="majorHAnsi"/>
        </w:rPr>
        <w:t xml:space="preserve"> (2026) state that "the combination of COBIT 2019, ISO/IEC 27001 and NIST CSF provides a more integrated approach to cyber resilience than the deployment of any one framework as each framework addresses different governance, operational security and compliance issues." The outcome validates the integrated governance approach offered for ALL in Section 3, integrating governance, operational security and regulatory compliance to manage the organisation's complex digital environment. Regular evaluation also drives governance maturity, accountability, resilience and regulatory compliance, and helps make sure that security capabilities keep pace with business objectives.</w:t>
      </w:r>
    </w:p>
    <w:p w14:paraId="72A0D26D" w14:textId="77777777" w:rsidR="00D05FE4" w:rsidRPr="00DD4D3F" w:rsidRDefault="00000000" w:rsidP="00DD4D3F">
      <w:pPr>
        <w:rPr>
          <w:rFonts w:asciiTheme="majorHAnsi" w:hAnsiTheme="majorHAnsi" w:cstheme="majorHAnsi"/>
        </w:rPr>
      </w:pPr>
      <w:r w:rsidRPr="00DD4D3F">
        <w:rPr>
          <w:rFonts w:asciiTheme="majorHAnsi" w:hAnsiTheme="majorHAnsi" w:cstheme="majorHAnsi"/>
        </w:rPr>
        <w:t>But there are many organisational hurdles to updating the regulations consistently. The ever-changing policies are inherently high in cost of adoption, ongoing retraining of personnel and resistance from staff members as security protocols alter. Coordination is particularly hard where organisations operate across several vendors, jurisdictions and regulatory environments - all adding to governance complexity. Updates to deployment may also cause brief disruptions in company operations with the implementation of new technology and compliance processes, but these drawbacks are outweighed by the long-term benefits. Good governance raises the probability of preventing costly cyber disasters and enhancing legal compliance, organisational resilience and confidence of stakeholders. For this, it all means that investing in ongoing governance reform is a more economic approach than the financial, operational and reputational costs of recurring security breaches.</w:t>
      </w:r>
    </w:p>
    <w:p w14:paraId="1EB5A067" w14:textId="77777777" w:rsidR="00D05FE4" w:rsidRPr="00DD4D3F" w:rsidRDefault="00000000" w:rsidP="00DD4D3F">
      <w:pPr>
        <w:rPr>
          <w:rFonts w:asciiTheme="majorHAnsi" w:hAnsiTheme="majorHAnsi" w:cstheme="majorHAnsi"/>
          <w:b/>
          <w:bCs/>
          <w:sz w:val="28"/>
          <w:szCs w:val="28"/>
        </w:rPr>
      </w:pPr>
      <w:r w:rsidRPr="00DD4D3F">
        <w:rPr>
          <w:rFonts w:asciiTheme="majorHAnsi" w:hAnsiTheme="majorHAnsi" w:cstheme="majorHAnsi"/>
        </w:rPr>
        <w:t xml:space="preserve">To summarise, the ability to maintain laws and regulations current should be seen as a strategic governance competence, not a technical compliance exercise. Technology evolves rapidly and </w:t>
      </w:r>
      <w:r w:rsidRPr="00DD4D3F">
        <w:rPr>
          <w:rFonts w:asciiTheme="majorHAnsi" w:hAnsiTheme="majorHAnsi" w:cstheme="majorHAnsi"/>
        </w:rPr>
        <w:lastRenderedPageBreak/>
        <w:t xml:space="preserve">introduces new and sophisticated cyber dangers that in turn create increasing regulatory needs and international security standards. To remain resilient, firms therefore need to continue to enhance their governance structures, risk management processes and security measures. A culture of continual governance development will help </w:t>
      </w:r>
      <w:proofErr w:type="spellStart"/>
      <w:r w:rsidRPr="00DD4D3F">
        <w:rPr>
          <w:rFonts w:asciiTheme="majorHAnsi" w:hAnsiTheme="majorHAnsi" w:cstheme="majorHAnsi"/>
        </w:rPr>
        <w:t>AeroLink</w:t>
      </w:r>
      <w:proofErr w:type="spellEnd"/>
      <w:r w:rsidRPr="00DD4D3F">
        <w:rPr>
          <w:rFonts w:asciiTheme="majorHAnsi" w:hAnsiTheme="majorHAnsi" w:cstheme="majorHAnsi"/>
        </w:rPr>
        <w:t xml:space="preserve"> Logistics to respond more proactively to technological change, meet its regulatory obligations and improve its long-term resilience to cybersecurity threats. </w:t>
      </w:r>
    </w:p>
    <w:p w14:paraId="38D74C30" w14:textId="77777777" w:rsidR="00D05FE4" w:rsidRPr="00DD4D3F" w:rsidRDefault="00000000" w:rsidP="00DD4D3F">
      <w:pPr>
        <w:pStyle w:val="Heading1"/>
        <w:rPr>
          <w:rFonts w:asciiTheme="majorHAnsi" w:hAnsiTheme="majorHAnsi" w:cstheme="majorHAnsi"/>
        </w:rPr>
      </w:pPr>
      <w:bookmarkStart w:id="18" w:name="_Toc235187085"/>
      <w:r w:rsidRPr="00DD4D3F">
        <w:rPr>
          <w:rFonts w:asciiTheme="majorHAnsi" w:hAnsiTheme="majorHAnsi" w:cstheme="majorHAnsi"/>
        </w:rPr>
        <w:t>5. Recommendations</w:t>
      </w:r>
      <w:bookmarkEnd w:id="18"/>
    </w:p>
    <w:p w14:paraId="36928CD4" w14:textId="77777777" w:rsidR="00097CD7" w:rsidRPr="00DD4D3F" w:rsidRDefault="00000000" w:rsidP="00DD4D3F">
      <w:pPr>
        <w:rPr>
          <w:rFonts w:asciiTheme="majorHAnsi" w:hAnsiTheme="majorHAnsi" w:cstheme="majorHAnsi"/>
        </w:rPr>
      </w:pPr>
      <w:proofErr w:type="spellStart"/>
      <w:r w:rsidRPr="00DD4D3F">
        <w:rPr>
          <w:rFonts w:asciiTheme="majorHAnsi" w:hAnsiTheme="majorHAnsi" w:cstheme="majorHAnsi"/>
        </w:rPr>
        <w:t>AeroLink</w:t>
      </w:r>
      <w:proofErr w:type="spellEnd"/>
      <w:r w:rsidRPr="00DD4D3F">
        <w:rPr>
          <w:rFonts w:asciiTheme="majorHAnsi" w:hAnsiTheme="majorHAnsi" w:cstheme="majorHAnsi"/>
        </w:rPr>
        <w:t xml:space="preserve"> Logistics (ALL) has to implement a number of strategic initiatives to improve its cybersecurity governance and compliance. To improve the maturity of governance, accountability, and strategic management of the organisation's security program, the company should have a continuous governance review process that includes quarterly reviews, annual external security audits, an executive security committee, and routine reporting to the board. Secondly, ALL will continuously monitor regulatory compliance via periodic GDPR compliance audits, ISO/IEC 27001 surveillance audits, NIST CSF gap assessments and live compliance dashboards to remain compliant with evolving regulatory requirements and minimise compliance violations.</w:t>
      </w:r>
    </w:p>
    <w:p w14:paraId="2F316E1E" w14:textId="77777777" w:rsidR="00D05FE4" w:rsidRPr="00DD4D3F" w:rsidRDefault="00000000" w:rsidP="00DD4D3F">
      <w:pPr>
        <w:rPr>
          <w:rFonts w:asciiTheme="majorHAnsi" w:hAnsiTheme="majorHAnsi" w:cstheme="majorHAnsi"/>
        </w:rPr>
      </w:pPr>
      <w:r w:rsidRPr="00DD4D3F">
        <w:rPr>
          <w:rFonts w:asciiTheme="majorHAnsi" w:hAnsiTheme="majorHAnsi" w:cstheme="majorHAnsi"/>
        </w:rPr>
        <w:t>The company should implement vendor governance through supplier risk assessment, periodic vendor security audit including strong security requirements in the Service Level Agreements (SLAs) and third-party penetration testing. These measures will increase vendor accountability and reduce vulnerabilities in the supply chain. Fourth, ALL will create a rolling security awareness program, including monthly cybersecurity training, phishing simulation exercises, role-based security training, and AI security awareness training, to mitigate human-related cyber threats. The organisation should recommend continuous threat monitoring by implementing a Security Information and Event Management (SIEM) system, creating a Security Operations Centre (SOC), integrating threat intelligence feeds, and automating vulnerability scanning and continuous patching to ensure rapid threat detection and effective incident response.</w:t>
      </w:r>
    </w:p>
    <w:p w14:paraId="165A4B38" w14:textId="77777777" w:rsidR="00D05FE4" w:rsidRPr="00DD4D3F" w:rsidRDefault="00000000" w:rsidP="00DD4D3F">
      <w:pPr>
        <w:rPr>
          <w:rFonts w:asciiTheme="majorHAnsi" w:hAnsiTheme="majorHAnsi" w:cstheme="majorHAnsi"/>
        </w:rPr>
      </w:pPr>
      <w:r w:rsidRPr="00DD4D3F">
        <w:rPr>
          <w:rFonts w:asciiTheme="majorHAnsi" w:hAnsiTheme="majorHAnsi" w:cstheme="majorHAnsi"/>
        </w:rPr>
        <w:lastRenderedPageBreak/>
        <w:t>The recommendations will enhance the governance framework of ALL, improve regulatory compliance, strengthen its cyber resilience, secure business continuity and foster consumer confidence in this dynamic and ever-evolving cybersecurity environment.</w:t>
      </w:r>
    </w:p>
    <w:p w14:paraId="2104606A" w14:textId="77777777" w:rsidR="00D05FE4" w:rsidRPr="00DD4D3F" w:rsidRDefault="00D05FE4" w:rsidP="00DD4D3F">
      <w:pPr>
        <w:rPr>
          <w:rFonts w:asciiTheme="majorHAnsi" w:hAnsiTheme="majorHAnsi" w:cstheme="majorHAnsi"/>
        </w:rPr>
      </w:pPr>
    </w:p>
    <w:p w14:paraId="3FF37768" w14:textId="77777777" w:rsidR="00D05FE4" w:rsidRPr="00DD4D3F" w:rsidRDefault="00000000" w:rsidP="00DD4D3F">
      <w:pPr>
        <w:pStyle w:val="Heading1"/>
        <w:rPr>
          <w:rFonts w:asciiTheme="majorHAnsi" w:hAnsiTheme="majorHAnsi" w:cstheme="majorHAnsi"/>
        </w:rPr>
      </w:pPr>
      <w:bookmarkStart w:id="19" w:name="_Toc235187086"/>
      <w:r w:rsidRPr="00DD4D3F">
        <w:rPr>
          <w:rFonts w:asciiTheme="majorHAnsi" w:hAnsiTheme="majorHAnsi" w:cstheme="majorHAnsi"/>
        </w:rPr>
        <w:t>6. Conclusion</w:t>
      </w:r>
      <w:bookmarkEnd w:id="19"/>
    </w:p>
    <w:p w14:paraId="7A38B3C2" w14:textId="77777777" w:rsidR="00D05FE4" w:rsidRPr="00DD4D3F" w:rsidRDefault="00000000" w:rsidP="00DD4D3F">
      <w:pPr>
        <w:rPr>
          <w:rFonts w:asciiTheme="majorHAnsi" w:hAnsiTheme="majorHAnsi" w:cstheme="majorHAnsi"/>
        </w:rPr>
      </w:pPr>
      <w:r w:rsidRPr="00DD4D3F">
        <w:rPr>
          <w:rFonts w:asciiTheme="majorHAnsi" w:hAnsiTheme="majorHAnsi" w:cstheme="majorHAnsi"/>
        </w:rPr>
        <w:t xml:space="preserve">This report assessed information security frameworks and advised on an integrated governance approach for improving </w:t>
      </w:r>
      <w:proofErr w:type="spellStart"/>
      <w:r w:rsidRPr="00DD4D3F">
        <w:rPr>
          <w:rFonts w:asciiTheme="majorHAnsi" w:hAnsiTheme="majorHAnsi" w:cstheme="majorHAnsi"/>
        </w:rPr>
        <w:t>AeroLink</w:t>
      </w:r>
      <w:proofErr w:type="spellEnd"/>
      <w:r w:rsidRPr="00DD4D3F">
        <w:rPr>
          <w:rFonts w:asciiTheme="majorHAnsi" w:hAnsiTheme="majorHAnsi" w:cstheme="majorHAnsi"/>
        </w:rPr>
        <w:t xml:space="preserve"> Logistics cybersecurity, governance and regulatory compliance. The investigation revealed that ITIL, COBIT 2019, NIST CSF 2.0 and ISO/IEC 27001 provide complementary skills in the fields of service management, governance, risk management and information security. Therefore, an integrated governance paradigm is the best option for ALL. As technology, cyber risks, and legal requirements keep evolving, ongoing regulatory improvement is key to boost organisational resilience, compliance, operational continuity and stakeholder confidence. </w:t>
      </w:r>
      <w:r w:rsidRPr="00DD4D3F">
        <w:rPr>
          <w:rFonts w:asciiTheme="majorHAnsi" w:hAnsiTheme="majorHAnsi" w:cstheme="majorHAnsi"/>
        </w:rPr>
        <w:br w:type="page"/>
      </w:r>
    </w:p>
    <w:p w14:paraId="6C5517A7" w14:textId="77777777" w:rsidR="00D05FE4" w:rsidRPr="00DD4D3F" w:rsidRDefault="00000000" w:rsidP="00DD4D3F">
      <w:pPr>
        <w:pStyle w:val="Heading1"/>
        <w:rPr>
          <w:rFonts w:asciiTheme="majorHAnsi" w:hAnsiTheme="majorHAnsi" w:cstheme="majorHAnsi"/>
        </w:rPr>
      </w:pPr>
      <w:bookmarkStart w:id="20" w:name="_Toc235187087"/>
      <w:r w:rsidRPr="00DD4D3F">
        <w:rPr>
          <w:rFonts w:asciiTheme="majorHAnsi" w:hAnsiTheme="majorHAnsi" w:cstheme="majorHAnsi"/>
        </w:rPr>
        <w:lastRenderedPageBreak/>
        <w:t>Reference List</w:t>
      </w:r>
      <w:bookmarkEnd w:id="20"/>
    </w:p>
    <w:p w14:paraId="17795D61" w14:textId="77777777" w:rsidR="000D5DAA" w:rsidRPr="00DD4D3F" w:rsidRDefault="00000000" w:rsidP="00DD4D3F">
      <w:pPr>
        <w:spacing w:after="200"/>
        <w:rPr>
          <w:rFonts w:asciiTheme="majorHAnsi" w:hAnsiTheme="majorHAnsi" w:cstheme="majorHAnsi"/>
        </w:rPr>
      </w:pPr>
      <w:proofErr w:type="spellStart"/>
      <w:r w:rsidRPr="00DD4D3F">
        <w:rPr>
          <w:rFonts w:asciiTheme="majorHAnsi" w:hAnsiTheme="majorHAnsi" w:cstheme="majorHAnsi"/>
        </w:rPr>
        <w:t>Acebes</w:t>
      </w:r>
      <w:proofErr w:type="spellEnd"/>
      <w:r w:rsidRPr="00DD4D3F">
        <w:rPr>
          <w:rFonts w:asciiTheme="majorHAnsi" w:hAnsiTheme="majorHAnsi" w:cstheme="majorHAnsi"/>
        </w:rPr>
        <w:t xml:space="preserve">, F., González-Varona, J.M., López-Paredes, A. and Pajares, J., 2024. Beyond probability-impact matrices in project risk management: A quantitative methodology for risk prioritisation. </w:t>
      </w:r>
      <w:r w:rsidRPr="00DD4D3F">
        <w:rPr>
          <w:rFonts w:asciiTheme="majorHAnsi" w:hAnsiTheme="majorHAnsi" w:cstheme="majorHAnsi"/>
          <w:i/>
          <w:iCs/>
        </w:rPr>
        <w:t>Humanities and Social Sciences Communications</w:t>
      </w:r>
      <w:r w:rsidRPr="00DD4D3F">
        <w:rPr>
          <w:rFonts w:asciiTheme="majorHAnsi" w:hAnsiTheme="majorHAnsi" w:cstheme="majorHAnsi"/>
        </w:rPr>
        <w:t xml:space="preserve">, </w:t>
      </w:r>
      <w:r w:rsidRPr="00DD4D3F">
        <w:rPr>
          <w:rFonts w:asciiTheme="majorHAnsi" w:hAnsiTheme="majorHAnsi" w:cstheme="majorHAnsi"/>
          <w:i/>
          <w:iCs/>
        </w:rPr>
        <w:t>11</w:t>
      </w:r>
      <w:r w:rsidRPr="00DD4D3F">
        <w:rPr>
          <w:rFonts w:asciiTheme="majorHAnsi" w:hAnsiTheme="majorHAnsi" w:cstheme="majorHAnsi"/>
        </w:rPr>
        <w:t xml:space="preserve">(1), pp.1-13. Available </w:t>
      </w:r>
      <w:proofErr w:type="spellStart"/>
      <w:r w:rsidRPr="00DD4D3F">
        <w:rPr>
          <w:rFonts w:asciiTheme="majorHAnsi" w:hAnsiTheme="majorHAnsi" w:cstheme="majorHAnsi"/>
        </w:rPr>
        <w:t>at:</w:t>
      </w:r>
      <w:hyperlink r:id="rId11"/>
      <w:hyperlink r:id="rId12">
        <w:r w:rsidR="000D5DAA" w:rsidRPr="00DD4D3F">
          <w:rPr>
            <w:rFonts w:asciiTheme="majorHAnsi" w:hAnsiTheme="majorHAnsi" w:cstheme="majorHAnsi"/>
            <w:color w:val="1155CC"/>
            <w:u w:val="single"/>
          </w:rPr>
          <w:t>https</w:t>
        </w:r>
        <w:proofErr w:type="spellEnd"/>
        <w:r w:rsidR="000D5DAA" w:rsidRPr="00DD4D3F">
          <w:rPr>
            <w:rFonts w:asciiTheme="majorHAnsi" w:hAnsiTheme="majorHAnsi" w:cstheme="majorHAnsi"/>
            <w:color w:val="1155CC"/>
            <w:u w:val="single"/>
          </w:rPr>
          <w:t>://www.nature.com/articles/s41599-024-03180-5.pdf</w:t>
        </w:r>
      </w:hyperlink>
      <w:r w:rsidRPr="00DD4D3F">
        <w:rPr>
          <w:rFonts w:asciiTheme="majorHAnsi" w:hAnsiTheme="majorHAnsi" w:cstheme="majorHAnsi"/>
        </w:rPr>
        <w:t xml:space="preserve"> [Accessed on 16 July 2026]</w:t>
      </w:r>
    </w:p>
    <w:p w14:paraId="26000185" w14:textId="77777777" w:rsidR="000D5DAA"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Chandramouli, R. and Chandramouli, R., 2022. </w:t>
      </w:r>
      <w:r w:rsidRPr="00DD4D3F">
        <w:rPr>
          <w:rFonts w:asciiTheme="majorHAnsi" w:hAnsiTheme="majorHAnsi" w:cstheme="majorHAnsi"/>
          <w:i/>
          <w:iCs/>
        </w:rPr>
        <w:t>Guide to a secure enterprise network landscape</w:t>
      </w:r>
      <w:r w:rsidRPr="00DD4D3F">
        <w:rPr>
          <w:rFonts w:asciiTheme="majorHAnsi" w:hAnsiTheme="majorHAnsi" w:cstheme="majorHAnsi"/>
        </w:rPr>
        <w:t>. Gaithersburg, MD, USA: US Department of Commerce, National Institute of Standards and Technology. Available at:</w:t>
      </w:r>
      <w:hyperlink r:id="rId13"/>
      <w:hyperlink r:id="rId14">
        <w:r w:rsidR="000D5DAA" w:rsidRPr="00DD4D3F">
          <w:rPr>
            <w:rFonts w:asciiTheme="majorHAnsi" w:hAnsiTheme="majorHAnsi" w:cstheme="majorHAnsi"/>
            <w:color w:val="1155CC"/>
            <w:u w:val="single"/>
          </w:rPr>
          <w:t>https://a51.nl/sites/default/files/pdf/NIST.SP.800-215%20%281%29.pdf</w:t>
        </w:r>
      </w:hyperlink>
      <w:r w:rsidRPr="00DD4D3F">
        <w:rPr>
          <w:rFonts w:asciiTheme="majorHAnsi" w:hAnsiTheme="majorHAnsi" w:cstheme="majorHAnsi"/>
        </w:rPr>
        <w:t xml:space="preserve"> [Accessed on 16 July 2026]</w:t>
      </w:r>
    </w:p>
    <w:p w14:paraId="69471664" w14:textId="77777777" w:rsidR="000D5DAA" w:rsidRPr="00DD4D3F" w:rsidRDefault="00000000" w:rsidP="00DD4D3F">
      <w:pPr>
        <w:spacing w:after="200"/>
        <w:rPr>
          <w:rFonts w:asciiTheme="majorHAnsi" w:hAnsiTheme="majorHAnsi" w:cstheme="majorHAnsi"/>
        </w:rPr>
      </w:pPr>
      <w:proofErr w:type="spellStart"/>
      <w:r w:rsidRPr="00DD4D3F">
        <w:rPr>
          <w:rFonts w:asciiTheme="majorHAnsi" w:hAnsiTheme="majorHAnsi" w:cstheme="majorHAnsi"/>
        </w:rPr>
        <w:t>Katsantonis</w:t>
      </w:r>
      <w:proofErr w:type="spellEnd"/>
      <w:r w:rsidRPr="00DD4D3F">
        <w:rPr>
          <w:rFonts w:asciiTheme="majorHAnsi" w:hAnsiTheme="majorHAnsi" w:cstheme="majorHAnsi"/>
        </w:rPr>
        <w:t xml:space="preserve">, M., Manikas, A., Mavridis, I. and </w:t>
      </w:r>
      <w:proofErr w:type="spellStart"/>
      <w:r w:rsidRPr="00DD4D3F">
        <w:rPr>
          <w:rFonts w:asciiTheme="majorHAnsi" w:hAnsiTheme="majorHAnsi" w:cstheme="majorHAnsi"/>
        </w:rPr>
        <w:t>Gritzalis</w:t>
      </w:r>
      <w:proofErr w:type="spellEnd"/>
      <w:r w:rsidRPr="00DD4D3F">
        <w:rPr>
          <w:rFonts w:asciiTheme="majorHAnsi" w:hAnsiTheme="majorHAnsi" w:cstheme="majorHAnsi"/>
        </w:rPr>
        <w:t xml:space="preserve">, D.A., 2023. Cyber range design framework for cyber security education and training. </w:t>
      </w:r>
      <w:r w:rsidRPr="00DD4D3F">
        <w:rPr>
          <w:rFonts w:asciiTheme="majorHAnsi" w:hAnsiTheme="majorHAnsi" w:cstheme="majorHAnsi"/>
          <w:i/>
          <w:iCs/>
        </w:rPr>
        <w:t>International Journal of Information Security</w:t>
      </w:r>
      <w:r w:rsidRPr="00DD4D3F">
        <w:rPr>
          <w:rFonts w:asciiTheme="majorHAnsi" w:hAnsiTheme="majorHAnsi" w:cstheme="majorHAnsi"/>
        </w:rPr>
        <w:t>. Available at:</w:t>
      </w:r>
      <w:hyperlink r:id="rId15"/>
      <w:hyperlink r:id="rId16">
        <w:r w:rsidR="000D5DAA" w:rsidRPr="00DD4D3F">
          <w:rPr>
            <w:rFonts w:asciiTheme="majorHAnsi" w:hAnsiTheme="majorHAnsi" w:cstheme="majorHAnsi"/>
            <w:color w:val="1155CC"/>
            <w:u w:val="single"/>
          </w:rPr>
          <w:t>https://ruomoplus.lib.uom.gr/bitstream/8000/1833/1/%CE%9A%CE%B1%CF%84%CF%83%CE%B1%CE%BD%CF%84%CF%8E%CE%BD%CE%B7%CF%82%20CRDF%20Paper%20%28s10207-023-00680-4%29.pdf</w:t>
        </w:r>
      </w:hyperlink>
      <w:r w:rsidRPr="00DD4D3F">
        <w:rPr>
          <w:rFonts w:asciiTheme="majorHAnsi" w:hAnsiTheme="majorHAnsi" w:cstheme="majorHAnsi"/>
        </w:rPr>
        <w:t xml:space="preserve"> [Accessed on 16 July 2026]</w:t>
      </w:r>
    </w:p>
    <w:p w14:paraId="6732FAAE" w14:textId="77777777" w:rsidR="000D5DAA"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Malatji, M., 2023, January. Management of enterprise cyber security: A review of ISO/IEC 27001: 2022. In </w:t>
      </w:r>
      <w:r w:rsidRPr="00DD4D3F">
        <w:rPr>
          <w:rFonts w:asciiTheme="majorHAnsi" w:hAnsiTheme="majorHAnsi" w:cstheme="majorHAnsi"/>
          <w:i/>
          <w:iCs/>
        </w:rPr>
        <w:t>2023 International conference on cyber management and engineering (</w:t>
      </w:r>
      <w:proofErr w:type="spellStart"/>
      <w:r w:rsidRPr="00DD4D3F">
        <w:rPr>
          <w:rFonts w:asciiTheme="majorHAnsi" w:hAnsiTheme="majorHAnsi" w:cstheme="majorHAnsi"/>
          <w:i/>
          <w:iCs/>
        </w:rPr>
        <w:t>CyMaEn</w:t>
      </w:r>
      <w:proofErr w:type="spellEnd"/>
      <w:r w:rsidRPr="00DD4D3F">
        <w:rPr>
          <w:rFonts w:asciiTheme="majorHAnsi" w:hAnsiTheme="majorHAnsi" w:cstheme="majorHAnsi"/>
          <w:i/>
          <w:iCs/>
        </w:rPr>
        <w:t>)</w:t>
      </w:r>
      <w:r w:rsidRPr="00DD4D3F">
        <w:rPr>
          <w:rFonts w:asciiTheme="majorHAnsi" w:hAnsiTheme="majorHAnsi" w:cstheme="majorHAnsi"/>
        </w:rPr>
        <w:t xml:space="preserve"> (pp. 117-122). IEEE. Available </w:t>
      </w:r>
      <w:proofErr w:type="spellStart"/>
      <w:r w:rsidRPr="00DD4D3F">
        <w:rPr>
          <w:rFonts w:asciiTheme="majorHAnsi" w:hAnsiTheme="majorHAnsi" w:cstheme="majorHAnsi"/>
        </w:rPr>
        <w:t>at:</w:t>
      </w:r>
      <w:hyperlink r:id="rId17"/>
      <w:hyperlink r:id="rId18">
        <w:r w:rsidR="000D5DAA" w:rsidRPr="00DD4D3F">
          <w:rPr>
            <w:rFonts w:asciiTheme="majorHAnsi" w:hAnsiTheme="majorHAnsi" w:cstheme="majorHAnsi"/>
            <w:color w:val="1155CC"/>
            <w:u w:val="single"/>
          </w:rPr>
          <w:t>https</w:t>
        </w:r>
        <w:proofErr w:type="spellEnd"/>
        <w:r w:rsidR="000D5DAA" w:rsidRPr="00DD4D3F">
          <w:rPr>
            <w:rFonts w:asciiTheme="majorHAnsi" w:hAnsiTheme="majorHAnsi" w:cstheme="majorHAnsi"/>
            <w:color w:val="1155CC"/>
            <w:u w:val="single"/>
          </w:rPr>
          <w:t>://www.johanolausson.com/management.pdf</w:t>
        </w:r>
      </w:hyperlink>
      <w:r w:rsidRPr="00DD4D3F">
        <w:rPr>
          <w:rFonts w:asciiTheme="majorHAnsi" w:hAnsiTheme="majorHAnsi" w:cstheme="majorHAnsi"/>
        </w:rPr>
        <w:t xml:space="preserve"> [Accessed on 16 July 2026]</w:t>
      </w:r>
    </w:p>
    <w:p w14:paraId="29C7C4D2" w14:textId="77777777" w:rsidR="000D5DAA" w:rsidRPr="00DD4D3F" w:rsidRDefault="00000000" w:rsidP="00DD4D3F">
      <w:pPr>
        <w:spacing w:after="240"/>
        <w:rPr>
          <w:rFonts w:asciiTheme="majorHAnsi" w:hAnsiTheme="majorHAnsi" w:cstheme="majorHAnsi"/>
        </w:rPr>
      </w:pPr>
      <w:r w:rsidRPr="00DD4D3F">
        <w:rPr>
          <w:rFonts w:asciiTheme="majorHAnsi" w:hAnsiTheme="majorHAnsi" w:cstheme="majorHAnsi"/>
        </w:rPr>
        <w:t xml:space="preserve">McIntosh, T.R., </w:t>
      </w:r>
      <w:proofErr w:type="spellStart"/>
      <w:r w:rsidRPr="00DD4D3F">
        <w:rPr>
          <w:rFonts w:asciiTheme="majorHAnsi" w:hAnsiTheme="majorHAnsi" w:cstheme="majorHAnsi"/>
        </w:rPr>
        <w:t>Susnjak</w:t>
      </w:r>
      <w:proofErr w:type="spellEnd"/>
      <w:r w:rsidRPr="00DD4D3F">
        <w:rPr>
          <w:rFonts w:asciiTheme="majorHAnsi" w:hAnsiTheme="majorHAnsi" w:cstheme="majorHAnsi"/>
        </w:rPr>
        <w:t xml:space="preserve">, T., Liu, T., Watters, P., Xu, D., Liu, D., </w:t>
      </w:r>
      <w:proofErr w:type="spellStart"/>
      <w:r w:rsidRPr="00DD4D3F">
        <w:rPr>
          <w:rFonts w:asciiTheme="majorHAnsi" w:hAnsiTheme="majorHAnsi" w:cstheme="majorHAnsi"/>
        </w:rPr>
        <w:t>Nowrozy</w:t>
      </w:r>
      <w:proofErr w:type="spellEnd"/>
      <w:r w:rsidRPr="00DD4D3F">
        <w:rPr>
          <w:rFonts w:asciiTheme="majorHAnsi" w:hAnsiTheme="majorHAnsi" w:cstheme="majorHAnsi"/>
        </w:rPr>
        <w:t xml:space="preserve">, R. and </w:t>
      </w:r>
      <w:proofErr w:type="spellStart"/>
      <w:r w:rsidRPr="00DD4D3F">
        <w:rPr>
          <w:rFonts w:asciiTheme="majorHAnsi" w:hAnsiTheme="majorHAnsi" w:cstheme="majorHAnsi"/>
        </w:rPr>
        <w:t>Halgamuge</w:t>
      </w:r>
      <w:proofErr w:type="spellEnd"/>
      <w:r w:rsidRPr="00DD4D3F">
        <w:rPr>
          <w:rFonts w:asciiTheme="majorHAnsi" w:hAnsiTheme="majorHAnsi" w:cstheme="majorHAnsi"/>
        </w:rPr>
        <w:t xml:space="preserve">, M.N. 2024. From COBIT to ISO 42001: Evaluating cybersecurity frameworks for opportunities, risks, and regulatory compliance in commercialising large language models. </w:t>
      </w:r>
      <w:r w:rsidRPr="00DD4D3F">
        <w:rPr>
          <w:rFonts w:asciiTheme="majorHAnsi" w:hAnsiTheme="majorHAnsi" w:cstheme="majorHAnsi"/>
          <w:i/>
          <w:iCs/>
        </w:rPr>
        <w:t>Computers &amp; Security</w:t>
      </w:r>
      <w:r w:rsidRPr="00DD4D3F">
        <w:rPr>
          <w:rFonts w:asciiTheme="majorHAnsi" w:hAnsiTheme="majorHAnsi" w:cstheme="majorHAnsi"/>
        </w:rPr>
        <w:t xml:space="preserve">, [online] 144, p.103964. Available at: </w:t>
      </w:r>
      <w:hyperlink r:id="rId19">
        <w:r w:rsidR="000D5DAA" w:rsidRPr="00DD4D3F">
          <w:rPr>
            <w:rFonts w:asciiTheme="majorHAnsi" w:hAnsiTheme="majorHAnsi" w:cstheme="majorHAnsi"/>
            <w:color w:val="1155CC"/>
            <w:u w:val="single"/>
          </w:rPr>
          <w:t>https://doi.org/10.1016/j.cose.2024.103964</w:t>
        </w:r>
      </w:hyperlink>
      <w:r w:rsidRPr="00DD4D3F">
        <w:rPr>
          <w:rFonts w:asciiTheme="majorHAnsi" w:hAnsiTheme="majorHAnsi" w:cstheme="majorHAnsi"/>
        </w:rPr>
        <w:t>. [Accessed 16 July 2026].</w:t>
      </w:r>
    </w:p>
    <w:p w14:paraId="6FD67D6F" w14:textId="77777777" w:rsidR="000D5DAA" w:rsidRPr="00DD4D3F" w:rsidRDefault="00000000" w:rsidP="00DD4D3F">
      <w:pPr>
        <w:spacing w:after="240"/>
        <w:rPr>
          <w:rFonts w:asciiTheme="majorHAnsi" w:hAnsiTheme="majorHAnsi" w:cstheme="majorHAnsi"/>
        </w:rPr>
      </w:pPr>
      <w:proofErr w:type="spellStart"/>
      <w:r w:rsidRPr="00DD4D3F">
        <w:rPr>
          <w:rFonts w:asciiTheme="majorHAnsi" w:hAnsiTheme="majorHAnsi" w:cstheme="majorHAnsi"/>
        </w:rPr>
        <w:t>Mirtsch</w:t>
      </w:r>
      <w:proofErr w:type="spellEnd"/>
      <w:r w:rsidRPr="00DD4D3F">
        <w:rPr>
          <w:rFonts w:asciiTheme="majorHAnsi" w:hAnsiTheme="majorHAnsi" w:cstheme="majorHAnsi"/>
        </w:rPr>
        <w:t xml:space="preserve">, M., </w:t>
      </w:r>
      <w:proofErr w:type="spellStart"/>
      <w:r w:rsidRPr="00DD4D3F">
        <w:rPr>
          <w:rFonts w:asciiTheme="majorHAnsi" w:hAnsiTheme="majorHAnsi" w:cstheme="majorHAnsi"/>
        </w:rPr>
        <w:t>Pohlisch</w:t>
      </w:r>
      <w:proofErr w:type="spellEnd"/>
      <w:r w:rsidRPr="00DD4D3F">
        <w:rPr>
          <w:rFonts w:asciiTheme="majorHAnsi" w:hAnsiTheme="majorHAnsi" w:cstheme="majorHAnsi"/>
        </w:rPr>
        <w:t xml:space="preserve">, J. and Blind, K. 2025. Certification as a compensation mechanism for weak regulation? Exploring the diffusion of the international standard ISO/IEC 27001 for </w:t>
      </w:r>
      <w:r w:rsidRPr="00DD4D3F">
        <w:rPr>
          <w:rFonts w:asciiTheme="majorHAnsi" w:hAnsiTheme="majorHAnsi" w:cstheme="majorHAnsi"/>
        </w:rPr>
        <w:lastRenderedPageBreak/>
        <w:t xml:space="preserve">information security management. </w:t>
      </w:r>
      <w:r w:rsidRPr="00DD4D3F">
        <w:rPr>
          <w:rFonts w:asciiTheme="majorHAnsi" w:hAnsiTheme="majorHAnsi" w:cstheme="majorHAnsi"/>
          <w:i/>
          <w:iCs/>
        </w:rPr>
        <w:t>Computers ; Security</w:t>
      </w:r>
      <w:r w:rsidRPr="00DD4D3F">
        <w:rPr>
          <w:rFonts w:asciiTheme="majorHAnsi" w:hAnsiTheme="majorHAnsi" w:cstheme="majorHAnsi"/>
        </w:rPr>
        <w:t xml:space="preserve">, [online] 162, p.104774. Available at: </w:t>
      </w:r>
      <w:hyperlink r:id="rId20">
        <w:r w:rsidR="000D5DAA" w:rsidRPr="00DD4D3F">
          <w:rPr>
            <w:rFonts w:asciiTheme="majorHAnsi" w:hAnsiTheme="majorHAnsi" w:cstheme="majorHAnsi"/>
            <w:color w:val="1155CC"/>
            <w:u w:val="single"/>
          </w:rPr>
          <w:t>https://doi.org/10.1016/j.cose.2025.104774</w:t>
        </w:r>
      </w:hyperlink>
      <w:r w:rsidRPr="00DD4D3F">
        <w:rPr>
          <w:rFonts w:asciiTheme="majorHAnsi" w:hAnsiTheme="majorHAnsi" w:cstheme="majorHAnsi"/>
        </w:rPr>
        <w:t>. [Accessed 16 July 2026].</w:t>
      </w:r>
    </w:p>
    <w:p w14:paraId="129700AA" w14:textId="77777777" w:rsidR="000D5DAA"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Moonasar, A., 2025. Assessing the alignment of a university of technology library infrastructure with the fourth industrial revolution: Implications for librarian roles. </w:t>
      </w:r>
      <w:r w:rsidRPr="00DD4D3F">
        <w:rPr>
          <w:rFonts w:asciiTheme="majorHAnsi" w:hAnsiTheme="majorHAnsi" w:cstheme="majorHAnsi"/>
          <w:i/>
          <w:iCs/>
        </w:rPr>
        <w:t>Library Management</w:t>
      </w:r>
      <w:r w:rsidRPr="00DD4D3F">
        <w:rPr>
          <w:rFonts w:asciiTheme="majorHAnsi" w:hAnsiTheme="majorHAnsi" w:cstheme="majorHAnsi"/>
        </w:rPr>
        <w:t xml:space="preserve">, </w:t>
      </w:r>
      <w:r w:rsidRPr="00DD4D3F">
        <w:rPr>
          <w:rFonts w:asciiTheme="majorHAnsi" w:hAnsiTheme="majorHAnsi" w:cstheme="majorHAnsi"/>
          <w:i/>
          <w:iCs/>
        </w:rPr>
        <w:t>46</w:t>
      </w:r>
      <w:r w:rsidRPr="00DD4D3F">
        <w:rPr>
          <w:rFonts w:asciiTheme="majorHAnsi" w:hAnsiTheme="majorHAnsi" w:cstheme="majorHAnsi"/>
        </w:rPr>
        <w:t>(1-2), pp.94-108. Available at:</w:t>
      </w:r>
      <w:hyperlink r:id="rId21"/>
      <w:hyperlink r:id="rId22">
        <w:r w:rsidR="000D5DAA" w:rsidRPr="00DD4D3F">
          <w:rPr>
            <w:rFonts w:asciiTheme="majorHAnsi" w:hAnsiTheme="majorHAnsi" w:cstheme="majorHAnsi"/>
            <w:color w:val="1155CC"/>
            <w:u w:val="single"/>
          </w:rPr>
          <w:t>https://www.emerald.com/lm/article-pdf/46/1-2/94/10064300/lm-06-2024-0069.pdf</w:t>
        </w:r>
      </w:hyperlink>
      <w:r w:rsidRPr="00DD4D3F">
        <w:rPr>
          <w:rFonts w:asciiTheme="majorHAnsi" w:hAnsiTheme="majorHAnsi" w:cstheme="majorHAnsi"/>
        </w:rPr>
        <w:t xml:space="preserve"> [Accessed on 16 July 2026]</w:t>
      </w:r>
    </w:p>
    <w:p w14:paraId="46013E9E" w14:textId="77777777" w:rsidR="000D5DAA" w:rsidRPr="00DD4D3F" w:rsidRDefault="00000000" w:rsidP="00DD4D3F">
      <w:pPr>
        <w:spacing w:after="240"/>
        <w:rPr>
          <w:rFonts w:asciiTheme="majorHAnsi" w:hAnsiTheme="majorHAnsi" w:cstheme="majorHAnsi"/>
        </w:rPr>
      </w:pPr>
      <w:r w:rsidRPr="00DD4D3F">
        <w:rPr>
          <w:rFonts w:asciiTheme="majorHAnsi" w:hAnsiTheme="majorHAnsi" w:cstheme="majorHAnsi"/>
        </w:rPr>
        <w:t xml:space="preserve">NIST. 2024. The NIST cybersecurity framework (CSF) 2.0. </w:t>
      </w:r>
      <w:r w:rsidRPr="00DD4D3F">
        <w:rPr>
          <w:rFonts w:asciiTheme="majorHAnsi" w:hAnsiTheme="majorHAnsi" w:cstheme="majorHAnsi"/>
          <w:i/>
          <w:iCs/>
        </w:rPr>
        <w:t>The NIST Cybersecurity Framework (CSF) 2.0</w:t>
      </w:r>
      <w:r w:rsidRPr="00DD4D3F">
        <w:rPr>
          <w:rFonts w:asciiTheme="majorHAnsi" w:hAnsiTheme="majorHAnsi" w:cstheme="majorHAnsi"/>
        </w:rPr>
        <w:t xml:space="preserve">, [online] 2.0(29). Available at: </w:t>
      </w:r>
      <w:hyperlink r:id="rId23">
        <w:r w:rsidR="000D5DAA" w:rsidRPr="00DD4D3F">
          <w:rPr>
            <w:rFonts w:asciiTheme="majorHAnsi" w:hAnsiTheme="majorHAnsi" w:cstheme="majorHAnsi"/>
            <w:color w:val="1155CC"/>
            <w:u w:val="single"/>
          </w:rPr>
          <w:t>https://nvlpubs.nist.gov/nistpubs/CSWP/NIST.CSWP.29.pdf</w:t>
        </w:r>
      </w:hyperlink>
      <w:r w:rsidRPr="00DD4D3F">
        <w:rPr>
          <w:rFonts w:asciiTheme="majorHAnsi" w:hAnsiTheme="majorHAnsi" w:cstheme="majorHAnsi"/>
        </w:rPr>
        <w:t xml:space="preserve"> [Accessed 16 July 2026].</w:t>
      </w:r>
    </w:p>
    <w:p w14:paraId="38CC0A77" w14:textId="77777777" w:rsidR="000D5DAA" w:rsidRPr="00DD4D3F" w:rsidRDefault="00000000" w:rsidP="00DD4D3F">
      <w:pPr>
        <w:spacing w:after="200"/>
        <w:rPr>
          <w:rFonts w:asciiTheme="majorHAnsi" w:hAnsiTheme="majorHAnsi" w:cstheme="majorHAnsi"/>
        </w:rPr>
      </w:pPr>
      <w:r w:rsidRPr="00DD4D3F">
        <w:rPr>
          <w:rFonts w:asciiTheme="majorHAnsi" w:hAnsiTheme="majorHAnsi" w:cstheme="majorHAnsi"/>
        </w:rPr>
        <w:t>Ojo, S., 2025. Identity and Access Management (IAM) authentication methods: Importance of multi-factor authentication (MFA) and single sign-on (SSO) and access control models. Available at:</w:t>
      </w:r>
      <w:hyperlink r:id="rId24"/>
      <w:hyperlink r:id="rId25">
        <w:r w:rsidR="000D5DAA" w:rsidRPr="00DD4D3F">
          <w:rPr>
            <w:rFonts w:asciiTheme="majorHAnsi" w:hAnsiTheme="majorHAnsi" w:cstheme="majorHAnsi"/>
            <w:color w:val="1155CC"/>
            <w:u w:val="single"/>
          </w:rPr>
          <w:t>https://www.preprints.org/frontend/manuscript/294d76a6430bcbc74696d6836cf80259/download_pub</w:t>
        </w:r>
      </w:hyperlink>
      <w:r w:rsidRPr="00DD4D3F">
        <w:rPr>
          <w:rFonts w:asciiTheme="majorHAnsi" w:hAnsiTheme="majorHAnsi" w:cstheme="majorHAnsi"/>
        </w:rPr>
        <w:t xml:space="preserve"> [Accessed on 16 July 2026]</w:t>
      </w:r>
    </w:p>
    <w:p w14:paraId="06BA539F" w14:textId="77777777" w:rsidR="000D5DAA"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Prabakaran, D. and Ramachandran, S., 2022. Multi-Factor Authentication for Secured Financial Transactions in Cloud Environment. </w:t>
      </w:r>
      <w:r w:rsidRPr="00DD4D3F">
        <w:rPr>
          <w:rFonts w:asciiTheme="majorHAnsi" w:hAnsiTheme="majorHAnsi" w:cstheme="majorHAnsi"/>
          <w:i/>
          <w:iCs/>
        </w:rPr>
        <w:t>Computers, Materials &amp; Continua</w:t>
      </w:r>
      <w:r w:rsidRPr="00DD4D3F">
        <w:rPr>
          <w:rFonts w:asciiTheme="majorHAnsi" w:hAnsiTheme="majorHAnsi" w:cstheme="majorHAnsi"/>
        </w:rPr>
        <w:t xml:space="preserve">, </w:t>
      </w:r>
      <w:r w:rsidRPr="00DD4D3F">
        <w:rPr>
          <w:rFonts w:asciiTheme="majorHAnsi" w:hAnsiTheme="majorHAnsi" w:cstheme="majorHAnsi"/>
          <w:i/>
          <w:iCs/>
        </w:rPr>
        <w:t>70</w:t>
      </w:r>
      <w:r w:rsidRPr="00DD4D3F">
        <w:rPr>
          <w:rFonts w:asciiTheme="majorHAnsi" w:hAnsiTheme="majorHAnsi" w:cstheme="majorHAnsi"/>
        </w:rPr>
        <w:t>(1). Available at:</w:t>
      </w:r>
      <w:hyperlink r:id="rId26"/>
      <w:hyperlink r:id="rId27">
        <w:r w:rsidR="000D5DAA" w:rsidRPr="00DD4D3F">
          <w:rPr>
            <w:rFonts w:asciiTheme="majorHAnsi" w:hAnsiTheme="majorHAnsi" w:cstheme="majorHAnsi"/>
            <w:color w:val="1155CC"/>
            <w:u w:val="single"/>
          </w:rPr>
          <w:t>https://d1wqtxts1xzle7.cloudfront.net/73616890/pdf-libre.pdf?1635204007=&amp;response-content-disposition=inline%3B+filename%3DMulti_Factor_Authentication_for_Secured.pdf&amp;Expires=1784193945&amp;Signature=W5rUphTI9z~h~AXlwhD-HRLLIJyPKDIP2u6MkFSI0p97sAylSM2qcUpZL4hdbaDHo5CxGvBJWVRSh6Fy9aKki3prghaXEwXhDqKmdIpQHrfrV8e~F0dmVFmCxIrARYCQv~4z3n-2g0shh~n8PBAwLFSBFs4aChRfH4g6uq73X320XHRfHNEBTmBhf5dfgbYNEMZSykoZG91VMh8fQdciuY4fth3ofWXlLD2Y5lj8fjdyhOmRstGUm8b4-pNutGlzZkFnIaA8V32YN5nVLe0sP-KGQEhnCO1tDFABWSRioSu6OYKZajeetapumHHhZ0ZIqE1SCd3wWAJuRGdiXFlYNQ__&amp;Key-Pair-Id=APKAJLOHF5GGSLRBV4ZA</w:t>
        </w:r>
      </w:hyperlink>
      <w:r w:rsidRPr="00DD4D3F">
        <w:rPr>
          <w:rFonts w:asciiTheme="majorHAnsi" w:hAnsiTheme="majorHAnsi" w:cstheme="majorHAnsi"/>
        </w:rPr>
        <w:t xml:space="preserve"> [Accessed on 16 July 2026]</w:t>
      </w:r>
    </w:p>
    <w:p w14:paraId="3526ACD1" w14:textId="77777777" w:rsidR="000D5DAA" w:rsidRPr="00DD4D3F" w:rsidRDefault="00000000" w:rsidP="00DD4D3F">
      <w:pPr>
        <w:spacing w:after="240"/>
        <w:rPr>
          <w:rFonts w:asciiTheme="majorHAnsi" w:hAnsiTheme="majorHAnsi" w:cstheme="majorHAnsi"/>
        </w:rPr>
      </w:pPr>
      <w:r w:rsidRPr="00DD4D3F">
        <w:rPr>
          <w:rFonts w:asciiTheme="majorHAnsi" w:hAnsiTheme="majorHAnsi" w:cstheme="majorHAnsi"/>
        </w:rPr>
        <w:t xml:space="preserve">Rambau, T.M., </w:t>
      </w:r>
      <w:proofErr w:type="spellStart"/>
      <w:r w:rsidRPr="00DD4D3F">
        <w:rPr>
          <w:rFonts w:asciiTheme="majorHAnsi" w:hAnsiTheme="majorHAnsi" w:cstheme="majorHAnsi"/>
        </w:rPr>
        <w:t>Munyoka</w:t>
      </w:r>
      <w:proofErr w:type="spellEnd"/>
      <w:r w:rsidRPr="00DD4D3F">
        <w:rPr>
          <w:rFonts w:asciiTheme="majorHAnsi" w:hAnsiTheme="majorHAnsi" w:cstheme="majorHAnsi"/>
        </w:rPr>
        <w:t xml:space="preserve">, W., </w:t>
      </w:r>
      <w:proofErr w:type="spellStart"/>
      <w:r w:rsidRPr="00DD4D3F">
        <w:rPr>
          <w:rFonts w:asciiTheme="majorHAnsi" w:hAnsiTheme="majorHAnsi" w:cstheme="majorHAnsi"/>
        </w:rPr>
        <w:t>Phahlamohlaka</w:t>
      </w:r>
      <w:proofErr w:type="spellEnd"/>
      <w:r w:rsidRPr="00DD4D3F">
        <w:rPr>
          <w:rFonts w:asciiTheme="majorHAnsi" w:hAnsiTheme="majorHAnsi" w:cstheme="majorHAnsi"/>
        </w:rPr>
        <w:t xml:space="preserve">, L.J. and </w:t>
      </w:r>
      <w:proofErr w:type="spellStart"/>
      <w:r w:rsidRPr="00DD4D3F">
        <w:rPr>
          <w:rFonts w:asciiTheme="majorHAnsi" w:hAnsiTheme="majorHAnsi" w:cstheme="majorHAnsi"/>
        </w:rPr>
        <w:t>Kadyamatimba</w:t>
      </w:r>
      <w:proofErr w:type="spellEnd"/>
      <w:r w:rsidRPr="00DD4D3F">
        <w:rPr>
          <w:rFonts w:asciiTheme="majorHAnsi" w:hAnsiTheme="majorHAnsi" w:cstheme="majorHAnsi"/>
        </w:rPr>
        <w:t xml:space="preserve">, A. 2026. Evaluating cyber resilience frameworks for e-government: Applicability of NIST CSF, ISO/IEC 27001 and COBIT </w:t>
      </w:r>
      <w:r w:rsidRPr="00DD4D3F">
        <w:rPr>
          <w:rFonts w:asciiTheme="majorHAnsi" w:hAnsiTheme="majorHAnsi" w:cstheme="majorHAnsi"/>
        </w:rPr>
        <w:lastRenderedPageBreak/>
        <w:t xml:space="preserve">2019 in developing country contexts. </w:t>
      </w:r>
      <w:r w:rsidRPr="00DD4D3F">
        <w:rPr>
          <w:rFonts w:asciiTheme="majorHAnsi" w:hAnsiTheme="majorHAnsi" w:cstheme="majorHAnsi"/>
          <w:i/>
          <w:iCs/>
        </w:rPr>
        <w:t>Information &amp;amp; Computer Security</w:t>
      </w:r>
      <w:r w:rsidRPr="00DD4D3F">
        <w:rPr>
          <w:rFonts w:asciiTheme="majorHAnsi" w:hAnsiTheme="majorHAnsi" w:cstheme="majorHAnsi"/>
        </w:rPr>
        <w:t xml:space="preserve">, pp.1–22. Available at: </w:t>
      </w:r>
      <w:hyperlink r:id="rId28">
        <w:r w:rsidR="000D5DAA" w:rsidRPr="00DD4D3F">
          <w:rPr>
            <w:rFonts w:asciiTheme="majorHAnsi" w:hAnsiTheme="majorHAnsi" w:cstheme="majorHAnsi"/>
            <w:color w:val="1155CC"/>
            <w:u w:val="single"/>
          </w:rPr>
          <w:t>https://doi.org/10.1108/ICS-09-2025-0376</w:t>
        </w:r>
      </w:hyperlink>
      <w:r w:rsidRPr="00DD4D3F">
        <w:rPr>
          <w:rFonts w:asciiTheme="majorHAnsi" w:hAnsiTheme="majorHAnsi" w:cstheme="majorHAnsi"/>
        </w:rPr>
        <w:t>. [Accessed 16 July 2026].</w:t>
      </w:r>
    </w:p>
    <w:p w14:paraId="27C08E4A" w14:textId="77777777" w:rsidR="000D5DAA" w:rsidRPr="00DD4D3F" w:rsidRDefault="00000000" w:rsidP="00DD4D3F">
      <w:pPr>
        <w:spacing w:after="200"/>
        <w:rPr>
          <w:rFonts w:asciiTheme="majorHAnsi" w:hAnsiTheme="majorHAnsi" w:cstheme="majorHAnsi"/>
        </w:rPr>
      </w:pPr>
      <w:proofErr w:type="spellStart"/>
      <w:r w:rsidRPr="00DD4D3F">
        <w:rPr>
          <w:rFonts w:asciiTheme="majorHAnsi" w:hAnsiTheme="majorHAnsi" w:cstheme="majorHAnsi"/>
        </w:rPr>
        <w:t>Vakhula</w:t>
      </w:r>
      <w:proofErr w:type="spellEnd"/>
      <w:r w:rsidRPr="00DD4D3F">
        <w:rPr>
          <w:rFonts w:asciiTheme="majorHAnsi" w:hAnsiTheme="majorHAnsi" w:cstheme="majorHAnsi"/>
        </w:rPr>
        <w:t xml:space="preserve">, O., Kurii, Y., </w:t>
      </w:r>
      <w:proofErr w:type="spellStart"/>
      <w:r w:rsidRPr="00DD4D3F">
        <w:rPr>
          <w:rFonts w:asciiTheme="majorHAnsi" w:hAnsiTheme="majorHAnsi" w:cstheme="majorHAnsi"/>
        </w:rPr>
        <w:t>Opirskyy</w:t>
      </w:r>
      <w:proofErr w:type="spellEnd"/>
      <w:r w:rsidRPr="00DD4D3F">
        <w:rPr>
          <w:rFonts w:asciiTheme="majorHAnsi" w:hAnsiTheme="majorHAnsi" w:cstheme="majorHAnsi"/>
        </w:rPr>
        <w:t xml:space="preserve">, I. and </w:t>
      </w:r>
      <w:proofErr w:type="spellStart"/>
      <w:r w:rsidRPr="00DD4D3F">
        <w:rPr>
          <w:rFonts w:asciiTheme="majorHAnsi" w:hAnsiTheme="majorHAnsi" w:cstheme="majorHAnsi"/>
        </w:rPr>
        <w:t>Susukailo</w:t>
      </w:r>
      <w:proofErr w:type="spellEnd"/>
      <w:r w:rsidRPr="00DD4D3F">
        <w:rPr>
          <w:rFonts w:asciiTheme="majorHAnsi" w:hAnsiTheme="majorHAnsi" w:cstheme="majorHAnsi"/>
        </w:rPr>
        <w:t xml:space="preserve">, V., 2024, February. Security as Code Concept for Fulfilling ISO/IEC 27001: 2022 Requirements. In </w:t>
      </w:r>
      <w:r w:rsidRPr="00DD4D3F">
        <w:rPr>
          <w:rFonts w:asciiTheme="majorHAnsi" w:hAnsiTheme="majorHAnsi" w:cstheme="majorHAnsi"/>
          <w:i/>
          <w:iCs/>
        </w:rPr>
        <w:t>CPITS</w:t>
      </w:r>
      <w:r w:rsidRPr="00DD4D3F">
        <w:rPr>
          <w:rFonts w:asciiTheme="majorHAnsi" w:hAnsiTheme="majorHAnsi" w:cstheme="majorHAnsi"/>
        </w:rPr>
        <w:t xml:space="preserve"> (pp. 59-72). Available </w:t>
      </w:r>
      <w:proofErr w:type="spellStart"/>
      <w:r w:rsidRPr="00DD4D3F">
        <w:rPr>
          <w:rFonts w:asciiTheme="majorHAnsi" w:hAnsiTheme="majorHAnsi" w:cstheme="majorHAnsi"/>
        </w:rPr>
        <w:t>at:</w:t>
      </w:r>
      <w:hyperlink r:id="rId29"/>
      <w:hyperlink r:id="rId30">
        <w:r w:rsidR="000D5DAA" w:rsidRPr="00DD4D3F">
          <w:rPr>
            <w:rFonts w:asciiTheme="majorHAnsi" w:hAnsiTheme="majorHAnsi" w:cstheme="majorHAnsi"/>
            <w:color w:val="1155CC"/>
            <w:u w:val="single"/>
          </w:rPr>
          <w:t>https</w:t>
        </w:r>
        <w:proofErr w:type="spellEnd"/>
        <w:r w:rsidR="000D5DAA" w:rsidRPr="00DD4D3F">
          <w:rPr>
            <w:rFonts w:asciiTheme="majorHAnsi" w:hAnsiTheme="majorHAnsi" w:cstheme="majorHAnsi"/>
            <w:color w:val="1155CC"/>
            <w:u w:val="single"/>
          </w:rPr>
          <w:t>://ceur-ws.org/Vol-3654/paper6.pdf</w:t>
        </w:r>
      </w:hyperlink>
      <w:r w:rsidRPr="00DD4D3F">
        <w:rPr>
          <w:rFonts w:asciiTheme="majorHAnsi" w:hAnsiTheme="majorHAnsi" w:cstheme="majorHAnsi"/>
        </w:rPr>
        <w:t xml:space="preserve"> [Accessed on 16 July 2026]</w:t>
      </w:r>
    </w:p>
    <w:p w14:paraId="211F87D9" w14:textId="77777777" w:rsidR="000D5DAA" w:rsidRPr="00DD4D3F" w:rsidRDefault="00000000" w:rsidP="00DD4D3F">
      <w:pPr>
        <w:spacing w:after="200"/>
        <w:rPr>
          <w:rFonts w:asciiTheme="majorHAnsi" w:hAnsiTheme="majorHAnsi" w:cstheme="majorHAnsi"/>
        </w:rPr>
      </w:pPr>
      <w:proofErr w:type="spellStart"/>
      <w:r w:rsidRPr="00DD4D3F">
        <w:rPr>
          <w:rFonts w:asciiTheme="majorHAnsi" w:hAnsiTheme="majorHAnsi" w:cstheme="majorHAnsi"/>
        </w:rPr>
        <w:t>Viamianni</w:t>
      </w:r>
      <w:proofErr w:type="spellEnd"/>
      <w:r w:rsidRPr="00DD4D3F">
        <w:rPr>
          <w:rFonts w:asciiTheme="majorHAnsi" w:hAnsiTheme="majorHAnsi" w:cstheme="majorHAnsi"/>
        </w:rPr>
        <w:t xml:space="preserve">, A., Mulyana, R. and Dewi, F., 2023. </w:t>
      </w:r>
      <w:proofErr w:type="spellStart"/>
      <w:r w:rsidRPr="00DD4D3F">
        <w:rPr>
          <w:rFonts w:asciiTheme="majorHAnsi" w:hAnsiTheme="majorHAnsi" w:cstheme="majorHAnsi"/>
        </w:rPr>
        <w:t>Cobit</w:t>
      </w:r>
      <w:proofErr w:type="spellEnd"/>
      <w:r w:rsidRPr="00DD4D3F">
        <w:rPr>
          <w:rFonts w:asciiTheme="majorHAnsi" w:hAnsiTheme="majorHAnsi" w:cstheme="majorHAnsi"/>
        </w:rPr>
        <w:t xml:space="preserve"> 2019 Information Security Focus Area Implementation </w:t>
      </w:r>
      <w:proofErr w:type="spellStart"/>
      <w:r w:rsidRPr="00DD4D3F">
        <w:rPr>
          <w:rFonts w:asciiTheme="majorHAnsi" w:hAnsiTheme="majorHAnsi" w:cstheme="majorHAnsi"/>
        </w:rPr>
        <w:t>ForReinsurco</w:t>
      </w:r>
      <w:proofErr w:type="spellEnd"/>
      <w:r w:rsidRPr="00DD4D3F">
        <w:rPr>
          <w:rFonts w:asciiTheme="majorHAnsi" w:hAnsiTheme="majorHAnsi" w:cstheme="majorHAnsi"/>
        </w:rPr>
        <w:t xml:space="preserve"> Digital Transformation. </w:t>
      </w:r>
      <w:r w:rsidRPr="00DD4D3F">
        <w:rPr>
          <w:rFonts w:asciiTheme="majorHAnsi" w:hAnsiTheme="majorHAnsi" w:cstheme="majorHAnsi"/>
          <w:i/>
          <w:iCs/>
        </w:rPr>
        <w:t>Jiko (</w:t>
      </w:r>
      <w:proofErr w:type="spellStart"/>
      <w:r w:rsidRPr="00DD4D3F">
        <w:rPr>
          <w:rFonts w:asciiTheme="majorHAnsi" w:hAnsiTheme="majorHAnsi" w:cstheme="majorHAnsi"/>
          <w:i/>
          <w:iCs/>
        </w:rPr>
        <w:t>JurnalInformatika</w:t>
      </w:r>
      <w:proofErr w:type="spellEnd"/>
      <w:r w:rsidRPr="00DD4D3F">
        <w:rPr>
          <w:rFonts w:asciiTheme="majorHAnsi" w:hAnsiTheme="majorHAnsi" w:cstheme="majorHAnsi"/>
          <w:i/>
          <w:iCs/>
        </w:rPr>
        <w:t xml:space="preserve"> Dan Komputer)</w:t>
      </w:r>
      <w:r w:rsidRPr="00DD4D3F">
        <w:rPr>
          <w:rFonts w:asciiTheme="majorHAnsi" w:hAnsiTheme="majorHAnsi" w:cstheme="majorHAnsi"/>
        </w:rPr>
        <w:t xml:space="preserve">, </w:t>
      </w:r>
      <w:r w:rsidRPr="00DD4D3F">
        <w:rPr>
          <w:rFonts w:asciiTheme="majorHAnsi" w:hAnsiTheme="majorHAnsi" w:cstheme="majorHAnsi"/>
          <w:i/>
          <w:iCs/>
        </w:rPr>
        <w:t>6</w:t>
      </w:r>
      <w:r w:rsidRPr="00DD4D3F">
        <w:rPr>
          <w:rFonts w:asciiTheme="majorHAnsi" w:hAnsiTheme="majorHAnsi" w:cstheme="majorHAnsi"/>
        </w:rPr>
        <w:t>(2). Available at:</w:t>
      </w:r>
      <w:hyperlink r:id="rId31"/>
      <w:hyperlink r:id="rId32">
        <w:r w:rsidR="000D5DAA" w:rsidRPr="00DD4D3F">
          <w:rPr>
            <w:rFonts w:asciiTheme="majorHAnsi" w:hAnsiTheme="majorHAnsi" w:cstheme="majorHAnsi"/>
            <w:color w:val="1155CC"/>
            <w:u w:val="single"/>
          </w:rPr>
          <w:t>https://pdfs.semanticscholar.org/6271/0ec4db3aacffe9d061cf985dd1f37fa0ff08.pdf</w:t>
        </w:r>
      </w:hyperlink>
      <w:r w:rsidRPr="00DD4D3F">
        <w:rPr>
          <w:rFonts w:asciiTheme="majorHAnsi" w:hAnsiTheme="majorHAnsi" w:cstheme="majorHAnsi"/>
        </w:rPr>
        <w:t xml:space="preserve"> [Accessed on 16 July 2026]</w:t>
      </w:r>
    </w:p>
    <w:p w14:paraId="51AB56F0" w14:textId="77777777" w:rsidR="000D5DAA" w:rsidRPr="00DD4D3F" w:rsidRDefault="00000000" w:rsidP="00DD4D3F">
      <w:pPr>
        <w:spacing w:after="200"/>
        <w:rPr>
          <w:rFonts w:asciiTheme="majorHAnsi" w:hAnsiTheme="majorHAnsi" w:cstheme="majorHAnsi"/>
        </w:rPr>
      </w:pPr>
      <w:r w:rsidRPr="00DD4D3F">
        <w:rPr>
          <w:rFonts w:asciiTheme="majorHAnsi" w:hAnsiTheme="majorHAnsi" w:cstheme="majorHAnsi"/>
        </w:rPr>
        <w:t xml:space="preserve">Wang, D., Zhong, D. and Li, L., 2022. A comprehensive study of the role of cloud computing on the information technology infrastructure library (ITIL) processes. </w:t>
      </w:r>
      <w:r w:rsidRPr="00DD4D3F">
        <w:rPr>
          <w:rFonts w:asciiTheme="majorHAnsi" w:hAnsiTheme="majorHAnsi" w:cstheme="majorHAnsi"/>
          <w:i/>
          <w:iCs/>
        </w:rPr>
        <w:t>Library Hi Tech</w:t>
      </w:r>
      <w:r w:rsidRPr="00DD4D3F">
        <w:rPr>
          <w:rFonts w:asciiTheme="majorHAnsi" w:hAnsiTheme="majorHAnsi" w:cstheme="majorHAnsi"/>
        </w:rPr>
        <w:t xml:space="preserve">, </w:t>
      </w:r>
      <w:r w:rsidRPr="00DD4D3F">
        <w:rPr>
          <w:rFonts w:asciiTheme="majorHAnsi" w:hAnsiTheme="majorHAnsi" w:cstheme="majorHAnsi"/>
          <w:i/>
          <w:iCs/>
        </w:rPr>
        <w:t>40</w:t>
      </w:r>
      <w:r w:rsidRPr="00DD4D3F">
        <w:rPr>
          <w:rFonts w:asciiTheme="majorHAnsi" w:hAnsiTheme="majorHAnsi" w:cstheme="majorHAnsi"/>
        </w:rPr>
        <w:t>(6), pp.1954-1975. Available at:</w:t>
      </w:r>
      <w:hyperlink r:id="rId33"/>
      <w:hyperlink r:id="rId34">
        <w:r w:rsidR="000D5DAA" w:rsidRPr="00DD4D3F">
          <w:rPr>
            <w:rFonts w:asciiTheme="majorHAnsi" w:hAnsiTheme="majorHAnsi" w:cstheme="majorHAnsi"/>
            <w:color w:val="1155CC"/>
            <w:u w:val="single"/>
          </w:rPr>
          <w:t>https://university.segi.edu.my/wp-content/uploads/sites/3/2023/10/58.-A-comprehensive-study-of-the-role-of-cloud-computing-on-the-information-technology-infrastructure-library-ITIL-processes.pdf</w:t>
        </w:r>
      </w:hyperlink>
      <w:r w:rsidRPr="00DD4D3F">
        <w:rPr>
          <w:rFonts w:asciiTheme="majorHAnsi" w:hAnsiTheme="majorHAnsi" w:cstheme="majorHAnsi"/>
        </w:rPr>
        <w:t xml:space="preserve"> [Accessed on 16 July 2026]</w:t>
      </w:r>
    </w:p>
    <w:p w14:paraId="35331D7D" w14:textId="77777777" w:rsidR="000D5DAA" w:rsidRPr="00DD4D3F" w:rsidRDefault="00000000" w:rsidP="00DD4D3F">
      <w:pPr>
        <w:spacing w:after="200"/>
        <w:rPr>
          <w:rFonts w:asciiTheme="majorHAnsi" w:hAnsiTheme="majorHAnsi" w:cstheme="majorHAnsi"/>
        </w:rPr>
      </w:pPr>
      <w:proofErr w:type="spellStart"/>
      <w:r w:rsidRPr="00DD4D3F">
        <w:rPr>
          <w:rFonts w:asciiTheme="majorHAnsi" w:hAnsiTheme="majorHAnsi" w:cstheme="majorHAnsi"/>
        </w:rPr>
        <w:t>Wattimury</w:t>
      </w:r>
      <w:proofErr w:type="spellEnd"/>
      <w:r w:rsidRPr="00DD4D3F">
        <w:rPr>
          <w:rFonts w:asciiTheme="majorHAnsi" w:hAnsiTheme="majorHAnsi" w:cstheme="majorHAnsi"/>
        </w:rPr>
        <w:t xml:space="preserve">, G. and Faza, A., 2023. COBIT 2019 implementation for enhancing IT governance in educational institutions. </w:t>
      </w:r>
      <w:r w:rsidRPr="00DD4D3F">
        <w:rPr>
          <w:rFonts w:asciiTheme="majorHAnsi" w:hAnsiTheme="majorHAnsi" w:cstheme="majorHAnsi"/>
          <w:i/>
          <w:iCs/>
        </w:rPr>
        <w:t>JISKA (Jurnalinformatikasunankalijaga)</w:t>
      </w:r>
      <w:r w:rsidRPr="00DD4D3F">
        <w:rPr>
          <w:rFonts w:asciiTheme="majorHAnsi" w:hAnsiTheme="majorHAnsi" w:cstheme="majorHAnsi"/>
        </w:rPr>
        <w:t xml:space="preserve">, </w:t>
      </w:r>
      <w:r w:rsidRPr="00DD4D3F">
        <w:rPr>
          <w:rFonts w:asciiTheme="majorHAnsi" w:hAnsiTheme="majorHAnsi" w:cstheme="majorHAnsi"/>
          <w:i/>
          <w:iCs/>
        </w:rPr>
        <w:t>8</w:t>
      </w:r>
      <w:r w:rsidRPr="00DD4D3F">
        <w:rPr>
          <w:rFonts w:asciiTheme="majorHAnsi" w:hAnsiTheme="majorHAnsi" w:cstheme="majorHAnsi"/>
        </w:rPr>
        <w:t>(3), pp.210-221. Available at:</w:t>
      </w:r>
      <w:hyperlink r:id="rId35"/>
      <w:hyperlink r:id="rId36">
        <w:r w:rsidR="000D5DAA" w:rsidRPr="00DD4D3F">
          <w:rPr>
            <w:rFonts w:asciiTheme="majorHAnsi" w:hAnsiTheme="majorHAnsi" w:cstheme="majorHAnsi"/>
            <w:color w:val="1155CC"/>
            <w:u w:val="single"/>
          </w:rPr>
          <w:t>https://ejournal.uin-suka.ac.id/saintek/JISKA/article/download/4186/2709</w:t>
        </w:r>
      </w:hyperlink>
      <w:r w:rsidRPr="00DD4D3F">
        <w:rPr>
          <w:rFonts w:asciiTheme="majorHAnsi" w:hAnsiTheme="majorHAnsi" w:cstheme="majorHAnsi"/>
        </w:rPr>
        <w:t xml:space="preserve"> [Accessed on 16 July 2026]</w:t>
      </w:r>
    </w:p>
    <w:sectPr w:rsidR="000D5DAA" w:rsidRPr="00DD4D3F" w:rsidSect="00DD4D3F">
      <w:footerReference w:type="default" r:id="rId37"/>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C65E83" w14:textId="77777777" w:rsidR="00DB34BF" w:rsidRDefault="00DB34BF">
      <w:pPr>
        <w:spacing w:line="240" w:lineRule="auto"/>
      </w:pPr>
      <w:r>
        <w:separator/>
      </w:r>
    </w:p>
  </w:endnote>
  <w:endnote w:type="continuationSeparator" w:id="0">
    <w:p w14:paraId="718F2CF9" w14:textId="77777777" w:rsidR="00DB34BF" w:rsidRDefault="00DB34B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7E790FC-DED8-44E3-9BAD-B1AFF9390E6F}"/>
    <w:embedBold r:id="rId2" w:fontKey="{5B6122A7-91C3-4535-965B-6D4829746B57}"/>
    <w:embedItalic r:id="rId3" w:fontKey="{7788F959-297E-4D54-B306-EB81C975D5ED}"/>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embedRegular r:id="rId4" w:fontKey="{8861F031-A2C3-4DC3-AAEC-6FCEA1DED5B1}"/>
  </w:font>
  <w:font w:name="Cambria">
    <w:panose1 w:val="02040503050406030204"/>
    <w:charset w:val="00"/>
    <w:family w:val="roman"/>
    <w:pitch w:val="variable"/>
    <w:sig w:usb0="E00006FF" w:usb1="420024FF" w:usb2="02000000" w:usb3="00000000" w:csb0="0000019F" w:csb1="00000000"/>
    <w:embedRegular r:id="rId5" w:fontKey="{824B7984-E32D-4812-A5B7-DDF76688ED7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5254047"/>
      <w:docPartObj>
        <w:docPartGallery w:val="Page Numbers (Bottom of Page)"/>
        <w:docPartUnique/>
      </w:docPartObj>
    </w:sdtPr>
    <w:sdtContent>
      <w:sdt>
        <w:sdtPr>
          <w:id w:val="565050523"/>
          <w:docPartObj>
            <w:docPartGallery w:val="Page Numbers (Top of Page)"/>
            <w:docPartUnique/>
          </w:docPartObj>
        </w:sdtPr>
        <w:sdtContent>
          <w:p w14:paraId="273673D3" w14:textId="77777777" w:rsidR="00B17F0B" w:rsidRDefault="00000000">
            <w:pPr>
              <w:pStyle w:val="Footer"/>
              <w:jc w:val="right"/>
            </w:pPr>
            <w:r>
              <w:t xml:space="preserve">Page </w:t>
            </w:r>
            <w:r>
              <w:rPr>
                <w:b/>
              </w:rPr>
              <w:fldChar w:fldCharType="begin"/>
            </w:r>
            <w:r>
              <w:rPr>
                <w:b/>
              </w:rPr>
              <w:instrText xml:space="preserve"> PAGE </w:instrText>
            </w:r>
            <w:r>
              <w:rPr>
                <w:b/>
              </w:rPr>
              <w:fldChar w:fldCharType="separate"/>
            </w:r>
            <w:r>
              <w:rPr>
                <w:b/>
                <w:noProof/>
              </w:rPr>
              <w:t>3</w:t>
            </w:r>
            <w:r>
              <w:rPr>
                <w:b/>
              </w:rPr>
              <w:fldChar w:fldCharType="end"/>
            </w:r>
            <w:r>
              <w:t xml:space="preserve"> of </w:t>
            </w:r>
            <w:r>
              <w:rPr>
                <w:b/>
              </w:rPr>
              <w:fldChar w:fldCharType="begin"/>
            </w:r>
            <w:r>
              <w:rPr>
                <w:b/>
              </w:rPr>
              <w:instrText xml:space="preserve"> NUMPAGES  </w:instrText>
            </w:r>
            <w:r>
              <w:rPr>
                <w:b/>
              </w:rPr>
              <w:fldChar w:fldCharType="separate"/>
            </w:r>
            <w:r>
              <w:rPr>
                <w:b/>
                <w:noProof/>
              </w:rPr>
              <w:t>17</w:t>
            </w:r>
            <w:r>
              <w:rPr>
                <w:b/>
              </w:rPr>
              <w:fldChar w:fldCharType="end"/>
            </w:r>
          </w:p>
        </w:sdtContent>
      </w:sdt>
    </w:sdtContent>
  </w:sdt>
  <w:p w14:paraId="6F063C91" w14:textId="77777777" w:rsidR="00315E63" w:rsidRDefault="00315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9FB6CD" w14:textId="77777777" w:rsidR="00DB34BF" w:rsidRDefault="00DB34BF">
      <w:pPr>
        <w:spacing w:line="240" w:lineRule="auto"/>
      </w:pPr>
      <w:r>
        <w:separator/>
      </w:r>
    </w:p>
  </w:footnote>
  <w:footnote w:type="continuationSeparator" w:id="0">
    <w:p w14:paraId="3BE486B2" w14:textId="77777777" w:rsidR="00DB34BF" w:rsidRDefault="00DB34B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removePersonalInformation/>
  <w:removeDateAndTim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05FE4"/>
    <w:rsid w:val="00062191"/>
    <w:rsid w:val="00097CD7"/>
    <w:rsid w:val="000D5DAA"/>
    <w:rsid w:val="00166B7E"/>
    <w:rsid w:val="001E47FB"/>
    <w:rsid w:val="00271432"/>
    <w:rsid w:val="002F0519"/>
    <w:rsid w:val="00315E63"/>
    <w:rsid w:val="00433DD7"/>
    <w:rsid w:val="00476B18"/>
    <w:rsid w:val="00507F9C"/>
    <w:rsid w:val="00604FDC"/>
    <w:rsid w:val="007A2445"/>
    <w:rsid w:val="007C6FC9"/>
    <w:rsid w:val="008170F5"/>
    <w:rsid w:val="00886DC5"/>
    <w:rsid w:val="009312CC"/>
    <w:rsid w:val="00947147"/>
    <w:rsid w:val="00A767FA"/>
    <w:rsid w:val="00A96708"/>
    <w:rsid w:val="00B17F0B"/>
    <w:rsid w:val="00B739CD"/>
    <w:rsid w:val="00C164AF"/>
    <w:rsid w:val="00C669BB"/>
    <w:rsid w:val="00D05FE4"/>
    <w:rsid w:val="00DB34BF"/>
    <w:rsid w:val="00DD4D3F"/>
    <w:rsid w:val="00E95C43"/>
    <w:rsid w:val="00F05D9B"/>
    <w:rsid w:val="00F91018"/>
    <w:rsid w:val="00FF456C"/>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F7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9BB"/>
    <w:rPr>
      <w:lang w:val="en-GB"/>
    </w:rPr>
  </w:style>
  <w:style w:type="paragraph" w:styleId="Heading1">
    <w:name w:val="heading 1"/>
    <w:basedOn w:val="Normal"/>
    <w:next w:val="Normal"/>
    <w:uiPriority w:val="9"/>
    <w:qFormat/>
    <w:rsid w:val="00E95C43"/>
    <w:pPr>
      <w:spacing w:after="200"/>
      <w:outlineLvl w:val="0"/>
    </w:pPr>
    <w:rPr>
      <w:b/>
      <w:bCs/>
      <w:sz w:val="28"/>
      <w:szCs w:val="28"/>
    </w:rPr>
  </w:style>
  <w:style w:type="paragraph" w:styleId="Heading2">
    <w:name w:val="heading 2"/>
    <w:basedOn w:val="Normal"/>
    <w:next w:val="Normal"/>
    <w:uiPriority w:val="9"/>
    <w:unhideWhenUsed/>
    <w:qFormat/>
    <w:rsid w:val="00097CD7"/>
    <w:pPr>
      <w:spacing w:after="200"/>
      <w:outlineLvl w:val="1"/>
    </w:pPr>
    <w:rPr>
      <w:b/>
      <w:sz w:val="26"/>
      <w:szCs w:val="26"/>
    </w:rPr>
  </w:style>
  <w:style w:type="paragraph" w:styleId="Heading3">
    <w:name w:val="heading 3"/>
    <w:basedOn w:val="Normal"/>
    <w:next w:val="Normal"/>
    <w:uiPriority w:val="9"/>
    <w:unhideWhenUsed/>
    <w:qFormat/>
    <w:rsid w:val="00C669B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C669BB"/>
    <w:pPr>
      <w:keepNext/>
      <w:keepLines/>
      <w:spacing w:before="280" w:after="80"/>
      <w:outlineLvl w:val="3"/>
    </w:pPr>
    <w:rPr>
      <w:color w:val="666666"/>
    </w:rPr>
  </w:style>
  <w:style w:type="paragraph" w:styleId="Heading5">
    <w:name w:val="heading 5"/>
    <w:basedOn w:val="Normal"/>
    <w:next w:val="Normal"/>
    <w:uiPriority w:val="9"/>
    <w:semiHidden/>
    <w:unhideWhenUsed/>
    <w:qFormat/>
    <w:rsid w:val="00C669BB"/>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C669BB"/>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669BB"/>
    <w:tblPr>
      <w:tblCellMar>
        <w:top w:w="100" w:type="dxa"/>
        <w:left w:w="100" w:type="dxa"/>
        <w:bottom w:w="100" w:type="dxa"/>
        <w:right w:w="100" w:type="dxa"/>
      </w:tblCellMar>
    </w:tblPr>
  </w:style>
  <w:style w:type="paragraph" w:styleId="Title">
    <w:name w:val="Title"/>
    <w:basedOn w:val="Normal"/>
    <w:next w:val="Normal"/>
    <w:uiPriority w:val="10"/>
    <w:qFormat/>
    <w:rsid w:val="00C669BB"/>
    <w:pPr>
      <w:keepNext/>
      <w:keepLines/>
      <w:spacing w:after="60"/>
    </w:pPr>
    <w:rPr>
      <w:sz w:val="52"/>
      <w:szCs w:val="52"/>
    </w:rPr>
  </w:style>
  <w:style w:type="paragraph" w:styleId="Subtitle">
    <w:name w:val="Subtitle"/>
    <w:basedOn w:val="Normal"/>
    <w:next w:val="Normal"/>
    <w:uiPriority w:val="11"/>
    <w:qFormat/>
    <w:rsid w:val="00C669BB"/>
    <w:pPr>
      <w:keepNext/>
      <w:keepLines/>
      <w:spacing w:after="320"/>
    </w:pPr>
    <w:rPr>
      <w:rFonts w:ascii="Arial" w:eastAsia="Arial" w:hAnsi="Arial" w:cs="Arial"/>
      <w:color w:val="666666"/>
      <w:sz w:val="30"/>
      <w:szCs w:val="30"/>
    </w:rPr>
  </w:style>
  <w:style w:type="paragraph" w:styleId="ListParagraph">
    <w:name w:val="List Paragraph"/>
    <w:basedOn w:val="Normal"/>
    <w:uiPriority w:val="34"/>
    <w:qFormat/>
    <w:rsid w:val="007C6FC9"/>
    <w:pPr>
      <w:ind w:left="720"/>
      <w:contextualSpacing/>
    </w:pPr>
  </w:style>
  <w:style w:type="paragraph" w:styleId="TOCHeading">
    <w:name w:val="TOC Heading"/>
    <w:basedOn w:val="Heading1"/>
    <w:next w:val="Normal"/>
    <w:uiPriority w:val="39"/>
    <w:unhideWhenUsed/>
    <w:qFormat/>
    <w:rsid w:val="00E95C43"/>
    <w:pPr>
      <w:spacing w:before="240" w:after="0" w:line="259" w:lineRule="auto"/>
      <w:jc w:val="left"/>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E95C43"/>
    <w:pPr>
      <w:spacing w:after="100"/>
    </w:pPr>
  </w:style>
  <w:style w:type="character" w:styleId="Hyperlink">
    <w:name w:val="Hyperlink"/>
    <w:basedOn w:val="DefaultParagraphFont"/>
    <w:uiPriority w:val="99"/>
    <w:unhideWhenUsed/>
    <w:rsid w:val="00E95C43"/>
    <w:rPr>
      <w:color w:val="0000FF" w:themeColor="hyperlink"/>
      <w:u w:val="single"/>
    </w:rPr>
  </w:style>
  <w:style w:type="paragraph" w:styleId="Header">
    <w:name w:val="header"/>
    <w:basedOn w:val="Normal"/>
    <w:link w:val="HeaderChar"/>
    <w:uiPriority w:val="99"/>
    <w:unhideWhenUsed/>
    <w:rsid w:val="00886DC5"/>
    <w:pPr>
      <w:tabs>
        <w:tab w:val="center" w:pos="4513"/>
        <w:tab w:val="right" w:pos="9026"/>
      </w:tabs>
      <w:spacing w:line="240" w:lineRule="auto"/>
    </w:pPr>
  </w:style>
  <w:style w:type="character" w:customStyle="1" w:styleId="HeaderChar">
    <w:name w:val="Header Char"/>
    <w:basedOn w:val="DefaultParagraphFont"/>
    <w:link w:val="Header"/>
    <w:uiPriority w:val="99"/>
    <w:rsid w:val="00886DC5"/>
  </w:style>
  <w:style w:type="paragraph" w:styleId="Footer">
    <w:name w:val="footer"/>
    <w:basedOn w:val="Normal"/>
    <w:link w:val="FooterChar"/>
    <w:uiPriority w:val="99"/>
    <w:unhideWhenUsed/>
    <w:rsid w:val="00886DC5"/>
    <w:pPr>
      <w:tabs>
        <w:tab w:val="center" w:pos="4513"/>
        <w:tab w:val="right" w:pos="9026"/>
      </w:tabs>
      <w:spacing w:line="240" w:lineRule="auto"/>
    </w:pPr>
  </w:style>
  <w:style w:type="character" w:customStyle="1" w:styleId="FooterChar">
    <w:name w:val="Footer Char"/>
    <w:basedOn w:val="DefaultParagraphFont"/>
    <w:link w:val="Footer"/>
    <w:uiPriority w:val="99"/>
    <w:rsid w:val="00886DC5"/>
  </w:style>
  <w:style w:type="paragraph" w:styleId="BalloonText">
    <w:name w:val="Balloon Text"/>
    <w:basedOn w:val="Normal"/>
    <w:link w:val="BalloonTextChar"/>
    <w:uiPriority w:val="99"/>
    <w:semiHidden/>
    <w:unhideWhenUsed/>
    <w:rsid w:val="00097CD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7CD7"/>
    <w:rPr>
      <w:rFonts w:ascii="Tahoma" w:hAnsi="Tahoma" w:cs="Tahoma"/>
      <w:sz w:val="16"/>
      <w:szCs w:val="16"/>
    </w:rPr>
  </w:style>
  <w:style w:type="paragraph" w:styleId="TOC2">
    <w:name w:val="toc 2"/>
    <w:basedOn w:val="Normal"/>
    <w:next w:val="Normal"/>
    <w:autoRedefine/>
    <w:uiPriority w:val="39"/>
    <w:unhideWhenUsed/>
    <w:rsid w:val="009312C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a51.nl/sites/default/files/pdf/NIST.SP.800-215%20%281%29.pdf" TargetMode="External"/><Relationship Id="rId18" Type="http://schemas.openxmlformats.org/officeDocument/2006/relationships/hyperlink" Target="https://www.johanolausson.com/management.pdf" TargetMode="External"/><Relationship Id="rId26" Type="http://schemas.openxmlformats.org/officeDocument/2006/relationships/hyperlink" Target="https://d1wqtxts1xzle7.cloudfront.net/73616890/pdf-libre.pdf?1635204007=&amp;response-content-disposition=inline%3B+filename%3DMulti_Factor_Authentication_for_Secured.pdf&amp;Expires=1784193945&amp;Signature=W5rUphTI9z~h~AXlwhD-HRLLIJyPKDIP2u6MkFSI0p97sAylSM2qcUpZL4hdbaDHo5CxGvBJWVRSh6Fy9aKki3prghaXEwXhDqKmdIpQHrfrV8e~F0dmVFmCxIrARYCQv~4z3n-2g0shh~n8PBAwLFSBFs4aChRfH4g6uq73X320XHRfHNEBTmBhf5dfgbYNEMZSykoZG91VMh8fQdciuY4fth3ofWXlLD2Y5lj8fjdyhOmRstGUm8b4-pNutGlzZkFnIaA8V32YN5nVLe0sP-KGQEhnCO1tDFABWSRioSu6OYKZajeetapumHHhZ0ZIqE1SCd3wWAJuRGdiXFlYNQ__&amp;Key-Pair-Id=APKAJLOHF5GGSLRBV4ZA" TargetMode="External"/><Relationship Id="rId39" Type="http://schemas.openxmlformats.org/officeDocument/2006/relationships/theme" Target="theme/theme1.xml"/><Relationship Id="rId21" Type="http://schemas.openxmlformats.org/officeDocument/2006/relationships/hyperlink" Target="https://www.emerald.com/lm/article-pdf/46/1-2/94/10064300/lm-06-2024-0069.pdf" TargetMode="External"/><Relationship Id="rId34" Type="http://schemas.openxmlformats.org/officeDocument/2006/relationships/hyperlink" Target="https://university.segi.edu.my/wp-content/uploads/sites/3/2023/10/58.-A-comprehensive-study-of-the-role-of-cloud-computing-on-the-information-technology-infrastructure-library-ITIL-processes.pdf" TargetMode="External"/><Relationship Id="rId7" Type="http://schemas.openxmlformats.org/officeDocument/2006/relationships/image" Target="media/image1.jpeg"/><Relationship Id="rId12" Type="http://schemas.openxmlformats.org/officeDocument/2006/relationships/hyperlink" Target="https://www.nature.com/articles/s41599-024-03180-5.pdf" TargetMode="External"/><Relationship Id="rId17" Type="http://schemas.openxmlformats.org/officeDocument/2006/relationships/hyperlink" Target="https://www.johanolausson.com/management.pdf" TargetMode="External"/><Relationship Id="rId25" Type="http://schemas.openxmlformats.org/officeDocument/2006/relationships/hyperlink" Target="https://www.preprints.org/frontend/manuscript/294d76a6430bcbc74696d6836cf80259/download_pub" TargetMode="External"/><Relationship Id="rId33" Type="http://schemas.openxmlformats.org/officeDocument/2006/relationships/hyperlink" Target="https://university.segi.edu.my/wp-content/uploads/sites/3/2023/10/58.-A-comprehensive-study-of-the-role-of-cloud-computing-on-the-information-technology-infrastructure-library-ITIL-processes.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ruomoplus.lib.uom.gr/bitstream/8000/1833/1/%CE%9A%CE%B1%CF%84%CF%83%CE%B1%CE%BD%CF%84%CF%8E%CE%BD%CE%B7%CF%82%20CRDF%20Paper%20%28s10207-023-00680-4%29.pdf" TargetMode="External"/><Relationship Id="rId20" Type="http://schemas.openxmlformats.org/officeDocument/2006/relationships/hyperlink" Target="https://doi.org/10.1016/j.cose.2025.104774" TargetMode="External"/><Relationship Id="rId29" Type="http://schemas.openxmlformats.org/officeDocument/2006/relationships/hyperlink" Target="https://ceur-ws.org/Vol-3654/paper6.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nature.com/articles/s41599-024-03180-5.pdf" TargetMode="External"/><Relationship Id="rId24" Type="http://schemas.openxmlformats.org/officeDocument/2006/relationships/hyperlink" Target="https://www.preprints.org/frontend/manuscript/294d76a6430bcbc74696d6836cf80259/download_pub" TargetMode="External"/><Relationship Id="rId32" Type="http://schemas.openxmlformats.org/officeDocument/2006/relationships/hyperlink" Target="https://pdfs.semanticscholar.org/6271/0ec4db3aacffe9d061cf985dd1f37fa0ff08.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ruomoplus.lib.uom.gr/bitstream/8000/1833/1/%CE%9A%CE%B1%CF%84%CF%83%CE%B1%CE%BD%CF%84%CF%8E%CE%BD%CE%B7%CF%82%20CRDF%20Paper%20%28s10207-023-00680-4%29.pdf" TargetMode="External"/><Relationship Id="rId23" Type="http://schemas.openxmlformats.org/officeDocument/2006/relationships/hyperlink" Target="https://nvlpubs.nist.gov/nistpubs/CSWP/NIST.CSWP.29.pdf" TargetMode="External"/><Relationship Id="rId28" Type="http://schemas.openxmlformats.org/officeDocument/2006/relationships/hyperlink" Target="https://doi.org/10.1108/ICS-09-2025-0376" TargetMode="External"/><Relationship Id="rId36" Type="http://schemas.openxmlformats.org/officeDocument/2006/relationships/hyperlink" Target="https://ejournal.uin-suka.ac.id/saintek/JISKA/article/download/4186/2709" TargetMode="External"/><Relationship Id="rId10" Type="http://schemas.openxmlformats.org/officeDocument/2006/relationships/image" Target="media/image4.png"/><Relationship Id="rId19" Type="http://schemas.openxmlformats.org/officeDocument/2006/relationships/hyperlink" Target="https://doi.org/10.1016/j.cose.2024.103964" TargetMode="External"/><Relationship Id="rId31" Type="http://schemas.openxmlformats.org/officeDocument/2006/relationships/hyperlink" Target="https://pdfs.semanticscholar.org/6271/0ec4db3aacffe9d061cf985dd1f37fa0ff08.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a51.nl/sites/default/files/pdf/NIST.SP.800-215%20%281%29.pdf" TargetMode="External"/><Relationship Id="rId22" Type="http://schemas.openxmlformats.org/officeDocument/2006/relationships/hyperlink" Target="https://www.emerald.com/lm/article-pdf/46/1-2/94/10064300/lm-06-2024-0069.pdf" TargetMode="External"/><Relationship Id="rId27" Type="http://schemas.openxmlformats.org/officeDocument/2006/relationships/hyperlink" Target="https://d1wqtxts1xzle7.cloudfront.net/73616890/pdf-libre.pdf?1635204007=&amp;response-content-disposition=inline%3B+filename%3DMulti_Factor_Authentication_for_Secured.pdf&amp;Expires=1784193945&amp;Signature=W5rUphTI9z~h~AXlwhD-HRLLIJyPKDIP2u6MkFSI0p97sAylSM2qcUpZL4hdbaDHo5CxGvBJWVRSh6Fy9aKki3prghaXEwXhDqKmdIpQHrfrV8e~F0dmVFmCxIrARYCQv~4z3n-2g0shh~n8PBAwLFSBFs4aChRfH4g6uq73X320XHRfHNEBTmBhf5dfgbYNEMZSykoZG91VMh8fQdciuY4fth3ofWXlLD2Y5lj8fjdyhOmRstGUm8b4-pNutGlzZkFnIaA8V32YN5nVLe0sP-KGQEhnCO1tDFABWSRioSu6OYKZajeetapumHHhZ0ZIqE1SCd3wWAJuRGdiXFlYNQ__&amp;Key-Pair-Id=APKAJLOHF5GGSLRBV4ZA" TargetMode="External"/><Relationship Id="rId30" Type="http://schemas.openxmlformats.org/officeDocument/2006/relationships/hyperlink" Target="https://ceur-ws.org/Vol-3654/paper6.pdf" TargetMode="External"/><Relationship Id="rId35" Type="http://schemas.openxmlformats.org/officeDocument/2006/relationships/hyperlink" Target="https://ejournal.uin-suka.ac.id/saintek/JISKA/article/download/4186/2709"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E41994-BC75-41F8-8AFC-946F6FBD4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5217</Words>
  <Characters>29740</Characters>
  <Application>Microsoft Office Word</Application>
  <DocSecurity>0</DocSecurity>
  <Lines>247</Lines>
  <Paragraphs>69</Paragraphs>
  <ScaleCrop>false</ScaleCrop>
  <Company/>
  <LinksUpToDate>false</LinksUpToDate>
  <CharactersWithSpaces>34888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2026-07-17T07:55:00Z</dcterms:created>
  <dcterms:modified xsi:type="dcterms:W3CDTF">2026-08-11T23:36:00Z</dcterms:modified>
</cp:coreProperties>
</file>