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A4EC4" w14:textId="50B5CBBF" w:rsidR="007E69C4" w:rsidRDefault="007E69C4">
      <w:pPr>
        <w:shd w:val="clear" w:color="auto" w:fill="FFFFFF"/>
        <w:spacing w:line="360" w:lineRule="auto"/>
        <w:contextualSpacing/>
        <w:jc w:val="both"/>
        <w:rPr>
          <w:bCs/>
        </w:rPr>
      </w:pPr>
    </w:p>
    <w:p w14:paraId="353C9DA7" w14:textId="77777777" w:rsidR="007E69C4" w:rsidRDefault="007E69C4">
      <w:pPr>
        <w:shd w:val="clear" w:color="auto" w:fill="FFFFFF"/>
        <w:spacing w:line="360" w:lineRule="auto"/>
        <w:contextualSpacing/>
        <w:jc w:val="both"/>
        <w:rPr>
          <w:bCs/>
        </w:rPr>
      </w:pPr>
    </w:p>
    <w:p w14:paraId="7178F172" w14:textId="77777777" w:rsidR="007E69C4" w:rsidRDefault="007E69C4">
      <w:pPr>
        <w:shd w:val="clear" w:color="auto" w:fill="FFFFFF"/>
        <w:spacing w:line="360" w:lineRule="auto"/>
        <w:contextualSpacing/>
        <w:jc w:val="center"/>
        <w:rPr>
          <w:bCs/>
        </w:rPr>
      </w:pPr>
    </w:p>
    <w:p w14:paraId="47D3A431" w14:textId="77777777" w:rsidR="007E69C4" w:rsidRDefault="007E69C4">
      <w:pPr>
        <w:shd w:val="clear" w:color="auto" w:fill="FFFFFF"/>
        <w:spacing w:line="360" w:lineRule="auto"/>
        <w:contextualSpacing/>
        <w:jc w:val="center"/>
        <w:rPr>
          <w:bCs/>
        </w:rPr>
      </w:pPr>
    </w:p>
    <w:p w14:paraId="1D4EB65B" w14:textId="77777777" w:rsidR="007E69C4" w:rsidRDefault="007E69C4">
      <w:pPr>
        <w:shd w:val="clear" w:color="auto" w:fill="FFFFFF"/>
        <w:spacing w:line="360" w:lineRule="auto"/>
        <w:contextualSpacing/>
        <w:jc w:val="center"/>
        <w:rPr>
          <w:bCs/>
        </w:rPr>
      </w:pPr>
    </w:p>
    <w:p w14:paraId="6FB690A1" w14:textId="77777777" w:rsidR="007E69C4" w:rsidRDefault="007E69C4">
      <w:pPr>
        <w:shd w:val="clear" w:color="auto" w:fill="FFFFFF"/>
        <w:spacing w:line="360" w:lineRule="auto"/>
        <w:contextualSpacing/>
        <w:jc w:val="center"/>
        <w:rPr>
          <w:bCs/>
        </w:rPr>
      </w:pPr>
    </w:p>
    <w:p w14:paraId="49D76CF2" w14:textId="77777777" w:rsidR="007E69C4" w:rsidRDefault="007E69C4">
      <w:pPr>
        <w:shd w:val="clear" w:color="auto" w:fill="FFFFFF"/>
        <w:spacing w:line="360" w:lineRule="auto"/>
        <w:contextualSpacing/>
        <w:jc w:val="center"/>
        <w:rPr>
          <w:bCs/>
        </w:rPr>
      </w:pPr>
    </w:p>
    <w:p w14:paraId="687B4E83" w14:textId="77777777" w:rsidR="007E69C4" w:rsidRDefault="00000000">
      <w:pPr>
        <w:shd w:val="clear" w:color="auto" w:fill="FFFFFF"/>
        <w:spacing w:line="360" w:lineRule="auto"/>
        <w:contextualSpacing/>
        <w:jc w:val="center"/>
        <w:rPr>
          <w:bCs/>
        </w:rPr>
      </w:pPr>
      <w:r>
        <w:rPr>
          <w:bCs/>
        </w:rPr>
        <w:t>THE SEAVIEW RESORT (CASE STUDY)</w:t>
      </w:r>
    </w:p>
    <w:p w14:paraId="5D7FE62F" w14:textId="70F658B7" w:rsidR="007E69C4" w:rsidRDefault="00000000">
      <w:pPr>
        <w:spacing w:line="360" w:lineRule="auto"/>
        <w:jc w:val="center"/>
        <w:rPr>
          <w:bCs/>
        </w:rPr>
      </w:pPr>
      <w:r>
        <w:rPr>
          <w:bCs/>
        </w:rPr>
        <w:t xml:space="preserve">by </w:t>
      </w:r>
      <w:r w:rsidR="00457CE0">
        <w:rPr>
          <w:bCs/>
        </w:rPr>
        <w:t xml:space="preserve">Monica </w:t>
      </w:r>
      <w:proofErr w:type="spellStart"/>
      <w:r w:rsidR="00457CE0">
        <w:rPr>
          <w:bCs/>
        </w:rPr>
        <w:t>Lavric</w:t>
      </w:r>
      <w:proofErr w:type="spellEnd"/>
      <w:r w:rsidR="00457CE0">
        <w:rPr>
          <w:bCs/>
        </w:rPr>
        <w:t xml:space="preserve"> - 2121183</w:t>
      </w:r>
    </w:p>
    <w:p w14:paraId="0EAE76D0" w14:textId="77777777" w:rsidR="007E69C4" w:rsidRDefault="007E69C4">
      <w:pPr>
        <w:shd w:val="clear" w:color="auto" w:fill="FFFFFF"/>
        <w:spacing w:line="360" w:lineRule="auto"/>
        <w:contextualSpacing/>
        <w:jc w:val="center"/>
        <w:rPr>
          <w:bCs/>
        </w:rPr>
      </w:pPr>
    </w:p>
    <w:p w14:paraId="5610C5F4" w14:textId="77777777" w:rsidR="007E69C4" w:rsidRDefault="007E69C4">
      <w:pPr>
        <w:shd w:val="clear" w:color="auto" w:fill="FFFFFF"/>
        <w:spacing w:line="360" w:lineRule="auto"/>
        <w:contextualSpacing/>
        <w:jc w:val="center"/>
        <w:rPr>
          <w:bCs/>
        </w:rPr>
      </w:pPr>
    </w:p>
    <w:p w14:paraId="5C870AEA" w14:textId="77777777" w:rsidR="007E69C4" w:rsidRDefault="007E69C4">
      <w:pPr>
        <w:shd w:val="clear" w:color="auto" w:fill="FFFFFF"/>
        <w:spacing w:line="360" w:lineRule="auto"/>
        <w:contextualSpacing/>
        <w:jc w:val="center"/>
        <w:rPr>
          <w:bCs/>
        </w:rPr>
      </w:pPr>
    </w:p>
    <w:p w14:paraId="43BA94B7" w14:textId="77777777" w:rsidR="007E69C4" w:rsidRDefault="007E69C4">
      <w:pPr>
        <w:shd w:val="clear" w:color="auto" w:fill="FFFFFF"/>
        <w:spacing w:line="360" w:lineRule="auto"/>
        <w:contextualSpacing/>
        <w:jc w:val="center"/>
        <w:rPr>
          <w:bCs/>
        </w:rPr>
      </w:pPr>
    </w:p>
    <w:p w14:paraId="67E804EC" w14:textId="77777777" w:rsidR="007E69C4" w:rsidRDefault="007E69C4">
      <w:pPr>
        <w:shd w:val="clear" w:color="auto" w:fill="FFFFFF"/>
        <w:spacing w:line="360" w:lineRule="auto"/>
        <w:contextualSpacing/>
        <w:jc w:val="center"/>
        <w:rPr>
          <w:bCs/>
        </w:rPr>
      </w:pPr>
    </w:p>
    <w:p w14:paraId="4B11C6C6" w14:textId="77777777" w:rsidR="007E69C4" w:rsidRDefault="007E69C4">
      <w:pPr>
        <w:shd w:val="clear" w:color="auto" w:fill="FFFFFF"/>
        <w:spacing w:line="360" w:lineRule="auto"/>
        <w:contextualSpacing/>
        <w:jc w:val="center"/>
        <w:rPr>
          <w:bCs/>
        </w:rPr>
      </w:pPr>
    </w:p>
    <w:p w14:paraId="04036922" w14:textId="77777777" w:rsidR="007E69C4" w:rsidRDefault="007E69C4">
      <w:pPr>
        <w:shd w:val="clear" w:color="auto" w:fill="FFFFFF"/>
        <w:spacing w:line="360" w:lineRule="auto"/>
        <w:contextualSpacing/>
        <w:jc w:val="center"/>
        <w:rPr>
          <w:bCs/>
        </w:rPr>
      </w:pPr>
    </w:p>
    <w:p w14:paraId="11E4F09B" w14:textId="77777777" w:rsidR="007E69C4" w:rsidRDefault="007E69C4">
      <w:pPr>
        <w:shd w:val="clear" w:color="auto" w:fill="FFFFFF"/>
        <w:spacing w:line="360" w:lineRule="auto"/>
        <w:contextualSpacing/>
        <w:jc w:val="center"/>
        <w:rPr>
          <w:bCs/>
        </w:rPr>
      </w:pPr>
    </w:p>
    <w:p w14:paraId="4E7EADE7" w14:textId="77777777" w:rsidR="00457CE0" w:rsidRPr="00EC3702" w:rsidRDefault="00457CE0" w:rsidP="00457CE0">
      <w:pPr>
        <w:spacing w:line="360" w:lineRule="auto"/>
        <w:contextualSpacing/>
        <w:jc w:val="center"/>
      </w:pPr>
      <w:r>
        <w:t>Module: Financial Management for the Hotel Industry</w:t>
      </w:r>
    </w:p>
    <w:p w14:paraId="6CE25F11" w14:textId="77777777" w:rsidR="00457CE0" w:rsidRPr="000D766F" w:rsidRDefault="00457CE0" w:rsidP="00457CE0">
      <w:pPr>
        <w:spacing w:line="360" w:lineRule="auto"/>
        <w:contextualSpacing/>
        <w:jc w:val="center"/>
      </w:pPr>
      <w:r>
        <w:t>Lecturer: Tristan Hawkins</w:t>
      </w:r>
    </w:p>
    <w:p w14:paraId="4365FB73" w14:textId="07CB2FC5" w:rsidR="00457CE0" w:rsidRDefault="00457CE0" w:rsidP="00457CE0">
      <w:pPr>
        <w:spacing w:line="360" w:lineRule="auto"/>
        <w:contextualSpacing/>
        <w:jc w:val="center"/>
      </w:pPr>
      <w:r w:rsidRPr="00EC3702">
        <w:t>Date</w:t>
      </w:r>
      <w:r>
        <w:t>: 1</w:t>
      </w:r>
      <w:r>
        <w:t>4.</w:t>
      </w:r>
      <w:r>
        <w:t>1</w:t>
      </w:r>
      <w:r>
        <w:t>1</w:t>
      </w:r>
      <w:r>
        <w:t>.2023</w:t>
      </w:r>
    </w:p>
    <w:p w14:paraId="3A6C3063" w14:textId="76B82FE1" w:rsidR="00457CE0" w:rsidRDefault="00457CE0" w:rsidP="00457CE0">
      <w:pPr>
        <w:spacing w:line="360" w:lineRule="auto"/>
        <w:contextualSpacing/>
      </w:pPr>
    </w:p>
    <w:p w14:paraId="3A12B07F" w14:textId="47381B5E" w:rsidR="007E69C4" w:rsidRDefault="007E69C4" w:rsidP="00457CE0">
      <w:pPr>
        <w:shd w:val="clear" w:color="auto" w:fill="FFFFFF"/>
        <w:spacing w:line="360" w:lineRule="auto"/>
        <w:contextualSpacing/>
        <w:jc w:val="center"/>
        <w:rPr>
          <w:bCs/>
        </w:rPr>
      </w:pPr>
    </w:p>
    <w:p w14:paraId="7A09D63E" w14:textId="77777777" w:rsidR="007E69C4" w:rsidRDefault="007E69C4">
      <w:pPr>
        <w:shd w:val="clear" w:color="auto" w:fill="FFFFFF"/>
        <w:spacing w:line="360" w:lineRule="auto"/>
        <w:contextualSpacing/>
        <w:jc w:val="center"/>
        <w:rPr>
          <w:bCs/>
        </w:rPr>
      </w:pPr>
    </w:p>
    <w:p w14:paraId="666D0E1E" w14:textId="77777777" w:rsidR="007E69C4" w:rsidRDefault="007E69C4">
      <w:pPr>
        <w:spacing w:line="360" w:lineRule="auto"/>
        <w:rPr>
          <w:bCs/>
        </w:rPr>
      </w:pPr>
    </w:p>
    <w:p w14:paraId="00C39003" w14:textId="77777777" w:rsidR="007E69C4" w:rsidRDefault="007E69C4">
      <w:pPr>
        <w:spacing w:line="360" w:lineRule="auto"/>
        <w:rPr>
          <w:bCs/>
        </w:rPr>
      </w:pPr>
    </w:p>
    <w:p w14:paraId="697860E9" w14:textId="77777777" w:rsidR="007E69C4" w:rsidRDefault="00000000">
      <w:pPr>
        <w:rPr>
          <w:bCs/>
        </w:rPr>
      </w:pPr>
      <w:r>
        <w:rPr>
          <w:bCs/>
        </w:rPr>
        <w:br w:type="page"/>
      </w:r>
    </w:p>
    <w:p w14:paraId="4A2AAFB9" w14:textId="77777777" w:rsidR="007E69C4" w:rsidRDefault="00000000">
      <w:pPr>
        <w:spacing w:line="360" w:lineRule="auto"/>
        <w:jc w:val="center"/>
        <w:rPr>
          <w:bCs/>
        </w:rPr>
      </w:pPr>
      <w:r>
        <w:rPr>
          <w:bCs/>
        </w:rPr>
        <w:lastRenderedPageBreak/>
        <w:t>The Seaview Resort</w:t>
      </w:r>
    </w:p>
    <w:p w14:paraId="6FF369B5" w14:textId="77777777" w:rsidR="00457CE0" w:rsidRDefault="00457CE0">
      <w:pPr>
        <w:spacing w:line="360" w:lineRule="auto"/>
        <w:jc w:val="center"/>
        <w:rPr>
          <w:bCs/>
        </w:rPr>
      </w:pPr>
    </w:p>
    <w:p w14:paraId="62A432C8" w14:textId="77777777" w:rsidR="007E69C4" w:rsidRDefault="00000000">
      <w:pPr>
        <w:spacing w:line="360" w:lineRule="auto"/>
        <w:jc w:val="center"/>
        <w:rPr>
          <w:bCs/>
        </w:rPr>
      </w:pPr>
      <w:r>
        <w:rPr>
          <w:bCs/>
        </w:rPr>
        <w:t>Executive Summary</w:t>
      </w:r>
    </w:p>
    <w:p w14:paraId="503D160C" w14:textId="77777777" w:rsidR="007E69C4" w:rsidRDefault="00000000">
      <w:pPr>
        <w:shd w:val="clear" w:color="auto" w:fill="FFFFFF"/>
        <w:spacing w:line="360" w:lineRule="auto"/>
        <w:ind w:firstLine="709"/>
        <w:contextualSpacing/>
        <w:jc w:val="both"/>
        <w:rPr>
          <w:bCs/>
        </w:rPr>
      </w:pPr>
      <w:r>
        <w:rPr>
          <w:bCs/>
        </w:rPr>
        <w:t xml:space="preserve">Seaview Resort is an example of a thriving coast resort that has faced a reduction in its profit margins in the past couple of years. In summary, this detailed report outlines some of the significant issues surrounding the resort's internal and external challenges and broader industry problems. In addition, some internal concerns involve high costs and an inability to adjust to new customers' tastes. A turnaround plan has been suggested to rebuild the resort's fiscal position and restore credibility. It aims at cost cutting, improvement in efficiency, </w:t>
      </w:r>
      <w:proofErr w:type="gramStart"/>
      <w:r>
        <w:rPr>
          <w:bCs/>
        </w:rPr>
        <w:t>upgrade</w:t>
      </w:r>
      <w:proofErr w:type="gramEnd"/>
      <w:r>
        <w:rPr>
          <w:bCs/>
        </w:rPr>
        <w:t xml:space="preserve"> and alignment of the amenities, shifting with changing tastes of customers, marketing, customer engagement, financial wisdom, and risk avoidance (</w:t>
      </w:r>
      <w:proofErr w:type="spellStart"/>
      <w:r>
        <w:rPr>
          <w:bCs/>
        </w:rPr>
        <w:t>Gattis</w:t>
      </w:r>
      <w:proofErr w:type="spellEnd"/>
      <w:r>
        <w:rPr>
          <w:bCs/>
        </w:rPr>
        <w:t>, 2023, p. 140). The resort will witness better financial results, such as improved profit margins, increased revenues, and reinstatement of the brand name through this strategy. These combined efforts provide a viable way of reviving The Seaview as the premier holiday village amongst the highly competitive coastal resorts.</w:t>
      </w:r>
    </w:p>
    <w:p w14:paraId="528399B5" w14:textId="77777777" w:rsidR="007E69C4" w:rsidRDefault="00000000">
      <w:pPr>
        <w:shd w:val="clear" w:color="auto" w:fill="FFFFFF"/>
        <w:spacing w:line="360" w:lineRule="auto"/>
        <w:contextualSpacing/>
        <w:jc w:val="center"/>
        <w:rPr>
          <w:bCs/>
        </w:rPr>
      </w:pPr>
      <w:r>
        <w:rPr>
          <w:bCs/>
        </w:rPr>
        <w:t>Introduction</w:t>
      </w:r>
    </w:p>
    <w:p w14:paraId="1DAC9C4F" w14:textId="77777777" w:rsidR="007E69C4" w:rsidRDefault="00000000">
      <w:pPr>
        <w:shd w:val="clear" w:color="auto" w:fill="FFFFFF"/>
        <w:spacing w:line="360" w:lineRule="auto"/>
        <w:ind w:firstLine="709"/>
        <w:contextualSpacing/>
        <w:jc w:val="both"/>
        <w:rPr>
          <w:bCs/>
        </w:rPr>
      </w:pPr>
      <w:r>
        <w:rPr>
          <w:bCs/>
        </w:rPr>
        <w:t xml:space="preserve">Seaview Resort, which lies on the pure beach line, has always been the emblem of extravagance and recreation. </w:t>
      </w:r>
      <w:proofErr w:type="spellStart"/>
      <w:r>
        <w:rPr>
          <w:bCs/>
        </w:rPr>
        <w:t>Its</w:t>
      </w:r>
      <w:proofErr w:type="spellEnd"/>
      <w:r>
        <w:rPr>
          <w:bCs/>
        </w:rPr>
        <w:t xml:space="preserve"> beautiful ocean view and quality facilities have made it the preferred choice for those looking for peace and relaxation. Even with this, The Seaview Resort has experienced some problems recently, which require an all-inclusive review and planning to retain the hotel's success and leadership position over competing hotels (</w:t>
      </w:r>
      <w:r>
        <w:rPr>
          <w:bCs/>
          <w:lang w:val="en-GB"/>
        </w:rPr>
        <w:t>Kotler et al., 2019)</w:t>
      </w:r>
      <w:r>
        <w:rPr>
          <w:bCs/>
        </w:rPr>
        <w:t>. This paper will focus on developing a detailed turnaround strategy to revive the Seaview Resort's financial health and restore its status as a top choice among travelers for a luxury holiday experience. The strategy will focus on the many problems evident in the financial Analysis, the internal and external ones.</w:t>
      </w:r>
    </w:p>
    <w:p w14:paraId="01F5373A" w14:textId="77777777" w:rsidR="007E69C4" w:rsidRDefault="00000000">
      <w:pPr>
        <w:shd w:val="clear" w:color="auto" w:fill="FFFFFF"/>
        <w:spacing w:line="360" w:lineRule="auto"/>
        <w:contextualSpacing/>
        <w:jc w:val="center"/>
        <w:rPr>
          <w:bCs/>
        </w:rPr>
      </w:pPr>
      <w:r>
        <w:rPr>
          <w:bCs/>
        </w:rPr>
        <w:t>The problems of Seaview Resort</w:t>
      </w:r>
    </w:p>
    <w:p w14:paraId="37546C36" w14:textId="77777777" w:rsidR="007E69C4" w:rsidRDefault="00000000">
      <w:pPr>
        <w:shd w:val="clear" w:color="auto" w:fill="FFFFFF"/>
        <w:spacing w:line="360" w:lineRule="auto"/>
        <w:ind w:firstLine="709"/>
        <w:contextualSpacing/>
        <w:jc w:val="both"/>
        <w:rPr>
          <w:bCs/>
        </w:rPr>
      </w:pPr>
      <w:r>
        <w:rPr>
          <w:bCs/>
        </w:rPr>
        <w:t xml:space="preserve">The Seaview Resort has been facing many bottlenecks while playing in a very competitive hospitality market. However, firstly, the resort encounters the challenge of fluctuating market trends. The changing consumer preferences, fluctuating economies, and increased competition between established hotels and upcoming boutiques occasion such changes. This has led to unpredictable occupation rate variations and inconsistent revenues (Singh et al., 2021, p. 3013). Moreover, the resort's structure </w:t>
      </w:r>
      <w:r>
        <w:rPr>
          <w:bCs/>
        </w:rPr>
        <w:lastRenderedPageBreak/>
        <w:t>needs extensive renovations as the equipment, such as guestrooms, hotels, restaurants, and recreational services, must be updated to match today's visitors.</w:t>
      </w:r>
    </w:p>
    <w:p w14:paraId="3CC819AE" w14:textId="77777777" w:rsidR="007E69C4" w:rsidRDefault="00000000">
      <w:pPr>
        <w:shd w:val="clear" w:color="auto" w:fill="FFFFFF"/>
        <w:spacing w:line="360" w:lineRule="auto"/>
        <w:contextualSpacing/>
        <w:jc w:val="center"/>
        <w:rPr>
          <w:bCs/>
        </w:rPr>
      </w:pPr>
      <w:r>
        <w:rPr>
          <w:bCs/>
        </w:rPr>
        <w:t>Objectives of the Report</w:t>
      </w:r>
    </w:p>
    <w:p w14:paraId="638DEC52" w14:textId="77777777" w:rsidR="007E69C4" w:rsidRDefault="00000000">
      <w:pPr>
        <w:shd w:val="clear" w:color="auto" w:fill="FFFFFF"/>
        <w:spacing w:line="360" w:lineRule="auto"/>
        <w:ind w:firstLine="709"/>
        <w:contextualSpacing/>
        <w:jc w:val="both"/>
        <w:rPr>
          <w:bCs/>
        </w:rPr>
      </w:pPr>
      <w:r>
        <w:rPr>
          <w:bCs/>
        </w:rPr>
        <w:t>The primary objectives are to thoroughly examine the resort's financial performance over the past three years, identify the key factors contributing to its decline in profitability, and subsequently, propose a well-defined turnaround strategy aimed at revitalizing the resort's financial health and reputation as a premier vacation destination (Noor et al., 2023). Through this Analysis and strategic formulation, the report aims to provide actionable recommendations that offer a pathway towards restoring The Seaview Resort to its former success while adapting to changing market dynamics and customer preferences in the hospitality industry.</w:t>
      </w:r>
    </w:p>
    <w:p w14:paraId="56AFE3E6" w14:textId="77777777" w:rsidR="007E69C4" w:rsidRDefault="00000000">
      <w:pPr>
        <w:shd w:val="clear" w:color="auto" w:fill="FFFFFF"/>
        <w:spacing w:line="360" w:lineRule="auto"/>
        <w:contextualSpacing/>
        <w:jc w:val="center"/>
        <w:rPr>
          <w:bCs/>
        </w:rPr>
      </w:pPr>
      <w:r>
        <w:rPr>
          <w:bCs/>
        </w:rPr>
        <w:t>Market Analysis</w:t>
      </w:r>
    </w:p>
    <w:p w14:paraId="34C6CDCA" w14:textId="77777777" w:rsidR="007E69C4" w:rsidRDefault="00000000">
      <w:pPr>
        <w:shd w:val="clear" w:color="auto" w:fill="FFFFFF"/>
        <w:spacing w:line="360" w:lineRule="auto"/>
        <w:contextualSpacing/>
        <w:jc w:val="center"/>
        <w:rPr>
          <w:bCs/>
        </w:rPr>
      </w:pPr>
      <w:r>
        <w:rPr>
          <w:bCs/>
        </w:rPr>
        <w:t>Competitive Landscape in the Seaview Resort Market</w:t>
      </w:r>
    </w:p>
    <w:p w14:paraId="49D1930D" w14:textId="77777777" w:rsidR="007E69C4" w:rsidRDefault="00000000">
      <w:pPr>
        <w:shd w:val="clear" w:color="auto" w:fill="FFFFFF"/>
        <w:spacing w:line="360" w:lineRule="auto"/>
        <w:ind w:firstLine="709"/>
        <w:contextualSpacing/>
        <w:jc w:val="both"/>
        <w:rPr>
          <w:bCs/>
        </w:rPr>
      </w:pPr>
      <w:r>
        <w:rPr>
          <w:bCs/>
        </w:rPr>
        <w:t xml:space="preserve">In their study, Yuan et al. (2022) denote that competition in the coastal resort is relatively high with different participants involved. For years, well-established, reputable spas have been fighting with new boutique resorts and luxury lodging (Yuan et al., 2022, p. 99). These are not just boutique resorts that have uniqueness designed to give them an authentic experience in culture and identity, which travelers prefer nowadays (Goodson &amp; Greenberg, 2022). At the same time, international hotel chains have continued to penetrate coastal zones, leading to increased competition. </w:t>
      </w:r>
    </w:p>
    <w:p w14:paraId="08033D4E" w14:textId="77777777" w:rsidR="007E69C4" w:rsidRDefault="00000000">
      <w:pPr>
        <w:shd w:val="clear" w:color="auto" w:fill="FFFFFF"/>
        <w:spacing w:line="360" w:lineRule="auto"/>
        <w:contextualSpacing/>
        <w:jc w:val="center"/>
        <w:rPr>
          <w:bCs/>
        </w:rPr>
      </w:pPr>
      <w:r>
        <w:rPr>
          <w:bCs/>
        </w:rPr>
        <w:t>Changing Customer Preferences in the Industry</w:t>
      </w:r>
    </w:p>
    <w:p w14:paraId="7F539C2B" w14:textId="77777777" w:rsidR="007E69C4" w:rsidRDefault="00000000">
      <w:pPr>
        <w:shd w:val="clear" w:color="auto" w:fill="FFFFFF"/>
        <w:spacing w:line="360" w:lineRule="auto"/>
        <w:ind w:firstLine="709"/>
        <w:contextualSpacing/>
        <w:jc w:val="both"/>
        <w:rPr>
          <w:bCs/>
        </w:rPr>
      </w:pPr>
      <w:r>
        <w:rPr>
          <w:bCs/>
        </w:rPr>
        <w:t xml:space="preserve">The coast resort market has witnessed an exciting change in customers' preferences in recent years. In their study, Goodson et al. (2022) found that travelers have desired more than scenery vistas and normal beach activities for the past few years. Experiential elements such as wellness and sustainability are prioritized today. Demand is expanding for wellness spaces like spas, yoga retreats, and gyms (Goodson et al., 2022). Guests also seek sustainable practices, preferring green lodgings and holidays without harming Mother Nature. </w:t>
      </w:r>
    </w:p>
    <w:p w14:paraId="459B1EB9" w14:textId="77777777" w:rsidR="007E69C4" w:rsidRDefault="00000000">
      <w:pPr>
        <w:shd w:val="clear" w:color="auto" w:fill="FFFFFF"/>
        <w:spacing w:line="360" w:lineRule="auto"/>
        <w:contextualSpacing/>
        <w:jc w:val="center"/>
        <w:rPr>
          <w:bCs/>
        </w:rPr>
      </w:pPr>
      <w:r>
        <w:rPr>
          <w:bCs/>
        </w:rPr>
        <w:t>The Seaview Resort's Current Service Quality and Amenities</w:t>
      </w:r>
    </w:p>
    <w:p w14:paraId="6AF677D8" w14:textId="77777777" w:rsidR="007E69C4" w:rsidRDefault="00000000">
      <w:pPr>
        <w:shd w:val="clear" w:color="auto" w:fill="FFFFFF"/>
        <w:spacing w:line="360" w:lineRule="auto"/>
        <w:ind w:firstLine="709"/>
        <w:contextualSpacing/>
        <w:rPr>
          <w:bCs/>
        </w:rPr>
      </w:pPr>
      <w:r>
        <w:rPr>
          <w:bCs/>
        </w:rPr>
        <w:t xml:space="preserve">Seaview Resort struggles with service delivery issues and aging facilities, evidenced by inconclusive customer reviews. Some people commend this great service while others raise issues regarding varied training methods of the staff. The guest rooms, restaurants, and general facilities are too old and no longer reflect modern resort expectations thus, they require significant overhauls following current </w:t>
      </w:r>
      <w:r>
        <w:rPr>
          <w:bCs/>
        </w:rPr>
        <w:lastRenderedPageBreak/>
        <w:t xml:space="preserve">times to offer contemporary and opulent lodgings. For this reason, </w:t>
      </w:r>
      <w:proofErr w:type="gramStart"/>
      <w:r>
        <w:rPr>
          <w:bCs/>
        </w:rPr>
        <w:t>Wong</w:t>
      </w:r>
      <w:proofErr w:type="gramEnd"/>
      <w:r>
        <w:rPr>
          <w:bCs/>
        </w:rPr>
        <w:t xml:space="preserve"> and Chan (2023) suggest that the business should invest high-costly in various healthy, eco-friendly, new features and diverse food offerings. Seaview Resort has the imperative of solving these </w:t>
      </w:r>
      <w:proofErr w:type="gramStart"/>
      <w:r>
        <w:rPr>
          <w:bCs/>
        </w:rPr>
        <w:t>in order to</w:t>
      </w:r>
      <w:proofErr w:type="gramEnd"/>
      <w:r>
        <w:rPr>
          <w:bCs/>
        </w:rPr>
        <w:t xml:space="preserve"> increase its service and be stable in this aggressive environment.</w:t>
      </w:r>
    </w:p>
    <w:p w14:paraId="0C60951B" w14:textId="77777777" w:rsidR="007E69C4" w:rsidRDefault="00000000">
      <w:pPr>
        <w:shd w:val="clear" w:color="auto" w:fill="FFFFFF"/>
        <w:spacing w:line="360" w:lineRule="auto"/>
        <w:contextualSpacing/>
        <w:jc w:val="center"/>
        <w:rPr>
          <w:bCs/>
        </w:rPr>
      </w:pPr>
      <w:r>
        <w:rPr>
          <w:bCs/>
        </w:rPr>
        <w:t>Financial Performance Analysis</w:t>
      </w:r>
    </w:p>
    <w:p w14:paraId="7044D531" w14:textId="77777777" w:rsidR="007E69C4" w:rsidRDefault="00000000">
      <w:pPr>
        <w:shd w:val="clear" w:color="auto" w:fill="FFFFFF"/>
        <w:spacing w:line="360" w:lineRule="auto"/>
        <w:ind w:firstLine="709"/>
        <w:contextualSpacing/>
        <w:rPr>
          <w:bCs/>
        </w:rPr>
      </w:pPr>
      <w:r>
        <w:rPr>
          <w:bCs/>
        </w:rPr>
        <w:t>The annual profitability analysis of The Seaview Resort will shed light on the issues in the hotel’s finances. The article by Goodson &amp; Greenberg (2022) provides a brief overview of the main points discussed. This is an abridged version of what was discussed by Analysis of financial statements, including income statements, balance sheet, and projections for future cash flows, among others, plus calculations on important economic ratios can give a comprehensive picture of the financial health of the resort (Goodson &amp; Greenberg, 2022). Through this detailed Analysis, particular areas that need strategic interventions are identified and used to form directed financial strategies to solve the resort's financial problems.</w:t>
      </w:r>
    </w:p>
    <w:p w14:paraId="1BB3B556" w14:textId="77777777" w:rsidR="007E69C4" w:rsidRDefault="00000000">
      <w:pPr>
        <w:shd w:val="clear" w:color="auto" w:fill="FFFFFF"/>
        <w:spacing w:line="360" w:lineRule="auto"/>
        <w:contextualSpacing/>
        <w:jc w:val="center"/>
        <w:rPr>
          <w:bCs/>
        </w:rPr>
      </w:pPr>
      <w:r>
        <w:rPr>
          <w:bCs/>
        </w:rPr>
        <w:t>Income Statement Analysis (2020-2022)</w:t>
      </w:r>
    </w:p>
    <w:p w14:paraId="58405385" w14:textId="77777777" w:rsidR="007E69C4" w:rsidRDefault="00000000">
      <w:pPr>
        <w:shd w:val="clear" w:color="auto" w:fill="FFFFFF"/>
        <w:spacing w:line="360" w:lineRule="auto"/>
        <w:ind w:firstLine="709"/>
        <w:contextualSpacing/>
        <w:jc w:val="both"/>
        <w:rPr>
          <w:bCs/>
        </w:rPr>
      </w:pPr>
      <w:r>
        <w:rPr>
          <w:bCs/>
        </w:rPr>
        <w:t xml:space="preserve">Analyzing the income statement for the years 2020 to 2022 provides insights into the resort's revenue generation, cost management, and profitability trends. In 2020, The Seaview Resort generated a total revenue of £520,000, with operating expenses amounting to £390,000 </w:t>
      </w:r>
      <w:r>
        <w:rPr>
          <w:bCs/>
          <w:lang w:val="en-GB"/>
        </w:rPr>
        <w:t>(Shahzad, 2020)</w:t>
      </w:r>
      <w:r>
        <w:rPr>
          <w:bCs/>
        </w:rPr>
        <w:t xml:space="preserve">. This resulted in a gross profit of £130,000 and a net profit of £78,000, with a net margin of 15%. However, over the following years, the resort experienced a decline in revenue, reaching £480,000 in 2021 and £430,000 in 2022 </w:t>
      </w:r>
      <w:r>
        <w:rPr>
          <w:bCs/>
          <w:lang w:val="en-GB"/>
        </w:rPr>
        <w:t>(Shahzad, 2020)</w:t>
      </w:r>
      <w:r>
        <w:rPr>
          <w:bCs/>
        </w:rPr>
        <w:t xml:space="preserve">. Operating expenses increased to £400,000 in 2021 and £450,000 in 2022 (Goodson &amp; Greenberg, 2022). Consequently, the gross profit decreased to £80,000 in 2021 and turned into a loss of </w:t>
      </w:r>
      <w:proofErr w:type="gramStart"/>
      <w:r>
        <w:rPr>
          <w:bCs/>
        </w:rPr>
        <w:t>£(</w:t>
      </w:r>
      <w:proofErr w:type="gramEnd"/>
      <w:r>
        <w:rPr>
          <w:bCs/>
        </w:rPr>
        <w:t xml:space="preserve">20,000) in 2022, leading to a net loss of £(47,500) in 2022, with a negative net profit margin of -11%. This downward trend in profitability is a significant concern. </w:t>
      </w:r>
    </w:p>
    <w:p w14:paraId="36D106C2" w14:textId="77777777" w:rsidR="007E69C4" w:rsidRDefault="00000000">
      <w:pPr>
        <w:shd w:val="clear" w:color="auto" w:fill="FFFFFF"/>
        <w:spacing w:line="360" w:lineRule="auto"/>
        <w:contextualSpacing/>
        <w:jc w:val="center"/>
        <w:rPr>
          <w:bCs/>
        </w:rPr>
      </w:pPr>
      <w:r>
        <w:rPr>
          <w:bCs/>
        </w:rPr>
        <w:t>Balance Sheet Analysis (End of 2022)</w:t>
      </w:r>
    </w:p>
    <w:p w14:paraId="0BFD1A78" w14:textId="77777777" w:rsidR="007E69C4" w:rsidRDefault="00000000">
      <w:pPr>
        <w:shd w:val="clear" w:color="auto" w:fill="FFFFFF"/>
        <w:spacing w:line="360" w:lineRule="auto"/>
        <w:ind w:firstLine="709"/>
        <w:contextualSpacing/>
        <w:jc w:val="both"/>
        <w:rPr>
          <w:bCs/>
        </w:rPr>
      </w:pPr>
      <w:r>
        <w:rPr>
          <w:bCs/>
        </w:rPr>
        <w:t xml:space="preserve">The balance sheet provides a snapshot of the resort's financial position at the end of 2022, showcasing its assets, liabilities, and equity (Morrison, 2022). This Analysis is crucial for understanding the resort's financial stability and capacity to meet its obligations. At the end of 2022, The Seaview Resort's total assets amounted to £1,030,000. These assets were divided into current assets worth £250,000, property and equipment valued at £630,000 (with £100,000 as inventory), and other assets totaling </w:t>
      </w:r>
      <w:r>
        <w:rPr>
          <w:bCs/>
        </w:rPr>
        <w:lastRenderedPageBreak/>
        <w:t xml:space="preserve">£150,000 </w:t>
      </w:r>
      <w:r>
        <w:rPr>
          <w:bCs/>
          <w:lang w:val="en-GB"/>
        </w:rPr>
        <w:t>(Shahzad, 2020)</w:t>
      </w:r>
      <w:r>
        <w:rPr>
          <w:bCs/>
        </w:rPr>
        <w:t>. On the liabilities side, the resort had total liabilities of £580,000, which included current liabilities of £180,000 and long-term debt of £400,000. The resort's equity stood at £450,000.</w:t>
      </w:r>
    </w:p>
    <w:p w14:paraId="07ED26D8" w14:textId="77777777" w:rsidR="007E69C4" w:rsidRDefault="00000000">
      <w:pPr>
        <w:shd w:val="clear" w:color="auto" w:fill="FFFFFF"/>
        <w:spacing w:line="360" w:lineRule="auto"/>
        <w:contextualSpacing/>
        <w:jc w:val="center"/>
        <w:rPr>
          <w:bCs/>
        </w:rPr>
      </w:pPr>
      <w:r>
        <w:rPr>
          <w:bCs/>
        </w:rPr>
        <w:t>Cash Flow Analysis (2021)</w:t>
      </w:r>
    </w:p>
    <w:p w14:paraId="2FF7D741" w14:textId="77777777" w:rsidR="007E69C4" w:rsidRDefault="00000000">
      <w:pPr>
        <w:shd w:val="clear" w:color="auto" w:fill="FFFFFF"/>
        <w:spacing w:line="360" w:lineRule="auto"/>
        <w:ind w:firstLine="709"/>
        <w:contextualSpacing/>
        <w:jc w:val="both"/>
        <w:rPr>
          <w:bCs/>
        </w:rPr>
      </w:pPr>
      <w:r>
        <w:rPr>
          <w:bCs/>
        </w:rPr>
        <w:t>Analyzing the resort's cash flow is essential to determine its cash generation from operations, investments, and financing activities. This Analysis helps understand the resort's liquidity and ability to meet short-term obligations (</w:t>
      </w:r>
      <w:proofErr w:type="spellStart"/>
      <w:r>
        <w:rPr>
          <w:bCs/>
          <w:lang w:val="en-GB"/>
        </w:rPr>
        <w:t>Khatter</w:t>
      </w:r>
      <w:proofErr w:type="spellEnd"/>
      <w:r>
        <w:rPr>
          <w:bCs/>
          <w:lang w:val="en-GB"/>
        </w:rPr>
        <w:t>, 2023)</w:t>
      </w:r>
      <w:r>
        <w:rPr>
          <w:bCs/>
        </w:rPr>
        <w:t>. In 2021, The Seaview Resort experienced a net cash flow from operations of -£80,000, indicating a shortfall in operational cash. Capital expenditures amounted to £30,000, resulting in a net cash flow (change in cash balance) of -£110,000 (</w:t>
      </w:r>
      <w:proofErr w:type="spellStart"/>
      <w:r>
        <w:rPr>
          <w:bCs/>
          <w:lang w:val="en-GB"/>
        </w:rPr>
        <w:t>Khatter</w:t>
      </w:r>
      <w:proofErr w:type="spellEnd"/>
      <w:r>
        <w:rPr>
          <w:bCs/>
          <w:lang w:val="en-GB"/>
        </w:rPr>
        <w:t>, 2023)</w:t>
      </w:r>
      <w:r>
        <w:rPr>
          <w:bCs/>
        </w:rPr>
        <w:t>. This negative cash flow is a significant concern, as it may affect the resort's ability to cover expenses and invest in improvements.</w:t>
      </w:r>
    </w:p>
    <w:p w14:paraId="5209A796" w14:textId="77777777" w:rsidR="007E69C4" w:rsidRDefault="00000000">
      <w:pPr>
        <w:shd w:val="clear" w:color="auto" w:fill="FFFFFF"/>
        <w:spacing w:line="360" w:lineRule="auto"/>
        <w:contextualSpacing/>
        <w:jc w:val="center"/>
        <w:rPr>
          <w:bCs/>
        </w:rPr>
      </w:pPr>
      <w:r>
        <w:rPr>
          <w:bCs/>
        </w:rPr>
        <w:t>Calculation of Key Financial Ratios</w:t>
      </w:r>
    </w:p>
    <w:p w14:paraId="576F1090" w14:textId="77777777" w:rsidR="007E69C4" w:rsidRDefault="00000000">
      <w:pPr>
        <w:shd w:val="clear" w:color="auto" w:fill="FFFFFF"/>
        <w:spacing w:line="360" w:lineRule="auto"/>
        <w:ind w:firstLine="708"/>
        <w:contextualSpacing/>
        <w:rPr>
          <w:bCs/>
        </w:rPr>
      </w:pPr>
      <w:r>
        <w:rPr>
          <w:bCs/>
        </w:rPr>
        <w:t>The financial health of The Seaview Resort is a matter of concern, as indicated by several key financial ratios. The net profit margin has plummeted from 15% in 2020 to -11% in the current assessment, signaling significant losses and the need for urgent intervention. The current ratio reflects a potential liquidity crisis, with current liabilities surpassing current assets, necessitating immediate action to address this imbalance (</w:t>
      </w:r>
      <w:proofErr w:type="spellStart"/>
      <w:r>
        <w:rPr>
          <w:bCs/>
          <w:lang w:val="en-GB"/>
        </w:rPr>
        <w:t>Khatter</w:t>
      </w:r>
      <w:proofErr w:type="spellEnd"/>
      <w:r>
        <w:rPr>
          <w:bCs/>
          <w:lang w:val="en-GB"/>
        </w:rPr>
        <w:t>, 2023)</w:t>
      </w:r>
      <w:r>
        <w:rPr>
          <w:bCs/>
        </w:rPr>
        <w:t xml:space="preserve">. The resort's debt-to-equity ratio is elevated, indicating a higher proportion of </w:t>
      </w:r>
      <w:proofErr w:type="gramStart"/>
      <w:r>
        <w:rPr>
          <w:bCs/>
        </w:rPr>
        <w:t>debt</w:t>
      </w:r>
      <w:proofErr w:type="gramEnd"/>
      <w:r>
        <w:rPr>
          <w:bCs/>
        </w:rPr>
        <w:t xml:space="preserve"> and posing financial instability risks. Return on assets (ROA) suggests more efficient asset utilization for profitability. </w:t>
      </w:r>
    </w:p>
    <w:p w14:paraId="5ADB53CE" w14:textId="77777777" w:rsidR="007E69C4" w:rsidRDefault="00000000">
      <w:pPr>
        <w:shd w:val="clear" w:color="auto" w:fill="FFFFFF"/>
        <w:spacing w:line="360" w:lineRule="auto"/>
        <w:contextualSpacing/>
        <w:jc w:val="center"/>
        <w:rPr>
          <w:bCs/>
        </w:rPr>
      </w:pPr>
      <w:r>
        <w:rPr>
          <w:bCs/>
        </w:rPr>
        <w:t>Analysis of Key Reasons for Decline in Profitability</w:t>
      </w:r>
    </w:p>
    <w:p w14:paraId="2B2AEA77" w14:textId="77777777" w:rsidR="007E69C4" w:rsidRDefault="00000000">
      <w:pPr>
        <w:shd w:val="clear" w:color="auto" w:fill="FFFFFF"/>
        <w:spacing w:line="360" w:lineRule="auto"/>
        <w:ind w:firstLine="709"/>
        <w:contextualSpacing/>
        <w:jc w:val="both"/>
        <w:rPr>
          <w:bCs/>
        </w:rPr>
      </w:pPr>
      <w:r>
        <w:rPr>
          <w:bCs/>
        </w:rPr>
        <w:t>The decline in profitability experienced by The Seaview Resort from 2020 to 2022 can be attributed to a combination of internal and external factors (Carvalho et al., 2020, p. 24). These factors have significantly impacted the resort's financial performance and raised concerns about its viability (</w:t>
      </w:r>
      <w:proofErr w:type="spellStart"/>
      <w:r>
        <w:rPr>
          <w:bCs/>
          <w:lang w:val="en-GB"/>
        </w:rPr>
        <w:t>Godovykh</w:t>
      </w:r>
      <w:proofErr w:type="spellEnd"/>
      <w:r>
        <w:rPr>
          <w:bCs/>
          <w:lang w:val="en-GB"/>
        </w:rPr>
        <w:t xml:space="preserve"> &amp; </w:t>
      </w:r>
      <w:proofErr w:type="spellStart"/>
      <w:r>
        <w:rPr>
          <w:bCs/>
          <w:lang w:val="en-GB"/>
        </w:rPr>
        <w:t>Tasci</w:t>
      </w:r>
      <w:proofErr w:type="spellEnd"/>
      <w:r>
        <w:rPr>
          <w:bCs/>
          <w:lang w:val="en-GB"/>
        </w:rPr>
        <w:t>, 2021)</w:t>
      </w:r>
      <w:r>
        <w:rPr>
          <w:bCs/>
        </w:rPr>
        <w:t xml:space="preserve">. Internal and external factors have been pivotal in The Seaview Resort's declining profitability from 2020 to 2022 (Carvalho et al., 2020, p. 24). Internal issues, such as operational inefficiencies or mismanagement, may have contributed to the downturn. Simultaneously, external factors like economic uncertainties or shifts in consumer preferences could have further exacerbated the resort's financial challenges. </w:t>
      </w:r>
    </w:p>
    <w:p w14:paraId="2871AEE6" w14:textId="77777777" w:rsidR="007E69C4" w:rsidRDefault="00000000">
      <w:pPr>
        <w:shd w:val="clear" w:color="auto" w:fill="FFFFFF"/>
        <w:spacing w:line="360" w:lineRule="auto"/>
        <w:contextualSpacing/>
        <w:jc w:val="center"/>
        <w:rPr>
          <w:bCs/>
        </w:rPr>
      </w:pPr>
      <w:r>
        <w:rPr>
          <w:bCs/>
        </w:rPr>
        <w:t>Internal Factors</w:t>
      </w:r>
    </w:p>
    <w:p w14:paraId="2C4F74F6" w14:textId="77777777" w:rsidR="007E69C4" w:rsidRDefault="00000000">
      <w:pPr>
        <w:shd w:val="clear" w:color="auto" w:fill="FFFFFF"/>
        <w:spacing w:line="360" w:lineRule="auto"/>
        <w:ind w:firstLine="709"/>
        <w:contextualSpacing/>
        <w:jc w:val="both"/>
        <w:rPr>
          <w:bCs/>
        </w:rPr>
      </w:pPr>
      <w:r>
        <w:rPr>
          <w:bCs/>
        </w:rPr>
        <w:t xml:space="preserve">Two main internal factors have caused a decline in the profits for the Seaview Resort. The failure of the resort to properly control its expenditures can be seen through </w:t>
      </w:r>
      <w:r>
        <w:rPr>
          <w:bCs/>
        </w:rPr>
        <w:lastRenderedPageBreak/>
        <w:t xml:space="preserve">the rising operating costs of £390,000, £410,000, £420, and then finally to £450,000 in year 2 </w:t>
      </w:r>
      <w:proofErr w:type="spellStart"/>
      <w:r>
        <w:rPr>
          <w:bCs/>
        </w:rPr>
        <w:t>Godovykh</w:t>
      </w:r>
      <w:proofErr w:type="spellEnd"/>
      <w:r>
        <w:rPr>
          <w:bCs/>
        </w:rPr>
        <w:t xml:space="preserve"> &amp; </w:t>
      </w:r>
      <w:proofErr w:type="spellStart"/>
      <w:r>
        <w:rPr>
          <w:bCs/>
        </w:rPr>
        <w:t>Tasci</w:t>
      </w:r>
      <w:proofErr w:type="spellEnd"/>
      <w:r>
        <w:rPr>
          <w:bCs/>
        </w:rPr>
        <w:t>, 2020, p. 13). This shows likely misappropriation or corruption (</w:t>
      </w:r>
      <w:r>
        <w:rPr>
          <w:bCs/>
          <w:lang w:val="en-GB"/>
        </w:rPr>
        <w:t>Shahzad, 2020)</w:t>
      </w:r>
      <w:r>
        <w:rPr>
          <w:bCs/>
        </w:rPr>
        <w:t xml:space="preserve">. In addition, the resort's reluctance to adapt to new consumer preferences, most notably the trend towards ecotourism and experiential tourism, has also affected customers' satisfaction and return trips. </w:t>
      </w:r>
    </w:p>
    <w:p w14:paraId="7F46DF2D" w14:textId="77777777" w:rsidR="007E69C4" w:rsidRDefault="00000000">
      <w:pPr>
        <w:shd w:val="clear" w:color="auto" w:fill="FFFFFF"/>
        <w:spacing w:line="360" w:lineRule="auto"/>
        <w:contextualSpacing/>
        <w:jc w:val="center"/>
        <w:rPr>
          <w:bCs/>
        </w:rPr>
      </w:pPr>
      <w:r>
        <w:rPr>
          <w:bCs/>
        </w:rPr>
        <w:t xml:space="preserve">External Factors   </w:t>
      </w:r>
    </w:p>
    <w:p w14:paraId="5CECAB12" w14:textId="77777777" w:rsidR="007E69C4" w:rsidRDefault="00000000">
      <w:pPr>
        <w:shd w:val="clear" w:color="auto" w:fill="FFFFFF"/>
        <w:spacing w:line="360" w:lineRule="auto"/>
        <w:ind w:firstLine="709"/>
        <w:contextualSpacing/>
        <w:jc w:val="both"/>
        <w:rPr>
          <w:bCs/>
        </w:rPr>
      </w:pPr>
      <w:r>
        <w:rPr>
          <w:bCs/>
        </w:rPr>
        <w:t>In addition, external challenges like rising stiff competitors who build new contemporary hotels around it have also accounted for its reduced profits. The existence of these competitors has brought about the loss of market shares and pricing pressures, leading to an average decrease in room rates (</w:t>
      </w:r>
      <w:r>
        <w:rPr>
          <w:bCs/>
          <w:lang w:val="en-GB"/>
        </w:rPr>
        <w:t>Jarratt, 2019)</w:t>
      </w:r>
      <w:r>
        <w:rPr>
          <w:bCs/>
        </w:rPr>
        <w:t xml:space="preserve">. This price fall from 250 average room rates in 2020 to 210 </w:t>
      </w:r>
      <w:proofErr w:type="gramStart"/>
      <w:r>
        <w:rPr>
          <w:bCs/>
        </w:rPr>
        <w:t>average</w:t>
      </w:r>
      <w:proofErr w:type="gramEnd"/>
      <w:r>
        <w:rPr>
          <w:bCs/>
        </w:rPr>
        <w:t xml:space="preserve"> in 2022 is evidence of the problems this resort faces maintaining price power in a competitive industry (</w:t>
      </w:r>
      <w:r>
        <w:rPr>
          <w:bCs/>
          <w:lang w:val="en-GB"/>
        </w:rPr>
        <w:t>Jaya et al., 2023)</w:t>
      </w:r>
      <w:r>
        <w:rPr>
          <w:bCs/>
        </w:rPr>
        <w:t>. Moreover, the socio-economic realities and vagaries brought about by external forces, such as the COVID-19 pandemic, have devastated the UK's hospitality industry (Goodson &amp; Greenberg, 2022). This has resulted in the disruptions of travel patterns due to travel restrictions, safety issues, and economic unrest, among others that have significantly reduced demand for holiday destinations. External forces have also negatively impacted similar resorts like the Sea View resort.</w:t>
      </w:r>
    </w:p>
    <w:p w14:paraId="7E6BB6C4" w14:textId="77777777" w:rsidR="007E69C4" w:rsidRDefault="00000000">
      <w:pPr>
        <w:shd w:val="clear" w:color="auto" w:fill="FFFFFF"/>
        <w:spacing w:line="360" w:lineRule="auto"/>
        <w:contextualSpacing/>
        <w:jc w:val="center"/>
        <w:rPr>
          <w:bCs/>
        </w:rPr>
      </w:pPr>
      <w:r>
        <w:rPr>
          <w:bCs/>
        </w:rPr>
        <w:t>Cost Management and Efficiency Enhancement</w:t>
      </w:r>
    </w:p>
    <w:p w14:paraId="054F6642" w14:textId="77777777" w:rsidR="007E69C4" w:rsidRDefault="00000000">
      <w:pPr>
        <w:shd w:val="clear" w:color="auto" w:fill="FFFFFF"/>
        <w:spacing w:line="360" w:lineRule="auto"/>
        <w:ind w:firstLine="709"/>
        <w:contextualSpacing/>
        <w:jc w:val="both"/>
        <w:rPr>
          <w:bCs/>
        </w:rPr>
      </w:pPr>
      <w:r>
        <w:rPr>
          <w:bCs/>
        </w:rPr>
        <w:t>The resort must aggressively take cost control measures against the internal issue of increased operational costs. It involves detailed cost analyses to locate the ineffective places and put them into the cost-cutting processes (Rocha, 2021). This may include labor cost optimization via better staff scheduling, review of supplier contracts, and investment in energy-efficient technology (Verma et al., 2022, p. 138). Efficiency gains can also help slash costs, thus maximizing profits.</w:t>
      </w:r>
    </w:p>
    <w:p w14:paraId="52129890" w14:textId="77777777" w:rsidR="007E69C4" w:rsidRDefault="00000000">
      <w:pPr>
        <w:shd w:val="clear" w:color="auto" w:fill="FFFFFF"/>
        <w:spacing w:line="360" w:lineRule="auto"/>
        <w:contextualSpacing/>
        <w:jc w:val="center"/>
        <w:rPr>
          <w:bCs/>
        </w:rPr>
      </w:pPr>
      <w:r>
        <w:rPr>
          <w:bCs/>
        </w:rPr>
        <w:t>Upgrading Amenities and Service Quality</w:t>
      </w:r>
    </w:p>
    <w:p w14:paraId="2E73BB0F" w14:textId="77777777" w:rsidR="007E69C4" w:rsidRDefault="00000000">
      <w:pPr>
        <w:shd w:val="clear" w:color="auto" w:fill="FFFFFF"/>
        <w:spacing w:line="360" w:lineRule="auto"/>
        <w:ind w:firstLine="709"/>
        <w:contextualSpacing/>
        <w:jc w:val="both"/>
        <w:rPr>
          <w:bCs/>
        </w:rPr>
      </w:pPr>
      <w:r>
        <w:rPr>
          <w:bCs/>
        </w:rPr>
        <w:t>The Seaview Resort may consider improving its facilities and increasing the overall standard of services. Such sustainable practices include energy-efficient lighting and water conservation, while experiential ones include guided nature trails and wellness programs, among other innovations (Jarratt, 2019). It seeks to instill a unique, outstanding, modernized experience to guests.</w:t>
      </w:r>
      <w:r>
        <w:rPr>
          <w:bCs/>
          <w:color w:val="6B7280"/>
          <w:bdr w:val="single" w:sz="2" w:space="0" w:color="E5E7EB"/>
        </w:rPr>
        <w:t xml:space="preserve"> </w:t>
      </w:r>
      <w:r>
        <w:rPr>
          <w:bCs/>
        </w:rPr>
        <w:t xml:space="preserve">Sustainable practices like the use of energy-efficient lights and the conservation of water support contemporary expectations on the environment and save costs at the Seaview Resort. At the same </w:t>
      </w:r>
      <w:r>
        <w:rPr>
          <w:bCs/>
        </w:rPr>
        <w:lastRenderedPageBreak/>
        <w:t xml:space="preserve">time, including experiential features such as nature trails and wellness programs improve guests' experiences. </w:t>
      </w:r>
    </w:p>
    <w:p w14:paraId="28DBF3C2" w14:textId="77777777" w:rsidR="007E69C4" w:rsidRDefault="00000000">
      <w:pPr>
        <w:shd w:val="clear" w:color="auto" w:fill="FFFFFF"/>
        <w:spacing w:line="360" w:lineRule="auto"/>
        <w:contextualSpacing/>
        <w:jc w:val="center"/>
        <w:rPr>
          <w:bCs/>
        </w:rPr>
      </w:pPr>
      <w:r>
        <w:rPr>
          <w:bCs/>
        </w:rPr>
        <w:t>Marketing and Customer Engagement</w:t>
      </w:r>
    </w:p>
    <w:p w14:paraId="192333FE" w14:textId="77777777" w:rsidR="007E69C4" w:rsidRDefault="00000000">
      <w:pPr>
        <w:shd w:val="clear" w:color="auto" w:fill="FFFFFF"/>
        <w:spacing w:line="360" w:lineRule="auto"/>
        <w:ind w:firstLine="709"/>
        <w:contextualSpacing/>
        <w:jc w:val="both"/>
        <w:rPr>
          <w:bCs/>
        </w:rPr>
      </w:pPr>
      <w:r>
        <w:rPr>
          <w:bCs/>
        </w:rPr>
        <w:t>A good marketing strategy can be used to neutralize the effects of intensified competition. The resort, therefore, needs to have targeted adverts portraying its unique selling propositions on both eco-friendly initiatives and experiential offerings (</w:t>
      </w:r>
      <w:r>
        <w:rPr>
          <w:bCs/>
          <w:lang w:val="en-GB"/>
        </w:rPr>
        <w:t>Singh et al., 2021)</w:t>
      </w:r>
      <w:r>
        <w:rPr>
          <w:bCs/>
        </w:rPr>
        <w:t>. It will also interact with its customers and ensure feedback is received immediately (</w:t>
      </w:r>
      <w:r>
        <w:rPr>
          <w:bCs/>
          <w:lang w:val="en-GB"/>
        </w:rPr>
        <w:t>Carvalho et al., 2020)</w:t>
      </w:r>
      <w:r>
        <w:rPr>
          <w:bCs/>
        </w:rPr>
        <w:t>. It can start by building solid relationships with customers and good reviews to regain the lost market share and reclaim its good image.</w:t>
      </w:r>
    </w:p>
    <w:p w14:paraId="768E5AEE" w14:textId="77777777" w:rsidR="007E69C4" w:rsidRDefault="00000000">
      <w:pPr>
        <w:shd w:val="clear" w:color="auto" w:fill="FFFFFF"/>
        <w:spacing w:line="360" w:lineRule="auto"/>
        <w:contextualSpacing/>
        <w:jc w:val="center"/>
        <w:rPr>
          <w:bCs/>
        </w:rPr>
      </w:pPr>
      <w:r>
        <w:rPr>
          <w:bCs/>
        </w:rPr>
        <w:t>Financial Prudence and Risk Mitigation</w:t>
      </w:r>
    </w:p>
    <w:p w14:paraId="4E435D7D" w14:textId="77777777" w:rsidR="007E69C4" w:rsidRDefault="00000000">
      <w:pPr>
        <w:shd w:val="clear" w:color="auto" w:fill="FFFFFF"/>
        <w:spacing w:line="360" w:lineRule="auto"/>
        <w:ind w:firstLine="709"/>
        <w:contextualSpacing/>
        <w:jc w:val="both"/>
        <w:rPr>
          <w:bCs/>
        </w:rPr>
      </w:pPr>
      <w:r>
        <w:rPr>
          <w:bCs/>
        </w:rPr>
        <w:t xml:space="preserve">Given the external uncertainties, the resort should take a financially prudent approach and build a financial buffer to weather possible shocks (Mohammed Ahmed, 2022, p. 230). Some of them are making provisions by setting up reserves, developing crisis management programs, and investigating insurance that can be used </w:t>
      </w:r>
      <w:proofErr w:type="gramStart"/>
      <w:r>
        <w:rPr>
          <w:bCs/>
        </w:rPr>
        <w:t>as a means to</w:t>
      </w:r>
      <w:proofErr w:type="gramEnd"/>
      <w:r>
        <w:rPr>
          <w:bCs/>
        </w:rPr>
        <w:t xml:space="preserve"> mitigate against these uncertain occurrences (Bal &amp; </w:t>
      </w:r>
      <w:proofErr w:type="spellStart"/>
      <w:r>
        <w:rPr>
          <w:bCs/>
        </w:rPr>
        <w:t>Czalczynska-Podolska</w:t>
      </w:r>
      <w:proofErr w:type="spellEnd"/>
      <w:r>
        <w:rPr>
          <w:bCs/>
        </w:rPr>
        <w:t xml:space="preserve">, 2020). It should always keep on track with the market environment and be ready to </w:t>
      </w:r>
      <w:proofErr w:type="gramStart"/>
      <w:r>
        <w:rPr>
          <w:bCs/>
        </w:rPr>
        <w:t>make adjustments</w:t>
      </w:r>
      <w:proofErr w:type="gramEnd"/>
      <w:r>
        <w:rPr>
          <w:bCs/>
        </w:rPr>
        <w:t xml:space="preserve"> in case of need.</w:t>
      </w:r>
    </w:p>
    <w:p w14:paraId="09665629" w14:textId="77777777" w:rsidR="007E69C4" w:rsidRDefault="00000000">
      <w:pPr>
        <w:shd w:val="clear" w:color="auto" w:fill="FFFFFF"/>
        <w:spacing w:line="360" w:lineRule="auto"/>
        <w:contextualSpacing/>
        <w:jc w:val="center"/>
        <w:rPr>
          <w:bCs/>
        </w:rPr>
      </w:pPr>
      <w:r>
        <w:rPr>
          <w:bCs/>
        </w:rPr>
        <w:t>Potential Financial Outcomes</w:t>
      </w:r>
    </w:p>
    <w:p w14:paraId="36041CE4" w14:textId="77777777" w:rsidR="007E69C4" w:rsidRDefault="00000000">
      <w:pPr>
        <w:shd w:val="clear" w:color="auto" w:fill="FFFFFF"/>
        <w:spacing w:line="360" w:lineRule="auto"/>
        <w:ind w:firstLine="709"/>
        <w:contextualSpacing/>
        <w:jc w:val="both"/>
        <w:rPr>
          <w:bCs/>
        </w:rPr>
      </w:pPr>
      <w:r>
        <w:rPr>
          <w:bCs/>
        </w:rPr>
        <w:t>This turnaround plan can deliver multiple financial benefits. Resorts can improve the profit margin by managing costs and increasing efficiency. Improving standards of facility service quality would yield additional patrons, hence additional income (Torres-Salinas et al., 2023). It could help restore reputation and its market portion by providing effective marketing and customer engagement. Together, these actions can lead to a profit rebound with a net profit margin (</w:t>
      </w:r>
      <w:r>
        <w:rPr>
          <w:bCs/>
          <w:lang w:val="en-GB"/>
        </w:rPr>
        <w:t>Mohammed Ahmed, 2022)</w:t>
      </w:r>
      <w:r>
        <w:rPr>
          <w:bCs/>
        </w:rPr>
        <w:t>. In addition, fiscal prudence and risk management strategies may also shield the resort from future economic uncertainties, thus guaranteeing financial resilience.</w:t>
      </w:r>
    </w:p>
    <w:p w14:paraId="56D520EE" w14:textId="77777777" w:rsidR="007E69C4" w:rsidRDefault="00000000">
      <w:pPr>
        <w:shd w:val="clear" w:color="auto" w:fill="FFFFFF"/>
        <w:spacing w:line="360" w:lineRule="auto"/>
        <w:contextualSpacing/>
        <w:jc w:val="center"/>
        <w:rPr>
          <w:bCs/>
        </w:rPr>
      </w:pPr>
      <w:r>
        <w:rPr>
          <w:bCs/>
        </w:rPr>
        <w:t>Conclusion</w:t>
      </w:r>
    </w:p>
    <w:p w14:paraId="495D3CF3" w14:textId="77777777" w:rsidR="007E69C4" w:rsidRDefault="00000000">
      <w:pPr>
        <w:shd w:val="clear" w:color="auto" w:fill="FFFFFF"/>
        <w:spacing w:line="360" w:lineRule="auto"/>
        <w:ind w:firstLine="709"/>
        <w:contextualSpacing/>
        <w:jc w:val="both"/>
        <w:rPr>
          <w:bCs/>
        </w:rPr>
      </w:pPr>
      <w:r>
        <w:rPr>
          <w:bCs/>
        </w:rPr>
        <w:t>In conclusion, The Seaview Resort's path to financial recovery lies in developing and implementing a comprehensive turnaround strategy. The resort can restore its profitability, competitiveness, and reputation by addressing cost management, aligning with evolving customer preferences, implementing effective marketing, and maintaining financial prudence. While challenges exist, strategic action in these areas can lead to a positive financial trajectory, allowing The Seaview Resort to thrive again in the competitive coastal resort market.</w:t>
      </w:r>
    </w:p>
    <w:p w14:paraId="18F82519" w14:textId="77777777" w:rsidR="007E69C4" w:rsidRDefault="00000000">
      <w:pPr>
        <w:spacing w:line="360" w:lineRule="auto"/>
        <w:contextualSpacing/>
        <w:jc w:val="center"/>
        <w:rPr>
          <w:bCs/>
        </w:rPr>
      </w:pPr>
      <w:r>
        <w:rPr>
          <w:bCs/>
        </w:rPr>
        <w:br w:type="page"/>
      </w:r>
      <w:r>
        <w:rPr>
          <w:bCs/>
        </w:rPr>
        <w:lastRenderedPageBreak/>
        <w:t>References</w:t>
      </w:r>
    </w:p>
    <w:p w14:paraId="02B3FC5D" w14:textId="77777777" w:rsidR="007E69C4" w:rsidRDefault="00000000">
      <w:pPr>
        <w:shd w:val="clear" w:color="auto" w:fill="FFFFFF"/>
        <w:spacing w:line="360" w:lineRule="auto"/>
        <w:ind w:left="709" w:hanging="709"/>
        <w:contextualSpacing/>
        <w:rPr>
          <w:bCs/>
          <w:lang w:val="en-GB"/>
        </w:rPr>
      </w:pPr>
      <w:r>
        <w:rPr>
          <w:bCs/>
          <w:lang w:val="en-GB"/>
        </w:rPr>
        <w:t xml:space="preserve">Bal, W &amp; </w:t>
      </w:r>
      <w:proofErr w:type="spellStart"/>
      <w:r>
        <w:rPr>
          <w:bCs/>
          <w:lang w:val="en-GB"/>
        </w:rPr>
        <w:t>Czalczynska-Podolska</w:t>
      </w:r>
      <w:proofErr w:type="spellEnd"/>
      <w:r>
        <w:rPr>
          <w:bCs/>
          <w:lang w:val="en-GB"/>
        </w:rPr>
        <w:t xml:space="preserve">, M (2020). 'Assessing Architecture-and-Landscape Integration as a Basis for Evaluating the Impact of Construction Projects on the Cultural Landscape of Tourist Seaside Resorts,' </w:t>
      </w:r>
      <w:r>
        <w:rPr>
          <w:bCs/>
          <w:i/>
          <w:iCs/>
          <w:lang w:val="en-GB"/>
        </w:rPr>
        <w:t>Land</w:t>
      </w:r>
      <w:r>
        <w:rPr>
          <w:bCs/>
          <w:lang w:val="en-GB"/>
        </w:rPr>
        <w:t xml:space="preserve">, vol. 10, no. 1, p. 17. </w:t>
      </w:r>
      <w:hyperlink r:id="rId7" w:history="1">
        <w:r>
          <w:rPr>
            <w:rStyle w:val="Hyperlink"/>
            <w:bCs/>
            <w:lang w:val="en-GB"/>
          </w:rPr>
          <w:t>https://www.mdpi.com/2073-445X/10/1/17</w:t>
        </w:r>
      </w:hyperlink>
    </w:p>
    <w:p w14:paraId="4DE52BD0" w14:textId="77777777" w:rsidR="007E69C4" w:rsidRDefault="00000000">
      <w:pPr>
        <w:shd w:val="clear" w:color="auto" w:fill="FFFFFF"/>
        <w:spacing w:line="360" w:lineRule="auto"/>
        <w:ind w:left="709" w:hanging="709"/>
        <w:contextualSpacing/>
        <w:rPr>
          <w:bCs/>
          <w:lang w:val="en-GB"/>
        </w:rPr>
      </w:pPr>
      <w:r>
        <w:rPr>
          <w:bCs/>
          <w:lang w:val="en-GB"/>
        </w:rPr>
        <w:t xml:space="preserve">Carvalho, F.L., </w:t>
      </w:r>
      <w:proofErr w:type="spellStart"/>
      <w:r>
        <w:rPr>
          <w:bCs/>
          <w:lang w:val="en-GB"/>
        </w:rPr>
        <w:t>Guerreiro</w:t>
      </w:r>
      <w:proofErr w:type="spellEnd"/>
      <w:r>
        <w:rPr>
          <w:bCs/>
          <w:lang w:val="en-GB"/>
        </w:rPr>
        <w:t xml:space="preserve">, M. and Matos, N., 2020. </w:t>
      </w:r>
      <w:proofErr w:type="spellStart"/>
      <w:r>
        <w:rPr>
          <w:bCs/>
          <w:lang w:val="en-GB"/>
        </w:rPr>
        <w:t>Overtourism</w:t>
      </w:r>
      <w:proofErr w:type="spellEnd"/>
      <w:r>
        <w:rPr>
          <w:bCs/>
          <w:lang w:val="en-GB"/>
        </w:rPr>
        <w:t>: A systematic review of literature. </w:t>
      </w:r>
      <w:r>
        <w:rPr>
          <w:bCs/>
          <w:i/>
          <w:iCs/>
          <w:lang w:val="en-GB"/>
        </w:rPr>
        <w:t>Handbook of research on the impacts, challenges, and policy responses to over-tourism</w:t>
      </w:r>
      <w:r>
        <w:rPr>
          <w:bCs/>
          <w:lang w:val="en-GB"/>
        </w:rPr>
        <w:t xml:space="preserve">, pp.12-36. </w:t>
      </w:r>
      <w:hyperlink r:id="rId8" w:history="1">
        <w:r>
          <w:rPr>
            <w:rStyle w:val="Hyperlink"/>
            <w:bCs/>
            <w:lang w:val="en-GB"/>
          </w:rPr>
          <w:t>https://www.igi-global.com/chapter/overtourism/250486</w:t>
        </w:r>
      </w:hyperlink>
    </w:p>
    <w:p w14:paraId="6BCEB4F6" w14:textId="77777777" w:rsidR="007E69C4" w:rsidRDefault="00000000">
      <w:pPr>
        <w:shd w:val="clear" w:color="auto" w:fill="FFFFFF"/>
        <w:spacing w:line="360" w:lineRule="auto"/>
        <w:ind w:left="709" w:hanging="709"/>
        <w:contextualSpacing/>
        <w:rPr>
          <w:bCs/>
          <w:lang w:val="en-GB"/>
        </w:rPr>
      </w:pPr>
      <w:r>
        <w:rPr>
          <w:bCs/>
          <w:lang w:val="en-GB"/>
        </w:rPr>
        <w:t xml:space="preserve">Chen, Z., (2023). Beyond Reality: Examining the Opportunities and Challenges of Cross-Border Integration between Metaverse and Hospitality Industries. </w:t>
      </w:r>
      <w:r>
        <w:rPr>
          <w:bCs/>
          <w:i/>
          <w:iCs/>
          <w:lang w:val="en-GB"/>
        </w:rPr>
        <w:t>Journal of Hospitality Marketing &amp; Management</w:t>
      </w:r>
      <w:r>
        <w:rPr>
          <w:bCs/>
          <w:lang w:val="en-GB"/>
        </w:rPr>
        <w:t xml:space="preserve">, pp.1–14. </w:t>
      </w:r>
      <w:hyperlink r:id="rId9" w:history="1">
        <w:r>
          <w:rPr>
            <w:rStyle w:val="Hyperlink"/>
            <w:bCs/>
            <w:lang w:val="en-GB"/>
          </w:rPr>
          <w:t>https://doi.org/10.1080/19368623.2023.2222029</w:t>
        </w:r>
      </w:hyperlink>
      <w:r>
        <w:rPr>
          <w:bCs/>
          <w:lang w:val="en-GB"/>
        </w:rPr>
        <w:t xml:space="preserve"> (Accessed: 10 November 2023)</w:t>
      </w:r>
    </w:p>
    <w:p w14:paraId="74012F82" w14:textId="77777777" w:rsidR="007E69C4" w:rsidRDefault="00000000">
      <w:pPr>
        <w:shd w:val="clear" w:color="auto" w:fill="FFFFFF"/>
        <w:spacing w:line="360" w:lineRule="auto"/>
        <w:ind w:left="709" w:hanging="709"/>
        <w:contextualSpacing/>
        <w:rPr>
          <w:bCs/>
          <w:lang w:val="en-GB"/>
        </w:rPr>
      </w:pPr>
      <w:proofErr w:type="spellStart"/>
      <w:r>
        <w:rPr>
          <w:bCs/>
          <w:lang w:val="en-GB"/>
        </w:rPr>
        <w:t>Gattis</w:t>
      </w:r>
      <w:proofErr w:type="spellEnd"/>
      <w:r>
        <w:rPr>
          <w:bCs/>
          <w:lang w:val="en-GB"/>
        </w:rPr>
        <w:t xml:space="preserve">, L., (2023). Should I buy a Caribbean condo during a pandemic? Valuing a real estate investment using cash flows. </w:t>
      </w:r>
      <w:r>
        <w:rPr>
          <w:bCs/>
          <w:i/>
          <w:iCs/>
          <w:lang w:val="en-GB"/>
        </w:rPr>
        <w:t>The CASE Journal</w:t>
      </w:r>
      <w:r>
        <w:rPr>
          <w:bCs/>
          <w:lang w:val="en-GB"/>
        </w:rPr>
        <w:t>, </w:t>
      </w:r>
      <w:r>
        <w:rPr>
          <w:bCs/>
          <w:i/>
          <w:iCs/>
          <w:lang w:val="en-GB"/>
        </w:rPr>
        <w:t>19</w:t>
      </w:r>
      <w:r>
        <w:rPr>
          <w:bCs/>
          <w:lang w:val="en-GB"/>
        </w:rPr>
        <w:t xml:space="preserve">(2), 137–165. </w:t>
      </w:r>
      <w:hyperlink r:id="rId10" w:history="1">
        <w:r>
          <w:rPr>
            <w:rStyle w:val="Hyperlink"/>
            <w:bCs/>
            <w:lang w:val="en-GB"/>
          </w:rPr>
          <w:t>https://www.emerald.com/insight/content/doi/10.1108/TCJ-11-2021-0210/full/html</w:t>
        </w:r>
      </w:hyperlink>
    </w:p>
    <w:p w14:paraId="6C888F07" w14:textId="77777777" w:rsidR="007E69C4" w:rsidRDefault="00000000">
      <w:pPr>
        <w:shd w:val="clear" w:color="auto" w:fill="FFFFFF"/>
        <w:spacing w:line="360" w:lineRule="auto"/>
        <w:ind w:left="709" w:hanging="709"/>
        <w:contextualSpacing/>
        <w:rPr>
          <w:bCs/>
          <w:lang w:val="en-GB"/>
        </w:rPr>
      </w:pPr>
      <w:proofErr w:type="spellStart"/>
      <w:r>
        <w:rPr>
          <w:bCs/>
          <w:lang w:val="en-GB"/>
        </w:rPr>
        <w:t>Godovykh</w:t>
      </w:r>
      <w:proofErr w:type="spellEnd"/>
      <w:r>
        <w:rPr>
          <w:bCs/>
          <w:lang w:val="en-GB"/>
        </w:rPr>
        <w:t xml:space="preserve">, M. and </w:t>
      </w:r>
      <w:proofErr w:type="spellStart"/>
      <w:r>
        <w:rPr>
          <w:bCs/>
          <w:lang w:val="en-GB"/>
        </w:rPr>
        <w:t>Tasci</w:t>
      </w:r>
      <w:proofErr w:type="spellEnd"/>
      <w:r>
        <w:rPr>
          <w:bCs/>
          <w:lang w:val="en-GB"/>
        </w:rPr>
        <w:t>, A.D., 2020. Customer experience in tourism: A review of definitions, components, and measurements. </w:t>
      </w:r>
      <w:r>
        <w:rPr>
          <w:bCs/>
          <w:i/>
          <w:iCs/>
          <w:lang w:val="en-GB"/>
        </w:rPr>
        <w:t>Tourism Management Perspectives</w:t>
      </w:r>
      <w:r>
        <w:rPr>
          <w:bCs/>
          <w:lang w:val="en-GB"/>
        </w:rPr>
        <w:t>, </w:t>
      </w:r>
      <w:r>
        <w:rPr>
          <w:bCs/>
          <w:i/>
          <w:iCs/>
          <w:lang w:val="en-GB"/>
        </w:rPr>
        <w:t>35</w:t>
      </w:r>
      <w:r>
        <w:rPr>
          <w:bCs/>
          <w:lang w:val="en-GB"/>
        </w:rPr>
        <w:t xml:space="preserve">, p.100-694. </w:t>
      </w:r>
      <w:hyperlink r:id="rId11" w:history="1">
        <w:r>
          <w:rPr>
            <w:rStyle w:val="Hyperlink"/>
            <w:bCs/>
            <w:lang w:val="en-GB"/>
          </w:rPr>
          <w:t>https://doi.org/10.1016/j.tmp.2020.100694</w:t>
        </w:r>
      </w:hyperlink>
    </w:p>
    <w:p w14:paraId="4DE3E2AC" w14:textId="77777777" w:rsidR="007E69C4" w:rsidRDefault="00000000">
      <w:pPr>
        <w:shd w:val="clear" w:color="auto" w:fill="FFFFFF"/>
        <w:spacing w:line="360" w:lineRule="auto"/>
        <w:ind w:left="709" w:hanging="709"/>
        <w:contextualSpacing/>
        <w:rPr>
          <w:bCs/>
          <w:lang w:val="en-GB"/>
        </w:rPr>
      </w:pPr>
      <w:r>
        <w:rPr>
          <w:bCs/>
          <w:lang w:val="en-GB"/>
        </w:rPr>
        <w:t xml:space="preserve">Goodson, P.D. and Greenberg, H.D., (2022). </w:t>
      </w:r>
      <w:r>
        <w:rPr>
          <w:bCs/>
          <w:i/>
          <w:iCs/>
          <w:lang w:val="en-GB"/>
        </w:rPr>
        <w:t>Seaview Investors: Hotel Private Equity Firm Finds New Demand in COVID-19 Pandemic</w:t>
      </w:r>
      <w:r>
        <w:rPr>
          <w:bCs/>
          <w:lang w:val="en-GB"/>
        </w:rPr>
        <w:t xml:space="preserve">. The Berkeley-Haas Case Series. University of California, Berkeley. Haas School of Business. </w:t>
      </w:r>
      <w:hyperlink r:id="rId12" w:history="1">
        <w:r>
          <w:rPr>
            <w:rStyle w:val="Hyperlink"/>
            <w:bCs/>
            <w:lang w:val="en-GB"/>
          </w:rPr>
          <w:t>https://doi.org/10.4135/9781529798210</w:t>
        </w:r>
      </w:hyperlink>
    </w:p>
    <w:p w14:paraId="3A7BC650" w14:textId="77777777" w:rsidR="007E69C4" w:rsidRDefault="00000000">
      <w:pPr>
        <w:shd w:val="clear" w:color="auto" w:fill="FFFFFF"/>
        <w:spacing w:line="360" w:lineRule="auto"/>
        <w:ind w:left="709" w:hanging="709"/>
        <w:contextualSpacing/>
        <w:rPr>
          <w:bCs/>
          <w:lang w:val="en-GB"/>
        </w:rPr>
      </w:pPr>
      <w:r>
        <w:rPr>
          <w:bCs/>
          <w:lang w:val="en-GB"/>
        </w:rPr>
        <w:t xml:space="preserve">Jarratt, D., (2019). </w:t>
      </w:r>
      <w:proofErr w:type="spellStart"/>
      <w:r>
        <w:rPr>
          <w:bCs/>
          <w:lang w:val="en-GB"/>
        </w:rPr>
        <w:t>Seasideness</w:t>
      </w:r>
      <w:proofErr w:type="spellEnd"/>
      <w:r>
        <w:rPr>
          <w:bCs/>
          <w:lang w:val="en-GB"/>
        </w:rPr>
        <w:t xml:space="preserve">: Sense of place at a seaside resort. In </w:t>
      </w:r>
      <w:r>
        <w:rPr>
          <w:bCs/>
          <w:i/>
          <w:iCs/>
          <w:lang w:val="en-GB"/>
        </w:rPr>
        <w:t>Landscapes of Leisure: Space, Place, and Identities</w:t>
      </w:r>
      <w:r>
        <w:rPr>
          <w:bCs/>
          <w:lang w:val="en-GB"/>
        </w:rPr>
        <w:t xml:space="preserve"> (pp. 147–163). London: Palgrave Macmillan UK. Available at: </w:t>
      </w:r>
      <w:hyperlink r:id="rId13" w:history="1">
        <w:r>
          <w:rPr>
            <w:rStyle w:val="Hyperlink"/>
            <w:bCs/>
            <w:lang w:val="en-GB"/>
          </w:rPr>
          <w:t>https://link.springer.com/chapter/10.1057/9781137428530_11</w:t>
        </w:r>
      </w:hyperlink>
      <w:r>
        <w:rPr>
          <w:bCs/>
          <w:lang w:val="en-GB"/>
        </w:rPr>
        <w:t xml:space="preserve"> (Accessed: 10 November 2023)</w:t>
      </w:r>
    </w:p>
    <w:p w14:paraId="3973BF22" w14:textId="77777777" w:rsidR="007E69C4" w:rsidRDefault="00000000">
      <w:pPr>
        <w:shd w:val="clear" w:color="auto" w:fill="FFFFFF"/>
        <w:spacing w:line="360" w:lineRule="auto"/>
        <w:ind w:left="709" w:hanging="709"/>
        <w:contextualSpacing/>
        <w:rPr>
          <w:bCs/>
          <w:lang w:val="en-GB"/>
        </w:rPr>
      </w:pPr>
      <w:r>
        <w:rPr>
          <w:bCs/>
          <w:lang w:val="en-GB"/>
        </w:rPr>
        <w:t xml:space="preserve">Jaya, I.G.T.Y.P., </w:t>
      </w:r>
      <w:proofErr w:type="spellStart"/>
      <w:r>
        <w:rPr>
          <w:bCs/>
          <w:lang w:val="en-GB"/>
        </w:rPr>
        <w:t>Pitanatri</w:t>
      </w:r>
      <w:proofErr w:type="spellEnd"/>
      <w:r>
        <w:rPr>
          <w:bCs/>
          <w:lang w:val="en-GB"/>
        </w:rPr>
        <w:t xml:space="preserve">, P.D.S. and </w:t>
      </w:r>
      <w:proofErr w:type="spellStart"/>
      <w:r>
        <w:rPr>
          <w:bCs/>
          <w:lang w:val="en-GB"/>
        </w:rPr>
        <w:t>Suastini</w:t>
      </w:r>
      <w:proofErr w:type="spellEnd"/>
      <w:r>
        <w:rPr>
          <w:bCs/>
          <w:lang w:val="en-GB"/>
        </w:rPr>
        <w:t xml:space="preserve">, N.M., 2023. How room rates drive occupancy: A case study from The Laguna, a Luxury Collection Resort &amp; Spa, Nusa </w:t>
      </w:r>
      <w:proofErr w:type="spellStart"/>
      <w:r>
        <w:rPr>
          <w:bCs/>
          <w:lang w:val="en-GB"/>
        </w:rPr>
        <w:t>Dua</w:t>
      </w:r>
      <w:proofErr w:type="spellEnd"/>
      <w:r>
        <w:rPr>
          <w:bCs/>
          <w:lang w:val="en-GB"/>
        </w:rPr>
        <w:t>. </w:t>
      </w:r>
      <w:r>
        <w:rPr>
          <w:bCs/>
          <w:i/>
          <w:iCs/>
          <w:lang w:val="en-GB"/>
        </w:rPr>
        <w:t xml:space="preserve">JOURNAL OF TOURISM, CULINARY AND </w:t>
      </w:r>
      <w:r>
        <w:rPr>
          <w:bCs/>
          <w:i/>
          <w:iCs/>
          <w:lang w:val="en-GB"/>
        </w:rPr>
        <w:lastRenderedPageBreak/>
        <w:t>ENTREPRENEURSHIP (JTCE)</w:t>
      </w:r>
      <w:r>
        <w:rPr>
          <w:bCs/>
          <w:lang w:val="en-GB"/>
        </w:rPr>
        <w:t>, </w:t>
      </w:r>
      <w:r>
        <w:rPr>
          <w:bCs/>
          <w:i/>
          <w:iCs/>
          <w:lang w:val="en-GB"/>
        </w:rPr>
        <w:t>3</w:t>
      </w:r>
      <w:r>
        <w:rPr>
          <w:bCs/>
          <w:lang w:val="en-GB"/>
        </w:rPr>
        <w:t xml:space="preserve">(2). </w:t>
      </w:r>
      <w:hyperlink r:id="rId14" w:history="1">
        <w:r>
          <w:rPr>
            <w:rStyle w:val="Hyperlink"/>
            <w:bCs/>
            <w:lang w:val="en-GB"/>
          </w:rPr>
          <w:t>https://journal.uc.ac.id/index.php/JTCE/article/view/4089</w:t>
        </w:r>
      </w:hyperlink>
    </w:p>
    <w:p w14:paraId="28784D8D" w14:textId="77777777" w:rsidR="007E69C4" w:rsidRDefault="00000000">
      <w:pPr>
        <w:shd w:val="clear" w:color="auto" w:fill="FFFFFF"/>
        <w:spacing w:line="360" w:lineRule="auto"/>
        <w:ind w:left="709" w:hanging="709"/>
        <w:contextualSpacing/>
        <w:rPr>
          <w:bCs/>
          <w:lang w:val="en-GB"/>
        </w:rPr>
      </w:pPr>
      <w:proofErr w:type="spellStart"/>
      <w:r>
        <w:rPr>
          <w:bCs/>
          <w:lang w:val="en-GB"/>
        </w:rPr>
        <w:t>Khatter</w:t>
      </w:r>
      <w:proofErr w:type="spellEnd"/>
      <w:r>
        <w:rPr>
          <w:bCs/>
          <w:lang w:val="en-GB"/>
        </w:rPr>
        <w:t xml:space="preserve">, A., (2023). Challenges and Solutions for Environmental Sustainability in the Hospitality Sector. </w:t>
      </w:r>
      <w:r>
        <w:rPr>
          <w:bCs/>
          <w:i/>
          <w:iCs/>
          <w:lang w:val="en-GB"/>
        </w:rPr>
        <w:t>Sustainability</w:t>
      </w:r>
      <w:r>
        <w:rPr>
          <w:bCs/>
          <w:lang w:val="en-GB"/>
        </w:rPr>
        <w:t>, </w:t>
      </w:r>
      <w:r>
        <w:rPr>
          <w:bCs/>
          <w:i/>
          <w:iCs/>
          <w:lang w:val="en-GB"/>
        </w:rPr>
        <w:t>15</w:t>
      </w:r>
      <w:r>
        <w:rPr>
          <w:bCs/>
          <w:lang w:val="en-GB"/>
        </w:rPr>
        <w:t xml:space="preserve">(15), 114–191. </w:t>
      </w:r>
      <w:hyperlink r:id="rId15" w:history="1">
        <w:r>
          <w:rPr>
            <w:rStyle w:val="Hyperlink"/>
            <w:bCs/>
            <w:lang w:val="en-GB"/>
          </w:rPr>
          <w:t>https://www.mdpi.com/2071-1050/15/15/11491</w:t>
        </w:r>
      </w:hyperlink>
      <w:r>
        <w:rPr>
          <w:bCs/>
          <w:lang w:val="en-GB"/>
        </w:rPr>
        <w:t xml:space="preserve"> (Accessed: 10 November 2023)</w:t>
      </w:r>
    </w:p>
    <w:p w14:paraId="2A43D7AA" w14:textId="77777777" w:rsidR="007E69C4" w:rsidRDefault="00000000">
      <w:pPr>
        <w:shd w:val="clear" w:color="auto" w:fill="FFFFFF"/>
        <w:spacing w:line="360" w:lineRule="auto"/>
        <w:ind w:left="709" w:hanging="709"/>
        <w:contextualSpacing/>
        <w:rPr>
          <w:bCs/>
          <w:lang w:val="en-GB"/>
        </w:rPr>
      </w:pPr>
      <w:r>
        <w:rPr>
          <w:bCs/>
          <w:lang w:val="en-GB"/>
        </w:rPr>
        <w:t xml:space="preserve">Kim, J.Y. and Kim, M.J., 2023. They are identifying customer preferences through eye-tracking in travel websites focusing on neuromarketing. </w:t>
      </w:r>
      <w:r>
        <w:rPr>
          <w:bCs/>
          <w:i/>
          <w:iCs/>
          <w:lang w:val="en-GB"/>
        </w:rPr>
        <w:t>Journal of Asian Architecture and Building Engineering</w:t>
      </w:r>
      <w:r>
        <w:rPr>
          <w:bCs/>
          <w:lang w:val="en-GB"/>
        </w:rPr>
        <w:t xml:space="preserve">, pp.1-13. </w:t>
      </w:r>
      <w:hyperlink r:id="rId16" w:history="1">
        <w:r>
          <w:rPr>
            <w:rStyle w:val="Hyperlink"/>
            <w:bCs/>
            <w:lang w:val="en-GB"/>
          </w:rPr>
          <w:t>https://doi.org/10.1080/13467581.2023.2244566</w:t>
        </w:r>
      </w:hyperlink>
    </w:p>
    <w:p w14:paraId="07B56C81" w14:textId="77777777" w:rsidR="007E69C4" w:rsidRDefault="00000000">
      <w:pPr>
        <w:shd w:val="clear" w:color="auto" w:fill="FFFFFF"/>
        <w:spacing w:line="360" w:lineRule="auto"/>
        <w:ind w:left="709" w:hanging="709"/>
        <w:contextualSpacing/>
        <w:rPr>
          <w:bCs/>
          <w:lang w:val="en-GB"/>
        </w:rPr>
      </w:pPr>
      <w:r>
        <w:rPr>
          <w:bCs/>
          <w:lang w:val="en-GB"/>
        </w:rPr>
        <w:t xml:space="preserve">Mohammed Ahmed, O., (2022). Second, Holiday Homes as a Key Factor for Leisure and Tourism in Interior Design. </w:t>
      </w:r>
      <w:r>
        <w:rPr>
          <w:bCs/>
          <w:i/>
          <w:iCs/>
          <w:lang w:val="en-GB"/>
        </w:rPr>
        <w:t>International Design Journal</w:t>
      </w:r>
      <w:r>
        <w:rPr>
          <w:bCs/>
          <w:lang w:val="en-GB"/>
        </w:rPr>
        <w:t>, </w:t>
      </w:r>
      <w:r>
        <w:rPr>
          <w:bCs/>
          <w:i/>
          <w:iCs/>
          <w:lang w:val="en-GB"/>
        </w:rPr>
        <w:t>12</w:t>
      </w:r>
      <w:r>
        <w:rPr>
          <w:bCs/>
          <w:lang w:val="en-GB"/>
        </w:rPr>
        <w:t xml:space="preserve">(2), 213–232. </w:t>
      </w:r>
      <w:hyperlink r:id="rId17" w:history="1">
        <w:r>
          <w:rPr>
            <w:rStyle w:val="Hyperlink"/>
            <w:bCs/>
            <w:lang w:val="en-GB"/>
          </w:rPr>
          <w:t>https://idj.journals.ekb.eg/article_222614_29486.html</w:t>
        </w:r>
      </w:hyperlink>
    </w:p>
    <w:p w14:paraId="561038E0" w14:textId="77777777" w:rsidR="007E69C4" w:rsidRDefault="00000000">
      <w:pPr>
        <w:shd w:val="clear" w:color="auto" w:fill="FFFFFF"/>
        <w:spacing w:line="360" w:lineRule="auto"/>
        <w:ind w:left="709" w:hanging="709"/>
        <w:contextualSpacing/>
        <w:rPr>
          <w:bCs/>
          <w:lang w:val="en-GB"/>
        </w:rPr>
      </w:pPr>
      <w:r>
        <w:rPr>
          <w:bCs/>
          <w:lang w:val="en-GB"/>
        </w:rPr>
        <w:t xml:space="preserve">Kotler, P., Bowen, J. T., Makens, J. C., &amp; </w:t>
      </w:r>
      <w:proofErr w:type="spellStart"/>
      <w:r>
        <w:rPr>
          <w:bCs/>
          <w:lang w:val="en-GB"/>
        </w:rPr>
        <w:t>Baloglu</w:t>
      </w:r>
      <w:proofErr w:type="spellEnd"/>
      <w:r>
        <w:rPr>
          <w:bCs/>
          <w:lang w:val="en-GB"/>
        </w:rPr>
        <w:t xml:space="preserve">, S. (2019). Marketing for hospitality and tourism. Pearson. Available at: </w:t>
      </w:r>
      <w:hyperlink r:id="rId18" w:history="1">
        <w:r>
          <w:rPr>
            <w:rStyle w:val="Hyperlink"/>
            <w:bCs/>
            <w:lang w:val="en-GB"/>
          </w:rPr>
          <w:t>https://thuvienso.hoasen.edu.vn/handle/123456789/6843</w:t>
        </w:r>
      </w:hyperlink>
      <w:r>
        <w:rPr>
          <w:bCs/>
          <w:lang w:val="en-GB"/>
        </w:rPr>
        <w:t xml:space="preserve"> (Accessed: 10 November 2023)</w:t>
      </w:r>
    </w:p>
    <w:p w14:paraId="4762C310" w14:textId="77777777" w:rsidR="007E69C4" w:rsidRDefault="00000000">
      <w:pPr>
        <w:shd w:val="clear" w:color="auto" w:fill="FFFFFF"/>
        <w:spacing w:line="360" w:lineRule="auto"/>
        <w:ind w:left="709" w:hanging="709"/>
        <w:contextualSpacing/>
        <w:rPr>
          <w:bCs/>
          <w:lang w:val="en-GB"/>
        </w:rPr>
      </w:pPr>
      <w:r>
        <w:rPr>
          <w:bCs/>
          <w:lang w:val="en-GB"/>
        </w:rPr>
        <w:t xml:space="preserve">Noor, M.S., </w:t>
      </w:r>
      <w:proofErr w:type="spellStart"/>
      <w:r>
        <w:rPr>
          <w:bCs/>
          <w:lang w:val="en-GB"/>
        </w:rPr>
        <w:t>Handani</w:t>
      </w:r>
      <w:proofErr w:type="spellEnd"/>
      <w:r>
        <w:rPr>
          <w:bCs/>
          <w:lang w:val="en-GB"/>
        </w:rPr>
        <w:t xml:space="preserve">, N.D. and Kim, H.S., 2023. Exploring user-generated content for beach resorts in Cox's Bazar, Bangladesh: A pre-and post-pandemic analysis. </w:t>
      </w:r>
      <w:r>
        <w:rPr>
          <w:bCs/>
          <w:i/>
          <w:iCs/>
          <w:lang w:val="en-GB"/>
        </w:rPr>
        <w:t>Environment and Social Psychology</w:t>
      </w:r>
      <w:r>
        <w:rPr>
          <w:bCs/>
          <w:lang w:val="en-GB"/>
        </w:rPr>
        <w:t>, </w:t>
      </w:r>
      <w:r>
        <w:rPr>
          <w:bCs/>
          <w:i/>
          <w:iCs/>
          <w:lang w:val="en-GB"/>
        </w:rPr>
        <w:t>8</w:t>
      </w:r>
      <w:r>
        <w:rPr>
          <w:bCs/>
          <w:lang w:val="en-GB"/>
        </w:rPr>
        <w:t>(2). https://doi: 10.54517/</w:t>
      </w:r>
      <w:proofErr w:type="gramStart"/>
      <w:r>
        <w:rPr>
          <w:bCs/>
          <w:lang w:val="en-GB"/>
        </w:rPr>
        <w:t>esp.v</w:t>
      </w:r>
      <w:proofErr w:type="gramEnd"/>
      <w:r>
        <w:rPr>
          <w:bCs/>
          <w:lang w:val="en-GB"/>
        </w:rPr>
        <w:t>8i2.1771</w:t>
      </w:r>
    </w:p>
    <w:p w14:paraId="32E226E9" w14:textId="77777777" w:rsidR="007E69C4" w:rsidRDefault="00000000">
      <w:pPr>
        <w:shd w:val="clear" w:color="auto" w:fill="FFFFFF"/>
        <w:spacing w:line="360" w:lineRule="auto"/>
        <w:ind w:left="709" w:hanging="709"/>
        <w:contextualSpacing/>
        <w:rPr>
          <w:bCs/>
          <w:lang w:val="en-GB"/>
        </w:rPr>
      </w:pPr>
      <w:r>
        <w:rPr>
          <w:bCs/>
          <w:lang w:val="en-GB"/>
        </w:rPr>
        <w:t xml:space="preserve">Rocha, I.D.O., (2021). The financial performance evaluation of the oil and gas industry through cash flow ratios from 2014 to 2019. </w:t>
      </w:r>
      <w:proofErr w:type="spellStart"/>
      <w:r>
        <w:rPr>
          <w:bCs/>
          <w:i/>
          <w:iCs/>
          <w:lang w:val="en-GB"/>
        </w:rPr>
        <w:t>Trabalho</w:t>
      </w:r>
      <w:proofErr w:type="spellEnd"/>
      <w:r>
        <w:rPr>
          <w:bCs/>
          <w:i/>
          <w:iCs/>
          <w:lang w:val="en-GB"/>
        </w:rPr>
        <w:t xml:space="preserve"> de </w:t>
      </w:r>
      <w:proofErr w:type="spellStart"/>
      <w:r>
        <w:rPr>
          <w:bCs/>
          <w:i/>
          <w:iCs/>
          <w:lang w:val="en-GB"/>
        </w:rPr>
        <w:t>Conclusão</w:t>
      </w:r>
      <w:proofErr w:type="spellEnd"/>
      <w:r>
        <w:rPr>
          <w:bCs/>
          <w:i/>
          <w:iCs/>
          <w:lang w:val="en-GB"/>
        </w:rPr>
        <w:t xml:space="preserve"> de </w:t>
      </w:r>
      <w:proofErr w:type="spellStart"/>
      <w:r>
        <w:rPr>
          <w:bCs/>
          <w:i/>
          <w:iCs/>
          <w:lang w:val="en-GB"/>
        </w:rPr>
        <w:t>Curso</w:t>
      </w:r>
      <w:proofErr w:type="spellEnd"/>
      <w:r>
        <w:rPr>
          <w:bCs/>
          <w:i/>
          <w:iCs/>
          <w:lang w:val="en-GB"/>
        </w:rPr>
        <w:t xml:space="preserve"> (</w:t>
      </w:r>
      <w:proofErr w:type="spellStart"/>
      <w:r>
        <w:rPr>
          <w:bCs/>
          <w:i/>
          <w:iCs/>
          <w:lang w:val="en-GB"/>
        </w:rPr>
        <w:t>Bacharelado</w:t>
      </w:r>
      <w:proofErr w:type="spellEnd"/>
      <w:r>
        <w:rPr>
          <w:bCs/>
          <w:i/>
          <w:iCs/>
          <w:lang w:val="en-GB"/>
        </w:rPr>
        <w:t xml:space="preserve"> </w:t>
      </w:r>
      <w:proofErr w:type="spellStart"/>
      <w:r>
        <w:rPr>
          <w:bCs/>
          <w:i/>
          <w:iCs/>
          <w:lang w:val="en-GB"/>
        </w:rPr>
        <w:t>em</w:t>
      </w:r>
      <w:proofErr w:type="spellEnd"/>
      <w:r>
        <w:rPr>
          <w:bCs/>
          <w:i/>
          <w:iCs/>
          <w:lang w:val="en-GB"/>
        </w:rPr>
        <w:t xml:space="preserve"> </w:t>
      </w:r>
      <w:proofErr w:type="spellStart"/>
      <w:r>
        <w:rPr>
          <w:bCs/>
          <w:i/>
          <w:iCs/>
          <w:lang w:val="en-GB"/>
        </w:rPr>
        <w:t>Ciências</w:t>
      </w:r>
      <w:proofErr w:type="spellEnd"/>
      <w:r>
        <w:rPr>
          <w:bCs/>
          <w:i/>
          <w:iCs/>
          <w:lang w:val="en-GB"/>
        </w:rPr>
        <w:t xml:space="preserve"> </w:t>
      </w:r>
      <w:proofErr w:type="spellStart"/>
      <w:r>
        <w:rPr>
          <w:bCs/>
          <w:i/>
          <w:iCs/>
          <w:lang w:val="en-GB"/>
        </w:rPr>
        <w:t>Contábeis</w:t>
      </w:r>
      <w:proofErr w:type="spellEnd"/>
      <w:r>
        <w:rPr>
          <w:bCs/>
          <w:i/>
          <w:iCs/>
          <w:lang w:val="en-GB"/>
        </w:rPr>
        <w:t>)-</w:t>
      </w:r>
      <w:proofErr w:type="spellStart"/>
      <w:r>
        <w:rPr>
          <w:bCs/>
          <w:i/>
          <w:iCs/>
          <w:lang w:val="en-GB"/>
        </w:rPr>
        <w:t>Faculdade</w:t>
      </w:r>
      <w:proofErr w:type="spellEnd"/>
      <w:r>
        <w:rPr>
          <w:bCs/>
          <w:i/>
          <w:iCs/>
          <w:lang w:val="en-GB"/>
        </w:rPr>
        <w:t xml:space="preserve"> de </w:t>
      </w:r>
      <w:proofErr w:type="spellStart"/>
      <w:r>
        <w:rPr>
          <w:bCs/>
          <w:i/>
          <w:iCs/>
          <w:lang w:val="en-GB"/>
        </w:rPr>
        <w:t>Administração</w:t>
      </w:r>
      <w:proofErr w:type="spellEnd"/>
      <w:r>
        <w:rPr>
          <w:bCs/>
          <w:i/>
          <w:iCs/>
          <w:lang w:val="en-GB"/>
        </w:rPr>
        <w:t xml:space="preserve"> e </w:t>
      </w:r>
      <w:proofErr w:type="spellStart"/>
      <w:r>
        <w:rPr>
          <w:bCs/>
          <w:i/>
          <w:iCs/>
          <w:lang w:val="en-GB"/>
        </w:rPr>
        <w:t>Ciências</w:t>
      </w:r>
      <w:proofErr w:type="spellEnd"/>
      <w:r>
        <w:rPr>
          <w:bCs/>
          <w:i/>
          <w:iCs/>
          <w:lang w:val="en-GB"/>
        </w:rPr>
        <w:t xml:space="preserve"> </w:t>
      </w:r>
      <w:proofErr w:type="spellStart"/>
      <w:r>
        <w:rPr>
          <w:bCs/>
          <w:i/>
          <w:iCs/>
          <w:lang w:val="en-GB"/>
        </w:rPr>
        <w:t>Contábeis</w:t>
      </w:r>
      <w:proofErr w:type="spellEnd"/>
      <w:r>
        <w:rPr>
          <w:bCs/>
          <w:i/>
          <w:iCs/>
          <w:lang w:val="en-GB"/>
        </w:rPr>
        <w:t xml:space="preserve">, </w:t>
      </w:r>
      <w:proofErr w:type="spellStart"/>
      <w:r>
        <w:rPr>
          <w:bCs/>
          <w:i/>
          <w:iCs/>
          <w:lang w:val="en-GB"/>
        </w:rPr>
        <w:t>Universidade</w:t>
      </w:r>
      <w:proofErr w:type="spellEnd"/>
      <w:r>
        <w:rPr>
          <w:bCs/>
          <w:i/>
          <w:iCs/>
          <w:lang w:val="en-GB"/>
        </w:rPr>
        <w:t xml:space="preserve"> Federal do Rio de Janeiro, Rio de Janeiro</w:t>
      </w:r>
      <w:r>
        <w:rPr>
          <w:bCs/>
          <w:lang w:val="en-GB"/>
        </w:rPr>
        <w:t xml:space="preserve">. </w:t>
      </w:r>
      <w:hyperlink r:id="rId19" w:history="1">
        <w:r>
          <w:rPr>
            <w:rStyle w:val="Hyperlink"/>
            <w:bCs/>
            <w:lang w:val="en-GB"/>
          </w:rPr>
          <w:t>https://pantheon.ufrj.br/handle/11422/17392</w:t>
        </w:r>
      </w:hyperlink>
    </w:p>
    <w:p w14:paraId="28FB9A47" w14:textId="77777777" w:rsidR="007E69C4" w:rsidRDefault="00000000">
      <w:pPr>
        <w:shd w:val="clear" w:color="auto" w:fill="FFFFFF"/>
        <w:spacing w:line="360" w:lineRule="auto"/>
        <w:ind w:left="709" w:hanging="709"/>
        <w:contextualSpacing/>
        <w:rPr>
          <w:bCs/>
          <w:lang w:val="en-GB"/>
        </w:rPr>
      </w:pPr>
      <w:r>
        <w:rPr>
          <w:bCs/>
          <w:lang w:val="en-GB"/>
        </w:rPr>
        <w:t xml:space="preserve">Shahzad, S.M., (2020). De-Constructing the problematic Maritime Tourism in Pakistan: Opportunities and Challenges. </w:t>
      </w:r>
      <w:r>
        <w:rPr>
          <w:bCs/>
          <w:i/>
          <w:iCs/>
          <w:lang w:val="en-GB"/>
        </w:rPr>
        <w:t>Int. J. of Multidisciplinary and Current Research</w:t>
      </w:r>
      <w:r>
        <w:rPr>
          <w:bCs/>
          <w:lang w:val="en-GB"/>
        </w:rPr>
        <w:t>, </w:t>
      </w:r>
      <w:r>
        <w:rPr>
          <w:bCs/>
          <w:i/>
          <w:iCs/>
          <w:lang w:val="en-GB"/>
        </w:rPr>
        <w:t>8</w:t>
      </w:r>
      <w:r>
        <w:rPr>
          <w:bCs/>
          <w:lang w:val="en-GB"/>
        </w:rPr>
        <w:t xml:space="preserve">, pp.378-387. Available at:  </w:t>
      </w:r>
      <w:hyperlink r:id="rId20" w:history="1">
        <w:r>
          <w:rPr>
            <w:rStyle w:val="Hyperlink"/>
            <w:bCs/>
            <w:lang w:val="en-GB"/>
          </w:rPr>
          <w:t>https://doi.org/10.14741/ijmcr/v.8.3.6</w:t>
        </w:r>
      </w:hyperlink>
      <w:r>
        <w:rPr>
          <w:bCs/>
          <w:lang w:val="en-GB"/>
        </w:rPr>
        <w:t xml:space="preserve"> (Accessed: 10 November 2023)</w:t>
      </w:r>
    </w:p>
    <w:p w14:paraId="575A6345" w14:textId="77777777" w:rsidR="007E69C4" w:rsidRDefault="00000000">
      <w:pPr>
        <w:shd w:val="clear" w:color="auto" w:fill="FFFFFF"/>
        <w:spacing w:line="360" w:lineRule="auto"/>
        <w:ind w:left="709" w:hanging="709"/>
        <w:contextualSpacing/>
        <w:rPr>
          <w:bCs/>
          <w:lang w:val="en-GB"/>
        </w:rPr>
      </w:pPr>
      <w:r>
        <w:rPr>
          <w:bCs/>
          <w:lang w:val="en-GB"/>
        </w:rPr>
        <w:t xml:space="preserve">Singh, S., Bhat, J.A., Shah, </w:t>
      </w:r>
      <w:proofErr w:type="gramStart"/>
      <w:r>
        <w:rPr>
          <w:bCs/>
          <w:lang w:val="en-GB"/>
        </w:rPr>
        <w:t>S.</w:t>
      </w:r>
      <w:proofErr w:type="gramEnd"/>
      <w:r>
        <w:rPr>
          <w:bCs/>
          <w:lang w:val="en-GB"/>
        </w:rPr>
        <w:t xml:space="preserve"> and Pala, N.A., 2021. Coastal resource management and tourism development in Fiji Islands: a conservation challenge. </w:t>
      </w:r>
      <w:r>
        <w:rPr>
          <w:bCs/>
          <w:i/>
          <w:iCs/>
          <w:lang w:val="en-GB"/>
        </w:rPr>
        <w:t>Environment, Development and Sustainability</w:t>
      </w:r>
      <w:r>
        <w:rPr>
          <w:bCs/>
          <w:lang w:val="en-GB"/>
        </w:rPr>
        <w:t>, </w:t>
      </w:r>
      <w:r>
        <w:rPr>
          <w:bCs/>
          <w:i/>
          <w:iCs/>
          <w:lang w:val="en-GB"/>
        </w:rPr>
        <w:t>23</w:t>
      </w:r>
      <w:r>
        <w:rPr>
          <w:bCs/>
          <w:lang w:val="en-GB"/>
        </w:rPr>
        <w:t xml:space="preserve">, pp.3009-3027. </w:t>
      </w:r>
      <w:hyperlink r:id="rId21" w:history="1">
        <w:r>
          <w:rPr>
            <w:rStyle w:val="Hyperlink"/>
            <w:bCs/>
            <w:lang w:val="en-GB"/>
          </w:rPr>
          <w:t>https://link.springer.com/article/10.1007/s10668-020-00764-4</w:t>
        </w:r>
      </w:hyperlink>
      <w:r>
        <w:rPr>
          <w:bCs/>
          <w:lang w:val="en-GB"/>
        </w:rPr>
        <w:t xml:space="preserve"> (Accessed: 10 November 2023)</w:t>
      </w:r>
    </w:p>
    <w:p w14:paraId="419F20DD" w14:textId="77777777" w:rsidR="007E69C4" w:rsidRDefault="00000000">
      <w:pPr>
        <w:shd w:val="clear" w:color="auto" w:fill="FFFFFF"/>
        <w:spacing w:line="360" w:lineRule="auto"/>
        <w:ind w:left="709" w:hanging="709"/>
        <w:contextualSpacing/>
        <w:rPr>
          <w:bCs/>
          <w:lang w:val="en-GB"/>
        </w:rPr>
      </w:pPr>
      <w:r>
        <w:rPr>
          <w:bCs/>
          <w:lang w:val="en-GB"/>
        </w:rPr>
        <w:lastRenderedPageBreak/>
        <w:t xml:space="preserve">Verma, S., </w:t>
      </w:r>
      <w:proofErr w:type="spellStart"/>
      <w:r>
        <w:rPr>
          <w:bCs/>
          <w:lang w:val="en-GB"/>
        </w:rPr>
        <w:t>Warrier</w:t>
      </w:r>
      <w:proofErr w:type="spellEnd"/>
      <w:r>
        <w:rPr>
          <w:bCs/>
          <w:lang w:val="en-GB"/>
        </w:rPr>
        <w:t xml:space="preserve">, L., </w:t>
      </w:r>
      <w:proofErr w:type="spellStart"/>
      <w:r>
        <w:rPr>
          <w:bCs/>
          <w:lang w:val="en-GB"/>
        </w:rPr>
        <w:t>Bolia</w:t>
      </w:r>
      <w:proofErr w:type="spellEnd"/>
      <w:r>
        <w:rPr>
          <w:bCs/>
          <w:lang w:val="en-GB"/>
        </w:rPr>
        <w:t>, B. and Mehta, S., 2022. Past, present, and future of virtual tourism-a literature review. </w:t>
      </w:r>
      <w:r>
        <w:rPr>
          <w:bCs/>
          <w:i/>
          <w:iCs/>
          <w:lang w:val="en-GB"/>
        </w:rPr>
        <w:t>International Journal of Information Management Data Insights</w:t>
      </w:r>
      <w:r>
        <w:rPr>
          <w:bCs/>
          <w:lang w:val="en-GB"/>
        </w:rPr>
        <w:t>, </w:t>
      </w:r>
      <w:r>
        <w:rPr>
          <w:bCs/>
          <w:i/>
          <w:iCs/>
          <w:lang w:val="en-GB"/>
        </w:rPr>
        <w:t>2</w:t>
      </w:r>
      <w:r>
        <w:rPr>
          <w:bCs/>
          <w:lang w:val="en-GB"/>
        </w:rPr>
        <w:t xml:space="preserve">(2), p.100-185. </w:t>
      </w:r>
      <w:hyperlink r:id="rId22" w:history="1">
        <w:r>
          <w:rPr>
            <w:rStyle w:val="Hyperlink"/>
            <w:bCs/>
            <w:lang w:val="en-GB"/>
          </w:rPr>
          <w:t>https://doi.org/10.1016/j.jjimei.2022.100085</w:t>
        </w:r>
      </w:hyperlink>
      <w:r>
        <w:rPr>
          <w:bCs/>
          <w:lang w:val="en-GB"/>
        </w:rPr>
        <w:t xml:space="preserve"> (Accessed: 10 November 2023)</w:t>
      </w:r>
    </w:p>
    <w:p w14:paraId="10BC8D1D" w14:textId="77777777" w:rsidR="007E69C4" w:rsidRDefault="00000000">
      <w:pPr>
        <w:shd w:val="clear" w:color="auto" w:fill="FFFFFF"/>
        <w:spacing w:line="360" w:lineRule="auto"/>
        <w:ind w:left="709" w:hanging="709"/>
        <w:contextualSpacing/>
        <w:rPr>
          <w:bCs/>
          <w:lang w:val="en-GB"/>
        </w:rPr>
      </w:pPr>
      <w:r>
        <w:rPr>
          <w:bCs/>
          <w:lang w:val="en-GB"/>
        </w:rPr>
        <w:t xml:space="preserve">Wong, T.S. and Chan, J.K.L., 2023. Experience attributes and service quality dimensions of peer-to-peer accommodation in Malaysia. </w:t>
      </w:r>
      <w:hyperlink r:id="rId23" w:history="1">
        <w:r>
          <w:rPr>
            <w:rStyle w:val="Hyperlink"/>
            <w:bCs/>
            <w:lang w:val="en-GB"/>
          </w:rPr>
          <w:t>https://www.cell.com/heliyon/pdf/S2405-8440(23)05611-6.pdf</w:t>
        </w:r>
      </w:hyperlink>
      <w:r>
        <w:rPr>
          <w:bCs/>
          <w:lang w:val="en-GB"/>
        </w:rPr>
        <w:t xml:space="preserve"> </w:t>
      </w:r>
    </w:p>
    <w:p w14:paraId="2C7E484F" w14:textId="77777777" w:rsidR="007E69C4" w:rsidRDefault="00000000">
      <w:pPr>
        <w:shd w:val="clear" w:color="auto" w:fill="FFFFFF"/>
        <w:spacing w:line="360" w:lineRule="auto"/>
        <w:ind w:left="709" w:hanging="709"/>
        <w:contextualSpacing/>
        <w:rPr>
          <w:bCs/>
          <w:lang w:val="en-GB"/>
        </w:rPr>
      </w:pPr>
      <w:r>
        <w:rPr>
          <w:bCs/>
          <w:lang w:val="en-GB"/>
        </w:rPr>
        <w:t xml:space="preserve">Yuan, J., Zhang, </w:t>
      </w:r>
      <w:proofErr w:type="gramStart"/>
      <w:r>
        <w:rPr>
          <w:bCs/>
          <w:lang w:val="en-GB"/>
        </w:rPr>
        <w:t>L.</w:t>
      </w:r>
      <w:proofErr w:type="gramEnd"/>
      <w:r>
        <w:rPr>
          <w:bCs/>
          <w:lang w:val="en-GB"/>
        </w:rPr>
        <w:t xml:space="preserve"> and Kim, C.S., (2022, October). Research on Landscape Design of Coastal Resort from the Perspective of Space Experience and Cognitive and Affective Computing. In </w:t>
      </w:r>
      <w:r>
        <w:rPr>
          <w:bCs/>
          <w:i/>
          <w:iCs/>
          <w:lang w:val="en-GB"/>
        </w:rPr>
        <w:t>2022 International Symposium on Intelligent Robotics and Systems (</w:t>
      </w:r>
      <w:proofErr w:type="spellStart"/>
      <w:r>
        <w:rPr>
          <w:bCs/>
          <w:i/>
          <w:iCs/>
          <w:lang w:val="en-GB"/>
        </w:rPr>
        <w:t>ISoIRS</w:t>
      </w:r>
      <w:proofErr w:type="spellEnd"/>
      <w:r>
        <w:rPr>
          <w:bCs/>
          <w:i/>
          <w:iCs/>
          <w:lang w:val="en-GB"/>
        </w:rPr>
        <w:t>)</w:t>
      </w:r>
      <w:r>
        <w:rPr>
          <w:bCs/>
          <w:lang w:val="en-GB"/>
        </w:rPr>
        <w:t xml:space="preserve"> (pp. 97–102). IEEE. </w:t>
      </w:r>
      <w:hyperlink r:id="rId24" w:history="1">
        <w:r>
          <w:rPr>
            <w:rStyle w:val="Hyperlink"/>
            <w:bCs/>
            <w:lang w:val="en-GB"/>
          </w:rPr>
          <w:t>https://ieeexplore.ieee.org/abstract/document/10196714</w:t>
        </w:r>
      </w:hyperlink>
      <w:r>
        <w:rPr>
          <w:bCs/>
          <w:lang w:val="en-GB"/>
        </w:rPr>
        <w:t xml:space="preserve"> (Accessed: 10 November 2023)</w:t>
      </w:r>
    </w:p>
    <w:p w14:paraId="03A8D013" w14:textId="77777777" w:rsidR="007E69C4" w:rsidRDefault="00000000">
      <w:pPr>
        <w:shd w:val="clear" w:color="auto" w:fill="FFFFFF"/>
        <w:spacing w:line="360" w:lineRule="auto"/>
        <w:ind w:left="709" w:hanging="709"/>
        <w:contextualSpacing/>
        <w:rPr>
          <w:bCs/>
          <w:i/>
          <w:iCs/>
        </w:rPr>
      </w:pPr>
      <w:r>
        <w:rPr>
          <w:bCs/>
        </w:rPr>
        <w:t xml:space="preserve">Torres-Salinas, D., </w:t>
      </w:r>
      <w:proofErr w:type="spellStart"/>
      <w:r>
        <w:rPr>
          <w:bCs/>
        </w:rPr>
        <w:t>Docampo</w:t>
      </w:r>
      <w:proofErr w:type="spellEnd"/>
      <w:r>
        <w:rPr>
          <w:bCs/>
        </w:rPr>
        <w:t xml:space="preserve">, D., Arroyo-Machado, W., &amp; Robinson-Garcia, N. (2023). The Many Publics of Science: Using </w:t>
      </w:r>
      <w:proofErr w:type="spellStart"/>
      <w:r>
        <w:rPr>
          <w:bCs/>
        </w:rPr>
        <w:t>Altmetrics</w:t>
      </w:r>
      <w:proofErr w:type="spellEnd"/>
      <w:r>
        <w:rPr>
          <w:bCs/>
        </w:rPr>
        <w:t xml:space="preserve"> to Identify Common Communication Channels by Scientific Field. </w:t>
      </w:r>
      <w:r>
        <w:rPr>
          <w:bCs/>
          <w:lang w:val="en-GB"/>
        </w:rPr>
        <w:t xml:space="preserve">Available at: </w:t>
      </w:r>
      <w:hyperlink r:id="rId25" w:history="1">
        <w:r>
          <w:rPr>
            <w:rStyle w:val="Hyperlink"/>
            <w:bCs/>
            <w:i/>
            <w:iCs/>
          </w:rPr>
          <w:t>https://doi.org/10.48550/arXiv.2304.05157</w:t>
        </w:r>
      </w:hyperlink>
      <w:r>
        <w:rPr>
          <w:bCs/>
          <w:i/>
          <w:iCs/>
        </w:rPr>
        <w:t xml:space="preserve"> (Accessed: 10 November 2023)</w:t>
      </w:r>
    </w:p>
    <w:p w14:paraId="7E43266A" w14:textId="77777777" w:rsidR="007E69C4" w:rsidRDefault="007E69C4">
      <w:pPr>
        <w:shd w:val="clear" w:color="auto" w:fill="FFFFFF"/>
        <w:spacing w:line="360" w:lineRule="auto"/>
        <w:ind w:left="709" w:hanging="709"/>
        <w:contextualSpacing/>
        <w:rPr>
          <w:bCs/>
          <w:lang w:val="en-GB"/>
        </w:rPr>
      </w:pPr>
    </w:p>
    <w:sectPr w:rsidR="007E69C4">
      <w:headerReference w:type="default" r:id="rId2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77857" w14:textId="77777777" w:rsidR="0067698F" w:rsidRDefault="0067698F">
      <w:r>
        <w:separator/>
      </w:r>
    </w:p>
  </w:endnote>
  <w:endnote w:type="continuationSeparator" w:id="0">
    <w:p w14:paraId="31069608" w14:textId="77777777" w:rsidR="0067698F" w:rsidRDefault="00676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7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default"/>
    <w:sig w:usb0="E1002EFF" w:usb1="C000605B" w:usb2="00000029" w:usb3="00000000" w:csb0="200101FF" w:csb1="20280000"/>
  </w:font>
  <w:font w:name="MS Gothic">
    <w:altName w:val="ＭＳ ゴシック"/>
    <w:panose1 w:val="020B0609070205080204"/>
    <w:charset w:val="80"/>
    <w:family w:val="modern"/>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4758F" w14:textId="77777777" w:rsidR="0067698F" w:rsidRDefault="0067698F">
      <w:r>
        <w:separator/>
      </w:r>
    </w:p>
  </w:footnote>
  <w:footnote w:type="continuationSeparator" w:id="0">
    <w:p w14:paraId="579228C1" w14:textId="77777777" w:rsidR="0067698F" w:rsidRDefault="006769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5904918"/>
    </w:sdtPr>
    <w:sdtContent>
      <w:p w14:paraId="463AA356" w14:textId="77777777" w:rsidR="007E69C4" w:rsidRDefault="00000000">
        <w:pPr>
          <w:pStyle w:val="Header"/>
          <w:jc w:val="right"/>
        </w:pPr>
        <w:r>
          <w:t xml:space="preserve">Case study </w:t>
        </w:r>
        <w:r>
          <w:fldChar w:fldCharType="begin"/>
        </w:r>
        <w:r>
          <w:instrText xml:space="preserve"> PAGE   \* MERGEFORMAT </w:instrText>
        </w:r>
        <w:r>
          <w:fldChar w:fldCharType="separate"/>
        </w:r>
        <w:r>
          <w:t>2</w:t>
        </w:r>
        <w:r>
          <w:fldChar w:fldCharType="end"/>
        </w:r>
      </w:p>
    </w:sdtContent>
  </w:sdt>
  <w:p w14:paraId="5298EBEA" w14:textId="77777777" w:rsidR="007E69C4" w:rsidRDefault="007E69C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rO0NDYzMLY0NzczNDRR0lEKTi0uzszPAykwrAUA94IJ7SwAAAA="/>
  </w:docVars>
  <w:rsids>
    <w:rsidRoot w:val="00B638A3"/>
    <w:rsid w:val="000022B8"/>
    <w:rsid w:val="00002FA8"/>
    <w:rsid w:val="000264AC"/>
    <w:rsid w:val="00033CB0"/>
    <w:rsid w:val="000345E2"/>
    <w:rsid w:val="00040E56"/>
    <w:rsid w:val="00055EDD"/>
    <w:rsid w:val="000633E9"/>
    <w:rsid w:val="00066E87"/>
    <w:rsid w:val="0007414C"/>
    <w:rsid w:val="000B3EEF"/>
    <w:rsid w:val="000B59B2"/>
    <w:rsid w:val="000C0150"/>
    <w:rsid w:val="000E23BD"/>
    <w:rsid w:val="0010128B"/>
    <w:rsid w:val="00105354"/>
    <w:rsid w:val="00142F27"/>
    <w:rsid w:val="00155233"/>
    <w:rsid w:val="00160768"/>
    <w:rsid w:val="001624DF"/>
    <w:rsid w:val="00183F00"/>
    <w:rsid w:val="00190CE6"/>
    <w:rsid w:val="0019424C"/>
    <w:rsid w:val="001B28B4"/>
    <w:rsid w:val="001D6087"/>
    <w:rsid w:val="001D74FA"/>
    <w:rsid w:val="001E6310"/>
    <w:rsid w:val="001F2065"/>
    <w:rsid w:val="00205319"/>
    <w:rsid w:val="00210EB5"/>
    <w:rsid w:val="00214E5C"/>
    <w:rsid w:val="00222748"/>
    <w:rsid w:val="002425BD"/>
    <w:rsid w:val="00244987"/>
    <w:rsid w:val="002461EF"/>
    <w:rsid w:val="00247DC0"/>
    <w:rsid w:val="002646CF"/>
    <w:rsid w:val="002770CC"/>
    <w:rsid w:val="0027796C"/>
    <w:rsid w:val="002832EF"/>
    <w:rsid w:val="00283EF3"/>
    <w:rsid w:val="0028603F"/>
    <w:rsid w:val="002942DF"/>
    <w:rsid w:val="002C6D17"/>
    <w:rsid w:val="002F055D"/>
    <w:rsid w:val="002F553D"/>
    <w:rsid w:val="0030680E"/>
    <w:rsid w:val="00310D77"/>
    <w:rsid w:val="00317A19"/>
    <w:rsid w:val="00324533"/>
    <w:rsid w:val="00332BA8"/>
    <w:rsid w:val="0034109B"/>
    <w:rsid w:val="00345110"/>
    <w:rsid w:val="003626BE"/>
    <w:rsid w:val="0036635B"/>
    <w:rsid w:val="00381884"/>
    <w:rsid w:val="00387C93"/>
    <w:rsid w:val="003923A4"/>
    <w:rsid w:val="003A2BFB"/>
    <w:rsid w:val="003B4518"/>
    <w:rsid w:val="003B7398"/>
    <w:rsid w:val="003C4960"/>
    <w:rsid w:val="003C5327"/>
    <w:rsid w:val="003C7D4D"/>
    <w:rsid w:val="003E6E45"/>
    <w:rsid w:val="003E7BB2"/>
    <w:rsid w:val="003F7AC9"/>
    <w:rsid w:val="004137B4"/>
    <w:rsid w:val="004160DA"/>
    <w:rsid w:val="00416595"/>
    <w:rsid w:val="00416CAE"/>
    <w:rsid w:val="004439A8"/>
    <w:rsid w:val="00446F21"/>
    <w:rsid w:val="0045233B"/>
    <w:rsid w:val="00457CE0"/>
    <w:rsid w:val="0048032F"/>
    <w:rsid w:val="004812D6"/>
    <w:rsid w:val="00487963"/>
    <w:rsid w:val="004945F3"/>
    <w:rsid w:val="004C6669"/>
    <w:rsid w:val="004D1944"/>
    <w:rsid w:val="004F5731"/>
    <w:rsid w:val="0052709D"/>
    <w:rsid w:val="005319B2"/>
    <w:rsid w:val="00544B83"/>
    <w:rsid w:val="0057187D"/>
    <w:rsid w:val="00573096"/>
    <w:rsid w:val="00591D71"/>
    <w:rsid w:val="00592CEC"/>
    <w:rsid w:val="005B3D46"/>
    <w:rsid w:val="005B5F31"/>
    <w:rsid w:val="005D5CDC"/>
    <w:rsid w:val="00607E1B"/>
    <w:rsid w:val="00637360"/>
    <w:rsid w:val="00642D92"/>
    <w:rsid w:val="00662CCE"/>
    <w:rsid w:val="00671668"/>
    <w:rsid w:val="0067698F"/>
    <w:rsid w:val="00687720"/>
    <w:rsid w:val="006B5043"/>
    <w:rsid w:val="006B75C1"/>
    <w:rsid w:val="006E5111"/>
    <w:rsid w:val="006E51A0"/>
    <w:rsid w:val="006F3048"/>
    <w:rsid w:val="006F78FD"/>
    <w:rsid w:val="00714148"/>
    <w:rsid w:val="00741E98"/>
    <w:rsid w:val="0074252D"/>
    <w:rsid w:val="007505AA"/>
    <w:rsid w:val="0076344C"/>
    <w:rsid w:val="007676BA"/>
    <w:rsid w:val="00771E69"/>
    <w:rsid w:val="0077744A"/>
    <w:rsid w:val="00795768"/>
    <w:rsid w:val="00795DF7"/>
    <w:rsid w:val="007A1E9F"/>
    <w:rsid w:val="007B5AD1"/>
    <w:rsid w:val="007E69C4"/>
    <w:rsid w:val="00820B2D"/>
    <w:rsid w:val="00826855"/>
    <w:rsid w:val="00852E8D"/>
    <w:rsid w:val="00885D49"/>
    <w:rsid w:val="0089108E"/>
    <w:rsid w:val="008B6A40"/>
    <w:rsid w:val="008C6C01"/>
    <w:rsid w:val="008F36B5"/>
    <w:rsid w:val="00910522"/>
    <w:rsid w:val="0091144E"/>
    <w:rsid w:val="009579C9"/>
    <w:rsid w:val="00960289"/>
    <w:rsid w:val="009A20A3"/>
    <w:rsid w:val="009A437C"/>
    <w:rsid w:val="009B46E1"/>
    <w:rsid w:val="009C2CA0"/>
    <w:rsid w:val="00A16F9D"/>
    <w:rsid w:val="00A40403"/>
    <w:rsid w:val="00A428A5"/>
    <w:rsid w:val="00A4799B"/>
    <w:rsid w:val="00A50493"/>
    <w:rsid w:val="00A80556"/>
    <w:rsid w:val="00AA52DD"/>
    <w:rsid w:val="00AA65FC"/>
    <w:rsid w:val="00AB1272"/>
    <w:rsid w:val="00AB645B"/>
    <w:rsid w:val="00AC2BD0"/>
    <w:rsid w:val="00AC7646"/>
    <w:rsid w:val="00AF0E9D"/>
    <w:rsid w:val="00B10D72"/>
    <w:rsid w:val="00B11B7B"/>
    <w:rsid w:val="00B130A4"/>
    <w:rsid w:val="00B300FB"/>
    <w:rsid w:val="00B31237"/>
    <w:rsid w:val="00B47C51"/>
    <w:rsid w:val="00B56F92"/>
    <w:rsid w:val="00B638A3"/>
    <w:rsid w:val="00B73D9D"/>
    <w:rsid w:val="00B925E6"/>
    <w:rsid w:val="00B927FF"/>
    <w:rsid w:val="00B94631"/>
    <w:rsid w:val="00BC41DD"/>
    <w:rsid w:val="00BD285A"/>
    <w:rsid w:val="00BE30C4"/>
    <w:rsid w:val="00BE5DC6"/>
    <w:rsid w:val="00BF2906"/>
    <w:rsid w:val="00C0248E"/>
    <w:rsid w:val="00C26861"/>
    <w:rsid w:val="00C34D93"/>
    <w:rsid w:val="00C368F9"/>
    <w:rsid w:val="00C43A30"/>
    <w:rsid w:val="00C4757F"/>
    <w:rsid w:val="00C63C39"/>
    <w:rsid w:val="00C71FF5"/>
    <w:rsid w:val="00C9068C"/>
    <w:rsid w:val="00CA28A4"/>
    <w:rsid w:val="00CA6C0A"/>
    <w:rsid w:val="00CB6F42"/>
    <w:rsid w:val="00CD5E6F"/>
    <w:rsid w:val="00CE6D43"/>
    <w:rsid w:val="00D2686A"/>
    <w:rsid w:val="00D26FE7"/>
    <w:rsid w:val="00D3547E"/>
    <w:rsid w:val="00D85D1D"/>
    <w:rsid w:val="00DA418D"/>
    <w:rsid w:val="00DB369A"/>
    <w:rsid w:val="00DB46FA"/>
    <w:rsid w:val="00DD0E82"/>
    <w:rsid w:val="00DD669C"/>
    <w:rsid w:val="00DE2739"/>
    <w:rsid w:val="00DE6690"/>
    <w:rsid w:val="00E02468"/>
    <w:rsid w:val="00E02572"/>
    <w:rsid w:val="00E17887"/>
    <w:rsid w:val="00E2613D"/>
    <w:rsid w:val="00E35D01"/>
    <w:rsid w:val="00E640EE"/>
    <w:rsid w:val="00E64F19"/>
    <w:rsid w:val="00E67A0A"/>
    <w:rsid w:val="00E724EB"/>
    <w:rsid w:val="00EB5606"/>
    <w:rsid w:val="00EC46BA"/>
    <w:rsid w:val="00ED3658"/>
    <w:rsid w:val="00EE2745"/>
    <w:rsid w:val="00EE4E9B"/>
    <w:rsid w:val="00EF2A92"/>
    <w:rsid w:val="00EF3B0A"/>
    <w:rsid w:val="00F36E5A"/>
    <w:rsid w:val="00F42E17"/>
    <w:rsid w:val="00F4573F"/>
    <w:rsid w:val="00F64F29"/>
    <w:rsid w:val="00F702C4"/>
    <w:rsid w:val="00F726DE"/>
    <w:rsid w:val="00F873E8"/>
    <w:rsid w:val="00F91AE5"/>
    <w:rsid w:val="00FC271B"/>
    <w:rsid w:val="00FF7374"/>
    <w:rsid w:val="103E632E"/>
    <w:rsid w:val="37B84213"/>
    <w:rsid w:val="39303A7B"/>
    <w:rsid w:val="3A9202A3"/>
    <w:rsid w:val="3D6D1CD5"/>
    <w:rsid w:val="4AB27A19"/>
    <w:rsid w:val="4E11118C"/>
    <w:rsid w:val="62104090"/>
    <w:rsid w:val="63C449D9"/>
    <w:rsid w:val="6C9A17BA"/>
    <w:rsid w:val="77750427"/>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0C539F"/>
  <w15:docId w15:val="{8D8C9B47-53B4-2643-9109-903D2D857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szCs w:val="24"/>
      <w:lang w:val="en-US" w:eastAsia="en-US"/>
    </w:rPr>
  </w:style>
  <w:style w:type="paragraph" w:styleId="Heading1">
    <w:name w:val="heading 1"/>
    <w:basedOn w:val="Normal"/>
    <w:next w:val="Normal"/>
    <w:link w:val="Heading1Char"/>
    <w:qFormat/>
    <w:pPr>
      <w:keepNext/>
      <w:spacing w:before="567" w:after="1134"/>
      <w:outlineLvl w:val="0"/>
    </w:pPr>
    <w:rPr>
      <w:rFonts w:ascii="Garamond" w:hAnsi="Garamond" w:cs="Arial"/>
      <w:b/>
      <w:bCs/>
      <w:kern w:val="32"/>
      <w:sz w:val="38"/>
      <w:szCs w:val="32"/>
    </w:rPr>
  </w:style>
  <w:style w:type="paragraph" w:styleId="Heading2">
    <w:name w:val="heading 2"/>
    <w:basedOn w:val="Normal"/>
    <w:next w:val="Normal"/>
    <w:link w:val="Heading2Char"/>
    <w:unhideWhenUsed/>
    <w:qFormat/>
    <w:pPr>
      <w:keepNext/>
      <w:spacing w:before="238" w:after="119"/>
      <w:jc w:val="center"/>
      <w:outlineLvl w:val="1"/>
    </w:pPr>
    <w:rPr>
      <w:rFonts w:ascii="Garamond" w:hAnsi="Garamond" w:cs="Arial"/>
      <w:b/>
      <w:bCs/>
      <w:iCs/>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eastAsiaTheme="minorHAnsi" w:hAnsi="Tahoma" w:cs="Tahoma"/>
      <w:sz w:val="16"/>
      <w:szCs w:val="16"/>
      <w:lang w:val="ru-RU"/>
    </w:rPr>
  </w:style>
  <w:style w:type="paragraph" w:styleId="BodyText">
    <w:name w:val="Body Text"/>
    <w:basedOn w:val="Normal"/>
    <w:link w:val="BodyTextChar"/>
    <w:unhideWhenUsed/>
    <w:qFormat/>
    <w:pPr>
      <w:jc w:val="both"/>
    </w:pPr>
    <w:rPr>
      <w:rFonts w:ascii="Garamond" w:eastAsiaTheme="minorHAnsi" w:hAnsi="Garamond" w:cstheme="minorBidi"/>
      <w:sz w:val="22"/>
      <w:szCs w:val="22"/>
      <w:lang w:val="ru-RU"/>
    </w:rPr>
  </w:style>
  <w:style w:type="paragraph" w:styleId="BodyTextIndent">
    <w:name w:val="Body Text Indent"/>
    <w:basedOn w:val="Normal"/>
    <w:link w:val="BodyTextIndentChar"/>
    <w:unhideWhenUsed/>
    <w:qFormat/>
    <w:pPr>
      <w:ind w:firstLine="170"/>
      <w:jc w:val="both"/>
    </w:pPr>
    <w:rPr>
      <w:rFonts w:ascii="Garamond" w:hAnsi="Garamond"/>
      <w:sz w:val="22"/>
      <w:szCs w:val="20"/>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character" w:styleId="EndnoteReference">
    <w:name w:val="endnote reference"/>
    <w:basedOn w:val="DefaultParagraphFont"/>
    <w:uiPriority w:val="99"/>
    <w:semiHidden/>
    <w:unhideWhenUsed/>
    <w:qFormat/>
    <w:rPr>
      <w:vertAlign w:val="superscript"/>
    </w:rPr>
  </w:style>
  <w:style w:type="paragraph" w:styleId="EndnoteText">
    <w:name w:val="endnote text"/>
    <w:basedOn w:val="Normal"/>
    <w:link w:val="EndnoteTextChar"/>
    <w:uiPriority w:val="99"/>
    <w:semiHidden/>
    <w:unhideWhenUsed/>
    <w:qFormat/>
    <w:rPr>
      <w:rFonts w:asciiTheme="minorHAnsi" w:eastAsiaTheme="minorHAnsi" w:hAnsiTheme="minorHAnsi" w:cstheme="minorBidi"/>
      <w:sz w:val="20"/>
      <w:szCs w:val="20"/>
      <w:lang w:val="ru-RU"/>
    </w:rPr>
  </w:style>
  <w:style w:type="paragraph" w:styleId="Footer">
    <w:name w:val="footer"/>
    <w:basedOn w:val="Normal"/>
    <w:link w:val="FooterChar"/>
    <w:uiPriority w:val="99"/>
    <w:unhideWhenUsed/>
    <w:qFormat/>
    <w:pPr>
      <w:tabs>
        <w:tab w:val="center" w:pos="4680"/>
        <w:tab w:val="right" w:pos="9360"/>
      </w:tabs>
    </w:p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link w:val="FootnoteTextChar"/>
    <w:uiPriority w:val="99"/>
    <w:unhideWhenUsed/>
    <w:qFormat/>
    <w:rPr>
      <w:rFonts w:asciiTheme="minorHAnsi" w:eastAsiaTheme="minorHAnsi" w:hAnsiTheme="minorHAnsi" w:cstheme="minorBidi"/>
      <w:sz w:val="20"/>
      <w:szCs w:val="20"/>
      <w:lang w:val="ru-RU"/>
    </w:rPr>
  </w:style>
  <w:style w:type="paragraph" w:styleId="Header">
    <w:name w:val="header"/>
    <w:basedOn w:val="Normal"/>
    <w:link w:val="HeaderChar"/>
    <w:uiPriority w:val="99"/>
    <w:unhideWhenUsed/>
    <w:qFormat/>
    <w:pPr>
      <w:tabs>
        <w:tab w:val="center" w:pos="4680"/>
        <w:tab w:val="right" w:pos="9360"/>
      </w:tabs>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pPr>
      <w:spacing w:before="100" w:beforeAutospacing="1" w:after="100" w:afterAutospacing="1"/>
    </w:pPr>
    <w:rPr>
      <w:lang w:val="ru-RU" w:eastAsia="ru-RU"/>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Heading1Char">
    <w:name w:val="Heading 1 Char"/>
    <w:basedOn w:val="DefaultParagraphFont"/>
    <w:link w:val="Heading1"/>
    <w:uiPriority w:val="9"/>
    <w:qFormat/>
    <w:rPr>
      <w:rFonts w:ascii="Garamond" w:eastAsia="Times New Roman" w:hAnsi="Garamond" w:cs="Arial"/>
      <w:b/>
      <w:bCs/>
      <w:kern w:val="32"/>
      <w:sz w:val="38"/>
      <w:szCs w:val="32"/>
      <w:lang w:val="en-US"/>
    </w:rPr>
  </w:style>
  <w:style w:type="character" w:customStyle="1" w:styleId="Heading2Char">
    <w:name w:val="Heading 2 Char"/>
    <w:basedOn w:val="DefaultParagraphFont"/>
    <w:link w:val="Heading2"/>
    <w:rPr>
      <w:rFonts w:ascii="Garamond" w:eastAsia="Times New Roman" w:hAnsi="Garamond" w:cs="Arial"/>
      <w:b/>
      <w:bCs/>
      <w:iCs/>
      <w:szCs w:val="28"/>
      <w:lang w:val="en-US"/>
    </w:rPr>
  </w:style>
  <w:style w:type="character" w:customStyle="1" w:styleId="BodyTextChar">
    <w:name w:val="Body Text Char"/>
    <w:basedOn w:val="DefaultParagraphFont"/>
    <w:link w:val="BodyText"/>
    <w:qFormat/>
    <w:locked/>
    <w:rPr>
      <w:rFonts w:ascii="Garamond" w:hAnsi="Garamond"/>
    </w:rPr>
  </w:style>
  <w:style w:type="character" w:customStyle="1" w:styleId="BodyTextChar1">
    <w:name w:val="Body Text Char1"/>
    <w:basedOn w:val="DefaultParagraphFont"/>
    <w:uiPriority w:val="99"/>
    <w:semiHidden/>
    <w:qFormat/>
  </w:style>
  <w:style w:type="character" w:customStyle="1" w:styleId="BodyTextIndentChar">
    <w:name w:val="Body Text Indent Char"/>
    <w:basedOn w:val="DefaultParagraphFont"/>
    <w:link w:val="BodyTextIndent"/>
    <w:qFormat/>
    <w:rPr>
      <w:rFonts w:ascii="Garamond" w:eastAsia="Times New Roman" w:hAnsi="Garamond" w:cs="Times New Roman"/>
      <w:szCs w:val="20"/>
      <w:lang w:val="en-US"/>
    </w:rPr>
  </w:style>
  <w:style w:type="paragraph" w:customStyle="1" w:styleId="Verfasser">
    <w:name w:val="Verfasser"/>
    <w:basedOn w:val="Normal"/>
    <w:qFormat/>
    <w:pPr>
      <w:spacing w:line="360" w:lineRule="auto"/>
    </w:pPr>
    <w:rPr>
      <w:i/>
      <w:szCs w:val="20"/>
    </w:rPr>
  </w:style>
  <w:style w:type="character" w:customStyle="1" w:styleId="apple-converted-space">
    <w:name w:val="apple-converted-space"/>
    <w:basedOn w:val="DefaultParagraphFont"/>
    <w:qFormat/>
  </w:style>
  <w:style w:type="character" w:customStyle="1" w:styleId="EndnoteTextChar">
    <w:name w:val="Endnote Text Char"/>
    <w:basedOn w:val="DefaultParagraphFont"/>
    <w:link w:val="EndnoteText"/>
    <w:uiPriority w:val="99"/>
    <w:semiHidden/>
    <w:qFormat/>
    <w:rPr>
      <w:sz w:val="20"/>
      <w:szCs w:val="20"/>
    </w:rPr>
  </w:style>
  <w:style w:type="character" w:customStyle="1" w:styleId="apple-style-span">
    <w:name w:val="apple-style-span"/>
    <w:basedOn w:val="DefaultParagraphFont"/>
    <w:qFormat/>
  </w:style>
  <w:style w:type="character" w:customStyle="1" w:styleId="hps">
    <w:name w:val="hps"/>
    <w:basedOn w:val="DefaultParagraphFont"/>
    <w:qFormat/>
  </w:style>
  <w:style w:type="character" w:customStyle="1" w:styleId="FootnoteTextChar">
    <w:name w:val="Footnote Text Char"/>
    <w:basedOn w:val="DefaultParagraphFont"/>
    <w:link w:val="FootnoteText"/>
    <w:uiPriority w:val="99"/>
    <w:qFormat/>
    <w:rPr>
      <w:sz w:val="20"/>
      <w:szCs w:val="20"/>
    </w:rPr>
  </w:style>
  <w:style w:type="character" w:customStyle="1" w:styleId="HeaderChar">
    <w:name w:val="Header Char"/>
    <w:basedOn w:val="DefaultParagraphFont"/>
    <w:link w:val="Header"/>
    <w:uiPriority w:val="99"/>
    <w:qFormat/>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qFormat/>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CommentTextChar">
    <w:name w:val="Comment Text Char"/>
    <w:basedOn w:val="DefaultParagraphFont"/>
    <w:link w:val="CommentText"/>
    <w:uiPriority w:val="99"/>
    <w:semiHidden/>
    <w:qFormat/>
    <w:rPr>
      <w:rFonts w:ascii="Times New Roman" w:eastAsia="Times New Roman" w:hAnsi="Times New Roman" w:cs="Times New Roman"/>
      <w:sz w:val="20"/>
      <w:szCs w:val="20"/>
      <w:lang w:val="en-US"/>
    </w:rPr>
  </w:style>
  <w:style w:type="character" w:customStyle="1" w:styleId="CommentSubjectChar">
    <w:name w:val="Comment Subject Char"/>
    <w:basedOn w:val="CommentTextChar"/>
    <w:link w:val="CommentSubject"/>
    <w:uiPriority w:val="99"/>
    <w:semiHidden/>
    <w:qFormat/>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igi-global.com/chapter/overtourism/250486" TargetMode="External"/><Relationship Id="rId13" Type="http://schemas.openxmlformats.org/officeDocument/2006/relationships/hyperlink" Target="https://link.springer.com/chapter/10.1057/9781137428530_11" TargetMode="External"/><Relationship Id="rId18" Type="http://schemas.openxmlformats.org/officeDocument/2006/relationships/hyperlink" Target="https://thuvienso.hoasen.edu.vn/handle/123456789/6843"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link.springer.com/article/10.1007/s10668-020-00764-4" TargetMode="External"/><Relationship Id="rId7" Type="http://schemas.openxmlformats.org/officeDocument/2006/relationships/hyperlink" Target="https://www.mdpi.com/2073-445X/10/1/17" TargetMode="External"/><Relationship Id="rId12" Type="http://schemas.openxmlformats.org/officeDocument/2006/relationships/hyperlink" Target="https://doi.org/10.4135/9781529798210" TargetMode="External"/><Relationship Id="rId17" Type="http://schemas.openxmlformats.org/officeDocument/2006/relationships/hyperlink" Target="https://idj.journals.ekb.eg/article_222614_29486.html" TargetMode="External"/><Relationship Id="rId25" Type="http://schemas.openxmlformats.org/officeDocument/2006/relationships/hyperlink" Target="https://doi.org/10.48550/arXiv.2304.05157" TargetMode="External"/><Relationship Id="rId2" Type="http://schemas.openxmlformats.org/officeDocument/2006/relationships/styles" Target="styles.xml"/><Relationship Id="rId16" Type="http://schemas.openxmlformats.org/officeDocument/2006/relationships/hyperlink" Target="https://doi.org/10.1080/13467581.2023.2244566" TargetMode="External"/><Relationship Id="rId20" Type="http://schemas.openxmlformats.org/officeDocument/2006/relationships/hyperlink" Target="https://doi.org/10.14741/ijmcr/v.8.3.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tmp.2020.100694" TargetMode="External"/><Relationship Id="rId24" Type="http://schemas.openxmlformats.org/officeDocument/2006/relationships/hyperlink" Target="https://ieeexplore.ieee.org/abstract/document/10196714" TargetMode="External"/><Relationship Id="rId5" Type="http://schemas.openxmlformats.org/officeDocument/2006/relationships/footnotes" Target="footnotes.xml"/><Relationship Id="rId15" Type="http://schemas.openxmlformats.org/officeDocument/2006/relationships/hyperlink" Target="https://www.mdpi.com/2071-1050/15/15/11491" TargetMode="External"/><Relationship Id="rId23" Type="http://schemas.openxmlformats.org/officeDocument/2006/relationships/hyperlink" Target="https://www.cell.com/heliyon/pdf/S2405-8440(23)05611-6.pdf" TargetMode="External"/><Relationship Id="rId28" Type="http://schemas.openxmlformats.org/officeDocument/2006/relationships/theme" Target="theme/theme1.xml"/><Relationship Id="rId10" Type="http://schemas.openxmlformats.org/officeDocument/2006/relationships/hyperlink" Target="https://www.emerald.com/insight/content/doi/10.1108/TCJ-11-2021-0210/full/html" TargetMode="External"/><Relationship Id="rId19" Type="http://schemas.openxmlformats.org/officeDocument/2006/relationships/hyperlink" Target="https://pantheon.ufrj.br/handle/11422/17392" TargetMode="External"/><Relationship Id="rId4" Type="http://schemas.openxmlformats.org/officeDocument/2006/relationships/webSettings" Target="webSettings.xml"/><Relationship Id="rId9" Type="http://schemas.openxmlformats.org/officeDocument/2006/relationships/hyperlink" Target="https://doi.org/10.1080/19368623.2023.2222029" TargetMode="External"/><Relationship Id="rId14" Type="http://schemas.openxmlformats.org/officeDocument/2006/relationships/hyperlink" Target="https://journal.uc.ac.id/index.php/JTCE/article/view/4089" TargetMode="External"/><Relationship Id="rId22" Type="http://schemas.openxmlformats.org/officeDocument/2006/relationships/hyperlink" Target="https://doi.org/10.1016/j.jjimei.2022.100085"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329170-7C49-43B2-A891-9A005B9AB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10</Pages>
  <Words>3247</Words>
  <Characters>18512</Characters>
  <Application>Microsoft Office Word</Application>
  <DocSecurity>0</DocSecurity>
  <Lines>154</Lines>
  <Paragraphs>43</Paragraphs>
  <ScaleCrop>false</ScaleCrop>
  <Company/>
  <LinksUpToDate>false</LinksUpToDate>
  <CharactersWithSpaces>21716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Monica Lavric (2121183)</cp:lastModifiedBy>
  <cp:revision>2</cp:revision>
  <dcterms:created xsi:type="dcterms:W3CDTF">2023-11-07T16:06:00Z</dcterms:created>
  <dcterms:modified xsi:type="dcterms:W3CDTF">2023-11-14T09:21:00Z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1033-12.2.0.13266</vt:lpwstr>
  </property>
  <property fmtid="{D5CDD505-2E9C-101B-9397-08002B2CF9AE}" pid="3" name="ICV">
    <vt:lpwstr>B1A0E0DC9E17476BB541E663B9E9F171_12</vt:lpwstr>
  </property>
</Properties>
</file>