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11D0" w:rsidRDefault="000411D0" w:rsidP="000411D0">
      <w:pPr>
        <w:ind w:left="540" w:hanging="540"/>
        <w:rPr>
          <w:rFonts w:ascii="Palatino Linotype" w:hAnsi="Palatino Linotype"/>
        </w:rPr>
      </w:pPr>
      <w:r>
        <w:rPr>
          <w:rFonts w:ascii="Palatino Linotype" w:hAnsi="Palatino Linotype"/>
        </w:rPr>
        <w:t>Modern Orthodox Theologians</w:t>
      </w:r>
    </w:p>
    <w:p w:rsidR="000411D0" w:rsidRDefault="000411D0" w:rsidP="000411D0">
      <w:pPr>
        <w:ind w:left="540" w:hanging="540"/>
        <w:rPr>
          <w:rFonts w:ascii="Palatino Linotype" w:hAnsi="Palatino Linotype"/>
        </w:rPr>
      </w:pPr>
      <w:r>
        <w:rPr>
          <w:rFonts w:ascii="Palatino Linotype" w:hAnsi="Palatino Linotype"/>
        </w:rPr>
        <w:t>TRDL7081</w:t>
      </w:r>
    </w:p>
    <w:p w:rsidR="000411D0" w:rsidRPr="007D40B2" w:rsidRDefault="000411D0" w:rsidP="000411D0">
      <w:pPr>
        <w:ind w:left="540" w:hanging="540"/>
        <w:rPr>
          <w:rFonts w:ascii="Palatino Linotype" w:hAnsi="Palatino Linotype"/>
        </w:rPr>
      </w:pPr>
      <w:r w:rsidRPr="007D40B2">
        <w:rPr>
          <w:rFonts w:ascii="Palatino Linotype" w:hAnsi="Palatino Linotype"/>
        </w:rPr>
        <w:t>Unit Three</w:t>
      </w:r>
    </w:p>
    <w:p w:rsidR="000411D0" w:rsidRPr="007D40B2" w:rsidRDefault="000411D0" w:rsidP="000411D0">
      <w:pPr>
        <w:ind w:left="540" w:hanging="540"/>
        <w:jc w:val="center"/>
        <w:rPr>
          <w:rFonts w:ascii="Palatino Linotype" w:hAnsi="Palatino Linotype"/>
          <w:i/>
          <w:iCs/>
        </w:rPr>
      </w:pPr>
      <w:r w:rsidRPr="007D40B2">
        <w:rPr>
          <w:rFonts w:ascii="Palatino Linotype" w:hAnsi="Palatino Linotype"/>
          <w:i/>
          <w:iCs/>
        </w:rPr>
        <w:t xml:space="preserve">Orthodox dogmatic theology: The </w:t>
      </w:r>
      <w:proofErr w:type="spellStart"/>
      <w:r w:rsidRPr="007D40B2">
        <w:rPr>
          <w:rFonts w:ascii="Palatino Linotype" w:hAnsi="Palatino Linotype"/>
        </w:rPr>
        <w:t>Filioque</w:t>
      </w:r>
      <w:proofErr w:type="spellEnd"/>
      <w:r w:rsidRPr="007D40B2">
        <w:rPr>
          <w:rFonts w:ascii="Palatino Linotype" w:hAnsi="Palatino Linotype"/>
          <w:i/>
          <w:iCs/>
        </w:rPr>
        <w:t>:</w:t>
      </w:r>
    </w:p>
    <w:p w:rsidR="000411D0" w:rsidRPr="007D40B2" w:rsidRDefault="000411D0" w:rsidP="000411D0">
      <w:pPr>
        <w:pStyle w:val="Heading6"/>
        <w:rPr>
          <w:rFonts w:ascii="Palatino Linotype" w:hAnsi="Palatino Linotype"/>
        </w:rPr>
      </w:pPr>
      <w:r w:rsidRPr="007D40B2">
        <w:rPr>
          <w:rFonts w:ascii="Palatino Linotype" w:hAnsi="Palatino Linotype"/>
        </w:rPr>
        <w:t xml:space="preserve">Vladimir </w:t>
      </w:r>
      <w:proofErr w:type="spellStart"/>
      <w:r w:rsidRPr="007D40B2">
        <w:rPr>
          <w:rFonts w:ascii="Palatino Linotype" w:hAnsi="Palatino Linotype"/>
        </w:rPr>
        <w:t>Lossky</w:t>
      </w:r>
      <w:proofErr w:type="spellEnd"/>
      <w:r w:rsidRPr="007D40B2">
        <w:rPr>
          <w:rFonts w:ascii="Palatino Linotype" w:hAnsi="Palatino Linotype"/>
        </w:rPr>
        <w:t xml:space="preserve"> and </w:t>
      </w:r>
      <w:proofErr w:type="spellStart"/>
      <w:r w:rsidRPr="007D40B2">
        <w:rPr>
          <w:rFonts w:ascii="Palatino Linotype" w:hAnsi="Palatino Linotype"/>
        </w:rPr>
        <w:t>Dumitru</w:t>
      </w:r>
      <w:proofErr w:type="spellEnd"/>
      <w:r w:rsidRPr="007D40B2">
        <w:rPr>
          <w:rFonts w:ascii="Palatino Linotype" w:hAnsi="Palatino Linotype"/>
        </w:rPr>
        <w:t xml:space="preserve"> </w:t>
      </w:r>
      <w:proofErr w:type="spellStart"/>
      <w:r w:rsidRPr="007D40B2">
        <w:rPr>
          <w:rFonts w:ascii="Palatino Linotype" w:hAnsi="Palatino Linotype"/>
        </w:rPr>
        <w:t>Stăniloae</w:t>
      </w:r>
      <w:proofErr w:type="spellEnd"/>
    </w:p>
    <w:p w:rsidR="000411D0" w:rsidRPr="007D40B2" w:rsidRDefault="000411D0" w:rsidP="000411D0">
      <w:pPr>
        <w:ind w:left="540" w:hanging="540"/>
        <w:jc w:val="both"/>
        <w:rPr>
          <w:rFonts w:ascii="Palatino Linotype" w:hAnsi="Palatino Linotype"/>
        </w:rPr>
      </w:pPr>
    </w:p>
    <w:p w:rsidR="000411D0" w:rsidRPr="007D40B2" w:rsidRDefault="000411D0" w:rsidP="000411D0">
      <w:pPr>
        <w:jc w:val="both"/>
        <w:rPr>
          <w:rFonts w:ascii="Palatino Linotype" w:hAnsi="Palatino Linotype"/>
        </w:rPr>
      </w:pPr>
      <w:r w:rsidRPr="007D40B2">
        <w:rPr>
          <w:rFonts w:ascii="Palatino Linotype" w:hAnsi="Palatino Linotype"/>
        </w:rPr>
        <w:t xml:space="preserve">Orthodox dogmatic theology has often been articulated in moments of crisis. The great Christological debates of the early Church are a good case in point. According to the conventional Orthodox perspective, heresy arises and creates problems that are then redressed through the formulation of orthodox doctrine. Traditionally, the original state of theology is presumed to be orthodoxy and heresy is therefore portrayed as a falling away from orthodoxy (famously, this perspective can be found in the first pages of Eusebius’ </w:t>
      </w:r>
      <w:r w:rsidRPr="007D40B2">
        <w:rPr>
          <w:rFonts w:ascii="Palatino Linotype" w:hAnsi="Palatino Linotype"/>
          <w:i/>
          <w:iCs/>
        </w:rPr>
        <w:t>Ecclesiastical History</w:t>
      </w:r>
      <w:r w:rsidRPr="007D40B2">
        <w:rPr>
          <w:rFonts w:ascii="Palatino Linotype" w:hAnsi="Palatino Linotype"/>
        </w:rPr>
        <w:t xml:space="preserve">). A few recent Orthodox theologians, warming to Walter Bauer’s </w:t>
      </w:r>
      <w:r w:rsidRPr="007D40B2">
        <w:rPr>
          <w:rFonts w:ascii="Palatino Linotype" w:hAnsi="Palatino Linotype"/>
          <w:i/>
          <w:iCs/>
        </w:rPr>
        <w:t>Heresy and orthodoxy in earliest Christianity</w:t>
      </w:r>
      <w:r w:rsidRPr="007D40B2">
        <w:rPr>
          <w:rFonts w:ascii="Palatino Linotype" w:hAnsi="Palatino Linotype"/>
        </w:rPr>
        <w:t>, have begun to think that the background from which heresy emerges is, rather than orthodoxy as such, a ‘pre-critical’ stage of theological reflection. But what is in any case generally still agreed is that Orthodox theology is generally reserved and that Orthodox theologians as a rule prefer keeping silent to speaking out.</w:t>
      </w:r>
    </w:p>
    <w:p w:rsidR="000411D0" w:rsidRPr="007D40B2" w:rsidRDefault="000411D0" w:rsidP="000411D0">
      <w:pPr>
        <w:jc w:val="both"/>
        <w:rPr>
          <w:rFonts w:ascii="Palatino Linotype" w:hAnsi="Palatino Linotype"/>
        </w:rPr>
      </w:pPr>
    </w:p>
    <w:p w:rsidR="000411D0" w:rsidRPr="007D40B2" w:rsidRDefault="000411D0" w:rsidP="000411D0">
      <w:pPr>
        <w:pStyle w:val="BodyText"/>
        <w:rPr>
          <w:rFonts w:ascii="Palatino Linotype" w:hAnsi="Palatino Linotype"/>
        </w:rPr>
      </w:pPr>
      <w:r w:rsidRPr="007D40B2">
        <w:rPr>
          <w:rFonts w:ascii="Palatino Linotype" w:hAnsi="Palatino Linotype"/>
        </w:rPr>
        <w:t xml:space="preserve">Christology is not the only theological topic to be debated in this way. Orthodox theologians have treated the question of the origin, and mode of origination, within the Trinity of the Holy Spirit in a similar way. Controversies between Eastern and Western theologians about the precise role that God the Son plays in the origin of the Holy Spirit date back to the early middle ages. From as early as the fifth century, Latin theologians – perhaps to refute Arian claims that the Son is inferior to the Father – had begun to insist that the Spirit proceeds from the Father </w:t>
      </w:r>
      <w:r w:rsidRPr="007D40B2">
        <w:rPr>
          <w:rFonts w:ascii="Palatino Linotype" w:hAnsi="Palatino Linotype"/>
          <w:i/>
          <w:iCs/>
        </w:rPr>
        <w:t xml:space="preserve">and from the Son </w:t>
      </w:r>
      <w:r w:rsidRPr="007D40B2">
        <w:rPr>
          <w:rFonts w:ascii="Palatino Linotype" w:hAnsi="Palatino Linotype"/>
        </w:rPr>
        <w:t>(in Latin, ‘</w:t>
      </w:r>
      <w:proofErr w:type="spellStart"/>
      <w:r w:rsidRPr="007D40B2">
        <w:rPr>
          <w:rFonts w:ascii="Palatino Linotype" w:hAnsi="Palatino Linotype"/>
        </w:rPr>
        <w:t>filioque</w:t>
      </w:r>
      <w:proofErr w:type="spellEnd"/>
      <w:r w:rsidRPr="007D40B2">
        <w:rPr>
          <w:rFonts w:ascii="Palatino Linotype" w:hAnsi="Palatino Linotype"/>
        </w:rPr>
        <w:t xml:space="preserve">’). By insisting that the Son with the Father is the source of the Holy Spirit, these theologians sought to safeguard the full equality of the Father and the Son. Now the term </w:t>
      </w:r>
      <w:proofErr w:type="spellStart"/>
      <w:r w:rsidRPr="007D40B2">
        <w:rPr>
          <w:rFonts w:ascii="Palatino Linotype" w:hAnsi="Palatino Linotype"/>
          <w:i/>
          <w:iCs/>
        </w:rPr>
        <w:t>filioque</w:t>
      </w:r>
      <w:proofErr w:type="spellEnd"/>
      <w:r w:rsidRPr="007D40B2">
        <w:rPr>
          <w:rFonts w:ascii="Palatino Linotype" w:hAnsi="Palatino Linotype"/>
          <w:i/>
          <w:iCs/>
        </w:rPr>
        <w:t xml:space="preserve"> </w:t>
      </w:r>
      <w:r w:rsidRPr="007D40B2">
        <w:rPr>
          <w:rFonts w:ascii="Palatino Linotype" w:hAnsi="Palatino Linotype"/>
        </w:rPr>
        <w:t xml:space="preserve">was eventually incorporated into the Latin version of the Nicene-Constantinopolitan Creed and the expanded creed eventually became widely accepted as a matter of tradition in the Latin Christian world. Western theologians, even those like Pope Leo III (died 816) who rejected the modification of the creed, were sympathetic to and even supportive of the theological claims about the Trinity expressed by the </w:t>
      </w:r>
      <w:proofErr w:type="spellStart"/>
      <w:r w:rsidRPr="007D40B2">
        <w:rPr>
          <w:rFonts w:ascii="Palatino Linotype" w:hAnsi="Palatino Linotype"/>
          <w:i/>
          <w:iCs/>
        </w:rPr>
        <w:t>filioque</w:t>
      </w:r>
      <w:proofErr w:type="spellEnd"/>
      <w:r w:rsidRPr="007D40B2">
        <w:rPr>
          <w:rFonts w:ascii="Palatino Linotype" w:hAnsi="Palatino Linotype"/>
        </w:rPr>
        <w:t xml:space="preserve">. </w:t>
      </w:r>
    </w:p>
    <w:p w:rsidR="000411D0" w:rsidRPr="007D40B2" w:rsidRDefault="000411D0" w:rsidP="000411D0">
      <w:pPr>
        <w:pStyle w:val="BodyText"/>
        <w:rPr>
          <w:rFonts w:ascii="Palatino Linotype" w:hAnsi="Palatino Linotype"/>
        </w:rPr>
      </w:pPr>
    </w:p>
    <w:p w:rsidR="000411D0" w:rsidRPr="007D40B2" w:rsidRDefault="000411D0" w:rsidP="000411D0">
      <w:pPr>
        <w:pStyle w:val="BodyText"/>
        <w:rPr>
          <w:rFonts w:ascii="Palatino Linotype" w:hAnsi="Palatino Linotype"/>
        </w:rPr>
      </w:pPr>
      <w:r w:rsidRPr="007D40B2">
        <w:rPr>
          <w:rFonts w:ascii="Palatino Linotype" w:hAnsi="Palatino Linotype"/>
        </w:rPr>
        <w:t xml:space="preserve">The difference in creedal affirmations about the Spirit led to a difference in theological conceptualisation by the </w:t>
      </w:r>
      <w:proofErr w:type="spellStart"/>
      <w:r w:rsidRPr="007D40B2">
        <w:rPr>
          <w:rFonts w:ascii="Palatino Linotype" w:hAnsi="Palatino Linotype"/>
        </w:rPr>
        <w:t>Latins</w:t>
      </w:r>
      <w:proofErr w:type="spellEnd"/>
      <w:r w:rsidRPr="007D40B2">
        <w:rPr>
          <w:rFonts w:ascii="Palatino Linotype" w:hAnsi="Palatino Linotype"/>
        </w:rPr>
        <w:t xml:space="preserve"> and the Greeks – and even to a difference in how they conceived of their histories, which can be seen in the tendency to magnify the differences between the Trinitarian theology of the </w:t>
      </w:r>
      <w:proofErr w:type="spellStart"/>
      <w:r w:rsidRPr="007D40B2">
        <w:rPr>
          <w:rFonts w:ascii="Palatino Linotype" w:hAnsi="Palatino Linotype"/>
        </w:rPr>
        <w:t>Cappadocian</w:t>
      </w:r>
      <w:proofErr w:type="spellEnd"/>
      <w:r w:rsidRPr="007D40B2">
        <w:rPr>
          <w:rFonts w:ascii="Palatino Linotype" w:hAnsi="Palatino Linotype"/>
        </w:rPr>
        <w:t xml:space="preserve"> Fathers and that of Augustine of Hippo and to evaluate those differences polemically (a tendency that survives to this day). By the time of the Carolingians, and especially during the time of Patriarch </w:t>
      </w:r>
      <w:proofErr w:type="spellStart"/>
      <w:r w:rsidRPr="007D40B2">
        <w:rPr>
          <w:rFonts w:ascii="Palatino Linotype" w:hAnsi="Palatino Linotype"/>
        </w:rPr>
        <w:t>Photius</w:t>
      </w:r>
      <w:proofErr w:type="spellEnd"/>
      <w:r w:rsidRPr="007D40B2">
        <w:rPr>
          <w:rFonts w:ascii="Palatino Linotype" w:hAnsi="Palatino Linotype"/>
        </w:rPr>
        <w:t xml:space="preserve"> the Great (c. 820-93), these differences became the focus of intense controversy about how God is understood. </w:t>
      </w:r>
      <w:r w:rsidRPr="007D40B2">
        <w:rPr>
          <w:rFonts w:ascii="Palatino Linotype" w:hAnsi="Palatino Linotype"/>
        </w:rPr>
        <w:lastRenderedPageBreak/>
        <w:t>Whilst the western theologians insisted that the Son and the Father are both the source of the Spirit, the eastern theologians on the other hand asserted that the Father alone is the source of divinity and as such the Spirit proceeds from the Father alone. For this reason, the eastern position is sometimes called ‘</w:t>
      </w:r>
      <w:proofErr w:type="spellStart"/>
      <w:r w:rsidRPr="007D40B2">
        <w:rPr>
          <w:rFonts w:ascii="Palatino Linotype" w:hAnsi="Palatino Linotype"/>
        </w:rPr>
        <w:t>patrimonism</w:t>
      </w:r>
      <w:proofErr w:type="spellEnd"/>
      <w:r w:rsidRPr="007D40B2">
        <w:rPr>
          <w:rFonts w:ascii="Palatino Linotype" w:hAnsi="Palatino Linotype"/>
        </w:rPr>
        <w:t>’ (from the Greek, literally meaning ‘Father-only-ism’), in parallel to the term ‘</w:t>
      </w:r>
      <w:proofErr w:type="spellStart"/>
      <w:r w:rsidRPr="007D40B2">
        <w:rPr>
          <w:rFonts w:ascii="Palatino Linotype" w:hAnsi="Palatino Linotype"/>
        </w:rPr>
        <w:t>filioquism</w:t>
      </w:r>
      <w:proofErr w:type="spellEnd"/>
      <w:r w:rsidRPr="007D40B2">
        <w:rPr>
          <w:rFonts w:ascii="Palatino Linotype" w:hAnsi="Palatino Linotype"/>
        </w:rPr>
        <w:t xml:space="preserve">’ (from the Latin, literally meaning ‘and-the-Son-ism’) as used to describe the western position. Eventually, the debate between Latin and Greek theologians developed into a debate between Catholic and Orthodox theologians. Over time, Orthodox opposition to the </w:t>
      </w:r>
      <w:proofErr w:type="spellStart"/>
      <w:r w:rsidRPr="007D40B2">
        <w:rPr>
          <w:rFonts w:ascii="Palatino Linotype" w:hAnsi="Palatino Linotype"/>
          <w:i/>
          <w:iCs/>
        </w:rPr>
        <w:t>filioque</w:t>
      </w:r>
      <w:proofErr w:type="spellEnd"/>
      <w:r w:rsidRPr="007D40B2">
        <w:rPr>
          <w:rFonts w:ascii="Palatino Linotype" w:hAnsi="Palatino Linotype"/>
        </w:rPr>
        <w:t xml:space="preserve"> became a stable feature in Byzantine ‘Lists of Errors’, which are echoed to this day in Orthodox doctrinal theology.</w:t>
      </w:r>
    </w:p>
    <w:p w:rsidR="000411D0" w:rsidRPr="007D40B2" w:rsidRDefault="000411D0" w:rsidP="000411D0">
      <w:pPr>
        <w:pStyle w:val="BodyText"/>
        <w:rPr>
          <w:rFonts w:ascii="Palatino Linotype" w:hAnsi="Palatino Linotype"/>
        </w:rPr>
      </w:pPr>
    </w:p>
    <w:p w:rsidR="000411D0" w:rsidRPr="007D40B2" w:rsidRDefault="000411D0" w:rsidP="000411D0">
      <w:pPr>
        <w:pStyle w:val="BodyText"/>
        <w:rPr>
          <w:rFonts w:ascii="Palatino Linotype" w:hAnsi="Palatino Linotype"/>
        </w:rPr>
      </w:pPr>
      <w:r w:rsidRPr="007D40B2">
        <w:rPr>
          <w:rFonts w:ascii="Palatino Linotype" w:hAnsi="Palatino Linotype"/>
        </w:rPr>
        <w:t>The subtle, but important, difference in understanding of the Trinity that is debated in these terms is in terms of classical Christian doctrine the major dividing point between eastern theology and western theology. Whereas the heritage of Christian orthodoxy links east and west in matters pertaining to Christology, the two groups split over the technical question of how – or from whom – the Holy Spirit proceeds. As such, this divisive issue has tended to be linked by Orthodox theologians to other perceived differences. In other words, many contemporary Orthodox theologians tend to conceive of ‘</w:t>
      </w:r>
      <w:proofErr w:type="spellStart"/>
      <w:r w:rsidRPr="007D40B2">
        <w:rPr>
          <w:rFonts w:ascii="Palatino Linotype" w:hAnsi="Palatino Linotype"/>
        </w:rPr>
        <w:t>patrimonist</w:t>
      </w:r>
      <w:proofErr w:type="spellEnd"/>
      <w:r w:rsidRPr="007D40B2">
        <w:rPr>
          <w:rFonts w:ascii="Palatino Linotype" w:hAnsi="Palatino Linotype"/>
        </w:rPr>
        <w:t xml:space="preserve">’ Trinitarian theology as being the node in the network of Orthodox belief and therefore they tend to think of the whole of Orthodoxy as being connected (in one way or another) to denying the </w:t>
      </w:r>
      <w:proofErr w:type="spellStart"/>
      <w:r w:rsidRPr="007D40B2">
        <w:rPr>
          <w:rFonts w:ascii="Palatino Linotype" w:hAnsi="Palatino Linotype"/>
          <w:i/>
          <w:iCs/>
        </w:rPr>
        <w:t>filioque</w:t>
      </w:r>
      <w:proofErr w:type="spellEnd"/>
      <w:r w:rsidRPr="007D40B2">
        <w:rPr>
          <w:rFonts w:ascii="Palatino Linotype" w:hAnsi="Palatino Linotype"/>
        </w:rPr>
        <w:t xml:space="preserve">. By contrast, some Orthodox theologians will maintain that to affirm the </w:t>
      </w:r>
      <w:proofErr w:type="spellStart"/>
      <w:r w:rsidRPr="007D40B2">
        <w:rPr>
          <w:rFonts w:ascii="Palatino Linotype" w:hAnsi="Palatino Linotype"/>
          <w:i/>
          <w:iCs/>
        </w:rPr>
        <w:t>filioque</w:t>
      </w:r>
      <w:proofErr w:type="spellEnd"/>
      <w:r w:rsidRPr="007D40B2">
        <w:rPr>
          <w:rFonts w:ascii="Palatino Linotype" w:hAnsi="Palatino Linotype"/>
          <w:i/>
          <w:iCs/>
        </w:rPr>
        <w:t xml:space="preserve"> </w:t>
      </w:r>
      <w:r w:rsidRPr="007D40B2">
        <w:rPr>
          <w:rFonts w:ascii="Palatino Linotype" w:hAnsi="Palatino Linotype"/>
        </w:rPr>
        <w:t>is necessarily to affirm a network of other beliefs; this network is, basically, Roman Catholic Christianity and other forms of western ‘</w:t>
      </w:r>
      <w:proofErr w:type="spellStart"/>
      <w:r w:rsidRPr="007D40B2">
        <w:rPr>
          <w:rFonts w:ascii="Palatino Linotype" w:hAnsi="Palatino Linotype"/>
        </w:rPr>
        <w:t>filioquist</w:t>
      </w:r>
      <w:proofErr w:type="spellEnd"/>
      <w:r w:rsidRPr="007D40B2">
        <w:rPr>
          <w:rFonts w:ascii="Palatino Linotype" w:hAnsi="Palatino Linotype"/>
        </w:rPr>
        <w:t>’ Trinitarian theology.</w:t>
      </w:r>
    </w:p>
    <w:p w:rsidR="000411D0" w:rsidRPr="007D40B2" w:rsidRDefault="000411D0" w:rsidP="000411D0">
      <w:pPr>
        <w:pStyle w:val="BodyText"/>
        <w:rPr>
          <w:rFonts w:ascii="Palatino Linotype" w:hAnsi="Palatino Linotype"/>
        </w:rPr>
      </w:pPr>
    </w:p>
    <w:p w:rsidR="000411D0" w:rsidRPr="007D40B2" w:rsidRDefault="000411D0" w:rsidP="000411D0">
      <w:pPr>
        <w:pStyle w:val="BodyText"/>
        <w:rPr>
          <w:rFonts w:ascii="Palatino Linotype" w:hAnsi="Palatino Linotype"/>
        </w:rPr>
      </w:pPr>
      <w:r w:rsidRPr="007D40B2">
        <w:rPr>
          <w:rFonts w:ascii="Palatino Linotype" w:hAnsi="Palatino Linotype"/>
        </w:rPr>
        <w:t xml:space="preserve">In this unit, we consider the works of two recent Orthodox theologians as regards the </w:t>
      </w:r>
      <w:proofErr w:type="spellStart"/>
      <w:r w:rsidRPr="007D40B2">
        <w:rPr>
          <w:rFonts w:ascii="Palatino Linotype" w:hAnsi="Palatino Linotype"/>
          <w:i/>
          <w:iCs/>
        </w:rPr>
        <w:t>filioque</w:t>
      </w:r>
      <w:proofErr w:type="spellEnd"/>
      <w:r w:rsidRPr="007D40B2">
        <w:rPr>
          <w:rFonts w:ascii="Palatino Linotype" w:hAnsi="Palatino Linotype"/>
        </w:rPr>
        <w:t xml:space="preserve">. First will be the Franco-Russian lay theologian Vladimir </w:t>
      </w:r>
      <w:proofErr w:type="spellStart"/>
      <w:r w:rsidRPr="007D40B2">
        <w:rPr>
          <w:rFonts w:ascii="Palatino Linotype" w:hAnsi="Palatino Linotype"/>
        </w:rPr>
        <w:t>Lossky</w:t>
      </w:r>
      <w:proofErr w:type="spellEnd"/>
      <w:r w:rsidRPr="007D40B2">
        <w:rPr>
          <w:rFonts w:ascii="Palatino Linotype" w:hAnsi="Palatino Linotype"/>
        </w:rPr>
        <w:t xml:space="preserve"> (1903-58), then the Romanian priest and professor </w:t>
      </w:r>
      <w:proofErr w:type="spellStart"/>
      <w:r w:rsidRPr="007D40B2">
        <w:rPr>
          <w:rFonts w:ascii="Palatino Linotype" w:hAnsi="Palatino Linotype"/>
        </w:rPr>
        <w:t>Dumitru</w:t>
      </w:r>
      <w:proofErr w:type="spellEnd"/>
      <w:r w:rsidRPr="007D40B2">
        <w:rPr>
          <w:rFonts w:ascii="Palatino Linotype" w:hAnsi="Palatino Linotype"/>
        </w:rPr>
        <w:t xml:space="preserve"> </w:t>
      </w:r>
      <w:proofErr w:type="spellStart"/>
      <w:r w:rsidRPr="007D40B2">
        <w:rPr>
          <w:rFonts w:ascii="Palatino Linotype" w:hAnsi="Palatino Linotype"/>
        </w:rPr>
        <w:t>Stăniloae</w:t>
      </w:r>
      <w:proofErr w:type="spellEnd"/>
      <w:r w:rsidRPr="007D40B2">
        <w:rPr>
          <w:rFonts w:ascii="Palatino Linotype" w:hAnsi="Palatino Linotype"/>
        </w:rPr>
        <w:t xml:space="preserve"> (1903-93).</w:t>
      </w:r>
    </w:p>
    <w:p w:rsidR="000411D0" w:rsidRPr="007D40B2" w:rsidRDefault="000411D0" w:rsidP="000411D0">
      <w:pPr>
        <w:pStyle w:val="BodyText"/>
        <w:rPr>
          <w:rFonts w:ascii="Palatino Linotype" w:hAnsi="Palatino Linotype"/>
        </w:rPr>
      </w:pPr>
    </w:p>
    <w:p w:rsidR="000411D0" w:rsidRPr="007D40B2" w:rsidRDefault="000411D0" w:rsidP="000411D0">
      <w:pPr>
        <w:pStyle w:val="BodyText"/>
        <w:rPr>
          <w:rFonts w:ascii="Palatino Linotype" w:hAnsi="Palatino Linotype"/>
        </w:rPr>
      </w:pPr>
      <w:r w:rsidRPr="007D40B2">
        <w:rPr>
          <w:rFonts w:ascii="Palatino Linotype" w:hAnsi="Palatino Linotype"/>
        </w:rPr>
        <w:t xml:space="preserve">Vladimir Nikolayevich </w:t>
      </w:r>
      <w:proofErr w:type="spellStart"/>
      <w:r w:rsidRPr="007D40B2">
        <w:rPr>
          <w:rFonts w:ascii="Palatino Linotype" w:hAnsi="Palatino Linotype"/>
        </w:rPr>
        <w:t>Lossky</w:t>
      </w:r>
      <w:proofErr w:type="spellEnd"/>
      <w:r w:rsidRPr="007D40B2">
        <w:rPr>
          <w:rFonts w:ascii="Palatino Linotype" w:hAnsi="Palatino Linotype"/>
        </w:rPr>
        <w:t xml:space="preserve"> (8 June 1903 – 7 Feb. 1958), son of a prominent professor of philosophy, lived with his family in </w:t>
      </w:r>
      <w:smartTag w:uri="urn:schemas-microsoft-com:office:smarttags" w:element="City">
        <w:r w:rsidRPr="007D40B2">
          <w:rPr>
            <w:rFonts w:ascii="Palatino Linotype" w:hAnsi="Palatino Linotype"/>
          </w:rPr>
          <w:t>St Petersburg</w:t>
        </w:r>
      </w:smartTag>
      <w:r w:rsidRPr="007D40B2">
        <w:rPr>
          <w:rFonts w:ascii="Palatino Linotype" w:hAnsi="Palatino Linotype"/>
        </w:rPr>
        <w:t xml:space="preserve"> until they were exiled from </w:t>
      </w:r>
      <w:smartTag w:uri="urn:schemas-microsoft-com:office:smarttags" w:element="country-region">
        <w:smartTag w:uri="urn:schemas-microsoft-com:office:smarttags" w:element="place">
          <w:r w:rsidRPr="007D40B2">
            <w:rPr>
              <w:rFonts w:ascii="Palatino Linotype" w:hAnsi="Palatino Linotype"/>
            </w:rPr>
            <w:t>Russia</w:t>
          </w:r>
        </w:smartTag>
      </w:smartTag>
      <w:r w:rsidRPr="007D40B2">
        <w:rPr>
          <w:rFonts w:ascii="Palatino Linotype" w:hAnsi="Palatino Linotype"/>
        </w:rPr>
        <w:t xml:space="preserve"> in 1920. Like others of his generation, </w:t>
      </w:r>
      <w:proofErr w:type="spellStart"/>
      <w:r w:rsidRPr="007D40B2">
        <w:rPr>
          <w:rFonts w:ascii="Palatino Linotype" w:hAnsi="Palatino Linotype"/>
        </w:rPr>
        <w:t>Lossky’s</w:t>
      </w:r>
      <w:proofErr w:type="spellEnd"/>
      <w:r w:rsidRPr="007D40B2">
        <w:rPr>
          <w:rFonts w:ascii="Palatino Linotype" w:hAnsi="Palatino Linotype"/>
        </w:rPr>
        <w:t xml:space="preserve"> initial education was in </w:t>
      </w:r>
      <w:smartTag w:uri="urn:schemas-microsoft-com:office:smarttags" w:element="country-region">
        <w:r w:rsidRPr="007D40B2">
          <w:rPr>
            <w:rFonts w:ascii="Palatino Linotype" w:hAnsi="Palatino Linotype"/>
          </w:rPr>
          <w:t>Russia</w:t>
        </w:r>
      </w:smartTag>
      <w:r w:rsidRPr="007D40B2">
        <w:rPr>
          <w:rFonts w:ascii="Palatino Linotype" w:hAnsi="Palatino Linotype"/>
        </w:rPr>
        <w:t xml:space="preserve">, which he continued in </w:t>
      </w:r>
      <w:smartTag w:uri="urn:schemas-microsoft-com:office:smarttags" w:element="City">
        <w:smartTag w:uri="urn:schemas-microsoft-com:office:smarttags" w:element="place">
          <w:r w:rsidRPr="007D40B2">
            <w:rPr>
              <w:rFonts w:ascii="Palatino Linotype" w:hAnsi="Palatino Linotype"/>
            </w:rPr>
            <w:t>Prague</w:t>
          </w:r>
        </w:smartTag>
      </w:smartTag>
      <w:r w:rsidRPr="007D40B2">
        <w:rPr>
          <w:rFonts w:ascii="Palatino Linotype" w:hAnsi="Palatino Linotype"/>
        </w:rPr>
        <w:t xml:space="preserve">; unlike others, </w:t>
      </w:r>
      <w:proofErr w:type="spellStart"/>
      <w:r w:rsidRPr="007D40B2">
        <w:rPr>
          <w:rFonts w:ascii="Palatino Linotype" w:hAnsi="Palatino Linotype"/>
        </w:rPr>
        <w:t>Lossky</w:t>
      </w:r>
      <w:proofErr w:type="spellEnd"/>
      <w:r w:rsidRPr="007D40B2">
        <w:rPr>
          <w:rFonts w:ascii="Palatino Linotype" w:hAnsi="Palatino Linotype"/>
        </w:rPr>
        <w:t xml:space="preserve"> was a student of the mediaeval west – particularly Meister </w:t>
      </w:r>
      <w:proofErr w:type="spellStart"/>
      <w:r w:rsidRPr="007D40B2">
        <w:rPr>
          <w:rFonts w:ascii="Palatino Linotype" w:hAnsi="Palatino Linotype"/>
        </w:rPr>
        <w:t>Echkart</w:t>
      </w:r>
      <w:proofErr w:type="spellEnd"/>
      <w:r w:rsidRPr="007D40B2">
        <w:rPr>
          <w:rFonts w:ascii="Palatino Linotype" w:hAnsi="Palatino Linotype"/>
        </w:rPr>
        <w:t xml:space="preserve"> – and carried out his doctoral studies at the Sorbonne. He spent the rest of his life in Paris where he taught, and eventually served as Dean, at the </w:t>
      </w:r>
      <w:proofErr w:type="spellStart"/>
      <w:r w:rsidRPr="007D40B2">
        <w:rPr>
          <w:rFonts w:ascii="Palatino Linotype" w:hAnsi="Palatino Linotype"/>
        </w:rPr>
        <w:t>Institut</w:t>
      </w:r>
      <w:proofErr w:type="spellEnd"/>
      <w:r w:rsidRPr="007D40B2">
        <w:rPr>
          <w:rFonts w:ascii="Palatino Linotype" w:hAnsi="Palatino Linotype"/>
        </w:rPr>
        <w:t xml:space="preserve"> </w:t>
      </w:r>
      <w:proofErr w:type="spellStart"/>
      <w:r w:rsidRPr="007D40B2">
        <w:rPr>
          <w:rFonts w:ascii="Palatino Linotype" w:hAnsi="Palatino Linotype"/>
        </w:rPr>
        <w:t>Orthodoxe</w:t>
      </w:r>
      <w:proofErr w:type="spellEnd"/>
      <w:r w:rsidRPr="007D40B2">
        <w:rPr>
          <w:rFonts w:ascii="Palatino Linotype" w:hAnsi="Palatino Linotype"/>
        </w:rPr>
        <w:t xml:space="preserve"> </w:t>
      </w:r>
      <w:proofErr w:type="spellStart"/>
      <w:r w:rsidRPr="007D40B2">
        <w:rPr>
          <w:rFonts w:ascii="Palatino Linotype" w:hAnsi="Palatino Linotype"/>
        </w:rPr>
        <w:t>Français</w:t>
      </w:r>
      <w:proofErr w:type="spellEnd"/>
      <w:r w:rsidRPr="007D40B2">
        <w:rPr>
          <w:rFonts w:ascii="Palatino Linotype" w:hAnsi="Palatino Linotype"/>
        </w:rPr>
        <w:t xml:space="preserve"> de Paris Saint-Denys and was a highly visible member of the Russian Orthodox community who remained directly accountable to the Patriarch of Moscow (despite the political difficulties that were entailed by loyalty to the Church under the Soviet regime).</w:t>
      </w:r>
      <w:r w:rsidRPr="007D40B2">
        <w:rPr>
          <w:rFonts w:ascii="Palatino Linotype" w:hAnsi="Palatino Linotype"/>
          <w:i/>
          <w:iCs/>
        </w:rPr>
        <w:t xml:space="preserve"> </w:t>
      </w:r>
    </w:p>
    <w:p w:rsidR="000411D0" w:rsidRPr="007D40B2" w:rsidRDefault="000411D0" w:rsidP="000411D0">
      <w:pPr>
        <w:pStyle w:val="BodyText"/>
        <w:rPr>
          <w:rFonts w:ascii="Palatino Linotype" w:hAnsi="Palatino Linotype"/>
        </w:rPr>
      </w:pPr>
    </w:p>
    <w:p w:rsidR="000411D0" w:rsidRPr="007D40B2" w:rsidRDefault="000411D0" w:rsidP="000411D0">
      <w:pPr>
        <w:pStyle w:val="BodyText"/>
        <w:rPr>
          <w:rFonts w:ascii="Palatino Linotype" w:hAnsi="Palatino Linotype"/>
        </w:rPr>
      </w:pPr>
      <w:proofErr w:type="spellStart"/>
      <w:r w:rsidRPr="007D40B2">
        <w:rPr>
          <w:rFonts w:ascii="Palatino Linotype" w:hAnsi="Palatino Linotype"/>
        </w:rPr>
        <w:t>Lossky’s</w:t>
      </w:r>
      <w:proofErr w:type="spellEnd"/>
      <w:r w:rsidRPr="007D40B2">
        <w:rPr>
          <w:rFonts w:ascii="Palatino Linotype" w:hAnsi="Palatino Linotype"/>
        </w:rPr>
        <w:t xml:space="preserve"> twin interests in mysticism and negative theology, already evident in the doctoral research on Eckhart, were carried forward in his best-known work: </w:t>
      </w:r>
      <w:r w:rsidRPr="007D40B2">
        <w:rPr>
          <w:rFonts w:ascii="Palatino Linotype" w:hAnsi="Palatino Linotype"/>
          <w:i/>
          <w:iCs/>
        </w:rPr>
        <w:t xml:space="preserve">The Mystical Theology of the Eastern Church </w:t>
      </w:r>
      <w:r w:rsidRPr="007D40B2">
        <w:rPr>
          <w:rFonts w:ascii="Palatino Linotype" w:hAnsi="Palatino Linotype"/>
        </w:rPr>
        <w:t xml:space="preserve">(originally published in French in 1944). That </w:t>
      </w:r>
      <w:r w:rsidRPr="007D40B2">
        <w:rPr>
          <w:rFonts w:ascii="Palatino Linotype" w:hAnsi="Palatino Linotype"/>
        </w:rPr>
        <w:lastRenderedPageBreak/>
        <w:t xml:space="preserve">study is an important early example of the ‘Neo-Patristic Synthesis,’ which will consider in greater detail in Unit Four, below. For our purposes at present, what matters chiefly is that, through the exposition of historical teachings, </w:t>
      </w:r>
      <w:proofErr w:type="spellStart"/>
      <w:r w:rsidRPr="007D40B2">
        <w:rPr>
          <w:rFonts w:ascii="Palatino Linotype" w:hAnsi="Palatino Linotype"/>
        </w:rPr>
        <w:t>Lossky</w:t>
      </w:r>
      <w:proofErr w:type="spellEnd"/>
      <w:r w:rsidRPr="007D40B2">
        <w:rPr>
          <w:rFonts w:ascii="Palatino Linotype" w:hAnsi="Palatino Linotype"/>
        </w:rPr>
        <w:t xml:space="preserve"> sought to provide in systematic form an account of Orthodox theology that retains an organic connection to the experience of the mysteries of Christian life. As regards the Trinity in particular, </w:t>
      </w:r>
      <w:proofErr w:type="spellStart"/>
      <w:r w:rsidRPr="007D40B2">
        <w:rPr>
          <w:rFonts w:ascii="Palatino Linotype" w:hAnsi="Palatino Linotype"/>
        </w:rPr>
        <w:t>Lossky’s</w:t>
      </w:r>
      <w:proofErr w:type="spellEnd"/>
      <w:r w:rsidRPr="007D40B2">
        <w:rPr>
          <w:rFonts w:ascii="Palatino Linotype" w:hAnsi="Palatino Linotype"/>
        </w:rPr>
        <w:t xml:space="preserve"> defence of the traditional Orthodox position regarding the Holy Spirit is embedded in an experiential description of the Spirit’s participation in the life of the Church. For </w:t>
      </w:r>
      <w:proofErr w:type="spellStart"/>
      <w:r w:rsidRPr="007D40B2">
        <w:rPr>
          <w:rFonts w:ascii="Palatino Linotype" w:hAnsi="Palatino Linotype"/>
        </w:rPr>
        <w:t>Lossky</w:t>
      </w:r>
      <w:proofErr w:type="spellEnd"/>
      <w:r w:rsidRPr="007D40B2">
        <w:rPr>
          <w:rFonts w:ascii="Palatino Linotype" w:hAnsi="Palatino Linotype"/>
        </w:rPr>
        <w:t>, the historical witness of eastern Fathers regarding the procession of the Spirit from the Father alone in itself discloses important facts about the constitution of the Church, such as the sacramental character of the Church, the Church as the reality in which the Spirit is revealed, and the distinction within the co-operative work of salvation that must be observed between the roles of the Son and of the Spirit.</w:t>
      </w:r>
    </w:p>
    <w:p w:rsidR="000411D0" w:rsidRPr="007D40B2" w:rsidRDefault="000411D0" w:rsidP="000411D0">
      <w:pPr>
        <w:pStyle w:val="BodyText"/>
        <w:rPr>
          <w:rFonts w:ascii="Palatino Linotype" w:hAnsi="Palatino Linotype"/>
        </w:rPr>
      </w:pPr>
    </w:p>
    <w:p w:rsidR="000411D0" w:rsidRPr="007D40B2" w:rsidRDefault="000411D0" w:rsidP="000411D0">
      <w:pPr>
        <w:pStyle w:val="BodyText"/>
        <w:rPr>
          <w:rFonts w:ascii="Palatino Linotype" w:hAnsi="Palatino Linotype"/>
        </w:rPr>
      </w:pPr>
      <w:r w:rsidRPr="007D40B2">
        <w:rPr>
          <w:rFonts w:ascii="Palatino Linotype" w:hAnsi="Palatino Linotype"/>
        </w:rPr>
        <w:t xml:space="preserve">The treatment on the Holy Spirit by </w:t>
      </w:r>
      <w:proofErr w:type="spellStart"/>
      <w:r w:rsidRPr="007D40B2">
        <w:rPr>
          <w:rFonts w:ascii="Palatino Linotype" w:hAnsi="Palatino Linotype"/>
        </w:rPr>
        <w:t>Dumitru</w:t>
      </w:r>
      <w:proofErr w:type="spellEnd"/>
      <w:r w:rsidRPr="007D40B2">
        <w:rPr>
          <w:rFonts w:ascii="Palatino Linotype" w:hAnsi="Palatino Linotype"/>
        </w:rPr>
        <w:t xml:space="preserve"> </w:t>
      </w:r>
      <w:proofErr w:type="spellStart"/>
      <w:r w:rsidRPr="007D40B2">
        <w:rPr>
          <w:rFonts w:ascii="Palatino Linotype" w:hAnsi="Palatino Linotype"/>
        </w:rPr>
        <w:t>Stăniloae</w:t>
      </w:r>
      <w:proofErr w:type="spellEnd"/>
      <w:r w:rsidRPr="007D40B2">
        <w:rPr>
          <w:rFonts w:ascii="Palatino Linotype" w:hAnsi="Palatino Linotype"/>
        </w:rPr>
        <w:t xml:space="preserve"> that we will consider is, at first glance, not as representative of </w:t>
      </w:r>
      <w:proofErr w:type="spellStart"/>
      <w:r w:rsidRPr="007D40B2">
        <w:rPr>
          <w:rFonts w:ascii="Palatino Linotype" w:hAnsi="Palatino Linotype"/>
        </w:rPr>
        <w:t>Stăniloae’s</w:t>
      </w:r>
      <w:proofErr w:type="spellEnd"/>
      <w:r w:rsidRPr="007D40B2">
        <w:rPr>
          <w:rFonts w:ascii="Palatino Linotype" w:hAnsi="Palatino Linotype"/>
        </w:rPr>
        <w:t xml:space="preserve"> work as the chapter by </w:t>
      </w:r>
      <w:proofErr w:type="spellStart"/>
      <w:r w:rsidRPr="007D40B2">
        <w:rPr>
          <w:rFonts w:ascii="Palatino Linotype" w:hAnsi="Palatino Linotype"/>
        </w:rPr>
        <w:t>Lossky</w:t>
      </w:r>
      <w:proofErr w:type="spellEnd"/>
      <w:r w:rsidRPr="007D40B2">
        <w:rPr>
          <w:rFonts w:ascii="Palatino Linotype" w:hAnsi="Palatino Linotype"/>
        </w:rPr>
        <w:t xml:space="preserve"> is of </w:t>
      </w:r>
      <w:proofErr w:type="spellStart"/>
      <w:r w:rsidRPr="007D40B2">
        <w:rPr>
          <w:rFonts w:ascii="Palatino Linotype" w:hAnsi="Palatino Linotype"/>
        </w:rPr>
        <w:t>Lossky’s</w:t>
      </w:r>
      <w:proofErr w:type="spellEnd"/>
      <w:r w:rsidRPr="007D40B2">
        <w:rPr>
          <w:rFonts w:ascii="Palatino Linotype" w:hAnsi="Palatino Linotype"/>
        </w:rPr>
        <w:t xml:space="preserve">. </w:t>
      </w:r>
      <w:proofErr w:type="spellStart"/>
      <w:r w:rsidRPr="007D40B2">
        <w:rPr>
          <w:rFonts w:ascii="Palatino Linotype" w:hAnsi="Palatino Linotype"/>
        </w:rPr>
        <w:t>Stăniloae</w:t>
      </w:r>
      <w:proofErr w:type="spellEnd"/>
      <w:r w:rsidRPr="007D40B2">
        <w:rPr>
          <w:rFonts w:ascii="Palatino Linotype" w:hAnsi="Palatino Linotype"/>
        </w:rPr>
        <w:t xml:space="preserve"> (16 Nov. 1903 – 5 Oct. 1993) is relatively unknown, despite being one of the greatest theologians of the Twentieth Century without qualification, primarily because few of his theological contributions have been translated. Some of those writings are unlikely ever to be translated because of their cultural specificity – such as his 1928 dissertation on </w:t>
      </w:r>
      <w:proofErr w:type="spellStart"/>
      <w:r w:rsidRPr="007D40B2">
        <w:rPr>
          <w:rFonts w:ascii="Palatino Linotype" w:hAnsi="Palatino Linotype"/>
        </w:rPr>
        <w:t>Dosoftei</w:t>
      </w:r>
      <w:proofErr w:type="spellEnd"/>
      <w:r w:rsidRPr="007D40B2">
        <w:rPr>
          <w:rFonts w:ascii="Palatino Linotype" w:hAnsi="Palatino Linotype"/>
        </w:rPr>
        <w:t xml:space="preserve"> of Jerusalem, a hugely important churchman in the Romanian principalities of the mid- to late-Seventeenth Century. Another example is </w:t>
      </w:r>
      <w:proofErr w:type="spellStart"/>
      <w:r w:rsidRPr="007D40B2">
        <w:rPr>
          <w:rFonts w:ascii="Palatino Linotype" w:hAnsi="Palatino Linotype"/>
        </w:rPr>
        <w:t>Stăniloae’s</w:t>
      </w:r>
      <w:proofErr w:type="spellEnd"/>
      <w:r w:rsidRPr="007D40B2">
        <w:rPr>
          <w:rFonts w:ascii="Palatino Linotype" w:hAnsi="Palatino Linotype"/>
        </w:rPr>
        <w:t xml:space="preserve"> massive translation into Romanian of the </w:t>
      </w:r>
      <w:proofErr w:type="spellStart"/>
      <w:r w:rsidRPr="007D40B2">
        <w:rPr>
          <w:rFonts w:ascii="Palatino Linotype" w:hAnsi="Palatino Linotype"/>
          <w:i/>
          <w:iCs/>
        </w:rPr>
        <w:t>Philokalia</w:t>
      </w:r>
      <w:proofErr w:type="spellEnd"/>
      <w:r w:rsidRPr="007D40B2">
        <w:rPr>
          <w:rFonts w:ascii="Palatino Linotype" w:hAnsi="Palatino Linotype"/>
        </w:rPr>
        <w:t xml:space="preserve">, a collection of monastic and ascetic literature which was seminal for the revival of Orthodox theology in the modern world. </w:t>
      </w:r>
      <w:proofErr w:type="spellStart"/>
      <w:r w:rsidRPr="007D40B2">
        <w:rPr>
          <w:rFonts w:ascii="Palatino Linotype" w:hAnsi="Palatino Linotype"/>
        </w:rPr>
        <w:t>Stăniloae</w:t>
      </w:r>
      <w:proofErr w:type="spellEnd"/>
      <w:r w:rsidRPr="007D40B2">
        <w:rPr>
          <w:rFonts w:ascii="Palatino Linotype" w:hAnsi="Palatino Linotype"/>
        </w:rPr>
        <w:t xml:space="preserve"> was no simple antiquarian: in addition to translating the contents of the </w:t>
      </w:r>
      <w:proofErr w:type="spellStart"/>
      <w:r w:rsidRPr="007D40B2">
        <w:rPr>
          <w:rFonts w:ascii="Palatino Linotype" w:hAnsi="Palatino Linotype"/>
          <w:i/>
          <w:iCs/>
        </w:rPr>
        <w:t>Philokalia</w:t>
      </w:r>
      <w:proofErr w:type="spellEnd"/>
      <w:r w:rsidRPr="007D40B2">
        <w:rPr>
          <w:rFonts w:ascii="Palatino Linotype" w:hAnsi="Palatino Linotype"/>
        </w:rPr>
        <w:t xml:space="preserve">, he augmented it with other comparable literature which he judge to be pertinent to contemporary </w:t>
      </w:r>
      <w:smartTag w:uri="urn:schemas-microsoft-com:office:smarttags" w:element="country-region">
        <w:smartTag w:uri="urn:schemas-microsoft-com:office:smarttags" w:element="place">
          <w:r w:rsidRPr="007D40B2">
            <w:rPr>
              <w:rFonts w:ascii="Palatino Linotype" w:hAnsi="Palatino Linotype"/>
            </w:rPr>
            <w:t>Romania</w:t>
          </w:r>
        </w:smartTag>
      </w:smartTag>
      <w:r w:rsidRPr="007D40B2">
        <w:rPr>
          <w:rFonts w:ascii="Palatino Linotype" w:hAnsi="Palatino Linotype"/>
        </w:rPr>
        <w:t xml:space="preserve">. This work was an extension of his early research into Gregory </w:t>
      </w:r>
      <w:proofErr w:type="spellStart"/>
      <w:r w:rsidRPr="007D40B2">
        <w:rPr>
          <w:rFonts w:ascii="Palatino Linotype" w:hAnsi="Palatino Linotype"/>
        </w:rPr>
        <w:t>Palamas</w:t>
      </w:r>
      <w:proofErr w:type="spellEnd"/>
      <w:r w:rsidRPr="007D40B2">
        <w:rPr>
          <w:rFonts w:ascii="Palatino Linotype" w:hAnsi="Palatino Linotype"/>
        </w:rPr>
        <w:t xml:space="preserve"> in 1929 and 1930. The practical and ascetical experience of the Byzantine heritage is a persistent theme in his theological writings. </w:t>
      </w:r>
      <w:proofErr w:type="spellStart"/>
      <w:r w:rsidRPr="007D40B2">
        <w:rPr>
          <w:rFonts w:ascii="Palatino Linotype" w:hAnsi="Palatino Linotype"/>
        </w:rPr>
        <w:t>Stăniloae</w:t>
      </w:r>
      <w:proofErr w:type="spellEnd"/>
      <w:r w:rsidRPr="007D40B2">
        <w:rPr>
          <w:rFonts w:ascii="Palatino Linotype" w:hAnsi="Palatino Linotype"/>
        </w:rPr>
        <w:t xml:space="preserve"> followed up these academic interests through his involvement, from 1950, in a movement called ‘</w:t>
      </w:r>
      <w:proofErr w:type="spellStart"/>
      <w:r w:rsidRPr="007D40B2">
        <w:rPr>
          <w:rFonts w:ascii="Palatino Linotype" w:hAnsi="Palatino Linotype"/>
        </w:rPr>
        <w:t>Rugul</w:t>
      </w:r>
      <w:proofErr w:type="spellEnd"/>
      <w:r w:rsidRPr="007D40B2">
        <w:rPr>
          <w:rFonts w:ascii="Palatino Linotype" w:hAnsi="Palatino Linotype"/>
        </w:rPr>
        <w:t xml:space="preserve"> </w:t>
      </w:r>
      <w:proofErr w:type="spellStart"/>
      <w:r w:rsidRPr="007D40B2">
        <w:rPr>
          <w:rFonts w:ascii="Palatino Linotype" w:hAnsi="Palatino Linotype"/>
        </w:rPr>
        <w:t>aprins</w:t>
      </w:r>
      <w:proofErr w:type="spellEnd"/>
      <w:r w:rsidRPr="007D40B2">
        <w:rPr>
          <w:rFonts w:ascii="Palatino Linotype" w:hAnsi="Palatino Linotype"/>
        </w:rPr>
        <w:t xml:space="preserve">’ (‘The Burning Bush’), which brought intellectuals and academics into fruitful contact with </w:t>
      </w:r>
      <w:proofErr w:type="spellStart"/>
      <w:r w:rsidRPr="007D40B2">
        <w:rPr>
          <w:rFonts w:ascii="Palatino Linotype" w:hAnsi="Palatino Linotype"/>
        </w:rPr>
        <w:t>monastics</w:t>
      </w:r>
      <w:proofErr w:type="spellEnd"/>
      <w:r w:rsidRPr="007D40B2">
        <w:rPr>
          <w:rFonts w:ascii="Palatino Linotype" w:hAnsi="Palatino Linotype"/>
        </w:rPr>
        <w:t xml:space="preserve">. But as a result of intensifying political circumstances, he was arrested in 1958 and after a trial incarcerated until 1963. </w:t>
      </w:r>
    </w:p>
    <w:p w:rsidR="000411D0" w:rsidRPr="007D40B2" w:rsidRDefault="000411D0" w:rsidP="000411D0">
      <w:pPr>
        <w:pStyle w:val="NormalWeb"/>
        <w:jc w:val="both"/>
        <w:rPr>
          <w:rFonts w:ascii="Palatino Linotype" w:hAnsi="Palatino Linotype"/>
        </w:rPr>
      </w:pPr>
      <w:r w:rsidRPr="007D40B2">
        <w:rPr>
          <w:rFonts w:ascii="Palatino Linotype" w:hAnsi="Palatino Linotype"/>
        </w:rPr>
        <w:t xml:space="preserve">However, </w:t>
      </w:r>
      <w:proofErr w:type="spellStart"/>
      <w:r w:rsidRPr="007D40B2">
        <w:rPr>
          <w:rFonts w:ascii="Palatino Linotype" w:hAnsi="Palatino Linotype"/>
        </w:rPr>
        <w:t>Stăniloae</w:t>
      </w:r>
      <w:proofErr w:type="spellEnd"/>
      <w:r w:rsidRPr="007D40B2">
        <w:rPr>
          <w:rFonts w:ascii="Palatino Linotype" w:hAnsi="Palatino Linotype"/>
        </w:rPr>
        <w:t xml:space="preserve"> brought his profound knowledge of historical and ascetical theology to bear in contemporary ecumenical conversation. Unsurprisingly his characteristic emphasis on monasticism and Byzantine literature has given </w:t>
      </w:r>
      <w:proofErr w:type="spellStart"/>
      <w:r w:rsidRPr="007D40B2">
        <w:rPr>
          <w:rFonts w:ascii="Palatino Linotype" w:hAnsi="Palatino Linotype"/>
        </w:rPr>
        <w:t>Stăniloae’s</w:t>
      </w:r>
      <w:proofErr w:type="spellEnd"/>
      <w:r w:rsidRPr="007D40B2">
        <w:rPr>
          <w:rFonts w:ascii="Palatino Linotype" w:hAnsi="Palatino Linotype"/>
        </w:rPr>
        <w:t xml:space="preserve"> ecumenical theology a distinctive flavour. In his comments on the Second Vatican Council, </w:t>
      </w:r>
      <w:proofErr w:type="spellStart"/>
      <w:r w:rsidRPr="007D40B2">
        <w:rPr>
          <w:rFonts w:ascii="Palatino Linotype" w:hAnsi="Palatino Linotype"/>
        </w:rPr>
        <w:t>Stăniloae</w:t>
      </w:r>
      <w:proofErr w:type="spellEnd"/>
      <w:r w:rsidRPr="007D40B2">
        <w:rPr>
          <w:rFonts w:ascii="Palatino Linotype" w:hAnsi="Palatino Linotype"/>
        </w:rPr>
        <w:t xml:space="preserve"> draws on the charismatic and communitarian heritage of Orthodox asceticism and with reference to those themes re-asserts a classical claim that differences in the ecclesiastical structures of the Orthodox and Roman Catholic Churches are rooted in differences in Orthodox and Roman Catholic </w:t>
      </w:r>
      <w:r w:rsidRPr="007D40B2">
        <w:rPr>
          <w:rFonts w:ascii="Palatino Linotype" w:hAnsi="Palatino Linotype"/>
        </w:rPr>
        <w:lastRenderedPageBreak/>
        <w:t xml:space="preserve">conceptualizations of God. But rather than a simple assertion of Orthodox superior and derogatory comparisons to the Catholic position, </w:t>
      </w:r>
      <w:proofErr w:type="spellStart"/>
      <w:r w:rsidRPr="007D40B2">
        <w:rPr>
          <w:rFonts w:ascii="Palatino Linotype" w:hAnsi="Palatino Linotype"/>
        </w:rPr>
        <w:t>Stăniloae</w:t>
      </w:r>
      <w:proofErr w:type="spellEnd"/>
      <w:r w:rsidRPr="007D40B2">
        <w:rPr>
          <w:rFonts w:ascii="Palatino Linotype" w:hAnsi="Palatino Linotype"/>
        </w:rPr>
        <w:t xml:space="preserve"> </w:t>
      </w:r>
      <w:proofErr w:type="spellStart"/>
      <w:r w:rsidRPr="007D40B2">
        <w:rPr>
          <w:rFonts w:ascii="Palatino Linotype" w:hAnsi="Palatino Linotype"/>
        </w:rPr>
        <w:t>marshalls</w:t>
      </w:r>
      <w:proofErr w:type="spellEnd"/>
      <w:r w:rsidRPr="007D40B2">
        <w:rPr>
          <w:rFonts w:ascii="Palatino Linotype" w:hAnsi="Palatino Linotype"/>
        </w:rPr>
        <w:t xml:space="preserve"> historical (including biblical) evidence before going on to explain how the Holy Spirit on the Orthodox understanding works to create that meaningful whole that is the Church. The closest he comes to rehearsing standard polemic is when </w:t>
      </w:r>
      <w:proofErr w:type="spellStart"/>
      <w:r w:rsidRPr="007D40B2">
        <w:rPr>
          <w:rFonts w:ascii="Palatino Linotype" w:hAnsi="Palatino Linotype"/>
        </w:rPr>
        <w:t>Stăniloae</w:t>
      </w:r>
      <w:proofErr w:type="spellEnd"/>
      <w:r w:rsidRPr="007D40B2">
        <w:rPr>
          <w:rFonts w:ascii="Palatino Linotype" w:hAnsi="Palatino Linotype"/>
        </w:rPr>
        <w:t xml:space="preserve"> insists that the Holy Spirit is not to be seen as ‘merely an impersonal milieu’ – which is an allusion to the Orthodox perception that the </w:t>
      </w:r>
      <w:proofErr w:type="spellStart"/>
      <w:r w:rsidRPr="007D40B2">
        <w:rPr>
          <w:rFonts w:ascii="Palatino Linotype" w:hAnsi="Palatino Linotype"/>
          <w:i/>
          <w:iCs/>
        </w:rPr>
        <w:t>Filioque</w:t>
      </w:r>
      <w:proofErr w:type="spellEnd"/>
      <w:r w:rsidRPr="007D40B2">
        <w:rPr>
          <w:rFonts w:ascii="Palatino Linotype" w:hAnsi="Palatino Linotype"/>
          <w:i/>
          <w:iCs/>
        </w:rPr>
        <w:t xml:space="preserve"> </w:t>
      </w:r>
      <w:r w:rsidRPr="007D40B2">
        <w:rPr>
          <w:rFonts w:ascii="Palatino Linotype" w:hAnsi="Palatino Linotype"/>
        </w:rPr>
        <w:t>de-personalizes the Holy Spirit by reducing the Spirit to a relationship between the Father and the Son.</w:t>
      </w:r>
    </w:p>
    <w:p w:rsidR="000411D0" w:rsidRPr="007D40B2" w:rsidRDefault="000411D0" w:rsidP="000411D0">
      <w:pPr>
        <w:pStyle w:val="NormalWeb"/>
        <w:jc w:val="both"/>
        <w:rPr>
          <w:rFonts w:ascii="Palatino Linotype" w:hAnsi="Palatino Linotype"/>
        </w:rPr>
      </w:pPr>
      <w:r w:rsidRPr="007D40B2">
        <w:rPr>
          <w:rFonts w:ascii="Palatino Linotype" w:hAnsi="Palatino Linotype"/>
        </w:rPr>
        <w:t xml:space="preserve">Although </w:t>
      </w:r>
      <w:proofErr w:type="spellStart"/>
      <w:r w:rsidRPr="007D40B2">
        <w:rPr>
          <w:rFonts w:ascii="Palatino Linotype" w:hAnsi="Palatino Linotype"/>
        </w:rPr>
        <w:t>Stăniloae</w:t>
      </w:r>
      <w:proofErr w:type="spellEnd"/>
      <w:r w:rsidRPr="007D40B2">
        <w:rPr>
          <w:rFonts w:ascii="Palatino Linotype" w:hAnsi="Palatino Linotype"/>
        </w:rPr>
        <w:t xml:space="preserve"> does not shy away from making honest evaluations, his treatment of the </w:t>
      </w:r>
      <w:proofErr w:type="spellStart"/>
      <w:r w:rsidRPr="007D40B2">
        <w:rPr>
          <w:rFonts w:ascii="Palatino Linotype" w:hAnsi="Palatino Linotype"/>
          <w:i/>
          <w:iCs/>
        </w:rPr>
        <w:t>Filioque</w:t>
      </w:r>
      <w:proofErr w:type="spellEnd"/>
      <w:r w:rsidRPr="007D40B2">
        <w:rPr>
          <w:rFonts w:ascii="Palatino Linotype" w:hAnsi="Palatino Linotype"/>
          <w:i/>
          <w:iCs/>
        </w:rPr>
        <w:t xml:space="preserve"> </w:t>
      </w:r>
      <w:r w:rsidRPr="007D40B2">
        <w:rPr>
          <w:rFonts w:ascii="Palatino Linotype" w:hAnsi="Palatino Linotype"/>
        </w:rPr>
        <w:t xml:space="preserve">is nested in his account of Orthodox Trinitarian thinking, which is basically positive and which integrates key features from </w:t>
      </w:r>
      <w:proofErr w:type="spellStart"/>
      <w:r w:rsidRPr="007D40B2">
        <w:rPr>
          <w:rFonts w:ascii="Palatino Linotype" w:hAnsi="Palatino Linotype"/>
        </w:rPr>
        <w:t>Stăniloae’s</w:t>
      </w:r>
      <w:proofErr w:type="spellEnd"/>
      <w:r w:rsidRPr="007D40B2">
        <w:rPr>
          <w:rFonts w:ascii="Palatino Linotype" w:hAnsi="Palatino Linotype"/>
        </w:rPr>
        <w:t xml:space="preserve"> work as a whole.</w:t>
      </w:r>
    </w:p>
    <w:p w:rsidR="000411D0" w:rsidRPr="007D40B2" w:rsidRDefault="000411D0" w:rsidP="000411D0">
      <w:pPr>
        <w:pStyle w:val="NormalWeb"/>
        <w:spacing w:before="0" w:beforeAutospacing="0" w:after="0" w:afterAutospacing="0"/>
        <w:ind w:left="540" w:hanging="540"/>
        <w:jc w:val="center"/>
        <w:rPr>
          <w:rFonts w:ascii="Palatino Linotype" w:hAnsi="Palatino Linotype"/>
          <w:i/>
          <w:iCs/>
        </w:rPr>
      </w:pPr>
      <w:r w:rsidRPr="007D40B2">
        <w:rPr>
          <w:rFonts w:ascii="Palatino Linotype" w:hAnsi="Palatino Linotype"/>
        </w:rPr>
        <w:br w:type="page"/>
      </w:r>
      <w:r w:rsidRPr="007D40B2">
        <w:rPr>
          <w:rFonts w:ascii="Palatino Linotype" w:hAnsi="Palatino Linotype"/>
          <w:i/>
          <w:iCs/>
        </w:rPr>
        <w:lastRenderedPageBreak/>
        <w:t xml:space="preserve">Vladimir </w:t>
      </w:r>
      <w:proofErr w:type="spellStart"/>
      <w:r w:rsidRPr="007D40B2">
        <w:rPr>
          <w:rFonts w:ascii="Palatino Linotype" w:hAnsi="Palatino Linotype"/>
          <w:i/>
          <w:iCs/>
        </w:rPr>
        <w:t>Lossky</w:t>
      </w:r>
      <w:proofErr w:type="spellEnd"/>
    </w:p>
    <w:p w:rsidR="000411D0" w:rsidRPr="007D40B2" w:rsidRDefault="000411D0" w:rsidP="000411D0">
      <w:pPr>
        <w:pStyle w:val="NormalWeb"/>
        <w:spacing w:before="0" w:beforeAutospacing="0" w:after="0" w:afterAutospacing="0"/>
        <w:jc w:val="center"/>
        <w:rPr>
          <w:rFonts w:ascii="Palatino Linotype" w:hAnsi="Palatino Linotype"/>
          <w:i/>
          <w:iCs/>
        </w:rPr>
      </w:pPr>
    </w:p>
    <w:p w:rsidR="000411D0" w:rsidRPr="007D40B2" w:rsidRDefault="000411D0" w:rsidP="000411D0">
      <w:pPr>
        <w:pStyle w:val="NormalWeb"/>
        <w:spacing w:before="0" w:beforeAutospacing="0" w:after="0" w:afterAutospacing="0"/>
        <w:jc w:val="both"/>
        <w:rPr>
          <w:rFonts w:ascii="Palatino Linotype" w:hAnsi="Palatino Linotype"/>
        </w:rPr>
      </w:pPr>
      <w:r w:rsidRPr="007D40B2">
        <w:rPr>
          <w:rFonts w:ascii="Palatino Linotype" w:hAnsi="Palatino Linotype"/>
        </w:rPr>
        <w:t xml:space="preserve">Source: </w:t>
      </w:r>
    </w:p>
    <w:p w:rsidR="000411D0" w:rsidRPr="007D40B2" w:rsidRDefault="000411D0" w:rsidP="000411D0">
      <w:pPr>
        <w:pStyle w:val="NormalWeb"/>
        <w:spacing w:before="0" w:beforeAutospacing="0" w:after="0" w:afterAutospacing="0"/>
        <w:jc w:val="both"/>
        <w:rPr>
          <w:rFonts w:ascii="Palatino Linotype" w:hAnsi="Palatino Linotype"/>
        </w:rPr>
      </w:pPr>
      <w:r w:rsidRPr="007D40B2">
        <w:rPr>
          <w:rFonts w:ascii="Palatino Linotype" w:hAnsi="Palatino Linotype"/>
        </w:rPr>
        <w:t xml:space="preserve">‘Economy of the Holy Spirit’, in </w:t>
      </w:r>
      <w:proofErr w:type="gramStart"/>
      <w:r w:rsidRPr="007D40B2">
        <w:rPr>
          <w:rFonts w:ascii="Palatino Linotype" w:hAnsi="Palatino Linotype"/>
          <w:i/>
          <w:iCs/>
        </w:rPr>
        <w:t>The</w:t>
      </w:r>
      <w:proofErr w:type="gramEnd"/>
      <w:r w:rsidRPr="007D40B2">
        <w:rPr>
          <w:rFonts w:ascii="Palatino Linotype" w:hAnsi="Palatino Linotype"/>
          <w:i/>
          <w:iCs/>
        </w:rPr>
        <w:t xml:space="preserve"> Mystical Theology of the Eastern Church</w:t>
      </w:r>
      <w:r>
        <w:rPr>
          <w:rFonts w:ascii="Palatino Linotype" w:hAnsi="Palatino Linotype"/>
        </w:rPr>
        <w:t xml:space="preserve">, </w:t>
      </w:r>
      <w:r w:rsidRPr="007D40B2">
        <w:rPr>
          <w:rFonts w:ascii="Palatino Linotype" w:hAnsi="Palatino Linotype"/>
        </w:rPr>
        <w:t>Cambridge: James Clarke, 1957</w:t>
      </w:r>
      <w:r>
        <w:rPr>
          <w:rFonts w:ascii="Palatino Linotype" w:hAnsi="Palatino Linotype"/>
        </w:rPr>
        <w:t>:</w:t>
      </w:r>
      <w:r w:rsidRPr="007D40B2">
        <w:rPr>
          <w:rFonts w:ascii="Palatino Linotype" w:hAnsi="Palatino Linotype"/>
        </w:rPr>
        <w:t xml:space="preserve"> 156-</w:t>
      </w:r>
      <w:r>
        <w:rPr>
          <w:rFonts w:ascii="Palatino Linotype" w:hAnsi="Palatino Linotype"/>
        </w:rPr>
        <w:t>1</w:t>
      </w:r>
      <w:r w:rsidRPr="007D40B2">
        <w:rPr>
          <w:rFonts w:ascii="Palatino Linotype" w:hAnsi="Palatino Linotype"/>
        </w:rPr>
        <w:t>73.</w:t>
      </w:r>
    </w:p>
    <w:p w:rsidR="000411D0" w:rsidRPr="007D40B2" w:rsidRDefault="000411D0" w:rsidP="000411D0">
      <w:pPr>
        <w:pStyle w:val="NormalWeb"/>
        <w:spacing w:before="0" w:beforeAutospacing="0" w:after="0" w:afterAutospacing="0"/>
        <w:jc w:val="both"/>
        <w:rPr>
          <w:rFonts w:ascii="Palatino Linotype" w:hAnsi="Palatino Linotype"/>
        </w:rPr>
      </w:pPr>
    </w:p>
    <w:p w:rsidR="000411D0" w:rsidRPr="007D40B2" w:rsidRDefault="000411D0" w:rsidP="000411D0">
      <w:pPr>
        <w:pStyle w:val="NormalWeb"/>
        <w:spacing w:before="0" w:beforeAutospacing="0" w:after="0" w:afterAutospacing="0"/>
        <w:jc w:val="both"/>
        <w:rPr>
          <w:rFonts w:ascii="Palatino Linotype" w:hAnsi="Palatino Linotype"/>
        </w:rPr>
      </w:pPr>
      <w:r w:rsidRPr="007D40B2">
        <w:rPr>
          <w:rFonts w:ascii="Palatino Linotype" w:hAnsi="Palatino Linotype"/>
        </w:rPr>
        <w:t xml:space="preserve">Other major publications: </w:t>
      </w:r>
    </w:p>
    <w:p w:rsidR="000411D0" w:rsidRPr="007D40B2" w:rsidRDefault="000411D0" w:rsidP="000411D0">
      <w:pPr>
        <w:jc w:val="both"/>
        <w:rPr>
          <w:rFonts w:ascii="Palatino Linotype" w:hAnsi="Palatino Linotype"/>
        </w:rPr>
      </w:pPr>
      <w:r w:rsidRPr="007D40B2">
        <w:rPr>
          <w:rFonts w:ascii="Palatino Linotype" w:hAnsi="Palatino Linotype"/>
          <w:i/>
          <w:iCs/>
        </w:rPr>
        <w:t>In the Image and Likeness of God</w:t>
      </w:r>
      <w:r>
        <w:rPr>
          <w:rFonts w:ascii="Palatino Linotype" w:hAnsi="Palatino Linotype"/>
        </w:rPr>
        <w:t xml:space="preserve">, </w:t>
      </w:r>
      <w:r w:rsidRPr="007D40B2">
        <w:rPr>
          <w:rFonts w:ascii="Palatino Linotype" w:hAnsi="Palatino Linotype"/>
        </w:rPr>
        <w:t xml:space="preserve">London: </w:t>
      </w:r>
      <w:proofErr w:type="spellStart"/>
      <w:r w:rsidRPr="007D40B2">
        <w:rPr>
          <w:rFonts w:ascii="Palatino Linotype" w:hAnsi="Palatino Linotype"/>
        </w:rPr>
        <w:t>Mowbrays</w:t>
      </w:r>
      <w:proofErr w:type="spellEnd"/>
      <w:r w:rsidRPr="007D40B2">
        <w:rPr>
          <w:rFonts w:ascii="Palatino Linotype" w:hAnsi="Palatino Linotype"/>
        </w:rPr>
        <w:t>, 1975</w:t>
      </w:r>
      <w:r>
        <w:rPr>
          <w:rFonts w:ascii="Palatino Linotype" w:hAnsi="Palatino Linotype"/>
        </w:rPr>
        <w:t>.</w:t>
      </w:r>
    </w:p>
    <w:p w:rsidR="000411D0" w:rsidRPr="007D40B2" w:rsidRDefault="000411D0" w:rsidP="000411D0">
      <w:pPr>
        <w:jc w:val="both"/>
        <w:rPr>
          <w:rFonts w:ascii="Palatino Linotype" w:hAnsi="Palatino Linotype"/>
        </w:rPr>
      </w:pPr>
      <w:r w:rsidRPr="007D40B2">
        <w:rPr>
          <w:rFonts w:ascii="Palatino Linotype" w:hAnsi="Palatino Linotype"/>
          <w:i/>
          <w:iCs/>
        </w:rPr>
        <w:t>The Vision of God</w:t>
      </w:r>
      <w:r>
        <w:rPr>
          <w:rFonts w:ascii="Palatino Linotype" w:hAnsi="Palatino Linotype"/>
        </w:rPr>
        <w:t xml:space="preserve">, </w:t>
      </w:r>
      <w:r w:rsidRPr="007D40B2">
        <w:rPr>
          <w:rFonts w:ascii="Palatino Linotype" w:hAnsi="Palatino Linotype"/>
        </w:rPr>
        <w:t>Crestwood, NY: SVS Press, 1963</w:t>
      </w:r>
      <w:r>
        <w:rPr>
          <w:rFonts w:ascii="Palatino Linotype" w:hAnsi="Palatino Linotype"/>
        </w:rPr>
        <w:t>.</w:t>
      </w:r>
    </w:p>
    <w:p w:rsidR="000411D0" w:rsidRPr="007D40B2" w:rsidRDefault="000411D0" w:rsidP="000411D0">
      <w:pPr>
        <w:jc w:val="both"/>
        <w:rPr>
          <w:rFonts w:ascii="Palatino Linotype" w:hAnsi="Palatino Linotype"/>
        </w:rPr>
      </w:pPr>
      <w:proofErr w:type="gramStart"/>
      <w:r w:rsidRPr="007D40B2">
        <w:rPr>
          <w:rFonts w:ascii="Palatino Linotype" w:hAnsi="Palatino Linotype"/>
        </w:rPr>
        <w:t>with</w:t>
      </w:r>
      <w:proofErr w:type="gramEnd"/>
      <w:r w:rsidRPr="007D40B2">
        <w:rPr>
          <w:rFonts w:ascii="Palatino Linotype" w:hAnsi="Palatino Linotype"/>
        </w:rPr>
        <w:t xml:space="preserve"> Leonid </w:t>
      </w:r>
      <w:proofErr w:type="spellStart"/>
      <w:r w:rsidRPr="007D40B2">
        <w:rPr>
          <w:rFonts w:ascii="Palatino Linotype" w:hAnsi="Palatino Linotype"/>
        </w:rPr>
        <w:t>Ouspensky</w:t>
      </w:r>
      <w:proofErr w:type="spellEnd"/>
      <w:r w:rsidRPr="007D40B2">
        <w:rPr>
          <w:rFonts w:ascii="Palatino Linotype" w:hAnsi="Palatino Linotype"/>
        </w:rPr>
        <w:t xml:space="preserve">, </w:t>
      </w:r>
      <w:r w:rsidRPr="007D40B2">
        <w:rPr>
          <w:rFonts w:ascii="Palatino Linotype" w:hAnsi="Palatino Linotype"/>
          <w:i/>
          <w:iCs/>
        </w:rPr>
        <w:t>The Meaning of Icons</w:t>
      </w:r>
      <w:r>
        <w:rPr>
          <w:rFonts w:ascii="Palatino Linotype" w:hAnsi="Palatino Linotype"/>
        </w:rPr>
        <w:t xml:space="preserve">, </w:t>
      </w:r>
      <w:r w:rsidRPr="007D40B2">
        <w:rPr>
          <w:rFonts w:ascii="Palatino Linotype" w:hAnsi="Palatino Linotype"/>
        </w:rPr>
        <w:t>Crestwood, NY: SVS Press, 1982</w:t>
      </w:r>
      <w:r>
        <w:rPr>
          <w:rFonts w:ascii="Palatino Linotype" w:hAnsi="Palatino Linotype"/>
        </w:rPr>
        <w:t>.</w:t>
      </w:r>
      <w:r w:rsidRPr="007D40B2">
        <w:rPr>
          <w:rFonts w:ascii="Palatino Linotype" w:hAnsi="Palatino Linotype"/>
        </w:rPr>
        <w:t xml:space="preserve"> </w:t>
      </w:r>
    </w:p>
    <w:p w:rsidR="000411D0" w:rsidRPr="007D40B2" w:rsidRDefault="000411D0" w:rsidP="000411D0">
      <w:pPr>
        <w:jc w:val="both"/>
        <w:rPr>
          <w:rFonts w:ascii="Palatino Linotype" w:hAnsi="Palatino Linotype"/>
          <w:lang w:val="fr-FR"/>
        </w:rPr>
      </w:pPr>
      <w:r w:rsidRPr="007D40B2">
        <w:rPr>
          <w:rFonts w:ascii="Palatino Linotype" w:hAnsi="Palatino Linotype"/>
          <w:i/>
          <w:iCs/>
          <w:lang w:val="fr-FR"/>
        </w:rPr>
        <w:t>Théologie négative et connaissance de Dieu chez Maître Eckhart</w:t>
      </w:r>
      <w:r>
        <w:rPr>
          <w:rFonts w:ascii="Palatino Linotype" w:hAnsi="Palatino Linotype"/>
          <w:lang w:val="fr-FR"/>
        </w:rPr>
        <w:t xml:space="preserve">, </w:t>
      </w:r>
      <w:r w:rsidRPr="007D40B2">
        <w:rPr>
          <w:rFonts w:ascii="Palatino Linotype" w:hAnsi="Palatino Linotype"/>
          <w:lang w:val="fr-FR"/>
        </w:rPr>
        <w:t xml:space="preserve">Paris: </w:t>
      </w:r>
      <w:proofErr w:type="spellStart"/>
      <w:r w:rsidRPr="007D40B2">
        <w:rPr>
          <w:rFonts w:ascii="Palatino Linotype" w:hAnsi="Palatino Linotype"/>
          <w:lang w:val="fr-FR"/>
        </w:rPr>
        <w:t>Vrin</w:t>
      </w:r>
      <w:proofErr w:type="spellEnd"/>
      <w:r w:rsidRPr="007D40B2">
        <w:rPr>
          <w:rFonts w:ascii="Palatino Linotype" w:hAnsi="Palatino Linotype"/>
          <w:lang w:val="fr-FR"/>
        </w:rPr>
        <w:t>, 2002</w:t>
      </w:r>
      <w:r>
        <w:rPr>
          <w:rFonts w:ascii="Palatino Linotype" w:hAnsi="Palatino Linotype"/>
          <w:lang w:val="fr-FR"/>
        </w:rPr>
        <w:t>.</w:t>
      </w:r>
    </w:p>
    <w:p w:rsidR="000411D0" w:rsidRPr="007D40B2" w:rsidRDefault="000411D0" w:rsidP="000411D0">
      <w:pPr>
        <w:pStyle w:val="BodyText"/>
        <w:rPr>
          <w:rFonts w:ascii="Palatino Linotype" w:hAnsi="Palatino Linotype"/>
          <w:lang w:val="fr-FR"/>
        </w:rPr>
      </w:pPr>
    </w:p>
    <w:p w:rsidR="000411D0" w:rsidRPr="007D40B2" w:rsidRDefault="000411D0" w:rsidP="000411D0">
      <w:pPr>
        <w:pStyle w:val="BodyText"/>
        <w:rPr>
          <w:rFonts w:ascii="Palatino Linotype" w:hAnsi="Palatino Linotype"/>
        </w:rPr>
      </w:pPr>
      <w:r w:rsidRPr="007D40B2">
        <w:rPr>
          <w:rFonts w:ascii="Palatino Linotype" w:hAnsi="Palatino Linotype"/>
        </w:rPr>
        <w:t>Secondary literature:</w:t>
      </w:r>
    </w:p>
    <w:p w:rsidR="000411D0" w:rsidRPr="007D40B2" w:rsidRDefault="000411D0" w:rsidP="000411D0">
      <w:pPr>
        <w:pStyle w:val="BodyText"/>
        <w:rPr>
          <w:rFonts w:ascii="Palatino Linotype" w:hAnsi="Palatino Linotype"/>
        </w:rPr>
      </w:pPr>
      <w:proofErr w:type="spellStart"/>
      <w:r w:rsidRPr="007D40B2">
        <w:rPr>
          <w:rFonts w:ascii="Palatino Linotype" w:hAnsi="Palatino Linotype"/>
        </w:rPr>
        <w:t>Laats</w:t>
      </w:r>
      <w:proofErr w:type="spellEnd"/>
      <w:r w:rsidRPr="007D40B2">
        <w:rPr>
          <w:rFonts w:ascii="Palatino Linotype" w:hAnsi="Palatino Linotype"/>
        </w:rPr>
        <w:t xml:space="preserve">, </w:t>
      </w:r>
      <w:r>
        <w:rPr>
          <w:rFonts w:ascii="Palatino Linotype" w:hAnsi="Palatino Linotype"/>
        </w:rPr>
        <w:t xml:space="preserve">A., </w:t>
      </w:r>
      <w:r w:rsidRPr="007D40B2">
        <w:rPr>
          <w:rFonts w:ascii="Palatino Linotype" w:hAnsi="Palatino Linotype"/>
          <w:i/>
          <w:iCs/>
        </w:rPr>
        <w:t>Doctrines of the Trinity in Eastern and Western Theologies</w:t>
      </w:r>
      <w:r>
        <w:rPr>
          <w:rFonts w:ascii="Palatino Linotype" w:hAnsi="Palatino Linotype"/>
        </w:rPr>
        <w:t xml:space="preserve">, </w:t>
      </w:r>
      <w:r w:rsidRPr="007D40B2">
        <w:rPr>
          <w:rFonts w:ascii="Palatino Linotype" w:hAnsi="Palatino Linotype"/>
        </w:rPr>
        <w:t xml:space="preserve">Frankfurt </w:t>
      </w:r>
      <w:proofErr w:type="gramStart"/>
      <w:r w:rsidRPr="007D40B2">
        <w:rPr>
          <w:rFonts w:ascii="Palatino Linotype" w:hAnsi="Palatino Linotype"/>
        </w:rPr>
        <w:t>am</w:t>
      </w:r>
      <w:proofErr w:type="gramEnd"/>
      <w:r w:rsidRPr="007D40B2">
        <w:rPr>
          <w:rFonts w:ascii="Palatino Linotype" w:hAnsi="Palatino Linotype"/>
        </w:rPr>
        <w:t xml:space="preserve"> Main</w:t>
      </w:r>
      <w:r>
        <w:rPr>
          <w:rFonts w:ascii="Palatino Linotype" w:hAnsi="Palatino Linotype"/>
        </w:rPr>
        <w:t>z</w:t>
      </w:r>
      <w:r w:rsidRPr="007D40B2">
        <w:rPr>
          <w:rFonts w:ascii="Palatino Linotype" w:hAnsi="Palatino Linotype"/>
        </w:rPr>
        <w:t xml:space="preserve"> and New York: Peter Lang, 1999</w:t>
      </w:r>
      <w:r>
        <w:rPr>
          <w:rFonts w:ascii="Palatino Linotype" w:hAnsi="Palatino Linotype"/>
        </w:rPr>
        <w:t>.</w:t>
      </w:r>
    </w:p>
    <w:p w:rsidR="000411D0" w:rsidRPr="007D40B2" w:rsidRDefault="000411D0" w:rsidP="000411D0">
      <w:pPr>
        <w:pStyle w:val="BodyText"/>
        <w:rPr>
          <w:rFonts w:ascii="Palatino Linotype" w:hAnsi="Palatino Linotype"/>
        </w:rPr>
      </w:pPr>
      <w:proofErr w:type="spellStart"/>
      <w:r w:rsidRPr="007D40B2">
        <w:rPr>
          <w:rFonts w:ascii="Palatino Linotype" w:hAnsi="Palatino Linotype"/>
        </w:rPr>
        <w:t>Papanikolaou</w:t>
      </w:r>
      <w:proofErr w:type="spellEnd"/>
      <w:r w:rsidRPr="007D40B2">
        <w:rPr>
          <w:rFonts w:ascii="Palatino Linotype" w:hAnsi="Palatino Linotype"/>
        </w:rPr>
        <w:t xml:space="preserve">, </w:t>
      </w:r>
      <w:r>
        <w:rPr>
          <w:rFonts w:ascii="Palatino Linotype" w:hAnsi="Palatino Linotype"/>
        </w:rPr>
        <w:t xml:space="preserve">A., </w:t>
      </w:r>
      <w:r w:rsidRPr="007D40B2">
        <w:rPr>
          <w:rFonts w:ascii="Palatino Linotype" w:hAnsi="Palatino Linotype"/>
          <w:i/>
          <w:iCs/>
        </w:rPr>
        <w:t xml:space="preserve">Being with God: Trinity, </w:t>
      </w:r>
      <w:proofErr w:type="spellStart"/>
      <w:r w:rsidRPr="007D40B2">
        <w:rPr>
          <w:rFonts w:ascii="Palatino Linotype" w:hAnsi="Palatino Linotype"/>
          <w:i/>
          <w:iCs/>
        </w:rPr>
        <w:t>apophaticism</w:t>
      </w:r>
      <w:proofErr w:type="spellEnd"/>
      <w:r w:rsidRPr="007D40B2">
        <w:rPr>
          <w:rFonts w:ascii="Palatino Linotype" w:hAnsi="Palatino Linotype"/>
          <w:i/>
          <w:iCs/>
        </w:rPr>
        <w:t>, and divine-human communion</w:t>
      </w:r>
      <w:r>
        <w:rPr>
          <w:rFonts w:ascii="Palatino Linotype" w:hAnsi="Palatino Linotype"/>
        </w:rPr>
        <w:t xml:space="preserve">, </w:t>
      </w:r>
      <w:r w:rsidRPr="007D40B2">
        <w:rPr>
          <w:rFonts w:ascii="Palatino Linotype" w:hAnsi="Palatino Linotype"/>
        </w:rPr>
        <w:t>Notre Dame, IN: University of Notre Dame Press, 2006</w:t>
      </w:r>
      <w:r>
        <w:rPr>
          <w:rFonts w:ascii="Palatino Linotype" w:hAnsi="Palatino Linotype"/>
        </w:rPr>
        <w:t>.</w:t>
      </w:r>
    </w:p>
    <w:p w:rsidR="000411D0" w:rsidRPr="007D40B2" w:rsidRDefault="000411D0" w:rsidP="000411D0">
      <w:pPr>
        <w:pStyle w:val="BodyText"/>
        <w:rPr>
          <w:rFonts w:ascii="Palatino Linotype" w:hAnsi="Palatino Linotype"/>
        </w:rPr>
      </w:pPr>
      <w:r w:rsidRPr="007D40B2">
        <w:rPr>
          <w:rFonts w:ascii="Palatino Linotype" w:hAnsi="Palatino Linotype"/>
        </w:rPr>
        <w:t xml:space="preserve">Williams, </w:t>
      </w:r>
      <w:r>
        <w:rPr>
          <w:rFonts w:ascii="Palatino Linotype" w:hAnsi="Palatino Linotype"/>
        </w:rPr>
        <w:t xml:space="preserve">R., </w:t>
      </w:r>
      <w:r w:rsidRPr="007D40B2">
        <w:rPr>
          <w:rFonts w:ascii="Palatino Linotype" w:hAnsi="Palatino Linotype"/>
        </w:rPr>
        <w:t xml:space="preserve">‘The </w:t>
      </w:r>
      <w:r w:rsidRPr="007D40B2">
        <w:rPr>
          <w:rFonts w:ascii="Palatino Linotype" w:hAnsi="Palatino Linotype"/>
          <w:i/>
          <w:iCs/>
        </w:rPr>
        <w:t xml:space="preserve">Via </w:t>
      </w:r>
      <w:proofErr w:type="spellStart"/>
      <w:r w:rsidRPr="007D40B2">
        <w:rPr>
          <w:rFonts w:ascii="Palatino Linotype" w:hAnsi="Palatino Linotype"/>
          <w:i/>
          <w:iCs/>
        </w:rPr>
        <w:t>Negativa</w:t>
      </w:r>
      <w:proofErr w:type="spellEnd"/>
      <w:r w:rsidRPr="007D40B2">
        <w:rPr>
          <w:rFonts w:ascii="Palatino Linotype" w:hAnsi="Palatino Linotype"/>
          <w:i/>
          <w:iCs/>
        </w:rPr>
        <w:t xml:space="preserve"> </w:t>
      </w:r>
      <w:r w:rsidRPr="007D40B2">
        <w:rPr>
          <w:rFonts w:ascii="Palatino Linotype" w:hAnsi="Palatino Linotype"/>
        </w:rPr>
        <w:t xml:space="preserve">and the Foundations of Theology: An Introduction to the Thought of V.N. </w:t>
      </w:r>
      <w:proofErr w:type="spellStart"/>
      <w:r w:rsidRPr="007D40B2">
        <w:rPr>
          <w:rFonts w:ascii="Palatino Linotype" w:hAnsi="Palatino Linotype"/>
        </w:rPr>
        <w:t>Lossky</w:t>
      </w:r>
      <w:proofErr w:type="spellEnd"/>
      <w:r w:rsidRPr="007D40B2">
        <w:rPr>
          <w:rFonts w:ascii="Palatino Linotype" w:hAnsi="Palatino Linotype"/>
        </w:rPr>
        <w:t>’, in Sykes</w:t>
      </w:r>
      <w:r>
        <w:rPr>
          <w:rFonts w:ascii="Palatino Linotype" w:hAnsi="Palatino Linotype"/>
        </w:rPr>
        <w:t>, S.,</w:t>
      </w:r>
      <w:r w:rsidRPr="007D40B2">
        <w:rPr>
          <w:rFonts w:ascii="Palatino Linotype" w:hAnsi="Palatino Linotype"/>
        </w:rPr>
        <w:t xml:space="preserve"> and Holmes, D.</w:t>
      </w:r>
      <w:r>
        <w:rPr>
          <w:rFonts w:ascii="Palatino Linotype" w:hAnsi="Palatino Linotype"/>
        </w:rPr>
        <w:t xml:space="preserve">, eds., </w:t>
      </w:r>
      <w:r w:rsidRPr="007D40B2">
        <w:rPr>
          <w:rFonts w:ascii="Palatino Linotype" w:hAnsi="Palatino Linotype"/>
          <w:i/>
          <w:iCs/>
        </w:rPr>
        <w:t>New studies in theology</w:t>
      </w:r>
      <w:r>
        <w:rPr>
          <w:rFonts w:ascii="Palatino Linotype" w:hAnsi="Palatino Linotype"/>
        </w:rPr>
        <w:t xml:space="preserve">, </w:t>
      </w:r>
      <w:r w:rsidRPr="007D40B2">
        <w:rPr>
          <w:rFonts w:ascii="Palatino Linotype" w:hAnsi="Palatino Linotype"/>
        </w:rPr>
        <w:t>London: Duckworth, 1980</w:t>
      </w:r>
      <w:r>
        <w:rPr>
          <w:rFonts w:ascii="Palatino Linotype" w:hAnsi="Palatino Linotype"/>
        </w:rPr>
        <w:t>:</w:t>
      </w:r>
      <w:r w:rsidRPr="007D40B2">
        <w:rPr>
          <w:rFonts w:ascii="Palatino Linotype" w:hAnsi="Palatino Linotype"/>
        </w:rPr>
        <w:t xml:space="preserve"> 95-117</w:t>
      </w:r>
      <w:r>
        <w:rPr>
          <w:rFonts w:ascii="Palatino Linotype" w:hAnsi="Palatino Linotype"/>
        </w:rPr>
        <w:t>.</w:t>
      </w:r>
    </w:p>
    <w:p w:rsidR="000411D0" w:rsidRPr="007D40B2" w:rsidRDefault="000411D0" w:rsidP="000411D0">
      <w:pPr>
        <w:pStyle w:val="BodyText"/>
        <w:rPr>
          <w:rFonts w:ascii="Palatino Linotype" w:hAnsi="Palatino Linotype"/>
        </w:rPr>
      </w:pPr>
      <w:r>
        <w:rPr>
          <w:rFonts w:ascii="Palatino Linotype" w:hAnsi="Palatino Linotype"/>
        </w:rPr>
        <w:t>Id.</w:t>
      </w:r>
      <w:r w:rsidRPr="007D40B2">
        <w:rPr>
          <w:rFonts w:ascii="Palatino Linotype" w:hAnsi="Palatino Linotype"/>
        </w:rPr>
        <w:t>, ‘Eastern Orthodox Theology,’ in Ford</w:t>
      </w:r>
      <w:r>
        <w:rPr>
          <w:rFonts w:ascii="Palatino Linotype" w:hAnsi="Palatino Linotype"/>
        </w:rPr>
        <w:t>, D.</w:t>
      </w:r>
      <w:r w:rsidRPr="007D40B2">
        <w:rPr>
          <w:rFonts w:ascii="Palatino Linotype" w:hAnsi="Palatino Linotype"/>
        </w:rPr>
        <w:t xml:space="preserve"> and </w:t>
      </w:r>
      <w:proofErr w:type="spellStart"/>
      <w:r w:rsidRPr="007D40B2">
        <w:rPr>
          <w:rFonts w:ascii="Palatino Linotype" w:hAnsi="Palatino Linotype"/>
        </w:rPr>
        <w:t>Muers</w:t>
      </w:r>
      <w:proofErr w:type="spellEnd"/>
      <w:r w:rsidRPr="007D40B2">
        <w:rPr>
          <w:rFonts w:ascii="Palatino Linotype" w:hAnsi="Palatino Linotype"/>
        </w:rPr>
        <w:t>,</w:t>
      </w:r>
      <w:r>
        <w:rPr>
          <w:rFonts w:ascii="Palatino Linotype" w:hAnsi="Palatino Linotype"/>
        </w:rPr>
        <w:t xml:space="preserve"> R.,</w:t>
      </w:r>
      <w:r w:rsidRPr="007D40B2">
        <w:rPr>
          <w:rFonts w:ascii="Palatino Linotype" w:hAnsi="Palatino Linotype"/>
        </w:rPr>
        <w:t xml:space="preserve"> </w:t>
      </w:r>
      <w:proofErr w:type="gramStart"/>
      <w:r w:rsidRPr="007D40B2">
        <w:rPr>
          <w:rFonts w:ascii="Palatino Linotype" w:hAnsi="Palatino Linotype"/>
        </w:rPr>
        <w:t>eds</w:t>
      </w:r>
      <w:proofErr w:type="gramEnd"/>
      <w:r w:rsidRPr="007D40B2">
        <w:rPr>
          <w:rFonts w:ascii="Palatino Linotype" w:hAnsi="Palatino Linotype"/>
        </w:rPr>
        <w:t xml:space="preserve">. </w:t>
      </w:r>
      <w:r w:rsidRPr="007D40B2">
        <w:rPr>
          <w:rFonts w:ascii="Palatino Linotype" w:hAnsi="Palatino Linotype"/>
          <w:i/>
          <w:iCs/>
        </w:rPr>
        <w:t xml:space="preserve">The Modern Theologians: </w:t>
      </w:r>
      <w:proofErr w:type="gramStart"/>
      <w:r w:rsidRPr="007D40B2">
        <w:rPr>
          <w:rFonts w:ascii="Palatino Linotype" w:hAnsi="Palatino Linotype"/>
          <w:i/>
          <w:iCs/>
        </w:rPr>
        <w:t>An Introduction to Christian Theology Since</w:t>
      </w:r>
      <w:proofErr w:type="gramEnd"/>
      <w:r w:rsidRPr="007D40B2">
        <w:rPr>
          <w:rFonts w:ascii="Palatino Linotype" w:hAnsi="Palatino Linotype"/>
          <w:i/>
          <w:iCs/>
        </w:rPr>
        <w:t xml:space="preserve"> 1918</w:t>
      </w:r>
      <w:r w:rsidRPr="007D40B2">
        <w:rPr>
          <w:rFonts w:ascii="Palatino Linotype" w:hAnsi="Palatino Linotype"/>
        </w:rPr>
        <w:t>, third edition</w:t>
      </w:r>
      <w:r>
        <w:rPr>
          <w:rFonts w:ascii="Palatino Linotype" w:hAnsi="Palatino Linotype"/>
        </w:rPr>
        <w:t>,</w:t>
      </w:r>
      <w:r w:rsidRPr="007D40B2">
        <w:rPr>
          <w:rFonts w:ascii="Palatino Linotype" w:hAnsi="Palatino Linotype"/>
        </w:rPr>
        <w:t xml:space="preserve"> Oxford: Blackwell, 2005</w:t>
      </w:r>
      <w:r>
        <w:rPr>
          <w:rFonts w:ascii="Palatino Linotype" w:hAnsi="Palatino Linotype"/>
        </w:rPr>
        <w:t>:</w:t>
      </w:r>
      <w:r w:rsidRPr="007D40B2">
        <w:rPr>
          <w:rFonts w:ascii="Palatino Linotype" w:hAnsi="Palatino Linotype"/>
        </w:rPr>
        <w:t xml:space="preserve"> 572-</w:t>
      </w:r>
      <w:r>
        <w:rPr>
          <w:rFonts w:ascii="Palatino Linotype" w:hAnsi="Palatino Linotype"/>
        </w:rPr>
        <w:t>5</w:t>
      </w:r>
      <w:r w:rsidRPr="007D40B2">
        <w:rPr>
          <w:rFonts w:ascii="Palatino Linotype" w:hAnsi="Palatino Linotype"/>
        </w:rPr>
        <w:t>88</w:t>
      </w:r>
      <w:r>
        <w:rPr>
          <w:rFonts w:ascii="Palatino Linotype" w:hAnsi="Palatino Linotype"/>
        </w:rPr>
        <w:t>.</w:t>
      </w:r>
    </w:p>
    <w:p w:rsidR="000411D0" w:rsidRPr="007D40B2" w:rsidRDefault="000411D0" w:rsidP="000411D0">
      <w:pPr>
        <w:pStyle w:val="BodyText"/>
        <w:rPr>
          <w:rFonts w:ascii="Palatino Linotype" w:hAnsi="Palatino Linotype"/>
        </w:rPr>
      </w:pPr>
    </w:p>
    <w:p w:rsidR="000411D0" w:rsidRPr="007D40B2" w:rsidRDefault="000411D0" w:rsidP="000411D0">
      <w:pPr>
        <w:pStyle w:val="Heading6"/>
        <w:ind w:left="0" w:firstLine="0"/>
        <w:rPr>
          <w:rFonts w:ascii="Palatino Linotype" w:hAnsi="Palatino Linotype"/>
        </w:rPr>
      </w:pPr>
      <w:proofErr w:type="spellStart"/>
      <w:r w:rsidRPr="007D40B2">
        <w:rPr>
          <w:rFonts w:ascii="Palatino Linotype" w:hAnsi="Palatino Linotype"/>
        </w:rPr>
        <w:t>Dumitru</w:t>
      </w:r>
      <w:proofErr w:type="spellEnd"/>
      <w:r w:rsidRPr="007D40B2">
        <w:rPr>
          <w:rFonts w:ascii="Palatino Linotype" w:hAnsi="Palatino Linotype"/>
        </w:rPr>
        <w:t xml:space="preserve"> </w:t>
      </w:r>
      <w:proofErr w:type="spellStart"/>
      <w:r w:rsidRPr="007D40B2">
        <w:rPr>
          <w:rFonts w:ascii="Palatino Linotype" w:hAnsi="Palatino Linotype"/>
        </w:rPr>
        <w:t>Stăniloae</w:t>
      </w:r>
      <w:proofErr w:type="spellEnd"/>
    </w:p>
    <w:p w:rsidR="000411D0" w:rsidRPr="007D40B2" w:rsidRDefault="000411D0" w:rsidP="000411D0">
      <w:pPr>
        <w:jc w:val="center"/>
        <w:rPr>
          <w:rFonts w:ascii="Palatino Linotype" w:hAnsi="Palatino Linotype"/>
        </w:rPr>
      </w:pPr>
    </w:p>
    <w:p w:rsidR="000411D0" w:rsidRPr="007D40B2" w:rsidRDefault="000411D0" w:rsidP="000411D0">
      <w:pPr>
        <w:pStyle w:val="NormalWeb"/>
        <w:spacing w:before="0" w:beforeAutospacing="0" w:after="0" w:afterAutospacing="0"/>
        <w:jc w:val="both"/>
        <w:rPr>
          <w:rFonts w:ascii="Palatino Linotype" w:hAnsi="Palatino Linotype"/>
        </w:rPr>
      </w:pPr>
      <w:r w:rsidRPr="007D40B2">
        <w:rPr>
          <w:rFonts w:ascii="Palatino Linotype" w:hAnsi="Palatino Linotype"/>
        </w:rPr>
        <w:t xml:space="preserve">Source: </w:t>
      </w:r>
    </w:p>
    <w:p w:rsidR="000411D0" w:rsidRPr="007D40B2" w:rsidRDefault="000411D0" w:rsidP="000411D0">
      <w:pPr>
        <w:pStyle w:val="NormalWeb"/>
        <w:spacing w:before="0" w:beforeAutospacing="0" w:after="0" w:afterAutospacing="0"/>
        <w:jc w:val="both"/>
        <w:rPr>
          <w:rFonts w:ascii="Palatino Linotype" w:hAnsi="Palatino Linotype"/>
        </w:rPr>
      </w:pPr>
      <w:r w:rsidRPr="007D40B2">
        <w:rPr>
          <w:rFonts w:ascii="Palatino Linotype" w:hAnsi="Palatino Linotype"/>
        </w:rPr>
        <w:t xml:space="preserve">‘The Holy Spirit and the </w:t>
      </w:r>
      <w:proofErr w:type="spellStart"/>
      <w:r w:rsidRPr="007D40B2">
        <w:rPr>
          <w:rFonts w:ascii="Palatino Linotype" w:hAnsi="Palatino Linotype"/>
        </w:rPr>
        <w:t>Sobornicity</w:t>
      </w:r>
      <w:proofErr w:type="spellEnd"/>
      <w:r w:rsidRPr="007D40B2">
        <w:rPr>
          <w:rFonts w:ascii="Palatino Linotype" w:hAnsi="Palatino Linotype"/>
        </w:rPr>
        <w:t xml:space="preserve"> of the Church,’ in </w:t>
      </w:r>
      <w:r w:rsidRPr="007D40B2">
        <w:rPr>
          <w:rFonts w:ascii="Palatino Linotype" w:hAnsi="Palatino Linotype"/>
          <w:i/>
          <w:iCs/>
        </w:rPr>
        <w:t>Theology and the Church</w:t>
      </w:r>
      <w:r w:rsidRPr="007D40B2">
        <w:rPr>
          <w:rFonts w:ascii="Palatino Linotype" w:hAnsi="Palatino Linotype"/>
        </w:rPr>
        <w:t xml:space="preserve">, trans. and ed. R. </w:t>
      </w:r>
      <w:proofErr w:type="spellStart"/>
      <w:r w:rsidRPr="007D40B2">
        <w:rPr>
          <w:rFonts w:ascii="Palatino Linotype" w:hAnsi="Palatino Linotype"/>
        </w:rPr>
        <w:t>Barringer</w:t>
      </w:r>
      <w:proofErr w:type="spellEnd"/>
      <w:r w:rsidRPr="007D40B2">
        <w:rPr>
          <w:rFonts w:ascii="Palatino Linotype" w:hAnsi="Palatino Linotype"/>
        </w:rPr>
        <w:t>, new edition</w:t>
      </w:r>
      <w:r>
        <w:rPr>
          <w:rFonts w:ascii="Palatino Linotype" w:hAnsi="Palatino Linotype"/>
        </w:rPr>
        <w:t xml:space="preserve">, </w:t>
      </w:r>
      <w:r w:rsidRPr="007D40B2">
        <w:rPr>
          <w:rFonts w:ascii="Palatino Linotype" w:hAnsi="Palatino Linotype"/>
        </w:rPr>
        <w:t>Crestwood, NY: SVS Press, 1997</w:t>
      </w:r>
      <w:r>
        <w:rPr>
          <w:rFonts w:ascii="Palatino Linotype" w:hAnsi="Palatino Linotype"/>
        </w:rPr>
        <w:t>:</w:t>
      </w:r>
      <w:r w:rsidRPr="007D40B2">
        <w:rPr>
          <w:rFonts w:ascii="Palatino Linotype" w:hAnsi="Palatino Linotype"/>
        </w:rPr>
        <w:t xml:space="preserve"> 45-71</w:t>
      </w:r>
      <w:r>
        <w:rPr>
          <w:rFonts w:ascii="Palatino Linotype" w:hAnsi="Palatino Linotype"/>
        </w:rPr>
        <w:t>.</w:t>
      </w:r>
    </w:p>
    <w:p w:rsidR="000411D0" w:rsidRPr="007D40B2" w:rsidRDefault="000411D0" w:rsidP="000411D0">
      <w:pPr>
        <w:pStyle w:val="NormalWeb"/>
        <w:spacing w:before="0" w:beforeAutospacing="0" w:after="0" w:afterAutospacing="0"/>
        <w:jc w:val="both"/>
        <w:rPr>
          <w:rFonts w:ascii="Palatino Linotype" w:hAnsi="Palatino Linotype"/>
        </w:rPr>
      </w:pPr>
      <w:r w:rsidRPr="007D40B2">
        <w:rPr>
          <w:rFonts w:ascii="Palatino Linotype" w:hAnsi="Palatino Linotype"/>
        </w:rPr>
        <w:t xml:space="preserve"> </w:t>
      </w:r>
    </w:p>
    <w:p w:rsidR="000411D0" w:rsidRPr="007D40B2" w:rsidRDefault="000411D0" w:rsidP="000411D0">
      <w:pPr>
        <w:pStyle w:val="BodyText"/>
        <w:rPr>
          <w:rFonts w:ascii="Palatino Linotype" w:hAnsi="Palatino Linotype"/>
        </w:rPr>
      </w:pPr>
      <w:r w:rsidRPr="007D40B2">
        <w:rPr>
          <w:rFonts w:ascii="Palatino Linotype" w:hAnsi="Palatino Linotype"/>
        </w:rPr>
        <w:t>Other writings:</w:t>
      </w:r>
    </w:p>
    <w:p w:rsidR="000411D0" w:rsidRPr="007D40B2" w:rsidRDefault="000411D0" w:rsidP="000411D0">
      <w:pPr>
        <w:pStyle w:val="BodyText"/>
        <w:tabs>
          <w:tab w:val="left" w:pos="2910"/>
        </w:tabs>
        <w:rPr>
          <w:rFonts w:ascii="Palatino Linotype" w:hAnsi="Palatino Linotype"/>
        </w:rPr>
      </w:pPr>
      <w:r w:rsidRPr="007D40B2">
        <w:rPr>
          <w:rFonts w:ascii="Palatino Linotype" w:hAnsi="Palatino Linotype"/>
          <w:i/>
          <w:iCs/>
        </w:rPr>
        <w:t>Eternity and time</w:t>
      </w:r>
      <w:r>
        <w:rPr>
          <w:rFonts w:ascii="Palatino Linotype" w:hAnsi="Palatino Linotype"/>
        </w:rPr>
        <w:t>, Oxford: SLG Press, 2001.</w:t>
      </w:r>
    </w:p>
    <w:p w:rsidR="000411D0" w:rsidRPr="007D40B2" w:rsidRDefault="000411D0" w:rsidP="000411D0">
      <w:pPr>
        <w:pStyle w:val="BodyText"/>
        <w:tabs>
          <w:tab w:val="left" w:pos="2910"/>
        </w:tabs>
        <w:rPr>
          <w:rFonts w:ascii="Palatino Linotype" w:hAnsi="Palatino Linotype"/>
        </w:rPr>
      </w:pPr>
      <w:r w:rsidRPr="007D40B2">
        <w:rPr>
          <w:rFonts w:ascii="Palatino Linotype" w:hAnsi="Palatino Linotype"/>
          <w:i/>
          <w:iCs/>
        </w:rPr>
        <w:t>The Experience of God: Orthodox Dogmatic Theology</w:t>
      </w:r>
      <w:r w:rsidRPr="007D40B2">
        <w:rPr>
          <w:rFonts w:ascii="Palatino Linotype" w:hAnsi="Palatino Linotype"/>
        </w:rPr>
        <w:t xml:space="preserve">, trans. I. </w:t>
      </w:r>
      <w:proofErr w:type="spellStart"/>
      <w:r w:rsidRPr="007D40B2">
        <w:rPr>
          <w:rFonts w:ascii="Palatino Linotype" w:hAnsi="Palatino Linotype"/>
        </w:rPr>
        <w:t>Ionita</w:t>
      </w:r>
      <w:proofErr w:type="spellEnd"/>
      <w:r w:rsidRPr="007D40B2">
        <w:rPr>
          <w:rFonts w:ascii="Palatino Linotype" w:hAnsi="Palatino Linotype"/>
        </w:rPr>
        <w:t xml:space="preserve"> and R. </w:t>
      </w:r>
      <w:proofErr w:type="spellStart"/>
      <w:r w:rsidRPr="007D40B2">
        <w:rPr>
          <w:rFonts w:ascii="Palatino Linotype" w:hAnsi="Palatino Linotype"/>
        </w:rPr>
        <w:t>Barringer</w:t>
      </w:r>
      <w:proofErr w:type="spellEnd"/>
      <w:r>
        <w:rPr>
          <w:rFonts w:ascii="Palatino Linotype" w:hAnsi="Palatino Linotype"/>
        </w:rPr>
        <w:t xml:space="preserve">, </w:t>
      </w:r>
      <w:r w:rsidRPr="007D40B2">
        <w:rPr>
          <w:rFonts w:ascii="Palatino Linotype" w:hAnsi="Palatino Linotype"/>
        </w:rPr>
        <w:t>Brookline, MA: Holy Cross Orthodox Press, 1994-</w:t>
      </w:r>
      <w:r>
        <w:rPr>
          <w:rFonts w:ascii="Palatino Linotype" w:hAnsi="Palatino Linotype"/>
        </w:rPr>
        <w:t>.</w:t>
      </w:r>
      <w:r w:rsidRPr="007D40B2">
        <w:rPr>
          <w:rFonts w:ascii="Palatino Linotype" w:hAnsi="Palatino Linotype"/>
        </w:rPr>
        <w:t xml:space="preserve">; </w:t>
      </w:r>
      <w:proofErr w:type="spellStart"/>
      <w:r w:rsidRPr="007D40B2">
        <w:rPr>
          <w:rFonts w:ascii="Palatino Linotype" w:hAnsi="Palatino Linotype"/>
          <w:smallCaps/>
        </w:rPr>
        <w:t>n.b</w:t>
      </w:r>
      <w:proofErr w:type="spellEnd"/>
      <w:r w:rsidRPr="007D40B2">
        <w:rPr>
          <w:rFonts w:ascii="Palatino Linotype" w:hAnsi="Palatino Linotype"/>
          <w:smallCaps/>
        </w:rPr>
        <w:t>.</w:t>
      </w:r>
      <w:r w:rsidRPr="007D40B2">
        <w:rPr>
          <w:rFonts w:ascii="Palatino Linotype" w:hAnsi="Palatino Linotype"/>
        </w:rPr>
        <w:t xml:space="preserve"> two volumes have appeared so far, corresponding to Vol. I of the original Romanian: </w:t>
      </w:r>
      <w:r w:rsidRPr="007D40B2">
        <w:rPr>
          <w:rFonts w:ascii="Palatino Linotype" w:hAnsi="Palatino Linotype" w:cs="Arial"/>
          <w:i/>
          <w:iCs/>
          <w:color w:val="000000"/>
        </w:rPr>
        <w:t xml:space="preserve">Revelation and knowledge of the triune God </w:t>
      </w:r>
      <w:r w:rsidRPr="007D40B2">
        <w:rPr>
          <w:rFonts w:ascii="Palatino Linotype" w:hAnsi="Palatino Linotype" w:cs="Arial"/>
          <w:color w:val="000000"/>
        </w:rPr>
        <w:t xml:space="preserve">(1994) and </w:t>
      </w:r>
      <w:r w:rsidRPr="007D40B2">
        <w:rPr>
          <w:rFonts w:ascii="Palatino Linotype" w:hAnsi="Palatino Linotype" w:cs="Arial"/>
          <w:i/>
          <w:iCs/>
          <w:color w:val="000000"/>
        </w:rPr>
        <w:t xml:space="preserve">The World: Creation and deification </w:t>
      </w:r>
      <w:r w:rsidRPr="007D40B2">
        <w:rPr>
          <w:rFonts w:ascii="Palatino Linotype" w:hAnsi="Palatino Linotype" w:cs="Arial"/>
          <w:color w:val="000000"/>
        </w:rPr>
        <w:t>(2002).</w:t>
      </w:r>
    </w:p>
    <w:p w:rsidR="000411D0" w:rsidRPr="007D40B2" w:rsidRDefault="000411D0" w:rsidP="000411D0">
      <w:pPr>
        <w:pStyle w:val="BodyText"/>
        <w:tabs>
          <w:tab w:val="left" w:pos="2910"/>
        </w:tabs>
        <w:rPr>
          <w:rFonts w:ascii="Palatino Linotype" w:hAnsi="Palatino Linotype"/>
        </w:rPr>
      </w:pPr>
      <w:r w:rsidRPr="007D40B2">
        <w:rPr>
          <w:rFonts w:ascii="Palatino Linotype" w:hAnsi="Palatino Linotype"/>
          <w:i/>
          <w:iCs/>
        </w:rPr>
        <w:t>Orthodox spirituality: A practical guide for the faithful and a definitive manual for the scholar</w:t>
      </w:r>
      <w:r w:rsidRPr="007D40B2">
        <w:rPr>
          <w:rFonts w:ascii="Palatino Linotype" w:hAnsi="Palatino Linotype"/>
        </w:rPr>
        <w:t xml:space="preserve">, trans. J. Newville and O. </w:t>
      </w:r>
      <w:proofErr w:type="spellStart"/>
      <w:r w:rsidRPr="007D40B2">
        <w:rPr>
          <w:rFonts w:ascii="Palatino Linotype" w:hAnsi="Palatino Linotype"/>
        </w:rPr>
        <w:t>Kloos</w:t>
      </w:r>
      <w:proofErr w:type="spellEnd"/>
      <w:r>
        <w:rPr>
          <w:rFonts w:ascii="Palatino Linotype" w:hAnsi="Palatino Linotype"/>
        </w:rPr>
        <w:t xml:space="preserve">, </w:t>
      </w:r>
      <w:r w:rsidRPr="007D40B2">
        <w:rPr>
          <w:rFonts w:ascii="Palatino Linotype" w:hAnsi="Palatino Linotype"/>
        </w:rPr>
        <w:t xml:space="preserve">South Canaan, PA: St </w:t>
      </w:r>
      <w:proofErr w:type="spellStart"/>
      <w:r w:rsidRPr="007D40B2">
        <w:rPr>
          <w:rFonts w:ascii="Palatino Linotype" w:hAnsi="Palatino Linotype"/>
        </w:rPr>
        <w:t>Tikhon’s</w:t>
      </w:r>
      <w:proofErr w:type="spellEnd"/>
      <w:r w:rsidRPr="007D40B2">
        <w:rPr>
          <w:rFonts w:ascii="Palatino Linotype" w:hAnsi="Palatino Linotype"/>
        </w:rPr>
        <w:t xml:space="preserve"> Seminary Press, 2002</w:t>
      </w:r>
      <w:r>
        <w:rPr>
          <w:rFonts w:ascii="Palatino Linotype" w:hAnsi="Palatino Linotype"/>
        </w:rPr>
        <w:t>.</w:t>
      </w:r>
    </w:p>
    <w:p w:rsidR="000411D0" w:rsidRPr="007D40B2" w:rsidRDefault="000411D0" w:rsidP="000411D0">
      <w:pPr>
        <w:pStyle w:val="BodyText"/>
        <w:tabs>
          <w:tab w:val="left" w:pos="2910"/>
        </w:tabs>
        <w:rPr>
          <w:rFonts w:ascii="Palatino Linotype" w:hAnsi="Palatino Linotype"/>
        </w:rPr>
      </w:pPr>
      <w:r w:rsidRPr="007D40B2">
        <w:rPr>
          <w:rFonts w:ascii="Palatino Linotype" w:hAnsi="Palatino Linotype"/>
          <w:i/>
          <w:iCs/>
        </w:rPr>
        <w:t xml:space="preserve">Prayer and Holiness: </w:t>
      </w:r>
      <w:proofErr w:type="gramStart"/>
      <w:r w:rsidRPr="007D40B2">
        <w:rPr>
          <w:rFonts w:ascii="Palatino Linotype" w:hAnsi="Palatino Linotype"/>
          <w:i/>
          <w:iCs/>
        </w:rPr>
        <w:t>The</w:t>
      </w:r>
      <w:proofErr w:type="gramEnd"/>
      <w:r w:rsidRPr="007D40B2">
        <w:rPr>
          <w:rFonts w:ascii="Palatino Linotype" w:hAnsi="Palatino Linotype"/>
          <w:i/>
          <w:iCs/>
        </w:rPr>
        <w:t xml:space="preserve"> icon of man renewed in God</w:t>
      </w:r>
      <w:r>
        <w:rPr>
          <w:rFonts w:ascii="Palatino Linotype" w:hAnsi="Palatino Linotype"/>
        </w:rPr>
        <w:t xml:space="preserve">, </w:t>
      </w:r>
      <w:r w:rsidRPr="007D40B2">
        <w:rPr>
          <w:rFonts w:ascii="Palatino Linotype" w:hAnsi="Palatino Linotype"/>
        </w:rPr>
        <w:t>Oxford: SLG Press, 1982</w:t>
      </w:r>
      <w:r>
        <w:rPr>
          <w:rFonts w:ascii="Palatino Linotype" w:hAnsi="Palatino Linotype"/>
        </w:rPr>
        <w:t>.</w:t>
      </w:r>
    </w:p>
    <w:p w:rsidR="000411D0" w:rsidRPr="007D40B2" w:rsidRDefault="000411D0" w:rsidP="000411D0">
      <w:pPr>
        <w:pStyle w:val="BodyText"/>
        <w:tabs>
          <w:tab w:val="left" w:pos="2910"/>
        </w:tabs>
        <w:rPr>
          <w:rFonts w:ascii="Palatino Linotype" w:hAnsi="Palatino Linotype"/>
        </w:rPr>
      </w:pPr>
      <w:r w:rsidRPr="007D40B2">
        <w:rPr>
          <w:rFonts w:ascii="Palatino Linotype" w:hAnsi="Palatino Linotype"/>
          <w:i/>
          <w:iCs/>
        </w:rPr>
        <w:t>Victory of the Cross</w:t>
      </w:r>
      <w:r>
        <w:rPr>
          <w:rFonts w:ascii="Palatino Linotype" w:hAnsi="Palatino Linotype"/>
        </w:rPr>
        <w:t xml:space="preserve">, </w:t>
      </w:r>
      <w:r w:rsidRPr="007D40B2">
        <w:rPr>
          <w:rFonts w:ascii="Palatino Linotype" w:hAnsi="Palatino Linotype"/>
        </w:rPr>
        <w:t>Oxford: SLG Press, 1971</w:t>
      </w:r>
      <w:r>
        <w:rPr>
          <w:rFonts w:ascii="Palatino Linotype" w:hAnsi="Palatino Linotype"/>
        </w:rPr>
        <w:t>.</w:t>
      </w:r>
    </w:p>
    <w:p w:rsidR="000411D0" w:rsidRPr="007D40B2" w:rsidRDefault="000411D0" w:rsidP="000411D0">
      <w:pPr>
        <w:pStyle w:val="BodyText"/>
        <w:tabs>
          <w:tab w:val="left" w:pos="2910"/>
        </w:tabs>
        <w:rPr>
          <w:rFonts w:ascii="Palatino Linotype" w:hAnsi="Palatino Linotype"/>
        </w:rPr>
      </w:pPr>
      <w:r w:rsidRPr="007D40B2">
        <w:rPr>
          <w:rFonts w:ascii="Palatino Linotype" w:hAnsi="Palatino Linotype"/>
        </w:rPr>
        <w:tab/>
      </w:r>
      <w:r w:rsidRPr="007D40B2">
        <w:rPr>
          <w:rFonts w:ascii="Palatino Linotype" w:hAnsi="Palatino Linotype"/>
        </w:rPr>
        <w:tab/>
      </w:r>
    </w:p>
    <w:p w:rsidR="000411D0" w:rsidRPr="007D40B2" w:rsidRDefault="000411D0" w:rsidP="000411D0">
      <w:pPr>
        <w:pStyle w:val="BodyText"/>
        <w:rPr>
          <w:rFonts w:ascii="Palatino Linotype" w:hAnsi="Palatino Linotype"/>
        </w:rPr>
      </w:pPr>
      <w:r w:rsidRPr="007D40B2">
        <w:rPr>
          <w:rFonts w:ascii="Palatino Linotype" w:hAnsi="Palatino Linotype"/>
        </w:rPr>
        <w:t>Secondary literature:</w:t>
      </w:r>
    </w:p>
    <w:p w:rsidR="000411D0" w:rsidRPr="007D40B2" w:rsidRDefault="000411D0" w:rsidP="000411D0">
      <w:pPr>
        <w:pStyle w:val="BodyText"/>
        <w:rPr>
          <w:rFonts w:ascii="Palatino Linotype" w:hAnsi="Palatino Linotype"/>
        </w:rPr>
      </w:pPr>
      <w:proofErr w:type="spellStart"/>
      <w:r w:rsidRPr="007D40B2">
        <w:rPr>
          <w:rFonts w:ascii="Palatino Linotype" w:hAnsi="Palatino Linotype"/>
        </w:rPr>
        <w:lastRenderedPageBreak/>
        <w:t>Bartos</w:t>
      </w:r>
      <w:proofErr w:type="spellEnd"/>
      <w:r w:rsidRPr="007D40B2">
        <w:rPr>
          <w:rFonts w:ascii="Palatino Linotype" w:hAnsi="Palatino Linotype"/>
        </w:rPr>
        <w:t xml:space="preserve">, </w:t>
      </w:r>
      <w:r>
        <w:rPr>
          <w:rFonts w:ascii="Palatino Linotype" w:hAnsi="Palatino Linotype"/>
        </w:rPr>
        <w:t xml:space="preserve">E., </w:t>
      </w:r>
      <w:r w:rsidRPr="007D40B2">
        <w:rPr>
          <w:rFonts w:ascii="Palatino Linotype" w:hAnsi="Palatino Linotype"/>
          <w:i/>
          <w:iCs/>
        </w:rPr>
        <w:t xml:space="preserve">Deification in Eastern Orthodox Theology: An evaluation and critique of the theology of </w:t>
      </w:r>
      <w:proofErr w:type="spellStart"/>
      <w:r w:rsidRPr="007D40B2">
        <w:rPr>
          <w:rFonts w:ascii="Palatino Linotype" w:hAnsi="Palatino Linotype"/>
          <w:i/>
          <w:iCs/>
        </w:rPr>
        <w:t>Dumitru</w:t>
      </w:r>
      <w:proofErr w:type="spellEnd"/>
      <w:r w:rsidRPr="007D40B2">
        <w:rPr>
          <w:rFonts w:ascii="Palatino Linotype" w:hAnsi="Palatino Linotype"/>
          <w:i/>
          <w:iCs/>
        </w:rPr>
        <w:t xml:space="preserve"> </w:t>
      </w:r>
      <w:proofErr w:type="spellStart"/>
      <w:r w:rsidRPr="007D40B2">
        <w:rPr>
          <w:rFonts w:ascii="Palatino Linotype" w:hAnsi="Palatino Linotype"/>
          <w:i/>
          <w:iCs/>
        </w:rPr>
        <w:t>Stăniloae</w:t>
      </w:r>
      <w:proofErr w:type="spellEnd"/>
      <w:r>
        <w:rPr>
          <w:rFonts w:ascii="Palatino Linotype" w:hAnsi="Palatino Linotype"/>
        </w:rPr>
        <w:t xml:space="preserve">, </w:t>
      </w:r>
      <w:r w:rsidRPr="007D40B2">
        <w:rPr>
          <w:rFonts w:ascii="Palatino Linotype" w:hAnsi="Palatino Linotype" w:cs="Arial"/>
          <w:color w:val="000000"/>
        </w:rPr>
        <w:t>Carlisle: Paternoster Press, 2005</w:t>
      </w:r>
      <w:r>
        <w:rPr>
          <w:rFonts w:ascii="Palatino Linotype" w:hAnsi="Palatino Linotype" w:cs="Arial"/>
          <w:color w:val="000000"/>
        </w:rPr>
        <w:t>.</w:t>
      </w:r>
    </w:p>
    <w:p w:rsidR="000411D0" w:rsidRPr="007D40B2" w:rsidRDefault="000411D0" w:rsidP="000411D0">
      <w:pPr>
        <w:pStyle w:val="BodyText"/>
        <w:rPr>
          <w:rFonts w:ascii="Palatino Linotype" w:hAnsi="Palatino Linotype"/>
          <w:i/>
          <w:iCs/>
        </w:rPr>
      </w:pPr>
      <w:proofErr w:type="spellStart"/>
      <w:r w:rsidRPr="007D40B2">
        <w:rPr>
          <w:rFonts w:ascii="Palatino Linotype" w:hAnsi="Palatino Linotype"/>
        </w:rPr>
        <w:t>Bielawski</w:t>
      </w:r>
      <w:proofErr w:type="spellEnd"/>
      <w:r w:rsidRPr="007D40B2">
        <w:rPr>
          <w:rFonts w:ascii="Palatino Linotype" w:hAnsi="Palatino Linotype"/>
        </w:rPr>
        <w:t xml:space="preserve">, </w:t>
      </w:r>
      <w:r>
        <w:rPr>
          <w:rFonts w:ascii="Palatino Linotype" w:hAnsi="Palatino Linotype"/>
        </w:rPr>
        <w:t xml:space="preserve">M., </w:t>
      </w:r>
      <w:r w:rsidRPr="007D40B2">
        <w:rPr>
          <w:rFonts w:ascii="Palatino Linotype" w:hAnsi="Palatino Linotype"/>
          <w:i/>
          <w:iCs/>
        </w:rPr>
        <w:t xml:space="preserve">The </w:t>
      </w:r>
      <w:proofErr w:type="spellStart"/>
      <w:r w:rsidRPr="007D40B2">
        <w:rPr>
          <w:rFonts w:ascii="Palatino Linotype" w:hAnsi="Palatino Linotype"/>
          <w:i/>
          <w:iCs/>
        </w:rPr>
        <w:t>philokalical</w:t>
      </w:r>
      <w:proofErr w:type="spellEnd"/>
      <w:r w:rsidRPr="007D40B2">
        <w:rPr>
          <w:rFonts w:ascii="Palatino Linotype" w:hAnsi="Palatino Linotype"/>
          <w:i/>
          <w:iCs/>
        </w:rPr>
        <w:t xml:space="preserve"> vision of the world in the theology of </w:t>
      </w:r>
      <w:proofErr w:type="spellStart"/>
      <w:r w:rsidRPr="007D40B2">
        <w:rPr>
          <w:rFonts w:ascii="Palatino Linotype" w:hAnsi="Palatino Linotype"/>
          <w:i/>
          <w:iCs/>
        </w:rPr>
        <w:t>Dumitru</w:t>
      </w:r>
      <w:proofErr w:type="spellEnd"/>
      <w:r w:rsidRPr="007D40B2">
        <w:rPr>
          <w:rFonts w:ascii="Palatino Linotype" w:hAnsi="Palatino Linotype"/>
          <w:i/>
          <w:iCs/>
        </w:rPr>
        <w:t xml:space="preserve"> </w:t>
      </w:r>
      <w:proofErr w:type="spellStart"/>
      <w:r w:rsidRPr="007D40B2">
        <w:rPr>
          <w:rFonts w:ascii="Palatino Linotype" w:hAnsi="Palatino Linotype"/>
          <w:i/>
          <w:iCs/>
        </w:rPr>
        <w:t>Stăniloae</w:t>
      </w:r>
      <w:proofErr w:type="spellEnd"/>
      <w:r>
        <w:rPr>
          <w:rFonts w:ascii="Palatino Linotype" w:hAnsi="Palatino Linotype"/>
        </w:rPr>
        <w:t xml:space="preserve">, </w:t>
      </w:r>
      <w:r w:rsidRPr="007D40B2">
        <w:rPr>
          <w:rFonts w:ascii="Palatino Linotype" w:hAnsi="Palatino Linotype"/>
        </w:rPr>
        <w:t xml:space="preserve">Bydgoszcz: </w:t>
      </w:r>
      <w:proofErr w:type="spellStart"/>
      <w:r w:rsidRPr="007D40B2">
        <w:rPr>
          <w:rFonts w:ascii="Palatino Linotype" w:hAnsi="Palatino Linotype"/>
        </w:rPr>
        <w:t>Wydawnictwo</w:t>
      </w:r>
      <w:proofErr w:type="spellEnd"/>
      <w:r w:rsidRPr="007D40B2">
        <w:rPr>
          <w:rFonts w:ascii="Palatino Linotype" w:hAnsi="Palatino Linotype"/>
        </w:rPr>
        <w:t xml:space="preserve"> </w:t>
      </w:r>
      <w:proofErr w:type="spellStart"/>
      <w:r w:rsidRPr="007D40B2">
        <w:rPr>
          <w:rFonts w:ascii="Palatino Linotype" w:hAnsi="Palatino Linotype"/>
        </w:rPr>
        <w:t>Homini</w:t>
      </w:r>
      <w:proofErr w:type="spellEnd"/>
      <w:r w:rsidRPr="007D40B2">
        <w:rPr>
          <w:rFonts w:ascii="Palatino Linotype" w:hAnsi="Palatino Linotype"/>
        </w:rPr>
        <w:t>, 1997</w:t>
      </w:r>
      <w:r>
        <w:rPr>
          <w:rFonts w:ascii="Palatino Linotype" w:hAnsi="Palatino Linotype"/>
        </w:rPr>
        <w:t>.</w:t>
      </w:r>
    </w:p>
    <w:p w:rsidR="000411D0" w:rsidRPr="007D40B2" w:rsidRDefault="000411D0" w:rsidP="000411D0">
      <w:pPr>
        <w:pStyle w:val="BodyText"/>
        <w:rPr>
          <w:rFonts w:ascii="Palatino Linotype" w:hAnsi="Palatino Linotype"/>
        </w:rPr>
      </w:pPr>
      <w:r w:rsidRPr="007D40B2">
        <w:rPr>
          <w:rFonts w:ascii="Palatino Linotype" w:hAnsi="Palatino Linotype"/>
        </w:rPr>
        <w:t xml:space="preserve">Miller, </w:t>
      </w:r>
      <w:r>
        <w:rPr>
          <w:rFonts w:ascii="Palatino Linotype" w:hAnsi="Palatino Linotype"/>
        </w:rPr>
        <w:t xml:space="preserve">C., </w:t>
      </w:r>
      <w:proofErr w:type="gramStart"/>
      <w:r w:rsidRPr="007D40B2">
        <w:rPr>
          <w:rFonts w:ascii="Palatino Linotype" w:hAnsi="Palatino Linotype"/>
          <w:i/>
          <w:iCs/>
        </w:rPr>
        <w:t>The</w:t>
      </w:r>
      <w:proofErr w:type="gramEnd"/>
      <w:r w:rsidRPr="007D40B2">
        <w:rPr>
          <w:rFonts w:ascii="Palatino Linotype" w:hAnsi="Palatino Linotype"/>
          <w:i/>
          <w:iCs/>
        </w:rPr>
        <w:t xml:space="preserve"> Gift of the World: An introduction to the theology of </w:t>
      </w:r>
      <w:proofErr w:type="spellStart"/>
      <w:r w:rsidRPr="007D40B2">
        <w:rPr>
          <w:rFonts w:ascii="Palatino Linotype" w:hAnsi="Palatino Linotype"/>
          <w:i/>
          <w:iCs/>
        </w:rPr>
        <w:t>Dumitru</w:t>
      </w:r>
      <w:proofErr w:type="spellEnd"/>
      <w:r w:rsidRPr="007D40B2">
        <w:rPr>
          <w:rFonts w:ascii="Palatino Linotype" w:hAnsi="Palatino Linotype"/>
          <w:i/>
          <w:iCs/>
        </w:rPr>
        <w:t xml:space="preserve"> </w:t>
      </w:r>
      <w:proofErr w:type="spellStart"/>
      <w:r w:rsidRPr="007D40B2">
        <w:rPr>
          <w:rFonts w:ascii="Palatino Linotype" w:hAnsi="Palatino Linotype"/>
          <w:i/>
          <w:iCs/>
        </w:rPr>
        <w:t>Stăniloae</w:t>
      </w:r>
      <w:proofErr w:type="spellEnd"/>
      <w:r>
        <w:rPr>
          <w:rFonts w:ascii="Palatino Linotype" w:hAnsi="Palatino Linotype"/>
        </w:rPr>
        <w:t xml:space="preserve">, </w:t>
      </w:r>
      <w:r w:rsidRPr="007D40B2">
        <w:rPr>
          <w:rFonts w:ascii="Palatino Linotype" w:hAnsi="Palatino Linotype"/>
        </w:rPr>
        <w:t>Edinburgh: T&amp;T Clark, 2000</w:t>
      </w:r>
      <w:r>
        <w:rPr>
          <w:rFonts w:ascii="Palatino Linotype" w:hAnsi="Palatino Linotype"/>
        </w:rPr>
        <w:t>.</w:t>
      </w:r>
    </w:p>
    <w:p w:rsidR="000411D0" w:rsidRPr="007D40B2" w:rsidRDefault="000411D0" w:rsidP="000411D0">
      <w:pPr>
        <w:pStyle w:val="BodyText"/>
        <w:rPr>
          <w:rFonts w:ascii="Palatino Linotype" w:hAnsi="Palatino Linotype"/>
        </w:rPr>
      </w:pPr>
      <w:r w:rsidRPr="007D40B2">
        <w:rPr>
          <w:rFonts w:ascii="Palatino Linotype" w:hAnsi="Palatino Linotype"/>
        </w:rPr>
        <w:t>Roberson,</w:t>
      </w:r>
      <w:r>
        <w:rPr>
          <w:rFonts w:ascii="Palatino Linotype" w:hAnsi="Palatino Linotype"/>
        </w:rPr>
        <w:t xml:space="preserve"> R.,</w:t>
      </w:r>
      <w:r w:rsidRPr="007D40B2">
        <w:rPr>
          <w:rFonts w:ascii="Palatino Linotype" w:hAnsi="Palatino Linotype"/>
        </w:rPr>
        <w:t xml:space="preserve"> </w:t>
      </w:r>
      <w:r w:rsidRPr="007D40B2">
        <w:rPr>
          <w:rFonts w:ascii="Palatino Linotype" w:hAnsi="Palatino Linotype"/>
          <w:i/>
          <w:iCs/>
        </w:rPr>
        <w:t>Contemporary Romanian Orthodox ecclesiology</w:t>
      </w:r>
      <w:r>
        <w:rPr>
          <w:rFonts w:ascii="Palatino Linotype" w:hAnsi="Palatino Linotype"/>
        </w:rPr>
        <w:t xml:space="preserve">, </w:t>
      </w:r>
      <w:r w:rsidRPr="007D40B2">
        <w:rPr>
          <w:rFonts w:ascii="Palatino Linotype" w:hAnsi="Palatino Linotype"/>
        </w:rPr>
        <w:t xml:space="preserve">Rome: </w:t>
      </w:r>
      <w:proofErr w:type="spellStart"/>
      <w:r w:rsidRPr="007D40B2">
        <w:rPr>
          <w:rFonts w:ascii="Palatino Linotype" w:hAnsi="Palatino Linotype"/>
        </w:rPr>
        <w:t>Pontificium</w:t>
      </w:r>
      <w:proofErr w:type="spellEnd"/>
      <w:r w:rsidRPr="007D40B2">
        <w:rPr>
          <w:rFonts w:ascii="Palatino Linotype" w:hAnsi="Palatino Linotype"/>
        </w:rPr>
        <w:t xml:space="preserve"> </w:t>
      </w:r>
      <w:proofErr w:type="spellStart"/>
      <w:r w:rsidRPr="007D40B2">
        <w:rPr>
          <w:rFonts w:ascii="Palatino Linotype" w:hAnsi="Palatino Linotype"/>
        </w:rPr>
        <w:t>Institutum</w:t>
      </w:r>
      <w:proofErr w:type="spellEnd"/>
      <w:r w:rsidRPr="007D40B2">
        <w:rPr>
          <w:rFonts w:ascii="Palatino Linotype" w:hAnsi="Palatino Linotype"/>
        </w:rPr>
        <w:t xml:space="preserve"> Orientale, 1988</w:t>
      </w:r>
      <w:r>
        <w:rPr>
          <w:rFonts w:ascii="Palatino Linotype" w:hAnsi="Palatino Linotype"/>
        </w:rPr>
        <w:t>.</w:t>
      </w:r>
      <w:r w:rsidRPr="007D40B2">
        <w:rPr>
          <w:rFonts w:ascii="Palatino Linotype" w:hAnsi="Palatino Linotype"/>
        </w:rPr>
        <w:t xml:space="preserve"> </w:t>
      </w:r>
    </w:p>
    <w:p w:rsidR="000411D0" w:rsidRPr="007D40B2" w:rsidRDefault="000411D0" w:rsidP="000411D0">
      <w:pPr>
        <w:pStyle w:val="BodyText"/>
        <w:rPr>
          <w:rFonts w:ascii="Palatino Linotype" w:hAnsi="Palatino Linotype"/>
        </w:rPr>
      </w:pPr>
      <w:proofErr w:type="spellStart"/>
      <w:r w:rsidRPr="007D40B2">
        <w:rPr>
          <w:rFonts w:ascii="Palatino Linotype" w:hAnsi="Palatino Linotype"/>
        </w:rPr>
        <w:t>Turcescu</w:t>
      </w:r>
      <w:proofErr w:type="spellEnd"/>
      <w:r w:rsidRPr="007D40B2">
        <w:rPr>
          <w:rFonts w:ascii="Palatino Linotype" w:hAnsi="Palatino Linotype"/>
        </w:rPr>
        <w:t xml:space="preserve">, </w:t>
      </w:r>
      <w:r>
        <w:rPr>
          <w:rFonts w:ascii="Palatino Linotype" w:hAnsi="Palatino Linotype"/>
        </w:rPr>
        <w:t xml:space="preserve">L., </w:t>
      </w:r>
      <w:r w:rsidRPr="007D40B2">
        <w:rPr>
          <w:rFonts w:ascii="Palatino Linotype" w:hAnsi="Palatino Linotype"/>
        </w:rPr>
        <w:t xml:space="preserve">ed., </w:t>
      </w:r>
      <w:proofErr w:type="spellStart"/>
      <w:r w:rsidRPr="007D40B2">
        <w:rPr>
          <w:rFonts w:ascii="Palatino Linotype" w:hAnsi="Palatino Linotype"/>
          <w:i/>
          <w:iCs/>
        </w:rPr>
        <w:t>Dumitru</w:t>
      </w:r>
      <w:proofErr w:type="spellEnd"/>
      <w:r w:rsidRPr="007D40B2">
        <w:rPr>
          <w:rFonts w:ascii="Palatino Linotype" w:hAnsi="Palatino Linotype"/>
          <w:i/>
          <w:iCs/>
        </w:rPr>
        <w:t xml:space="preserve"> </w:t>
      </w:r>
      <w:proofErr w:type="spellStart"/>
      <w:r w:rsidRPr="007D40B2">
        <w:rPr>
          <w:rFonts w:ascii="Palatino Linotype" w:hAnsi="Palatino Linotype"/>
          <w:i/>
          <w:iCs/>
        </w:rPr>
        <w:t>Stăniloae</w:t>
      </w:r>
      <w:proofErr w:type="spellEnd"/>
      <w:r w:rsidRPr="007D40B2">
        <w:rPr>
          <w:rFonts w:ascii="Palatino Linotype" w:hAnsi="Palatino Linotype"/>
          <w:i/>
          <w:iCs/>
        </w:rPr>
        <w:t>: Tradition and modernity in theology</w:t>
      </w:r>
      <w:r>
        <w:rPr>
          <w:rFonts w:ascii="Palatino Linotype" w:hAnsi="Palatino Linotype"/>
        </w:rPr>
        <w:t xml:space="preserve">, </w:t>
      </w:r>
      <w:proofErr w:type="spellStart"/>
      <w:r w:rsidRPr="007D40B2">
        <w:rPr>
          <w:rFonts w:ascii="Palatino Linotype" w:hAnsi="Palatino Linotype"/>
        </w:rPr>
        <w:t>Iaşi</w:t>
      </w:r>
      <w:proofErr w:type="spellEnd"/>
      <w:r w:rsidRPr="007D40B2">
        <w:rPr>
          <w:rFonts w:ascii="Palatino Linotype" w:hAnsi="Palatino Linotype"/>
        </w:rPr>
        <w:t xml:space="preserve"> and Palm Beach, FL: </w:t>
      </w:r>
      <w:proofErr w:type="spellStart"/>
      <w:r w:rsidRPr="007D40B2">
        <w:rPr>
          <w:rFonts w:ascii="Palatino Linotype" w:hAnsi="Palatino Linotype"/>
        </w:rPr>
        <w:t>Center</w:t>
      </w:r>
      <w:proofErr w:type="spellEnd"/>
      <w:r w:rsidRPr="007D40B2">
        <w:rPr>
          <w:rFonts w:ascii="Palatino Linotype" w:hAnsi="Palatino Linotype"/>
        </w:rPr>
        <w:t xml:space="preserve"> for Romanian Studies, 2002</w:t>
      </w:r>
      <w:r>
        <w:rPr>
          <w:rFonts w:ascii="Palatino Linotype" w:hAnsi="Palatino Linotype"/>
        </w:rPr>
        <w:t>.</w:t>
      </w:r>
    </w:p>
    <w:p w:rsidR="008C3338" w:rsidRDefault="008C3338" w:rsidP="000411D0"/>
    <w:sectPr w:rsidR="008C3338" w:rsidSect="008C333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compat/>
  <w:rsids>
    <w:rsidRoot w:val="000411D0"/>
    <w:rsid w:val="000411D0"/>
    <w:rsid w:val="008C3338"/>
  </w:rsids>
  <m:mathPr>
    <m:mathFont m:val="Cambria Math"/>
    <m:brkBin m:val="before"/>
    <m:brkBinSub m:val="--"/>
    <m:smallFrac m:val="off"/>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11D0"/>
    <w:pPr>
      <w:spacing w:after="0" w:line="240" w:lineRule="auto"/>
    </w:pPr>
    <w:rPr>
      <w:rFonts w:ascii="Times New Roman" w:eastAsia="Times New Roman" w:hAnsi="Times New Roman" w:cs="Times New Roman"/>
      <w:sz w:val="24"/>
      <w:szCs w:val="24"/>
    </w:rPr>
  </w:style>
  <w:style w:type="paragraph" w:styleId="Heading6">
    <w:name w:val="heading 6"/>
    <w:basedOn w:val="Normal"/>
    <w:next w:val="Normal"/>
    <w:link w:val="Heading6Char"/>
    <w:qFormat/>
    <w:rsid w:val="000411D0"/>
    <w:pPr>
      <w:keepNext/>
      <w:ind w:left="540" w:hanging="540"/>
      <w:jc w:val="center"/>
      <w:outlineLvl w:val="5"/>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rsid w:val="000411D0"/>
    <w:rPr>
      <w:rFonts w:ascii="Times New Roman" w:eastAsia="Times New Roman" w:hAnsi="Times New Roman" w:cs="Times New Roman"/>
      <w:i/>
      <w:iCs/>
      <w:sz w:val="24"/>
      <w:szCs w:val="24"/>
    </w:rPr>
  </w:style>
  <w:style w:type="paragraph" w:styleId="BodyText">
    <w:name w:val="Body Text"/>
    <w:basedOn w:val="Normal"/>
    <w:link w:val="BodyTextChar"/>
    <w:rsid w:val="000411D0"/>
    <w:pPr>
      <w:jc w:val="both"/>
    </w:pPr>
  </w:style>
  <w:style w:type="character" w:customStyle="1" w:styleId="BodyTextChar">
    <w:name w:val="Body Text Char"/>
    <w:basedOn w:val="DefaultParagraphFont"/>
    <w:link w:val="BodyText"/>
    <w:rsid w:val="000411D0"/>
    <w:rPr>
      <w:rFonts w:ascii="Times New Roman" w:eastAsia="Times New Roman" w:hAnsi="Times New Roman" w:cs="Times New Roman"/>
      <w:sz w:val="24"/>
      <w:szCs w:val="24"/>
    </w:rPr>
  </w:style>
  <w:style w:type="paragraph" w:styleId="NormalWeb">
    <w:name w:val="Normal (Web)"/>
    <w:basedOn w:val="Normal"/>
    <w:rsid w:val="000411D0"/>
    <w:pPr>
      <w:spacing w:before="100" w:beforeAutospacing="1" w:after="100" w:afterAutospacing="1"/>
    </w:pPr>
    <w:rPr>
      <w:rFonts w:eastAsia="SimSun"/>
      <w:lang w:eastAsia="zh-CN"/>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1945</Words>
  <Characters>11091</Characters>
  <Application>Microsoft Office Word</Application>
  <DocSecurity>0</DocSecurity>
  <Lines>92</Lines>
  <Paragraphs>26</Paragraphs>
  <ScaleCrop>false</ScaleCrop>
  <Company/>
  <LinksUpToDate>false</LinksUpToDate>
  <CharactersWithSpaces>13010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Augustine Casiday</dc:creator>
  <cp:lastModifiedBy>Augustine Casiday</cp:lastModifiedBy>
  <cp:revision>1</cp:revision>
  <dcterms:created xsi:type="dcterms:W3CDTF">2012-01-23T13:42:00Z</dcterms:created>
  <dcterms:modified xsi:type="dcterms:W3CDTF">2012-01-23T13:46:00Z</dcterms:modified>
</cp:coreProperties>
</file>